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A1E" w:rsidRPr="007B4060" w:rsidRDefault="000B4A1E" w:rsidP="00190010">
      <w:pPr>
        <w:spacing w:before="2400" w:after="0"/>
        <w:jc w:val="center"/>
        <w:rPr>
          <w:rFonts w:ascii="Calibri" w:hAnsi="Calibri"/>
          <w:b/>
          <w:sz w:val="56"/>
          <w:szCs w:val="48"/>
        </w:rPr>
      </w:pPr>
      <w:r w:rsidRPr="007B4060">
        <w:rPr>
          <w:rFonts w:ascii="Calibri" w:hAnsi="Calibri"/>
          <w:b/>
          <w:sz w:val="56"/>
          <w:szCs w:val="48"/>
        </w:rPr>
        <w:t>Financial Report</w:t>
      </w:r>
    </w:p>
    <w:p w:rsidR="000B4A1E" w:rsidRPr="003A0092" w:rsidRDefault="000B4A1E" w:rsidP="00190010">
      <w:pPr>
        <w:pBdr>
          <w:bottom w:val="single" w:sz="12" w:space="1" w:color="auto"/>
        </w:pBdr>
        <w:jc w:val="center"/>
        <w:rPr>
          <w:rFonts w:ascii="Calibri" w:hAnsi="Calibri"/>
          <w:b/>
          <w:sz w:val="40"/>
          <w:szCs w:val="40"/>
        </w:rPr>
      </w:pPr>
      <w:r w:rsidRPr="003A0092">
        <w:rPr>
          <w:rFonts w:ascii="Calibri" w:hAnsi="Calibri"/>
          <w:b/>
          <w:sz w:val="40"/>
          <w:szCs w:val="40"/>
        </w:rPr>
        <w:t>(incorporating Quarterly Financial Report No. 4</w:t>
      </w:r>
      <w:r>
        <w:rPr>
          <w:rFonts w:ascii="Calibri" w:hAnsi="Calibri"/>
          <w:b/>
          <w:sz w:val="40"/>
          <w:szCs w:val="40"/>
        </w:rPr>
        <w:t>)</w:t>
      </w:r>
    </w:p>
    <w:p w:rsidR="000B4A1E" w:rsidRPr="003A0092" w:rsidRDefault="000B4A1E" w:rsidP="00190010">
      <w:pPr>
        <w:jc w:val="center"/>
        <w:rPr>
          <w:rFonts w:ascii="Calibri" w:hAnsi="Calibri"/>
          <w:b/>
          <w:sz w:val="56"/>
          <w:szCs w:val="48"/>
        </w:rPr>
      </w:pPr>
      <w:r w:rsidRPr="007B4060">
        <w:rPr>
          <w:rFonts w:ascii="Calibri" w:hAnsi="Calibri"/>
          <w:b/>
          <w:sz w:val="56"/>
          <w:szCs w:val="48"/>
        </w:rPr>
        <w:t>201</w:t>
      </w:r>
      <w:r>
        <w:rPr>
          <w:rFonts w:ascii="Calibri" w:hAnsi="Calibri"/>
          <w:b/>
          <w:sz w:val="56"/>
          <w:szCs w:val="48"/>
        </w:rPr>
        <w:t>2</w:t>
      </w:r>
      <w:r>
        <w:rPr>
          <w:rFonts w:ascii="Calibri" w:hAnsi="Calibri"/>
          <w:b/>
          <w:sz w:val="56"/>
          <w:szCs w:val="48"/>
        </w:rPr>
        <w:noBreakHyphen/>
        <w:t>13</w:t>
      </w:r>
    </w:p>
    <w:p w:rsidR="000B4A1E" w:rsidRPr="007B4060" w:rsidRDefault="000B4A1E" w:rsidP="00190010">
      <w:pPr>
        <w:jc w:val="center"/>
        <w:rPr>
          <w:rFonts w:ascii="Calibri" w:hAnsi="Calibri"/>
          <w:b/>
          <w:szCs w:val="24"/>
        </w:rPr>
      </w:pPr>
    </w:p>
    <w:p w:rsidR="000B4A1E" w:rsidRPr="007B4060" w:rsidRDefault="000B4A1E" w:rsidP="00190010">
      <w:pPr>
        <w:jc w:val="center"/>
        <w:rPr>
          <w:rFonts w:ascii="Calibri" w:hAnsi="Calibri"/>
          <w:szCs w:val="24"/>
        </w:rPr>
      </w:pPr>
      <w:r>
        <w:rPr>
          <w:noProof/>
          <w:lang w:eastAsia="en-AU"/>
        </w:rPr>
        <w:drawing>
          <wp:inline distT="0" distB="0" distL="0" distR="0" wp14:anchorId="2D1021F6" wp14:editId="5EF3AD76">
            <wp:extent cx="942975" cy="1143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1143000"/>
                    </a:xfrm>
                    <a:prstGeom prst="rect">
                      <a:avLst/>
                    </a:prstGeom>
                    <a:noFill/>
                    <a:ln>
                      <a:noFill/>
                    </a:ln>
                  </pic:spPr>
                </pic:pic>
              </a:graphicData>
            </a:graphic>
          </wp:inline>
        </w:drawing>
      </w:r>
    </w:p>
    <w:p w:rsidR="000B4A1E" w:rsidRPr="007B4060" w:rsidRDefault="000B4A1E" w:rsidP="00190010">
      <w:pPr>
        <w:jc w:val="center"/>
        <w:rPr>
          <w:rFonts w:ascii="Calibri" w:hAnsi="Calibri"/>
        </w:rPr>
      </w:pPr>
    </w:p>
    <w:p w:rsidR="000B4A1E" w:rsidRPr="007B4060" w:rsidRDefault="000B4A1E" w:rsidP="00190010">
      <w:pPr>
        <w:jc w:val="center"/>
        <w:rPr>
          <w:rFonts w:ascii="Calibri" w:hAnsi="Calibri"/>
        </w:rPr>
      </w:pPr>
    </w:p>
    <w:p w:rsidR="000B4A1E" w:rsidRPr="007B4060" w:rsidRDefault="000B4A1E" w:rsidP="00190010">
      <w:pPr>
        <w:jc w:val="center"/>
        <w:rPr>
          <w:rFonts w:ascii="Calibri" w:hAnsi="Calibri"/>
        </w:rPr>
      </w:pPr>
    </w:p>
    <w:p w:rsidR="000B4A1E" w:rsidRPr="007B4060" w:rsidRDefault="000B4A1E" w:rsidP="00190010">
      <w:pPr>
        <w:jc w:val="center"/>
        <w:rPr>
          <w:rFonts w:ascii="Calibri" w:hAnsi="Calibri"/>
          <w:sz w:val="28"/>
          <w:szCs w:val="28"/>
        </w:rPr>
      </w:pPr>
      <w:r w:rsidRPr="007B4060">
        <w:rPr>
          <w:rFonts w:ascii="Calibri" w:hAnsi="Calibri"/>
          <w:sz w:val="28"/>
          <w:szCs w:val="28"/>
        </w:rPr>
        <w:t>Presented by</w:t>
      </w:r>
    </w:p>
    <w:p w:rsidR="000B4A1E" w:rsidRPr="007B4060" w:rsidRDefault="000B4A1E" w:rsidP="00190010">
      <w:pPr>
        <w:jc w:val="center"/>
        <w:rPr>
          <w:rFonts w:ascii="Calibri" w:hAnsi="Calibri"/>
          <w:b/>
          <w:sz w:val="48"/>
          <w:szCs w:val="40"/>
        </w:rPr>
      </w:pPr>
      <w:r>
        <w:rPr>
          <w:rFonts w:ascii="Calibri" w:hAnsi="Calibri"/>
          <w:b/>
          <w:sz w:val="48"/>
          <w:szCs w:val="40"/>
        </w:rPr>
        <w:t xml:space="preserve">The Hon. Michael O’Brien </w:t>
      </w:r>
      <w:r w:rsidRPr="007B4060">
        <w:rPr>
          <w:rFonts w:ascii="Calibri" w:hAnsi="Calibri"/>
          <w:b/>
          <w:sz w:val="48"/>
          <w:szCs w:val="40"/>
        </w:rPr>
        <w:t>MP</w:t>
      </w:r>
    </w:p>
    <w:p w:rsidR="000B4A1E" w:rsidRPr="007B4060" w:rsidRDefault="000B4A1E" w:rsidP="00190010">
      <w:pPr>
        <w:jc w:val="center"/>
        <w:rPr>
          <w:rFonts w:ascii="Calibri" w:hAnsi="Calibri"/>
          <w:sz w:val="36"/>
          <w:szCs w:val="32"/>
        </w:rPr>
      </w:pPr>
      <w:r w:rsidRPr="007B4060">
        <w:rPr>
          <w:rFonts w:ascii="Calibri" w:hAnsi="Calibri"/>
          <w:sz w:val="36"/>
          <w:szCs w:val="32"/>
        </w:rPr>
        <w:t xml:space="preserve">Treasurer of the State of </w:t>
      </w:r>
      <w:smartTag w:uri="urn:schemas-microsoft-com:office:smarttags" w:element="place">
        <w:smartTag w:uri="urn:schemas-microsoft-com:office:smarttags" w:element="State">
          <w:r w:rsidRPr="007B4060">
            <w:rPr>
              <w:rFonts w:ascii="Calibri" w:hAnsi="Calibri"/>
              <w:sz w:val="36"/>
              <w:szCs w:val="32"/>
            </w:rPr>
            <w:t>Victoria</w:t>
          </w:r>
        </w:smartTag>
      </w:smartTag>
    </w:p>
    <w:p w:rsidR="000B4A1E" w:rsidRPr="007B4060" w:rsidRDefault="000B4A1E" w:rsidP="00190010">
      <w:pPr>
        <w:jc w:val="center"/>
        <w:rPr>
          <w:rFonts w:ascii="Calibri" w:hAnsi="Calibri"/>
          <w:sz w:val="32"/>
          <w:szCs w:val="32"/>
        </w:rPr>
      </w:pPr>
      <w:r w:rsidRPr="007B4060">
        <w:rPr>
          <w:rFonts w:ascii="Calibri" w:hAnsi="Calibri"/>
          <w:sz w:val="32"/>
          <w:szCs w:val="32"/>
        </w:rPr>
        <w:t>for the information of Honourable Members</w:t>
      </w:r>
    </w:p>
    <w:p w:rsidR="000B4A1E" w:rsidRPr="007B4060" w:rsidRDefault="000B4A1E" w:rsidP="00190010">
      <w:pPr>
        <w:spacing w:after="0"/>
        <w:jc w:val="center"/>
        <w:rPr>
          <w:rFonts w:ascii="Calibri" w:hAnsi="Calibri"/>
        </w:rPr>
      </w:pPr>
      <w:r w:rsidRPr="007B4060">
        <w:rPr>
          <w:rFonts w:ascii="Calibri" w:hAnsi="Calibri"/>
        </w:rPr>
        <w:t>_______________________</w:t>
      </w:r>
    </w:p>
    <w:p w:rsidR="000B4A1E" w:rsidRPr="007B4060" w:rsidRDefault="000B4A1E" w:rsidP="00190010">
      <w:pPr>
        <w:spacing w:after="0"/>
        <w:jc w:val="center"/>
        <w:rPr>
          <w:rFonts w:ascii="Calibri" w:hAnsi="Calibri"/>
        </w:rPr>
      </w:pPr>
    </w:p>
    <w:p w:rsidR="000B4A1E" w:rsidRPr="007B4060" w:rsidRDefault="000B4A1E" w:rsidP="00190010">
      <w:pPr>
        <w:spacing w:after="0"/>
        <w:jc w:val="center"/>
        <w:rPr>
          <w:rFonts w:ascii="Calibri" w:hAnsi="Calibri"/>
        </w:rPr>
      </w:pPr>
      <w:r w:rsidRPr="007B4060">
        <w:rPr>
          <w:rFonts w:ascii="Calibri" w:hAnsi="Calibri"/>
        </w:rPr>
        <w:t>Ordered to be printed</w:t>
      </w:r>
    </w:p>
    <w:p w:rsidR="000B4A1E" w:rsidRPr="007B4060" w:rsidRDefault="000B4A1E" w:rsidP="00190010">
      <w:pPr>
        <w:spacing w:after="0"/>
        <w:jc w:val="center"/>
        <w:rPr>
          <w:rFonts w:ascii="Calibri" w:hAnsi="Calibri"/>
        </w:rPr>
      </w:pPr>
      <w:r w:rsidRPr="007B4060">
        <w:rPr>
          <w:rFonts w:ascii="Calibri" w:hAnsi="Calibri"/>
        </w:rPr>
        <w:t>_______________________</w:t>
      </w:r>
    </w:p>
    <w:p w:rsidR="000B4A1E" w:rsidRPr="007B4060" w:rsidRDefault="000B4A1E" w:rsidP="00190010">
      <w:pPr>
        <w:jc w:val="center"/>
        <w:rPr>
          <w:rFonts w:ascii="Calibri" w:hAnsi="Calibri"/>
        </w:rPr>
      </w:pPr>
    </w:p>
    <w:p w:rsidR="000B4A1E" w:rsidRPr="007B4060" w:rsidRDefault="000B4A1E" w:rsidP="00190010">
      <w:pPr>
        <w:jc w:val="center"/>
        <w:rPr>
          <w:rFonts w:ascii="Calibri" w:hAnsi="Calibri"/>
        </w:rPr>
      </w:pPr>
      <w:r>
        <w:rPr>
          <w:rFonts w:ascii="Calibri" w:hAnsi="Calibri"/>
        </w:rPr>
        <w:t xml:space="preserve">October </w:t>
      </w:r>
      <w:r w:rsidRPr="007B4060">
        <w:rPr>
          <w:rFonts w:ascii="Calibri" w:hAnsi="Calibri"/>
        </w:rPr>
        <w:t>201</w:t>
      </w:r>
      <w:r>
        <w:rPr>
          <w:rFonts w:ascii="Calibri" w:hAnsi="Calibri"/>
        </w:rPr>
        <w:t>3</w:t>
      </w:r>
    </w:p>
    <w:p w:rsidR="000B4A1E" w:rsidRDefault="000B4A1E" w:rsidP="00190010">
      <w:pPr>
        <w:jc w:val="center"/>
      </w:pPr>
    </w:p>
    <w:p w:rsidR="000B4A1E" w:rsidRDefault="000B4A1E" w:rsidP="00190010">
      <w:pPr>
        <w:rPr>
          <w:highlight w:val="yellow"/>
        </w:rPr>
      </w:pPr>
    </w:p>
    <w:p w:rsidR="000B4A1E" w:rsidRPr="007B4060" w:rsidRDefault="000B4A1E" w:rsidP="00190010">
      <w:pPr>
        <w:rPr>
          <w:highlight w:val="yellow"/>
        </w:rPr>
      </w:pPr>
    </w:p>
    <w:p w:rsidR="000B4A1E" w:rsidRDefault="000B4A1E" w:rsidP="00190010">
      <w:pPr>
        <w:spacing w:before="400"/>
        <w:rPr>
          <w:rFonts w:ascii="Calibri" w:hAnsi="Calibri"/>
        </w:rPr>
      </w:pPr>
      <w:r w:rsidRPr="003A0092">
        <w:rPr>
          <w:rFonts w:ascii="Calibri" w:hAnsi="Calibri"/>
        </w:rPr>
        <w:t xml:space="preserve">No </w:t>
      </w:r>
      <w:r>
        <w:rPr>
          <w:rFonts w:ascii="Calibri" w:hAnsi="Calibri"/>
        </w:rPr>
        <w:t>262, Session 2012</w:t>
      </w:r>
      <w:r>
        <w:rPr>
          <w:rFonts w:ascii="Calibri" w:hAnsi="Calibri"/>
        </w:rPr>
        <w:noBreakHyphen/>
        <w:t>13</w:t>
      </w:r>
    </w:p>
    <w:p w:rsidR="000B4A1E" w:rsidRDefault="000B4A1E" w:rsidP="00190010">
      <w:pPr>
        <w:spacing w:before="400"/>
        <w:rPr>
          <w:rFonts w:ascii="Calibri" w:hAnsi="Calibri"/>
        </w:rPr>
      </w:pPr>
    </w:p>
    <w:p w:rsidR="000B4A1E" w:rsidRDefault="000B4A1E" w:rsidP="00696339">
      <w:pPr>
        <w:sectPr w:rsidR="000B4A1E" w:rsidSect="00740862">
          <w:type w:val="oddPage"/>
          <w:pgSz w:w="11906" w:h="16838" w:code="9"/>
          <w:pgMar w:top="1152" w:right="1152" w:bottom="1152" w:left="1152" w:header="720" w:footer="576" w:gutter="0"/>
          <w:cols w:space="708"/>
          <w:docGrid w:linePitch="360"/>
        </w:sectPr>
      </w:pPr>
    </w:p>
    <w:p w:rsidR="000B4A1E" w:rsidRDefault="000B4A1E" w:rsidP="00190010">
      <w:pPr>
        <w:pStyle w:val="TableofContentsheading"/>
      </w:pPr>
      <w:r>
        <w:lastRenderedPageBreak/>
        <w:t>Table of contents</w:t>
      </w:r>
    </w:p>
    <w:p w:rsidR="000B4A1E" w:rsidRDefault="000B4A1E">
      <w:pPr>
        <w:pStyle w:val="TOC1"/>
        <w:rPr>
          <w:rFonts w:asciiTheme="minorHAnsi" w:eastAsiaTheme="minorEastAsia" w:hAnsiTheme="minorHAnsi" w:cstheme="minorBidi"/>
          <w:b w:val="0"/>
          <w:noProof/>
          <w:sz w:val="22"/>
          <w:szCs w:val="22"/>
          <w:lang w:eastAsia="en-AU"/>
        </w:rPr>
      </w:pPr>
      <w:r>
        <w:fldChar w:fldCharType="begin" w:fldLock="1"/>
      </w:r>
      <w:r>
        <w:instrText xml:space="preserve"> TOC \h \z \t "Heading 1,2,Chapter Heading,1" </w:instrText>
      </w:r>
      <w:r>
        <w:fldChar w:fldCharType="separate"/>
      </w:r>
      <w:hyperlink w:anchor="_Toc367967882" w:history="1">
        <w:r w:rsidRPr="001838C3">
          <w:rPr>
            <w:rStyle w:val="Hyperlink"/>
            <w:noProof/>
          </w:rPr>
          <w:t>Chapter 1 – Foreword</w:t>
        </w:r>
        <w:r>
          <w:rPr>
            <w:noProof/>
            <w:webHidden/>
          </w:rPr>
          <w:tab/>
        </w:r>
        <w:r>
          <w:rPr>
            <w:noProof/>
            <w:webHidden/>
          </w:rPr>
          <w:fldChar w:fldCharType="begin" w:fldLock="1"/>
        </w:r>
        <w:r>
          <w:rPr>
            <w:noProof/>
            <w:webHidden/>
          </w:rPr>
          <w:instrText xml:space="preserve"> PAGEREF _Toc367967882 \h </w:instrText>
        </w:r>
        <w:r>
          <w:rPr>
            <w:noProof/>
            <w:webHidden/>
          </w:rPr>
        </w:r>
        <w:r>
          <w:rPr>
            <w:noProof/>
            <w:webHidden/>
          </w:rPr>
          <w:fldChar w:fldCharType="separate"/>
        </w:r>
        <w:r w:rsidR="001400C3">
          <w:rPr>
            <w:noProof/>
            <w:webHidden/>
          </w:rPr>
          <w:t>1</w:t>
        </w:r>
        <w:r>
          <w:rPr>
            <w:noProof/>
            <w:webHidden/>
          </w:rPr>
          <w:fldChar w:fldCharType="end"/>
        </w:r>
      </w:hyperlink>
    </w:p>
    <w:p w:rsidR="000B4A1E" w:rsidRDefault="001A6345">
      <w:pPr>
        <w:pStyle w:val="TOC1"/>
        <w:rPr>
          <w:rFonts w:asciiTheme="minorHAnsi" w:eastAsiaTheme="minorEastAsia" w:hAnsiTheme="minorHAnsi" w:cstheme="minorBidi"/>
          <w:b w:val="0"/>
          <w:noProof/>
          <w:sz w:val="22"/>
          <w:szCs w:val="22"/>
          <w:lang w:eastAsia="en-AU"/>
        </w:rPr>
      </w:pPr>
      <w:hyperlink w:anchor="_Toc367967883" w:history="1">
        <w:r w:rsidR="000B4A1E" w:rsidRPr="001838C3">
          <w:rPr>
            <w:rStyle w:val="Hyperlink"/>
            <w:noProof/>
          </w:rPr>
          <w:t>Chapter 2 – General government sector outcome</w:t>
        </w:r>
        <w:r w:rsidR="000B4A1E">
          <w:rPr>
            <w:noProof/>
            <w:webHidden/>
          </w:rPr>
          <w:tab/>
        </w:r>
        <w:r w:rsidR="000B4A1E">
          <w:rPr>
            <w:noProof/>
            <w:webHidden/>
          </w:rPr>
          <w:fldChar w:fldCharType="begin" w:fldLock="1"/>
        </w:r>
        <w:r w:rsidR="000B4A1E">
          <w:rPr>
            <w:noProof/>
            <w:webHidden/>
          </w:rPr>
          <w:instrText xml:space="preserve"> PAGEREF _Toc367967883 \h </w:instrText>
        </w:r>
        <w:r w:rsidR="000B4A1E">
          <w:rPr>
            <w:noProof/>
            <w:webHidden/>
          </w:rPr>
        </w:r>
        <w:r w:rsidR="000B4A1E">
          <w:rPr>
            <w:noProof/>
            <w:webHidden/>
          </w:rPr>
          <w:fldChar w:fldCharType="separate"/>
        </w:r>
        <w:r w:rsidR="001400C3">
          <w:rPr>
            <w:noProof/>
            <w:webHidden/>
          </w:rPr>
          <w:t>3</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884" w:history="1">
        <w:r w:rsidR="000B4A1E" w:rsidRPr="001838C3">
          <w:rPr>
            <w:rStyle w:val="Hyperlink"/>
            <w:noProof/>
          </w:rPr>
          <w:t>Fiscal objectives</w:t>
        </w:r>
        <w:r w:rsidR="000B4A1E">
          <w:rPr>
            <w:noProof/>
            <w:webHidden/>
          </w:rPr>
          <w:tab/>
        </w:r>
        <w:r w:rsidR="000B4A1E">
          <w:rPr>
            <w:noProof/>
            <w:webHidden/>
          </w:rPr>
          <w:fldChar w:fldCharType="begin" w:fldLock="1"/>
        </w:r>
        <w:r w:rsidR="000B4A1E">
          <w:rPr>
            <w:noProof/>
            <w:webHidden/>
          </w:rPr>
          <w:instrText xml:space="preserve"> PAGEREF _Toc367967884 \h </w:instrText>
        </w:r>
        <w:r w:rsidR="000B4A1E">
          <w:rPr>
            <w:noProof/>
            <w:webHidden/>
          </w:rPr>
        </w:r>
        <w:r w:rsidR="000B4A1E">
          <w:rPr>
            <w:noProof/>
            <w:webHidden/>
          </w:rPr>
          <w:fldChar w:fldCharType="separate"/>
        </w:r>
        <w:r w:rsidR="001400C3">
          <w:rPr>
            <w:noProof/>
            <w:webHidden/>
          </w:rPr>
          <w:t>3</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885" w:history="1">
        <w:r w:rsidR="000B4A1E" w:rsidRPr="001838C3">
          <w:rPr>
            <w:rStyle w:val="Hyperlink"/>
            <w:noProof/>
          </w:rPr>
          <w:t>Financial performance</w:t>
        </w:r>
        <w:r w:rsidR="000B4A1E">
          <w:rPr>
            <w:noProof/>
            <w:webHidden/>
          </w:rPr>
          <w:tab/>
        </w:r>
        <w:r w:rsidR="000B4A1E">
          <w:rPr>
            <w:noProof/>
            <w:webHidden/>
          </w:rPr>
          <w:fldChar w:fldCharType="begin" w:fldLock="1"/>
        </w:r>
        <w:r w:rsidR="000B4A1E">
          <w:rPr>
            <w:noProof/>
            <w:webHidden/>
          </w:rPr>
          <w:instrText xml:space="preserve"> PAGEREF _Toc367967885 \h </w:instrText>
        </w:r>
        <w:r w:rsidR="000B4A1E">
          <w:rPr>
            <w:noProof/>
            <w:webHidden/>
          </w:rPr>
        </w:r>
        <w:r w:rsidR="000B4A1E">
          <w:rPr>
            <w:noProof/>
            <w:webHidden/>
          </w:rPr>
          <w:fldChar w:fldCharType="separate"/>
        </w:r>
        <w:r w:rsidR="001400C3">
          <w:rPr>
            <w:noProof/>
            <w:webHidden/>
          </w:rPr>
          <w:t>5</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886" w:history="1">
        <w:r w:rsidR="000B4A1E" w:rsidRPr="001838C3">
          <w:rPr>
            <w:rStyle w:val="Hyperlink"/>
            <w:noProof/>
          </w:rPr>
          <w:t>Financial position</w:t>
        </w:r>
        <w:r w:rsidR="000B4A1E">
          <w:rPr>
            <w:noProof/>
            <w:webHidden/>
          </w:rPr>
          <w:tab/>
        </w:r>
        <w:r w:rsidR="000B4A1E">
          <w:rPr>
            <w:noProof/>
            <w:webHidden/>
          </w:rPr>
          <w:fldChar w:fldCharType="begin" w:fldLock="1"/>
        </w:r>
        <w:r w:rsidR="000B4A1E">
          <w:rPr>
            <w:noProof/>
            <w:webHidden/>
          </w:rPr>
          <w:instrText xml:space="preserve"> PAGEREF _Toc367967886 \h </w:instrText>
        </w:r>
        <w:r w:rsidR="000B4A1E">
          <w:rPr>
            <w:noProof/>
            <w:webHidden/>
          </w:rPr>
        </w:r>
        <w:r w:rsidR="000B4A1E">
          <w:rPr>
            <w:noProof/>
            <w:webHidden/>
          </w:rPr>
          <w:fldChar w:fldCharType="separate"/>
        </w:r>
        <w:r w:rsidR="001400C3">
          <w:rPr>
            <w:noProof/>
            <w:webHidden/>
          </w:rPr>
          <w:t>8</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887" w:history="1">
        <w:r w:rsidR="000B4A1E" w:rsidRPr="001838C3">
          <w:rPr>
            <w:rStyle w:val="Hyperlink"/>
            <w:noProof/>
          </w:rPr>
          <w:t>Cash flows</w:t>
        </w:r>
        <w:r w:rsidR="000B4A1E">
          <w:rPr>
            <w:noProof/>
            <w:webHidden/>
          </w:rPr>
          <w:tab/>
        </w:r>
        <w:r w:rsidR="000B4A1E">
          <w:rPr>
            <w:noProof/>
            <w:webHidden/>
          </w:rPr>
          <w:fldChar w:fldCharType="begin" w:fldLock="1"/>
        </w:r>
        <w:r w:rsidR="000B4A1E">
          <w:rPr>
            <w:noProof/>
            <w:webHidden/>
          </w:rPr>
          <w:instrText xml:space="preserve"> PAGEREF _Toc367967887 \h </w:instrText>
        </w:r>
        <w:r w:rsidR="000B4A1E">
          <w:rPr>
            <w:noProof/>
            <w:webHidden/>
          </w:rPr>
        </w:r>
        <w:r w:rsidR="000B4A1E">
          <w:rPr>
            <w:noProof/>
            <w:webHidden/>
          </w:rPr>
          <w:fldChar w:fldCharType="separate"/>
        </w:r>
        <w:r w:rsidR="001400C3">
          <w:rPr>
            <w:noProof/>
            <w:webHidden/>
          </w:rPr>
          <w:t>10</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888" w:history="1">
        <w:r w:rsidR="000B4A1E" w:rsidRPr="001838C3">
          <w:rPr>
            <w:rStyle w:val="Hyperlink"/>
            <w:noProof/>
          </w:rPr>
          <w:t>Infrastructure investment</w:t>
        </w:r>
        <w:r w:rsidR="000B4A1E">
          <w:rPr>
            <w:noProof/>
            <w:webHidden/>
          </w:rPr>
          <w:tab/>
        </w:r>
        <w:r w:rsidR="000B4A1E">
          <w:rPr>
            <w:noProof/>
            <w:webHidden/>
          </w:rPr>
          <w:fldChar w:fldCharType="begin" w:fldLock="1"/>
        </w:r>
        <w:r w:rsidR="000B4A1E">
          <w:rPr>
            <w:noProof/>
            <w:webHidden/>
          </w:rPr>
          <w:instrText xml:space="preserve"> PAGEREF _Toc367967888 \h </w:instrText>
        </w:r>
        <w:r w:rsidR="000B4A1E">
          <w:rPr>
            <w:noProof/>
            <w:webHidden/>
          </w:rPr>
        </w:r>
        <w:r w:rsidR="000B4A1E">
          <w:rPr>
            <w:noProof/>
            <w:webHidden/>
          </w:rPr>
          <w:fldChar w:fldCharType="separate"/>
        </w:r>
        <w:r w:rsidR="001400C3">
          <w:rPr>
            <w:noProof/>
            <w:webHidden/>
          </w:rPr>
          <w:t>10</w:t>
        </w:r>
        <w:r w:rsidR="000B4A1E">
          <w:rPr>
            <w:noProof/>
            <w:webHidden/>
          </w:rPr>
          <w:fldChar w:fldCharType="end"/>
        </w:r>
      </w:hyperlink>
    </w:p>
    <w:p w:rsidR="000B4A1E" w:rsidRDefault="001A6345">
      <w:pPr>
        <w:pStyle w:val="TOC1"/>
        <w:rPr>
          <w:rFonts w:asciiTheme="minorHAnsi" w:eastAsiaTheme="minorEastAsia" w:hAnsiTheme="minorHAnsi" w:cstheme="minorBidi"/>
          <w:b w:val="0"/>
          <w:noProof/>
          <w:sz w:val="22"/>
          <w:szCs w:val="22"/>
          <w:lang w:eastAsia="en-AU"/>
        </w:rPr>
      </w:pPr>
      <w:hyperlink w:anchor="_Toc367967889" w:history="1">
        <w:r w:rsidR="000B4A1E" w:rsidRPr="001838C3">
          <w:rPr>
            <w:rStyle w:val="Hyperlink"/>
            <w:noProof/>
          </w:rPr>
          <w:t>Chapter 3 – State of Victoria outcome</w:t>
        </w:r>
        <w:r w:rsidR="000B4A1E">
          <w:rPr>
            <w:noProof/>
            <w:webHidden/>
          </w:rPr>
          <w:tab/>
        </w:r>
        <w:r w:rsidR="000B4A1E">
          <w:rPr>
            <w:noProof/>
            <w:webHidden/>
          </w:rPr>
          <w:fldChar w:fldCharType="begin" w:fldLock="1"/>
        </w:r>
        <w:r w:rsidR="000B4A1E">
          <w:rPr>
            <w:noProof/>
            <w:webHidden/>
          </w:rPr>
          <w:instrText xml:space="preserve"> PAGEREF _Toc367967889 \h </w:instrText>
        </w:r>
        <w:r w:rsidR="000B4A1E">
          <w:rPr>
            <w:noProof/>
            <w:webHidden/>
          </w:rPr>
        </w:r>
        <w:r w:rsidR="000B4A1E">
          <w:rPr>
            <w:noProof/>
            <w:webHidden/>
          </w:rPr>
          <w:fldChar w:fldCharType="separate"/>
        </w:r>
        <w:r w:rsidR="001400C3">
          <w:rPr>
            <w:noProof/>
            <w:webHidden/>
          </w:rPr>
          <w:t>13</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890" w:history="1">
        <w:r w:rsidR="000B4A1E" w:rsidRPr="001838C3">
          <w:rPr>
            <w:rStyle w:val="Hyperlink"/>
            <w:noProof/>
          </w:rPr>
          <w:t>Financial performance</w:t>
        </w:r>
        <w:r w:rsidR="000B4A1E">
          <w:rPr>
            <w:noProof/>
            <w:webHidden/>
          </w:rPr>
          <w:tab/>
        </w:r>
        <w:r w:rsidR="000B4A1E">
          <w:rPr>
            <w:noProof/>
            <w:webHidden/>
          </w:rPr>
          <w:fldChar w:fldCharType="begin" w:fldLock="1"/>
        </w:r>
        <w:r w:rsidR="000B4A1E">
          <w:rPr>
            <w:noProof/>
            <w:webHidden/>
          </w:rPr>
          <w:instrText xml:space="preserve"> PAGEREF _Toc367967890 \h </w:instrText>
        </w:r>
        <w:r w:rsidR="000B4A1E">
          <w:rPr>
            <w:noProof/>
            <w:webHidden/>
          </w:rPr>
        </w:r>
        <w:r w:rsidR="000B4A1E">
          <w:rPr>
            <w:noProof/>
            <w:webHidden/>
          </w:rPr>
          <w:fldChar w:fldCharType="separate"/>
        </w:r>
        <w:r w:rsidR="001400C3">
          <w:rPr>
            <w:noProof/>
            <w:webHidden/>
          </w:rPr>
          <w:t>13</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891" w:history="1">
        <w:r w:rsidR="000B4A1E" w:rsidRPr="001838C3">
          <w:rPr>
            <w:rStyle w:val="Hyperlink"/>
            <w:noProof/>
          </w:rPr>
          <w:t>Financial position</w:t>
        </w:r>
        <w:r w:rsidR="000B4A1E">
          <w:rPr>
            <w:noProof/>
            <w:webHidden/>
          </w:rPr>
          <w:tab/>
        </w:r>
        <w:r w:rsidR="000B4A1E">
          <w:rPr>
            <w:noProof/>
            <w:webHidden/>
          </w:rPr>
          <w:fldChar w:fldCharType="begin" w:fldLock="1"/>
        </w:r>
        <w:r w:rsidR="000B4A1E">
          <w:rPr>
            <w:noProof/>
            <w:webHidden/>
          </w:rPr>
          <w:instrText xml:space="preserve"> PAGEREF _Toc367967891 \h </w:instrText>
        </w:r>
        <w:r w:rsidR="000B4A1E">
          <w:rPr>
            <w:noProof/>
            <w:webHidden/>
          </w:rPr>
        </w:r>
        <w:r w:rsidR="000B4A1E">
          <w:rPr>
            <w:noProof/>
            <w:webHidden/>
          </w:rPr>
          <w:fldChar w:fldCharType="separate"/>
        </w:r>
        <w:r w:rsidR="001400C3">
          <w:rPr>
            <w:noProof/>
            <w:webHidden/>
          </w:rPr>
          <w:t>17</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892" w:history="1">
        <w:r w:rsidR="000B4A1E" w:rsidRPr="001838C3">
          <w:rPr>
            <w:rStyle w:val="Hyperlink"/>
            <w:noProof/>
          </w:rPr>
          <w:t>Cash flows</w:t>
        </w:r>
        <w:r w:rsidR="000B4A1E">
          <w:rPr>
            <w:noProof/>
            <w:webHidden/>
          </w:rPr>
          <w:tab/>
        </w:r>
        <w:r w:rsidR="000B4A1E">
          <w:rPr>
            <w:noProof/>
            <w:webHidden/>
          </w:rPr>
          <w:fldChar w:fldCharType="begin" w:fldLock="1"/>
        </w:r>
        <w:r w:rsidR="000B4A1E">
          <w:rPr>
            <w:noProof/>
            <w:webHidden/>
          </w:rPr>
          <w:instrText xml:space="preserve"> PAGEREF _Toc367967892 \h </w:instrText>
        </w:r>
        <w:r w:rsidR="000B4A1E">
          <w:rPr>
            <w:noProof/>
            <w:webHidden/>
          </w:rPr>
        </w:r>
        <w:r w:rsidR="000B4A1E">
          <w:rPr>
            <w:noProof/>
            <w:webHidden/>
          </w:rPr>
          <w:fldChar w:fldCharType="separate"/>
        </w:r>
        <w:r w:rsidR="001400C3">
          <w:rPr>
            <w:noProof/>
            <w:webHidden/>
          </w:rPr>
          <w:t>18</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893" w:history="1">
        <w:r w:rsidR="000B4A1E" w:rsidRPr="001838C3">
          <w:rPr>
            <w:rStyle w:val="Hyperlink"/>
            <w:noProof/>
          </w:rPr>
          <w:t>Financial sustainability (non</w:t>
        </w:r>
        <w:r w:rsidR="000B4A1E" w:rsidRPr="001838C3">
          <w:rPr>
            <w:rStyle w:val="Hyperlink"/>
            <w:noProof/>
          </w:rPr>
          <w:noBreakHyphen/>
          <w:t>financial public sector)</w:t>
        </w:r>
        <w:r w:rsidR="000B4A1E">
          <w:rPr>
            <w:noProof/>
            <w:webHidden/>
          </w:rPr>
          <w:tab/>
        </w:r>
        <w:r w:rsidR="000B4A1E">
          <w:rPr>
            <w:noProof/>
            <w:webHidden/>
          </w:rPr>
          <w:fldChar w:fldCharType="begin" w:fldLock="1"/>
        </w:r>
        <w:r w:rsidR="000B4A1E">
          <w:rPr>
            <w:noProof/>
            <w:webHidden/>
          </w:rPr>
          <w:instrText xml:space="preserve"> PAGEREF _Toc367967893 \h </w:instrText>
        </w:r>
        <w:r w:rsidR="000B4A1E">
          <w:rPr>
            <w:noProof/>
            <w:webHidden/>
          </w:rPr>
        </w:r>
        <w:r w:rsidR="000B4A1E">
          <w:rPr>
            <w:noProof/>
            <w:webHidden/>
          </w:rPr>
          <w:fldChar w:fldCharType="separate"/>
        </w:r>
        <w:r w:rsidR="001400C3">
          <w:rPr>
            <w:noProof/>
            <w:webHidden/>
          </w:rPr>
          <w:t>19</w:t>
        </w:r>
        <w:r w:rsidR="000B4A1E">
          <w:rPr>
            <w:noProof/>
            <w:webHidden/>
          </w:rPr>
          <w:fldChar w:fldCharType="end"/>
        </w:r>
      </w:hyperlink>
    </w:p>
    <w:p w:rsidR="000B4A1E" w:rsidRDefault="001A6345">
      <w:pPr>
        <w:pStyle w:val="TOC1"/>
        <w:rPr>
          <w:rFonts w:asciiTheme="minorHAnsi" w:eastAsiaTheme="minorEastAsia" w:hAnsiTheme="minorHAnsi" w:cstheme="minorBidi"/>
          <w:b w:val="0"/>
          <w:noProof/>
          <w:sz w:val="22"/>
          <w:szCs w:val="22"/>
          <w:lang w:eastAsia="en-AU"/>
        </w:rPr>
      </w:pPr>
      <w:hyperlink w:anchor="_Toc367967894" w:history="1">
        <w:r w:rsidR="000B4A1E" w:rsidRPr="001838C3">
          <w:rPr>
            <w:rStyle w:val="Hyperlink"/>
            <w:noProof/>
          </w:rPr>
          <w:t>Chapter 4 – Annual Financial Report</w:t>
        </w:r>
        <w:r w:rsidR="000B4A1E">
          <w:rPr>
            <w:noProof/>
            <w:webHidden/>
          </w:rPr>
          <w:tab/>
        </w:r>
        <w:r w:rsidR="000B4A1E">
          <w:rPr>
            <w:noProof/>
            <w:webHidden/>
          </w:rPr>
          <w:fldChar w:fldCharType="begin" w:fldLock="1"/>
        </w:r>
        <w:r w:rsidR="000B4A1E">
          <w:rPr>
            <w:noProof/>
            <w:webHidden/>
          </w:rPr>
          <w:instrText xml:space="preserve"> PAGEREF _Toc367967894 \h </w:instrText>
        </w:r>
        <w:r w:rsidR="000B4A1E">
          <w:rPr>
            <w:noProof/>
            <w:webHidden/>
          </w:rPr>
        </w:r>
        <w:r w:rsidR="000B4A1E">
          <w:rPr>
            <w:noProof/>
            <w:webHidden/>
          </w:rPr>
          <w:fldChar w:fldCharType="separate"/>
        </w:r>
        <w:r w:rsidR="001400C3">
          <w:rPr>
            <w:noProof/>
            <w:webHidden/>
          </w:rPr>
          <w:t>21</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895" w:history="1">
        <w:r w:rsidR="000B4A1E" w:rsidRPr="001838C3">
          <w:rPr>
            <w:rStyle w:val="Hyperlink"/>
            <w:noProof/>
          </w:rPr>
          <w:t>Report of the Auditor General</w:t>
        </w:r>
        <w:r w:rsidR="000B4A1E">
          <w:rPr>
            <w:noProof/>
            <w:webHidden/>
          </w:rPr>
          <w:tab/>
        </w:r>
        <w:r w:rsidR="000B4A1E">
          <w:rPr>
            <w:noProof/>
            <w:webHidden/>
          </w:rPr>
          <w:fldChar w:fldCharType="begin" w:fldLock="1"/>
        </w:r>
        <w:r w:rsidR="000B4A1E">
          <w:rPr>
            <w:noProof/>
            <w:webHidden/>
          </w:rPr>
          <w:instrText xml:space="preserve"> PAGEREF _Toc367967895 \h </w:instrText>
        </w:r>
        <w:r w:rsidR="000B4A1E">
          <w:rPr>
            <w:noProof/>
            <w:webHidden/>
          </w:rPr>
        </w:r>
        <w:r w:rsidR="000B4A1E">
          <w:rPr>
            <w:noProof/>
            <w:webHidden/>
          </w:rPr>
          <w:fldChar w:fldCharType="separate"/>
        </w:r>
        <w:r w:rsidR="001400C3">
          <w:rPr>
            <w:noProof/>
            <w:webHidden/>
          </w:rPr>
          <w:t>22</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896" w:history="1">
        <w:r w:rsidR="000B4A1E" w:rsidRPr="001838C3">
          <w:rPr>
            <w:rStyle w:val="Hyperlink"/>
            <w:noProof/>
          </w:rPr>
          <w:t>Certification by the Department of Treasury and Finance</w:t>
        </w:r>
        <w:r w:rsidR="000B4A1E">
          <w:rPr>
            <w:noProof/>
            <w:webHidden/>
          </w:rPr>
          <w:tab/>
        </w:r>
        <w:r w:rsidR="000B4A1E">
          <w:rPr>
            <w:noProof/>
            <w:webHidden/>
          </w:rPr>
          <w:fldChar w:fldCharType="begin" w:fldLock="1"/>
        </w:r>
        <w:r w:rsidR="000B4A1E">
          <w:rPr>
            <w:noProof/>
            <w:webHidden/>
          </w:rPr>
          <w:instrText xml:space="preserve"> PAGEREF _Toc367967896 \h </w:instrText>
        </w:r>
        <w:r w:rsidR="000B4A1E">
          <w:rPr>
            <w:noProof/>
            <w:webHidden/>
          </w:rPr>
        </w:r>
        <w:r w:rsidR="000B4A1E">
          <w:rPr>
            <w:noProof/>
            <w:webHidden/>
          </w:rPr>
          <w:fldChar w:fldCharType="separate"/>
        </w:r>
        <w:r w:rsidR="001400C3">
          <w:rPr>
            <w:noProof/>
            <w:webHidden/>
          </w:rPr>
          <w:t>24</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897" w:history="1">
        <w:r w:rsidR="000B4A1E" w:rsidRPr="001838C3">
          <w:rPr>
            <w:rStyle w:val="Hyperlink"/>
            <w:noProof/>
          </w:rPr>
          <w:t>Notes to the financial statements</w:t>
        </w:r>
        <w:r w:rsidR="000B4A1E">
          <w:rPr>
            <w:noProof/>
            <w:webHidden/>
          </w:rPr>
          <w:tab/>
        </w:r>
        <w:r w:rsidR="000B4A1E">
          <w:rPr>
            <w:noProof/>
            <w:webHidden/>
          </w:rPr>
          <w:fldChar w:fldCharType="begin" w:fldLock="1"/>
        </w:r>
        <w:r w:rsidR="000B4A1E">
          <w:rPr>
            <w:noProof/>
            <w:webHidden/>
          </w:rPr>
          <w:instrText xml:space="preserve"> PAGEREF _Toc367967897 \h </w:instrText>
        </w:r>
        <w:r w:rsidR="000B4A1E">
          <w:rPr>
            <w:noProof/>
            <w:webHidden/>
          </w:rPr>
        </w:r>
        <w:r w:rsidR="000B4A1E">
          <w:rPr>
            <w:noProof/>
            <w:webHidden/>
          </w:rPr>
          <w:fldChar w:fldCharType="separate"/>
        </w:r>
        <w:r w:rsidR="001400C3">
          <w:rPr>
            <w:noProof/>
            <w:webHidden/>
          </w:rPr>
          <w:t>32</w:t>
        </w:r>
        <w:r w:rsidR="000B4A1E">
          <w:rPr>
            <w:noProof/>
            <w:webHidden/>
          </w:rPr>
          <w:fldChar w:fldCharType="end"/>
        </w:r>
      </w:hyperlink>
    </w:p>
    <w:p w:rsidR="000B4A1E" w:rsidRDefault="001A6345">
      <w:pPr>
        <w:pStyle w:val="TOC1"/>
        <w:rPr>
          <w:rFonts w:asciiTheme="minorHAnsi" w:eastAsiaTheme="minorEastAsia" w:hAnsiTheme="minorHAnsi" w:cstheme="minorBidi"/>
          <w:b w:val="0"/>
          <w:noProof/>
          <w:sz w:val="22"/>
          <w:szCs w:val="22"/>
          <w:lang w:eastAsia="en-AU"/>
        </w:rPr>
      </w:pPr>
      <w:hyperlink w:anchor="_Toc367967898" w:history="1">
        <w:r w:rsidR="000B4A1E" w:rsidRPr="001838C3">
          <w:rPr>
            <w:rStyle w:val="Hyperlink"/>
            <w:noProof/>
          </w:rPr>
          <w:t>Chapter 5 – Supplementary Uniform Presentation Framework tables</w:t>
        </w:r>
        <w:r w:rsidR="000B4A1E">
          <w:rPr>
            <w:noProof/>
            <w:webHidden/>
          </w:rPr>
          <w:tab/>
        </w:r>
        <w:r w:rsidR="000B4A1E">
          <w:rPr>
            <w:noProof/>
            <w:webHidden/>
          </w:rPr>
          <w:fldChar w:fldCharType="begin" w:fldLock="1"/>
        </w:r>
        <w:r w:rsidR="000B4A1E">
          <w:rPr>
            <w:noProof/>
            <w:webHidden/>
          </w:rPr>
          <w:instrText xml:space="preserve"> PAGEREF _Toc367967898 \h </w:instrText>
        </w:r>
        <w:r w:rsidR="000B4A1E">
          <w:rPr>
            <w:noProof/>
            <w:webHidden/>
          </w:rPr>
        </w:r>
        <w:r w:rsidR="000B4A1E">
          <w:rPr>
            <w:noProof/>
            <w:webHidden/>
          </w:rPr>
          <w:fldChar w:fldCharType="separate"/>
        </w:r>
        <w:r w:rsidR="001400C3">
          <w:rPr>
            <w:noProof/>
            <w:webHidden/>
          </w:rPr>
          <w:t>205</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899" w:history="1">
        <w:r w:rsidR="000B4A1E" w:rsidRPr="001838C3">
          <w:rPr>
            <w:rStyle w:val="Hyperlink"/>
            <w:noProof/>
          </w:rPr>
          <w:t>The accrual Government Finance Statistics presentation</w:t>
        </w:r>
        <w:r w:rsidR="000B4A1E">
          <w:rPr>
            <w:noProof/>
            <w:webHidden/>
          </w:rPr>
          <w:tab/>
        </w:r>
        <w:r w:rsidR="000B4A1E">
          <w:rPr>
            <w:noProof/>
            <w:webHidden/>
          </w:rPr>
          <w:fldChar w:fldCharType="begin" w:fldLock="1"/>
        </w:r>
        <w:r w:rsidR="000B4A1E">
          <w:rPr>
            <w:noProof/>
            <w:webHidden/>
          </w:rPr>
          <w:instrText xml:space="preserve"> PAGEREF _Toc367967899 \h </w:instrText>
        </w:r>
        <w:r w:rsidR="000B4A1E">
          <w:rPr>
            <w:noProof/>
            <w:webHidden/>
          </w:rPr>
        </w:r>
        <w:r w:rsidR="000B4A1E">
          <w:rPr>
            <w:noProof/>
            <w:webHidden/>
          </w:rPr>
          <w:fldChar w:fldCharType="separate"/>
        </w:r>
        <w:r w:rsidR="001400C3">
          <w:rPr>
            <w:noProof/>
            <w:webHidden/>
          </w:rPr>
          <w:t>205</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900" w:history="1">
        <w:r w:rsidR="000B4A1E" w:rsidRPr="001838C3">
          <w:rPr>
            <w:rStyle w:val="Hyperlink"/>
            <w:noProof/>
          </w:rPr>
          <w:t>Generally accepted accounting principles/Government Finance Statistics harmonisation</w:t>
        </w:r>
        <w:r w:rsidR="000B4A1E">
          <w:rPr>
            <w:noProof/>
            <w:webHidden/>
          </w:rPr>
          <w:tab/>
        </w:r>
        <w:r w:rsidR="000B4A1E">
          <w:rPr>
            <w:noProof/>
            <w:webHidden/>
          </w:rPr>
          <w:fldChar w:fldCharType="begin" w:fldLock="1"/>
        </w:r>
        <w:r w:rsidR="000B4A1E">
          <w:rPr>
            <w:noProof/>
            <w:webHidden/>
          </w:rPr>
          <w:instrText xml:space="preserve"> PAGEREF _Toc367967900 \h </w:instrText>
        </w:r>
        <w:r w:rsidR="000B4A1E">
          <w:rPr>
            <w:noProof/>
            <w:webHidden/>
          </w:rPr>
        </w:r>
        <w:r w:rsidR="000B4A1E">
          <w:rPr>
            <w:noProof/>
            <w:webHidden/>
          </w:rPr>
          <w:fldChar w:fldCharType="separate"/>
        </w:r>
        <w:r w:rsidR="001400C3">
          <w:rPr>
            <w:noProof/>
            <w:webHidden/>
          </w:rPr>
          <w:t>205</w:t>
        </w:r>
        <w:r w:rsidR="000B4A1E">
          <w:rPr>
            <w:noProof/>
            <w:webHidden/>
          </w:rPr>
          <w:fldChar w:fldCharType="end"/>
        </w:r>
      </w:hyperlink>
    </w:p>
    <w:p w:rsidR="000B4A1E" w:rsidRDefault="001A6345">
      <w:pPr>
        <w:pStyle w:val="TOC2"/>
        <w:rPr>
          <w:rFonts w:asciiTheme="minorHAnsi" w:eastAsiaTheme="minorEastAsia" w:hAnsiTheme="minorHAnsi" w:cstheme="minorBidi"/>
          <w:noProof/>
          <w:szCs w:val="22"/>
          <w:lang w:eastAsia="en-AU"/>
        </w:rPr>
      </w:pPr>
      <w:hyperlink w:anchor="_Toc367967901" w:history="1">
        <w:r w:rsidR="000B4A1E" w:rsidRPr="001838C3">
          <w:rPr>
            <w:rStyle w:val="Hyperlink"/>
            <w:noProof/>
          </w:rPr>
          <w:t>Victoria’s 2012-13 Loan Council Allocation</w:t>
        </w:r>
        <w:r w:rsidR="000B4A1E">
          <w:rPr>
            <w:noProof/>
            <w:webHidden/>
          </w:rPr>
          <w:tab/>
        </w:r>
        <w:r w:rsidR="000B4A1E">
          <w:rPr>
            <w:noProof/>
            <w:webHidden/>
          </w:rPr>
          <w:fldChar w:fldCharType="begin" w:fldLock="1"/>
        </w:r>
        <w:r w:rsidR="000B4A1E">
          <w:rPr>
            <w:noProof/>
            <w:webHidden/>
          </w:rPr>
          <w:instrText xml:space="preserve"> PAGEREF _Toc367967901 \h </w:instrText>
        </w:r>
        <w:r w:rsidR="000B4A1E">
          <w:rPr>
            <w:noProof/>
            <w:webHidden/>
          </w:rPr>
        </w:r>
        <w:r w:rsidR="000B4A1E">
          <w:rPr>
            <w:noProof/>
            <w:webHidden/>
          </w:rPr>
          <w:fldChar w:fldCharType="separate"/>
        </w:r>
        <w:r w:rsidR="001400C3">
          <w:rPr>
            <w:noProof/>
            <w:webHidden/>
          </w:rPr>
          <w:t>215</w:t>
        </w:r>
        <w:r w:rsidR="000B4A1E">
          <w:rPr>
            <w:noProof/>
            <w:webHidden/>
          </w:rPr>
          <w:fldChar w:fldCharType="end"/>
        </w:r>
      </w:hyperlink>
    </w:p>
    <w:p w:rsidR="000B4A1E" w:rsidRDefault="001A6345">
      <w:pPr>
        <w:pStyle w:val="TOC1"/>
        <w:rPr>
          <w:rFonts w:asciiTheme="minorHAnsi" w:eastAsiaTheme="minorEastAsia" w:hAnsiTheme="minorHAnsi" w:cstheme="minorBidi"/>
          <w:b w:val="0"/>
          <w:noProof/>
          <w:sz w:val="22"/>
          <w:szCs w:val="22"/>
          <w:lang w:eastAsia="en-AU"/>
        </w:rPr>
      </w:pPr>
      <w:hyperlink w:anchor="_Toc367967902" w:history="1">
        <w:r w:rsidR="000B4A1E" w:rsidRPr="001838C3">
          <w:rPr>
            <w:rStyle w:val="Hyperlink"/>
            <w:noProof/>
          </w:rPr>
          <w:t>Appendix A – General government sector quarterly financial report</w:t>
        </w:r>
        <w:r w:rsidR="000B4A1E">
          <w:rPr>
            <w:noProof/>
            <w:webHidden/>
          </w:rPr>
          <w:tab/>
        </w:r>
        <w:r w:rsidR="000B4A1E">
          <w:rPr>
            <w:noProof/>
            <w:webHidden/>
          </w:rPr>
          <w:fldChar w:fldCharType="begin" w:fldLock="1"/>
        </w:r>
        <w:r w:rsidR="000B4A1E">
          <w:rPr>
            <w:noProof/>
            <w:webHidden/>
          </w:rPr>
          <w:instrText xml:space="preserve"> PAGEREF _Toc367967902 \h </w:instrText>
        </w:r>
        <w:r w:rsidR="000B4A1E">
          <w:rPr>
            <w:noProof/>
            <w:webHidden/>
          </w:rPr>
        </w:r>
        <w:r w:rsidR="000B4A1E">
          <w:rPr>
            <w:noProof/>
            <w:webHidden/>
          </w:rPr>
          <w:fldChar w:fldCharType="separate"/>
        </w:r>
        <w:r w:rsidR="001400C3">
          <w:rPr>
            <w:noProof/>
            <w:webHidden/>
          </w:rPr>
          <w:t>217</w:t>
        </w:r>
        <w:r w:rsidR="000B4A1E">
          <w:rPr>
            <w:noProof/>
            <w:webHidden/>
          </w:rPr>
          <w:fldChar w:fldCharType="end"/>
        </w:r>
      </w:hyperlink>
    </w:p>
    <w:p w:rsidR="000B4A1E" w:rsidRDefault="001A6345">
      <w:pPr>
        <w:pStyle w:val="TOC1"/>
        <w:rPr>
          <w:rFonts w:asciiTheme="minorHAnsi" w:eastAsiaTheme="minorEastAsia" w:hAnsiTheme="minorHAnsi" w:cstheme="minorBidi"/>
          <w:b w:val="0"/>
          <w:noProof/>
          <w:sz w:val="22"/>
          <w:szCs w:val="22"/>
          <w:lang w:eastAsia="en-AU"/>
        </w:rPr>
      </w:pPr>
      <w:hyperlink w:anchor="_Toc367967903" w:history="1">
        <w:r w:rsidR="000B4A1E" w:rsidRPr="001838C3">
          <w:rPr>
            <w:rStyle w:val="Hyperlink"/>
            <w:noProof/>
          </w:rPr>
          <w:t xml:space="preserve">Appendix B – </w:t>
        </w:r>
        <w:r w:rsidR="000B4A1E" w:rsidRPr="001838C3">
          <w:rPr>
            <w:rStyle w:val="Hyperlink"/>
            <w:i/>
            <w:noProof/>
          </w:rPr>
          <w:t xml:space="preserve">Financial Management Act 1994 </w:t>
        </w:r>
        <w:r w:rsidR="000B4A1E" w:rsidRPr="001838C3">
          <w:rPr>
            <w:rStyle w:val="Hyperlink"/>
            <w:noProof/>
          </w:rPr>
          <w:t>– Compliance index</w:t>
        </w:r>
        <w:r w:rsidR="000B4A1E">
          <w:rPr>
            <w:noProof/>
            <w:webHidden/>
          </w:rPr>
          <w:tab/>
        </w:r>
        <w:r w:rsidR="000B4A1E">
          <w:rPr>
            <w:noProof/>
            <w:webHidden/>
          </w:rPr>
          <w:fldChar w:fldCharType="begin" w:fldLock="1"/>
        </w:r>
        <w:r w:rsidR="000B4A1E">
          <w:rPr>
            <w:noProof/>
            <w:webHidden/>
          </w:rPr>
          <w:instrText xml:space="preserve"> PAGEREF _Toc367967903 \h </w:instrText>
        </w:r>
        <w:r w:rsidR="000B4A1E">
          <w:rPr>
            <w:noProof/>
            <w:webHidden/>
          </w:rPr>
        </w:r>
        <w:r w:rsidR="000B4A1E">
          <w:rPr>
            <w:noProof/>
            <w:webHidden/>
          </w:rPr>
          <w:fldChar w:fldCharType="separate"/>
        </w:r>
        <w:r w:rsidR="001400C3">
          <w:rPr>
            <w:noProof/>
            <w:webHidden/>
          </w:rPr>
          <w:t>221</w:t>
        </w:r>
        <w:r w:rsidR="000B4A1E">
          <w:rPr>
            <w:noProof/>
            <w:webHidden/>
          </w:rPr>
          <w:fldChar w:fldCharType="end"/>
        </w:r>
      </w:hyperlink>
    </w:p>
    <w:p w:rsidR="000B4A1E" w:rsidRDefault="001A6345">
      <w:pPr>
        <w:pStyle w:val="TOC1"/>
        <w:rPr>
          <w:rFonts w:asciiTheme="minorHAnsi" w:eastAsiaTheme="minorEastAsia" w:hAnsiTheme="minorHAnsi" w:cstheme="minorBidi"/>
          <w:b w:val="0"/>
          <w:noProof/>
          <w:sz w:val="22"/>
          <w:szCs w:val="22"/>
          <w:lang w:eastAsia="en-AU"/>
        </w:rPr>
      </w:pPr>
      <w:hyperlink w:anchor="_Toc367967904" w:history="1">
        <w:r w:rsidR="000B4A1E" w:rsidRPr="001838C3">
          <w:rPr>
            <w:rStyle w:val="Hyperlink"/>
            <w:noProof/>
          </w:rPr>
          <w:t>Appendix C – Scope and style conventions</w:t>
        </w:r>
        <w:r w:rsidR="000B4A1E">
          <w:rPr>
            <w:noProof/>
            <w:webHidden/>
          </w:rPr>
          <w:tab/>
        </w:r>
        <w:r w:rsidR="000B4A1E">
          <w:rPr>
            <w:noProof/>
            <w:webHidden/>
          </w:rPr>
          <w:fldChar w:fldCharType="begin" w:fldLock="1"/>
        </w:r>
        <w:r w:rsidR="000B4A1E">
          <w:rPr>
            <w:noProof/>
            <w:webHidden/>
          </w:rPr>
          <w:instrText xml:space="preserve"> PAGEREF _Toc367967904 \h </w:instrText>
        </w:r>
        <w:r w:rsidR="000B4A1E">
          <w:rPr>
            <w:noProof/>
            <w:webHidden/>
          </w:rPr>
        </w:r>
        <w:r w:rsidR="000B4A1E">
          <w:rPr>
            <w:noProof/>
            <w:webHidden/>
          </w:rPr>
          <w:fldChar w:fldCharType="separate"/>
        </w:r>
        <w:r w:rsidR="001400C3">
          <w:rPr>
            <w:noProof/>
            <w:webHidden/>
          </w:rPr>
          <w:t>225</w:t>
        </w:r>
        <w:r w:rsidR="000B4A1E">
          <w:rPr>
            <w:noProof/>
            <w:webHidden/>
          </w:rPr>
          <w:fldChar w:fldCharType="end"/>
        </w:r>
      </w:hyperlink>
    </w:p>
    <w:p w:rsidR="000B4A1E" w:rsidRPr="003A0092" w:rsidRDefault="000B4A1E" w:rsidP="00190010">
      <w:r>
        <w:fldChar w:fldCharType="end"/>
      </w:r>
    </w:p>
    <w:p w:rsidR="000B4A1E" w:rsidRDefault="000B4A1E">
      <w:pPr>
        <w:spacing w:after="0"/>
      </w:pPr>
    </w:p>
    <w:p w:rsidR="000B4A1E" w:rsidRDefault="000B4A1E" w:rsidP="00696339"/>
    <w:p w:rsidR="000B4A1E" w:rsidRDefault="000B4A1E" w:rsidP="00696339">
      <w:pPr>
        <w:sectPr w:rsidR="000B4A1E" w:rsidSect="00740862">
          <w:footerReference w:type="even" r:id="rId10"/>
          <w:footerReference w:type="default" r:id="rId11"/>
          <w:type w:val="oddPage"/>
          <w:pgSz w:w="11906" w:h="16838" w:code="9"/>
          <w:pgMar w:top="1152" w:right="1152" w:bottom="1152" w:left="1152" w:header="720" w:footer="576" w:gutter="0"/>
          <w:pgNumType w:fmt="lowerRoman" w:start="1"/>
          <w:cols w:space="708"/>
          <w:docGrid w:linePitch="360"/>
        </w:sectPr>
      </w:pPr>
    </w:p>
    <w:p w:rsidR="000B4A1E" w:rsidRDefault="000B4A1E" w:rsidP="00517E51">
      <w:pPr>
        <w:pStyle w:val="ChapterHeading"/>
      </w:pPr>
      <w:bookmarkStart w:id="0" w:name="_Toc367967882"/>
      <w:r>
        <w:lastRenderedPageBreak/>
        <w:t xml:space="preserve">Chapter 1 – </w:t>
      </w:r>
      <w:r w:rsidRPr="0036774B">
        <w:t>Foreword</w:t>
      </w:r>
      <w:bookmarkEnd w:id="0"/>
    </w:p>
    <w:p w:rsidR="000B4A1E" w:rsidRDefault="000B4A1E" w:rsidP="00517E51">
      <w:pPr>
        <w:pStyle w:val="Heading2"/>
      </w:pPr>
      <w:r>
        <w:t>Purpose</w:t>
      </w:r>
    </w:p>
    <w:p w:rsidR="000B4A1E" w:rsidRDefault="000B4A1E" w:rsidP="00517E51">
      <w:r>
        <w:t xml:space="preserve">The </w:t>
      </w:r>
      <w:r>
        <w:rPr>
          <w:i/>
        </w:rPr>
        <w:t>2012</w:t>
      </w:r>
      <w:r>
        <w:rPr>
          <w:i/>
        </w:rPr>
        <w:noBreakHyphen/>
      </w:r>
      <w:r w:rsidRPr="000701B7">
        <w:rPr>
          <w:i/>
        </w:rPr>
        <w:t>13 Financial Report for the State of Victoria</w:t>
      </w:r>
      <w:r>
        <w:t xml:space="preserve"> presents the consolidated financial outcomes for the State of Victoria, including the general government sector, the public non</w:t>
      </w:r>
      <w:r>
        <w:noBreakHyphen/>
        <w:t>financial corporations sector and the public financial corporations sector.</w:t>
      </w:r>
    </w:p>
    <w:p w:rsidR="000B4A1E" w:rsidRDefault="000B4A1E" w:rsidP="00C723F1">
      <w:r>
        <w:t>This chapter outlines the economic and fiscal context for the State’s financial performance and position, and summarises the 2012</w:t>
      </w:r>
      <w:r>
        <w:noBreakHyphen/>
        <w:t xml:space="preserve">13 results. Chapter 2 analyses the results for the general government sector, comparing them to the revised estimates presented in the </w:t>
      </w:r>
      <w:r>
        <w:rPr>
          <w:i/>
        </w:rPr>
        <w:t>2013</w:t>
      </w:r>
      <w:r>
        <w:rPr>
          <w:i/>
        </w:rPr>
        <w:noBreakHyphen/>
        <w:t>14 Budget</w:t>
      </w:r>
      <w:r>
        <w:t>. Chapter 3 presents the 2012</w:t>
      </w:r>
      <w:r>
        <w:noBreakHyphen/>
        <w:t>13 results for the State of Victoria.</w:t>
      </w:r>
    </w:p>
    <w:p w:rsidR="000B4A1E" w:rsidRDefault="000B4A1E" w:rsidP="00517E51">
      <w:r>
        <w:t xml:space="preserve">Chapter 4 contains the audited financial statements as required under the </w:t>
      </w:r>
      <w:r>
        <w:rPr>
          <w:i/>
        </w:rPr>
        <w:t>Financial Management Act 1994</w:t>
      </w:r>
      <w:r>
        <w:t>. These are presented in line with applicable Australian accounting standards and pronouncements, in particular AASB 1049 </w:t>
      </w:r>
      <w:r>
        <w:rPr>
          <w:i/>
        </w:rPr>
        <w:t>Whole of Government and General Government Sector Financial Reporting</w:t>
      </w:r>
      <w:r>
        <w:t xml:space="preserve">. Chapter 5 provides supplementary information required under the Uniform Presentation Framework, as agreed under the Australian Loan Council arrangements. Appendix A includes the </w:t>
      </w:r>
      <w:r w:rsidRPr="004A52F3">
        <w:rPr>
          <w:i/>
        </w:rPr>
        <w:t>Quarterly Financial Report</w:t>
      </w:r>
      <w:r>
        <w:t xml:space="preserve"> for the general government sector as required by Section 26 of the </w:t>
      </w:r>
      <w:r>
        <w:rPr>
          <w:i/>
        </w:rPr>
        <w:t>Financial Management Act 1994</w:t>
      </w:r>
      <w:r>
        <w:t>.</w:t>
      </w:r>
    </w:p>
    <w:p w:rsidR="000B4A1E" w:rsidRDefault="000B4A1E" w:rsidP="00517E51">
      <w:pPr>
        <w:pStyle w:val="Heading2"/>
      </w:pPr>
      <w:r>
        <w:t>Economic context</w:t>
      </w:r>
    </w:p>
    <w:p w:rsidR="000B4A1E" w:rsidRDefault="000B4A1E" w:rsidP="00C723F1">
      <w:r>
        <w:t>Victoria’s economic fundamentals are strong. Employment is growing, inflation is low and the unemployment rate, while having increased slightly over the past year, remains at historically low levels. Victoria continues to have the highest labour participation rate of all the non</w:t>
      </w:r>
      <w:r>
        <w:noBreakHyphen/>
        <w:t>mining states while net migration supports population growth.</w:t>
      </w:r>
    </w:p>
    <w:p w:rsidR="000B4A1E" w:rsidRDefault="000B4A1E" w:rsidP="00C723F1">
      <w:r>
        <w:t>Victorian state final demand for 2012</w:t>
      </w:r>
      <w:r>
        <w:noBreakHyphen/>
        <w:t xml:space="preserve">13 grew close to the rate expected in the most recent estimates (prepared for the </w:t>
      </w:r>
      <w:r>
        <w:rPr>
          <w:i/>
        </w:rPr>
        <w:t>2013</w:t>
      </w:r>
      <w:r>
        <w:rPr>
          <w:i/>
        </w:rPr>
        <w:noBreakHyphen/>
        <w:t>14 Budget</w:t>
      </w:r>
      <w:r w:rsidRPr="00797A3F">
        <w:t>)</w:t>
      </w:r>
      <w:r>
        <w:t>, but economic conditions remain mixed and performance varies across sectors.</w:t>
      </w:r>
    </w:p>
    <w:p w:rsidR="000B4A1E" w:rsidRPr="004F5F43" w:rsidRDefault="000B4A1E" w:rsidP="00C723F1">
      <w:pPr>
        <w:rPr>
          <w:i/>
        </w:rPr>
      </w:pPr>
      <w:r>
        <w:t>Conditions in the Victorian property market improved slightly in the second half of 2012</w:t>
      </w:r>
      <w:r>
        <w:noBreakHyphen/>
        <w:t>13 with increases in Melbourne auction clearance rates and total sales. Dwelling investment in 2012</w:t>
      </w:r>
      <w:r>
        <w:noBreakHyphen/>
        <w:t xml:space="preserve">13 grew at a marginally faster pace than expected at the time of the </w:t>
      </w:r>
      <w:r>
        <w:rPr>
          <w:i/>
        </w:rPr>
        <w:t>2013</w:t>
      </w:r>
      <w:r>
        <w:rPr>
          <w:i/>
        </w:rPr>
        <w:noBreakHyphen/>
        <w:t>14 Budget.</w:t>
      </w:r>
    </w:p>
    <w:p w:rsidR="000B4A1E" w:rsidRPr="0004786C" w:rsidRDefault="000B4A1E" w:rsidP="00C723F1">
      <w:r>
        <w:t>The Victorian economy also benefitted from a stronger than expected labour market in the second half of 2012</w:t>
      </w:r>
      <w:r>
        <w:noBreakHyphen/>
        <w:t xml:space="preserve">13, with employment growth slightly above, and the unemployment rate slightly below, their most recent respective forecasts in the </w:t>
      </w:r>
      <w:r>
        <w:rPr>
          <w:i/>
        </w:rPr>
        <w:t>2013</w:t>
      </w:r>
      <w:r>
        <w:rPr>
          <w:i/>
        </w:rPr>
        <w:noBreakHyphen/>
        <w:t>14 Budget.</w:t>
      </w:r>
      <w:r>
        <w:t xml:space="preserve"> During 2012</w:t>
      </w:r>
      <w:r>
        <w:noBreakHyphen/>
        <w:t>13, growth in people employed was strongest in the service industries, led by gains in health care and social assistance; retail trade; and professional, scientific and technical services. While a comparatively smaller industry, mining employment also grew strongly in 2012</w:t>
      </w:r>
      <w:r>
        <w:noBreakHyphen/>
        <w:t>13.</w:t>
      </w:r>
    </w:p>
    <w:p w:rsidR="000B4A1E" w:rsidRDefault="000B4A1E" w:rsidP="00C723F1">
      <w:r>
        <w:t>Victoria continued to face a number of economic challenges. Business conditions and confidence were both below their long</w:t>
      </w:r>
      <w:r>
        <w:noBreakHyphen/>
        <w:t>term averages in 2012</w:t>
      </w:r>
      <w:r>
        <w:noBreakHyphen/>
        <w:t>13.</w:t>
      </w:r>
    </w:p>
    <w:p w:rsidR="000B4A1E" w:rsidRDefault="000B4A1E">
      <w:pPr>
        <w:spacing w:after="0"/>
      </w:pPr>
      <w:r>
        <w:br w:type="page"/>
      </w:r>
    </w:p>
    <w:p w:rsidR="000B4A1E" w:rsidRDefault="000B4A1E" w:rsidP="00C723F1">
      <w:r w:rsidRPr="00190272">
        <w:lastRenderedPageBreak/>
        <w:t>Household consumption was also subdued during the year, consistent with below</w:t>
      </w:r>
      <w:r>
        <w:t xml:space="preserve"> </w:t>
      </w:r>
      <w:r w:rsidRPr="00190272">
        <w:t>average g</w:t>
      </w:r>
      <w:r>
        <w:t>rowth in real employment income and despite a</w:t>
      </w:r>
      <w:r w:rsidRPr="00190272">
        <w:t xml:space="preserve"> solid rise in household wealth and successive interest rate cuts.</w:t>
      </w:r>
    </w:p>
    <w:p w:rsidR="000B4A1E" w:rsidRDefault="000B4A1E" w:rsidP="00C723F1">
      <w:r>
        <w:t>Merchandise exports grew in line with expectations for 2012</w:t>
      </w:r>
      <w:r>
        <w:noBreakHyphen/>
        <w:t>13 driven by exports of passenger motor vehicles, meat, refined petroleum, pharmaceuticals, fruit and vegetables and oil seeds (such as canola). The sustained high exchange rate remained a challenge for many sectors during 2012</w:t>
      </w:r>
      <w:r>
        <w:noBreakHyphen/>
        <w:t>13 including textiles, motor vehicles, education and tourism. The fall in the exchange rate towards the end of the financial year is likely to provide some relief to Victorian businesses in these sectors during 2013</w:t>
      </w:r>
      <w:r>
        <w:noBreakHyphen/>
        <w:t xml:space="preserve">14. </w:t>
      </w:r>
    </w:p>
    <w:p w:rsidR="000B4A1E" w:rsidRDefault="000B4A1E" w:rsidP="00C723F1">
      <w:r>
        <w:t>The Government continues to strengthen Victoria’s fiscal position in order to improve the State’s resilience to challenging economic conditions. The Government delivered its commitment to prudent expenditure restraint during 2012</w:t>
      </w:r>
      <w:r>
        <w:noBreakHyphen/>
        <w:t xml:space="preserve">13 against a backdrop of weaker revenue growth. Victoria is now the only jurisdiction in Australia forecasting a budget surplus in every year over the forward estimates period. As a result, Victoria’s public finances are now the strongest in Australia. This is reflected by </w:t>
      </w:r>
      <w:r w:rsidRPr="0085374D">
        <w:t xml:space="preserve">Victoria </w:t>
      </w:r>
      <w:r>
        <w:t>holding a</w:t>
      </w:r>
      <w:r w:rsidRPr="0085374D">
        <w:t xml:space="preserve"> triple</w:t>
      </w:r>
      <w:r>
        <w:noBreakHyphen/>
      </w:r>
      <w:r w:rsidRPr="0085374D">
        <w:t>A credit rating with a stable outlook from both major international cred</w:t>
      </w:r>
      <w:r>
        <w:t xml:space="preserve">it rating agencies, the only state in Australia to do so. </w:t>
      </w:r>
    </w:p>
    <w:p w:rsidR="000B4A1E" w:rsidRDefault="000B4A1E" w:rsidP="00C723F1">
      <w:r>
        <w:t>The Government’s commitment to a strong financial position provides a foundation for ongoing investment in Victorian infrastructure. In 2012</w:t>
      </w:r>
      <w:r>
        <w:noBreakHyphen/>
        <w:t>13, the Government continued to make significant investments to deliver high quality services to the community, particularly in the transport, health and education sectors.</w:t>
      </w:r>
    </w:p>
    <w:p w:rsidR="000B4A1E" w:rsidRDefault="000B4A1E" w:rsidP="00517E51">
      <w:pPr>
        <w:pStyle w:val="Heading2"/>
      </w:pPr>
      <w:r>
        <w:t>Fiscal outcomes</w:t>
      </w:r>
    </w:p>
    <w:p w:rsidR="000B4A1E" w:rsidRPr="0007647B" w:rsidRDefault="000B4A1E" w:rsidP="00517E51">
      <w:r w:rsidRPr="0007647B">
        <w:t>The net result from transactions for the general government sector was a surplus of $3</w:t>
      </w:r>
      <w:r>
        <w:t>16 million</w:t>
      </w:r>
      <w:r w:rsidRPr="0007647B">
        <w:t xml:space="preserve"> in 2012</w:t>
      </w:r>
      <w:r>
        <w:noBreakHyphen/>
      </w:r>
      <w:r w:rsidRPr="0007647B">
        <w:t>13</w:t>
      </w:r>
      <w:r>
        <w:t>,</w:t>
      </w:r>
      <w:r w:rsidRPr="0007647B">
        <w:t xml:space="preserve"> $1</w:t>
      </w:r>
      <w:r>
        <w:t>39 million</w:t>
      </w:r>
      <w:r w:rsidRPr="0007647B">
        <w:t xml:space="preserve"> higher than the </w:t>
      </w:r>
      <w:r>
        <w:t>revised 2012</w:t>
      </w:r>
      <w:r>
        <w:noBreakHyphen/>
        <w:t>13 estimate.</w:t>
      </w:r>
    </w:p>
    <w:p w:rsidR="000B4A1E" w:rsidRPr="0007647B" w:rsidRDefault="000B4A1E" w:rsidP="00517E51">
      <w:r w:rsidRPr="0007647B">
        <w:t>Total revenue from transactions for the year was $48.6</w:t>
      </w:r>
      <w:r>
        <w:t> billion</w:t>
      </w:r>
      <w:r w:rsidRPr="0007647B">
        <w:t>, which represents</w:t>
      </w:r>
      <w:r>
        <w:t xml:space="preserve"> modest</w:t>
      </w:r>
      <w:r w:rsidRPr="0007647B">
        <w:t xml:space="preserve"> growth of 1.5</w:t>
      </w:r>
      <w:r>
        <w:t> per cent</w:t>
      </w:r>
      <w:r w:rsidRPr="0007647B">
        <w:t xml:space="preserve"> compared to 2011</w:t>
      </w:r>
      <w:r>
        <w:noBreakHyphen/>
      </w:r>
      <w:r w:rsidRPr="0007647B">
        <w:t>12. State taxation revenue was $15.</w:t>
      </w:r>
      <w:r>
        <w:t>5 billion</w:t>
      </w:r>
      <w:r w:rsidRPr="0007647B">
        <w:t>, $9</w:t>
      </w:r>
      <w:r>
        <w:t>1 million</w:t>
      </w:r>
      <w:r w:rsidRPr="0007647B">
        <w:t xml:space="preserve"> lower than the revised estimate for the year. This </w:t>
      </w:r>
      <w:r>
        <w:t>outcome</w:t>
      </w:r>
      <w:r w:rsidRPr="0007647B">
        <w:t xml:space="preserve"> was due to lower than expected gambling and payroll tax revenues. However, an improvement in the Victorian property market in the second half of 2012</w:t>
      </w:r>
      <w:r>
        <w:noBreakHyphen/>
      </w:r>
      <w:r w:rsidRPr="0007647B">
        <w:t>13 meant that land transfer duty was stronger than expected</w:t>
      </w:r>
      <w:r>
        <w:t xml:space="preserve">. </w:t>
      </w:r>
    </w:p>
    <w:p w:rsidR="000B4A1E" w:rsidRPr="0007647B" w:rsidRDefault="000B4A1E" w:rsidP="00517E51">
      <w:r w:rsidRPr="0007647B">
        <w:t>Total expenses from transactions of $48.3</w:t>
      </w:r>
      <w:r>
        <w:t> billion</w:t>
      </w:r>
      <w:r w:rsidRPr="0007647B">
        <w:t xml:space="preserve"> </w:t>
      </w:r>
      <w:r>
        <w:t xml:space="preserve">was broadly consistent with the revised estimate for the year and </w:t>
      </w:r>
      <w:r w:rsidRPr="0007647B">
        <w:t xml:space="preserve">represents an increase of </w:t>
      </w:r>
      <w:r>
        <w:t>2.1 per cent</w:t>
      </w:r>
      <w:r w:rsidRPr="0007647B">
        <w:t xml:space="preserve"> compared to the previous year</w:t>
      </w:r>
      <w:r>
        <w:t xml:space="preserve">, </w:t>
      </w:r>
      <w:r w:rsidRPr="0007647B">
        <w:t>contrast</w:t>
      </w:r>
      <w:r>
        <w:t>ing</w:t>
      </w:r>
      <w:r w:rsidRPr="0007647B">
        <w:t xml:space="preserve"> with the average annual expense growth of </w:t>
      </w:r>
      <w:r>
        <w:t>7.3 per cent</w:t>
      </w:r>
      <w:r w:rsidRPr="0007647B">
        <w:t xml:space="preserve"> over the decade to 2010</w:t>
      </w:r>
      <w:r>
        <w:noBreakHyphen/>
      </w:r>
      <w:r w:rsidRPr="0007647B">
        <w:t>11.</w:t>
      </w:r>
    </w:p>
    <w:p w:rsidR="000B4A1E" w:rsidRDefault="000B4A1E" w:rsidP="00517E51">
      <w:r w:rsidRPr="0007647B">
        <w:t>Net investment in infrastructure by the general government sector of $5.</w:t>
      </w:r>
      <w:r>
        <w:t>2 billion</w:t>
      </w:r>
      <w:r w:rsidRPr="0007647B">
        <w:t xml:space="preserve"> in 2012</w:t>
      </w:r>
      <w:r>
        <w:noBreakHyphen/>
      </w:r>
      <w:r w:rsidRPr="0007647B">
        <w:t xml:space="preserve">13 was equal to </w:t>
      </w:r>
      <w:r>
        <w:t>1.5 per cent</w:t>
      </w:r>
      <w:r w:rsidRPr="0007647B">
        <w:t xml:space="preserve"> of g</w:t>
      </w:r>
      <w:r>
        <w:t xml:space="preserve">ross </w:t>
      </w:r>
      <w:r w:rsidRPr="0007647B">
        <w:t>s</w:t>
      </w:r>
      <w:r>
        <w:t xml:space="preserve">tate </w:t>
      </w:r>
      <w:r w:rsidRPr="0007647B">
        <w:t>p</w:t>
      </w:r>
      <w:r>
        <w:t>roduct (GSP)</w:t>
      </w:r>
      <w:r>
        <w:rPr>
          <w:rStyle w:val="FootnoteReference"/>
        </w:rPr>
        <w:footnoteReference w:id="1"/>
      </w:r>
      <w:r>
        <w:t>.</w:t>
      </w:r>
    </w:p>
    <w:p w:rsidR="000B4A1E" w:rsidRPr="005744D4" w:rsidRDefault="000B4A1E" w:rsidP="00517E51"/>
    <w:p w:rsidR="000B4A1E" w:rsidRDefault="000B4A1E" w:rsidP="005B59D4">
      <w:pPr>
        <w:sectPr w:rsidR="000B4A1E" w:rsidSect="00740862">
          <w:footerReference w:type="even" r:id="rId12"/>
          <w:footerReference w:type="default" r:id="rId13"/>
          <w:type w:val="oddPage"/>
          <w:pgSz w:w="11906" w:h="16838" w:code="9"/>
          <w:pgMar w:top="1152" w:right="1152" w:bottom="1152" w:left="1152" w:header="720" w:footer="576" w:gutter="0"/>
          <w:pgNumType w:start="1"/>
          <w:cols w:space="708"/>
          <w:docGrid w:linePitch="360"/>
        </w:sectPr>
      </w:pPr>
    </w:p>
    <w:p w:rsidR="000B4A1E" w:rsidRDefault="000B4A1E" w:rsidP="00517E51">
      <w:pPr>
        <w:pStyle w:val="ChapterHeading"/>
      </w:pPr>
      <w:bookmarkStart w:id="1" w:name="_Toc367967883"/>
      <w:r>
        <w:lastRenderedPageBreak/>
        <w:t xml:space="preserve">Chapter 2 – </w:t>
      </w:r>
      <w:r w:rsidRPr="00110EBA">
        <w:t>General</w:t>
      </w:r>
      <w:r>
        <w:t xml:space="preserve"> government sector outcome</w:t>
      </w:r>
      <w:bookmarkEnd w:id="1"/>
    </w:p>
    <w:p w:rsidR="000B4A1E" w:rsidRDefault="000B4A1E" w:rsidP="00517E51">
      <w:pPr>
        <w:pStyle w:val="HighlightBoxBullet"/>
      </w:pPr>
      <w:r>
        <w:t xml:space="preserve">The </w:t>
      </w:r>
      <w:r w:rsidRPr="0086376C">
        <w:t xml:space="preserve">Government has </w:t>
      </w:r>
      <w:r>
        <w:t>met</w:t>
      </w:r>
      <w:r w:rsidRPr="0086376C">
        <w:t xml:space="preserve"> its target of a budget surplus of at least $100</w:t>
      </w:r>
      <w:r>
        <w:t> million</w:t>
      </w:r>
      <w:r w:rsidRPr="0086376C">
        <w:t xml:space="preserve"> a year. The surplus for 2012</w:t>
      </w:r>
      <w:r w:rsidRPr="0086376C">
        <w:noBreakHyphen/>
        <w:t>13 was $</w:t>
      </w:r>
      <w:r>
        <w:t>316 million</w:t>
      </w:r>
      <w:r w:rsidRPr="0086376C">
        <w:t>.</w:t>
      </w:r>
      <w:r w:rsidRPr="00F76BF9">
        <w:t xml:space="preserve"> </w:t>
      </w:r>
      <w:r>
        <w:t xml:space="preserve">Victoria is the only Australian jurisdiction </w:t>
      </w:r>
      <w:r w:rsidRPr="00B77691">
        <w:t xml:space="preserve">forecasting a budget surplus in </w:t>
      </w:r>
      <w:r>
        <w:t xml:space="preserve">2013-14 and every year </w:t>
      </w:r>
      <w:r w:rsidRPr="00B77691">
        <w:t>over the forward estimates</w:t>
      </w:r>
      <w:r>
        <w:t>.</w:t>
      </w:r>
    </w:p>
    <w:p w:rsidR="000B4A1E" w:rsidRDefault="000B4A1E" w:rsidP="00517E51">
      <w:pPr>
        <w:pStyle w:val="HighlightBoxBullet"/>
      </w:pPr>
      <w:r w:rsidRPr="008429B2">
        <w:t xml:space="preserve">Strong fiscal discipline and constrained </w:t>
      </w:r>
      <w:r>
        <w:t>cost control delivered</w:t>
      </w:r>
      <w:r w:rsidRPr="008429B2">
        <w:t xml:space="preserve"> </w:t>
      </w:r>
      <w:r>
        <w:t>a modest increase in expenses of 2.1 per cent</w:t>
      </w:r>
      <w:r w:rsidRPr="008429B2">
        <w:t xml:space="preserve"> </w:t>
      </w:r>
      <w:r>
        <w:t xml:space="preserve">since </w:t>
      </w:r>
      <w:r w:rsidRPr="008429B2">
        <w:t>2011-12.</w:t>
      </w:r>
    </w:p>
    <w:p w:rsidR="000B4A1E" w:rsidRPr="0086376C" w:rsidRDefault="000B4A1E" w:rsidP="00517E51">
      <w:pPr>
        <w:pStyle w:val="HighlightBoxBullet"/>
      </w:pPr>
      <w:r w:rsidRPr="0086376C">
        <w:t>Net debt for the general government sector of $</w:t>
      </w:r>
      <w:r>
        <w:t xml:space="preserve">19.8 billion at 30 June 2013, was in line with revised budget </w:t>
      </w:r>
      <w:r w:rsidRPr="00123B26">
        <w:t xml:space="preserve">estimates published in the </w:t>
      </w:r>
      <w:r w:rsidRPr="00123B26">
        <w:rPr>
          <w:i/>
        </w:rPr>
        <w:t>2013-14 Budget</w:t>
      </w:r>
      <w:r w:rsidRPr="0086376C">
        <w:t>.</w:t>
      </w:r>
      <w:r>
        <w:t xml:space="preserve"> </w:t>
      </w:r>
    </w:p>
    <w:p w:rsidR="000B4A1E" w:rsidRDefault="000B4A1E" w:rsidP="00517E51">
      <w:pPr>
        <w:pStyle w:val="HighlightBoxBullet"/>
      </w:pPr>
      <w:r w:rsidRPr="00656CBD">
        <w:t>General government net infrastructure investment was $5.2</w:t>
      </w:r>
      <w:r>
        <w:t> billion</w:t>
      </w:r>
      <w:r w:rsidRPr="00656CBD">
        <w:t xml:space="preserve"> for 2012</w:t>
      </w:r>
      <w:r w:rsidRPr="00656CBD">
        <w:noBreakHyphen/>
      </w:r>
      <w:r>
        <w:t>13, consistent with revised budget expectations, and comparable to the previous year.</w:t>
      </w:r>
    </w:p>
    <w:p w:rsidR="000B4A1E" w:rsidRPr="00B77691" w:rsidRDefault="000B4A1E" w:rsidP="00517E51">
      <w:pPr>
        <w:pStyle w:val="HighlightBoxBullet"/>
      </w:pPr>
      <w:r w:rsidRPr="0086376C">
        <w:t>Victoria is the only Australian state to hold a triple</w:t>
      </w:r>
      <w:r>
        <w:t>-</w:t>
      </w:r>
      <w:r w:rsidRPr="0086376C">
        <w:t>A credit rating with a stable outlook from both major international credit rating agencies</w:t>
      </w:r>
      <w:r w:rsidRPr="00B77691">
        <w:t>.</w:t>
      </w:r>
    </w:p>
    <w:p w:rsidR="000B4A1E" w:rsidRDefault="000B4A1E" w:rsidP="00265CBB">
      <w:pPr>
        <w:pStyle w:val="Heading1"/>
      </w:pPr>
      <w:bookmarkStart w:id="2" w:name="_Toc367967884"/>
      <w:r>
        <w:t xml:space="preserve">Fiscal </w:t>
      </w:r>
      <w:r w:rsidRPr="00110EBA">
        <w:t>objectives</w:t>
      </w:r>
      <w:bookmarkEnd w:id="2"/>
    </w:p>
    <w:p w:rsidR="000B4A1E" w:rsidRDefault="000B4A1E" w:rsidP="00517E51">
      <w:r>
        <w:t>The 2012</w:t>
      </w:r>
      <w:r>
        <w:noBreakHyphen/>
        <w:t xml:space="preserve">13 year saw continued economic growth and lower revenue growth compared to recent years. </w:t>
      </w:r>
      <w:r w:rsidRPr="00B7707D">
        <w:t>Against th</w:t>
      </w:r>
      <w:r>
        <w:t>e</w:t>
      </w:r>
      <w:r w:rsidRPr="00B7707D">
        <w:t xml:space="preserve"> backdrop </w:t>
      </w:r>
      <w:r>
        <w:t xml:space="preserve">of weaker revenue growth, </w:t>
      </w:r>
      <w:r w:rsidRPr="00B7707D">
        <w:t>the Governm</w:t>
      </w:r>
      <w:r>
        <w:t>ent continued</w:t>
      </w:r>
      <w:r w:rsidRPr="00B7707D">
        <w:t xml:space="preserve"> to deliver its commitment to </w:t>
      </w:r>
      <w:r>
        <w:t xml:space="preserve">prudent </w:t>
      </w:r>
      <w:r w:rsidRPr="00B7707D">
        <w:t>expenditure restrain</w:t>
      </w:r>
      <w:r>
        <w:t>t.</w:t>
      </w:r>
    </w:p>
    <w:p w:rsidR="000B4A1E" w:rsidRDefault="000B4A1E" w:rsidP="00517E51">
      <w:r w:rsidRPr="00837FEE">
        <w:t>The</w:t>
      </w:r>
      <w:r>
        <w:t xml:space="preserve"> Government’s commitment to responsible expenditure restraint is evident in the </w:t>
      </w:r>
      <w:r w:rsidRPr="00837FEE">
        <w:t xml:space="preserve">operating surplus and </w:t>
      </w:r>
      <w:r w:rsidRPr="006B755B">
        <w:t xml:space="preserve">net debt </w:t>
      </w:r>
      <w:r>
        <w:t xml:space="preserve">level </w:t>
      </w:r>
      <w:r w:rsidRPr="006B755B">
        <w:t>in 2012-13</w:t>
      </w:r>
      <w:r>
        <w:t>. These results</w:t>
      </w:r>
      <w:r w:rsidRPr="008429B2">
        <w:t xml:space="preserve"> provid</w:t>
      </w:r>
      <w:r>
        <w:t xml:space="preserve">e </w:t>
      </w:r>
      <w:r w:rsidRPr="008429B2">
        <w:t>a foundation for improved investment in infrastructure and service delivery.</w:t>
      </w:r>
      <w:r>
        <w:t xml:space="preserve"> </w:t>
      </w:r>
      <w:r w:rsidRPr="0085374D">
        <w:t>Victoria</w:t>
      </w:r>
      <w:r>
        <w:t>’</w:t>
      </w:r>
      <w:r w:rsidRPr="0085374D">
        <w:t>s public finances are the strongest in Australia</w:t>
      </w:r>
      <w:r>
        <w:t xml:space="preserve"> and it </w:t>
      </w:r>
      <w:r w:rsidRPr="00B77691">
        <w:t>is t</w:t>
      </w:r>
      <w:r>
        <w:t>he only jurisdiction</w:t>
      </w:r>
      <w:r w:rsidRPr="00B77691">
        <w:t xml:space="preserve"> to be forecasting a budget surplus in </w:t>
      </w:r>
      <w:r>
        <w:t>the budget year and</w:t>
      </w:r>
      <w:r w:rsidRPr="00B77691">
        <w:t xml:space="preserve"> over the forward estimates</w:t>
      </w:r>
      <w:r>
        <w:t>.</w:t>
      </w:r>
      <w:r w:rsidRPr="00B77691">
        <w:t xml:space="preserve"> </w:t>
      </w:r>
      <w:r>
        <w:t xml:space="preserve">Victoria is </w:t>
      </w:r>
      <w:r w:rsidRPr="0085374D">
        <w:t>the only Au</w:t>
      </w:r>
      <w:r>
        <w:t>stralian state to hold a triple</w:t>
      </w:r>
      <w:r>
        <w:noBreakHyphen/>
      </w:r>
      <w:r w:rsidRPr="0085374D">
        <w:t>A credit rating with a stable outlook from both major international cred</w:t>
      </w:r>
      <w:r>
        <w:t>it rating agencies, recognising</w:t>
      </w:r>
      <w:r w:rsidRPr="0085374D">
        <w:t xml:space="preserve"> the Government</w:t>
      </w:r>
      <w:r>
        <w:t>’</w:t>
      </w:r>
      <w:r w:rsidRPr="0085374D">
        <w:t>s disciplined approach to fiscal management.</w:t>
      </w:r>
    </w:p>
    <w:p w:rsidR="000B4A1E" w:rsidRDefault="000B4A1E" w:rsidP="00517E51">
      <w:r>
        <w:t xml:space="preserve">Fiscal aggregates are useful for assessing the impact of the financial transactions of government and its controlled agencies on the economy. These measures are derived from the audited financial statements in Chapter 4. Five operating fiscal aggregate measures are shown in Table 2.1. </w:t>
      </w:r>
    </w:p>
    <w:p w:rsidR="000B4A1E" w:rsidRDefault="000B4A1E">
      <w:pPr>
        <w:spacing w:after="0"/>
        <w:rPr>
          <w:rFonts w:ascii="Calibri" w:hAnsi="Calibri"/>
          <w:b/>
          <w:sz w:val="25"/>
        </w:rPr>
      </w:pPr>
      <w:r>
        <w:br w:type="page"/>
      </w:r>
    </w:p>
    <w:p w:rsidR="000B4A1E" w:rsidRDefault="000B4A1E" w:rsidP="00517E51">
      <w:pPr>
        <w:pStyle w:val="Tableheading"/>
      </w:pPr>
      <w:r w:rsidRPr="008309B7">
        <w:lastRenderedPageBreak/>
        <w:t>Table 2.1:</w:t>
      </w:r>
      <w:r w:rsidRPr="008309B7">
        <w:tab/>
        <w:t>Key fiscal aggregates</w:t>
      </w:r>
    </w:p>
    <w:p w:rsidR="000B4A1E" w:rsidRPr="00071AC1" w:rsidRDefault="000B4A1E" w:rsidP="00517E51">
      <w:pPr>
        <w:pStyle w:val="million"/>
        <w:keepNext/>
      </w:pPr>
      <w:r>
        <w:t>($ million)</w:t>
      </w:r>
    </w:p>
    <w:tbl>
      <w:tblPr>
        <w:tblW w:w="9648" w:type="dxa"/>
        <w:tblInd w:w="29" w:type="dxa"/>
        <w:tblLayout w:type="fixed"/>
        <w:tblCellMar>
          <w:left w:w="43" w:type="dxa"/>
          <w:right w:w="43" w:type="dxa"/>
        </w:tblCellMar>
        <w:tblLook w:val="0000" w:firstRow="0" w:lastRow="0" w:firstColumn="0" w:lastColumn="0" w:noHBand="0" w:noVBand="0"/>
      </w:tblPr>
      <w:tblGrid>
        <w:gridCol w:w="6279"/>
        <w:gridCol w:w="1123"/>
        <w:gridCol w:w="1123"/>
        <w:gridCol w:w="1123"/>
      </w:tblGrid>
      <w:tr w:rsidR="000B4A1E" w:rsidRPr="00071AC1" w:rsidTr="00517E51">
        <w:tc>
          <w:tcPr>
            <w:tcW w:w="6279" w:type="dxa"/>
            <w:tcBorders>
              <w:top w:val="single" w:sz="4" w:space="0" w:color="auto"/>
              <w:left w:val="single" w:sz="4" w:space="0" w:color="auto"/>
              <w:bottom w:val="nil"/>
              <w:right w:val="nil"/>
            </w:tcBorders>
            <w:shd w:val="clear" w:color="auto" w:fill="000000"/>
          </w:tcPr>
          <w:p w:rsidR="000B4A1E" w:rsidRPr="00071AC1" w:rsidRDefault="000B4A1E" w:rsidP="00517E51">
            <w:pPr>
              <w:pStyle w:val="Tabletext"/>
              <w:rPr>
                <w:rFonts w:eastAsiaTheme="minorEastAsia"/>
                <w:lang w:eastAsia="en-AU"/>
              </w:rPr>
            </w:pPr>
            <w:r w:rsidRPr="00071AC1">
              <w:rPr>
                <w:rFonts w:eastAsiaTheme="minorEastAsia"/>
                <w:lang w:eastAsia="en-AU"/>
              </w:rPr>
              <w:t xml:space="preserve"> </w:t>
            </w:r>
          </w:p>
        </w:tc>
        <w:tc>
          <w:tcPr>
            <w:tcW w:w="1123" w:type="dxa"/>
            <w:tcBorders>
              <w:top w:val="single" w:sz="4" w:space="0" w:color="auto"/>
              <w:left w:val="nil"/>
              <w:bottom w:val="nil"/>
              <w:right w:val="nil"/>
            </w:tcBorders>
            <w:shd w:val="clear" w:color="auto" w:fill="000000"/>
          </w:tcPr>
          <w:p w:rsidR="000B4A1E" w:rsidRPr="00071AC1" w:rsidRDefault="000B4A1E" w:rsidP="00517E51">
            <w:pPr>
              <w:pStyle w:val="Tabletextheading"/>
              <w:rPr>
                <w:rFonts w:eastAsiaTheme="minorEastAsia"/>
                <w:lang w:eastAsia="en-AU"/>
              </w:rPr>
            </w:pPr>
            <w:r w:rsidRPr="00071AC1">
              <w:rPr>
                <w:rFonts w:eastAsiaTheme="minorEastAsia"/>
                <w:lang w:eastAsia="en-AU"/>
              </w:rPr>
              <w:t>2012-13  Actual</w:t>
            </w:r>
          </w:p>
        </w:tc>
        <w:tc>
          <w:tcPr>
            <w:tcW w:w="1123" w:type="dxa"/>
            <w:tcBorders>
              <w:top w:val="single" w:sz="4" w:space="0" w:color="auto"/>
              <w:left w:val="nil"/>
              <w:bottom w:val="nil"/>
              <w:right w:val="nil"/>
            </w:tcBorders>
            <w:shd w:val="clear" w:color="auto" w:fill="000000"/>
          </w:tcPr>
          <w:p w:rsidR="000B4A1E" w:rsidRPr="00071AC1" w:rsidRDefault="000B4A1E" w:rsidP="00517E51">
            <w:pPr>
              <w:pStyle w:val="Tabletextheading"/>
              <w:rPr>
                <w:rFonts w:eastAsiaTheme="minorEastAsia"/>
                <w:lang w:eastAsia="en-AU"/>
              </w:rPr>
            </w:pPr>
            <w:r w:rsidRPr="00071AC1">
              <w:rPr>
                <w:rFonts w:eastAsiaTheme="minorEastAsia"/>
                <w:lang w:eastAsia="en-AU"/>
              </w:rPr>
              <w:t>2012-13 Revised</w:t>
            </w:r>
          </w:p>
        </w:tc>
        <w:tc>
          <w:tcPr>
            <w:tcW w:w="1123" w:type="dxa"/>
            <w:tcBorders>
              <w:top w:val="single" w:sz="4" w:space="0" w:color="auto"/>
              <w:left w:val="nil"/>
              <w:bottom w:val="nil"/>
              <w:right w:val="single" w:sz="4" w:space="0" w:color="auto"/>
            </w:tcBorders>
            <w:shd w:val="clear" w:color="auto" w:fill="000000"/>
          </w:tcPr>
          <w:p w:rsidR="000B4A1E" w:rsidRPr="00071AC1" w:rsidRDefault="000B4A1E" w:rsidP="00517E51">
            <w:pPr>
              <w:pStyle w:val="Tabletextheading"/>
              <w:rPr>
                <w:rFonts w:eastAsiaTheme="minorEastAsia"/>
                <w:lang w:eastAsia="en-AU"/>
              </w:rPr>
            </w:pPr>
            <w:r w:rsidRPr="00071AC1">
              <w:rPr>
                <w:rFonts w:eastAsiaTheme="minorEastAsia"/>
                <w:lang w:eastAsia="en-AU"/>
              </w:rPr>
              <w:t>2011-12 Actual</w:t>
            </w:r>
          </w:p>
        </w:tc>
      </w:tr>
      <w:tr w:rsidR="000B4A1E" w:rsidRPr="00071AC1" w:rsidTr="00517E51">
        <w:tc>
          <w:tcPr>
            <w:tcW w:w="6279" w:type="dxa"/>
            <w:tcBorders>
              <w:top w:val="single" w:sz="4" w:space="0" w:color="auto"/>
              <w:left w:val="nil"/>
              <w:bottom w:val="nil"/>
              <w:right w:val="nil"/>
            </w:tcBorders>
          </w:tcPr>
          <w:p w:rsidR="000B4A1E" w:rsidRPr="00071AC1" w:rsidRDefault="000B4A1E" w:rsidP="00517E51">
            <w:pPr>
              <w:pStyle w:val="Tabletext"/>
              <w:rPr>
                <w:rFonts w:eastAsiaTheme="minorEastAsia"/>
                <w:b/>
                <w:bCs/>
                <w:color w:val="000000"/>
                <w:lang w:eastAsia="en-AU"/>
              </w:rPr>
            </w:pPr>
            <w:r w:rsidRPr="00071AC1">
              <w:rPr>
                <w:rFonts w:eastAsiaTheme="minorEastAsia"/>
                <w:b/>
                <w:bCs/>
                <w:color w:val="000000"/>
                <w:lang w:eastAsia="en-AU"/>
              </w:rPr>
              <w:t>Operating fiscal aggregates</w:t>
            </w:r>
          </w:p>
        </w:tc>
        <w:tc>
          <w:tcPr>
            <w:tcW w:w="1123" w:type="dxa"/>
            <w:tcBorders>
              <w:top w:val="single" w:sz="4" w:space="0" w:color="auto"/>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w:t>
            </w:r>
          </w:p>
        </w:tc>
        <w:tc>
          <w:tcPr>
            <w:tcW w:w="1123" w:type="dxa"/>
            <w:tcBorders>
              <w:top w:val="single" w:sz="4" w:space="0" w:color="auto"/>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w:t>
            </w:r>
          </w:p>
        </w:tc>
        <w:tc>
          <w:tcPr>
            <w:tcW w:w="1123" w:type="dxa"/>
            <w:tcBorders>
              <w:top w:val="single" w:sz="4" w:space="0" w:color="auto"/>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w:t>
            </w:r>
          </w:p>
        </w:tc>
      </w:tr>
      <w:tr w:rsidR="000B4A1E" w:rsidRPr="00071AC1" w:rsidTr="00517E51">
        <w:tc>
          <w:tcPr>
            <w:tcW w:w="6279" w:type="dxa"/>
            <w:tcBorders>
              <w:top w:val="nil"/>
              <w:left w:val="nil"/>
              <w:bottom w:val="nil"/>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Net result from transactions – net operating balance</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316.4</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177.0</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571.2</w:t>
            </w:r>
          </w:p>
        </w:tc>
      </w:tr>
      <w:tr w:rsidR="000B4A1E" w:rsidRPr="00071AC1" w:rsidTr="00517E51">
        <w:tc>
          <w:tcPr>
            <w:tcW w:w="6279" w:type="dxa"/>
            <w:tcBorders>
              <w:top w:val="nil"/>
              <w:left w:val="nil"/>
              <w:bottom w:val="nil"/>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Net result</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7 413.8</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3 384.7</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(9 652.9)</w:t>
            </w:r>
          </w:p>
        </w:tc>
      </w:tr>
      <w:tr w:rsidR="000B4A1E" w:rsidRPr="00071AC1" w:rsidTr="00517E51">
        <w:tc>
          <w:tcPr>
            <w:tcW w:w="6279" w:type="dxa"/>
            <w:tcBorders>
              <w:top w:val="nil"/>
              <w:left w:val="nil"/>
              <w:bottom w:val="nil"/>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Net borrowing</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(2 367.6)</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(2 289.6)</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(1 710.5)</w:t>
            </w:r>
          </w:p>
        </w:tc>
      </w:tr>
      <w:tr w:rsidR="000B4A1E" w:rsidRPr="00071AC1" w:rsidTr="00517E51">
        <w:tc>
          <w:tcPr>
            <w:tcW w:w="6279" w:type="dxa"/>
            <w:tcBorders>
              <w:top w:val="nil"/>
              <w:left w:val="nil"/>
              <w:bottom w:val="nil"/>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Comprehensive result – total change in net worth</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8 193.5</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4 263.2</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(7 960.6)</w:t>
            </w:r>
          </w:p>
        </w:tc>
      </w:tr>
      <w:tr w:rsidR="000B4A1E" w:rsidRPr="00071AC1" w:rsidTr="00517E51">
        <w:tc>
          <w:tcPr>
            <w:tcW w:w="6279" w:type="dxa"/>
            <w:tcBorders>
              <w:top w:val="nil"/>
              <w:left w:val="nil"/>
              <w:bottom w:val="single" w:sz="6" w:space="0" w:color="auto"/>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Cash deficit</w:t>
            </w:r>
          </w:p>
        </w:tc>
        <w:tc>
          <w:tcPr>
            <w:tcW w:w="1123"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(2 192.9)</w:t>
            </w:r>
          </w:p>
        </w:tc>
        <w:tc>
          <w:tcPr>
            <w:tcW w:w="1123"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(1 957.2)</w:t>
            </w:r>
          </w:p>
        </w:tc>
        <w:tc>
          <w:tcPr>
            <w:tcW w:w="1123"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( 640.3)</w:t>
            </w:r>
          </w:p>
        </w:tc>
      </w:tr>
      <w:tr w:rsidR="000B4A1E" w:rsidRPr="00071AC1" w:rsidTr="00517E51">
        <w:tc>
          <w:tcPr>
            <w:tcW w:w="6279" w:type="dxa"/>
            <w:tcBorders>
              <w:top w:val="nil"/>
              <w:left w:val="nil"/>
              <w:bottom w:val="nil"/>
              <w:right w:val="nil"/>
            </w:tcBorders>
          </w:tcPr>
          <w:p w:rsidR="000B4A1E" w:rsidRPr="00071AC1" w:rsidRDefault="000B4A1E" w:rsidP="00517E51">
            <w:pPr>
              <w:pStyle w:val="Tabletext"/>
              <w:rPr>
                <w:rFonts w:eastAsiaTheme="minorEastAsia"/>
                <w:b/>
                <w:bCs/>
                <w:color w:val="000000"/>
                <w:lang w:eastAsia="en-AU"/>
              </w:rPr>
            </w:pPr>
            <w:r w:rsidRPr="00071AC1">
              <w:rPr>
                <w:rFonts w:eastAsiaTheme="minorEastAsia"/>
                <w:b/>
                <w:bCs/>
                <w:color w:val="000000"/>
                <w:lang w:eastAsia="en-AU"/>
              </w:rPr>
              <w:t>Balance sheet aggregates</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w:t>
            </w:r>
          </w:p>
        </w:tc>
      </w:tr>
      <w:tr w:rsidR="000B4A1E" w:rsidRPr="00071AC1" w:rsidTr="00517E51">
        <w:tc>
          <w:tcPr>
            <w:tcW w:w="6279" w:type="dxa"/>
            <w:tcBorders>
              <w:top w:val="nil"/>
              <w:left w:val="nil"/>
              <w:bottom w:val="nil"/>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Net worth</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119 957.2</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114 979.1</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111 763.7</w:t>
            </w:r>
          </w:p>
        </w:tc>
      </w:tr>
      <w:tr w:rsidR="000B4A1E" w:rsidRPr="00071AC1" w:rsidTr="00517E51">
        <w:tc>
          <w:tcPr>
            <w:tcW w:w="6279" w:type="dxa"/>
            <w:tcBorders>
              <w:top w:val="nil"/>
              <w:left w:val="nil"/>
              <w:bottom w:val="nil"/>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 xml:space="preserve">Net financial worth </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17 864.7</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13 916.2</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12 777.7</w:t>
            </w:r>
          </w:p>
        </w:tc>
      </w:tr>
      <w:tr w:rsidR="000B4A1E" w:rsidRPr="00071AC1" w:rsidTr="00517E51">
        <w:tc>
          <w:tcPr>
            <w:tcW w:w="6279" w:type="dxa"/>
            <w:tcBorders>
              <w:top w:val="nil"/>
              <w:left w:val="nil"/>
              <w:bottom w:val="nil"/>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Net financial liabilities</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51 624.7</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55 835.9</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54 736.1</w:t>
            </w:r>
          </w:p>
        </w:tc>
      </w:tr>
      <w:tr w:rsidR="000B4A1E" w:rsidRPr="00071AC1" w:rsidTr="00517E51">
        <w:tc>
          <w:tcPr>
            <w:tcW w:w="6279" w:type="dxa"/>
            <w:tcBorders>
              <w:top w:val="nil"/>
              <w:left w:val="nil"/>
              <w:bottom w:val="single" w:sz="12" w:space="0" w:color="auto"/>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Net debt</w:t>
            </w:r>
          </w:p>
        </w:tc>
        <w:tc>
          <w:tcPr>
            <w:tcW w:w="1123" w:type="dxa"/>
            <w:tcBorders>
              <w:top w:val="nil"/>
              <w:left w:val="nil"/>
              <w:bottom w:val="single" w:sz="12" w:space="0" w:color="auto"/>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19 822.1</w:t>
            </w:r>
          </w:p>
        </w:tc>
        <w:tc>
          <w:tcPr>
            <w:tcW w:w="1123" w:type="dxa"/>
            <w:tcBorders>
              <w:top w:val="nil"/>
              <w:left w:val="nil"/>
              <w:bottom w:val="single" w:sz="12" w:space="0" w:color="auto"/>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19 840.4</w:t>
            </w:r>
          </w:p>
        </w:tc>
        <w:tc>
          <w:tcPr>
            <w:tcW w:w="1123" w:type="dxa"/>
            <w:tcBorders>
              <w:top w:val="nil"/>
              <w:left w:val="nil"/>
              <w:bottom w:val="single" w:sz="12" w:space="0" w:color="auto"/>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15 236.9</w:t>
            </w:r>
          </w:p>
        </w:tc>
      </w:tr>
    </w:tbl>
    <w:p w:rsidR="000B4A1E" w:rsidRDefault="000B4A1E" w:rsidP="00517E51">
      <w:pPr>
        <w:pStyle w:val="Source"/>
      </w:pPr>
      <w:r w:rsidRPr="00110EBA">
        <w:t>Source: Department of Treasury and Finance</w:t>
      </w:r>
    </w:p>
    <w:p w:rsidR="000B4A1E" w:rsidRDefault="000B4A1E" w:rsidP="00517E51">
      <w:r>
        <w:t xml:space="preserve">The Government achieved its </w:t>
      </w:r>
      <w:r w:rsidRPr="00CB7C66">
        <w:rPr>
          <w:b/>
        </w:rPr>
        <w:t>net result</w:t>
      </w:r>
      <w:r w:rsidRPr="00CB7C66">
        <w:t xml:space="preserve"> </w:t>
      </w:r>
      <w:r w:rsidRPr="00CB7C66">
        <w:rPr>
          <w:b/>
        </w:rPr>
        <w:t>from transactions</w:t>
      </w:r>
      <w:r>
        <w:t xml:space="preserve"> target of at least $100 million with a surplus of $316 million, </w:t>
      </w:r>
      <w:r w:rsidRPr="00AA0835">
        <w:t>$</w:t>
      </w:r>
      <w:r>
        <w:t>139 million</w:t>
      </w:r>
      <w:r w:rsidRPr="00AA0835">
        <w:t xml:space="preserve"> higher than the revised 2012</w:t>
      </w:r>
      <w:r>
        <w:noBreakHyphen/>
      </w:r>
      <w:r w:rsidRPr="00AA0835">
        <w:t>13 estimate</w:t>
      </w:r>
      <w:r>
        <w:t>.</w:t>
      </w:r>
    </w:p>
    <w:p w:rsidR="000B4A1E" w:rsidRPr="003C1AE2" w:rsidRDefault="000B4A1E" w:rsidP="00517E51">
      <w:r>
        <w:t xml:space="preserve">The </w:t>
      </w:r>
      <w:r w:rsidRPr="00CB7C66">
        <w:rPr>
          <w:b/>
        </w:rPr>
        <w:t>net result</w:t>
      </w:r>
      <w:r>
        <w:t xml:space="preserve"> is a further measure of financial performance for the period, </w:t>
      </w:r>
      <w:r w:rsidRPr="00BC6428">
        <w:t>including the impact of financial market movements on the measurement of assets and liabilities</w:t>
      </w:r>
      <w:r>
        <w:t>. The 2012-13 outcome shows that the performance of the general government sector using this measure</w:t>
      </w:r>
      <w:r w:rsidRPr="003C1AE2">
        <w:t xml:space="preserve"> has improved since 2011-12, moving from a deficit of $9.7</w:t>
      </w:r>
      <w:r>
        <w:t> billion</w:t>
      </w:r>
      <w:r w:rsidRPr="003C1AE2">
        <w:t xml:space="preserve"> to a surplus of $7.4</w:t>
      </w:r>
      <w:r>
        <w:t> billion</w:t>
      </w:r>
      <w:r w:rsidRPr="003C1AE2">
        <w:t>. This was</w:t>
      </w:r>
      <w:r>
        <w:t xml:space="preserve"> mainly</w:t>
      </w:r>
      <w:r w:rsidRPr="003C1AE2">
        <w:t xml:space="preserve"> driven by other economic flows, in particular net gains of superannuation defined benefits plans.</w:t>
      </w:r>
    </w:p>
    <w:p w:rsidR="000B4A1E" w:rsidRPr="003C1AE2" w:rsidRDefault="000B4A1E" w:rsidP="00517E51">
      <w:r w:rsidRPr="003C1AE2">
        <w:t xml:space="preserve">The </w:t>
      </w:r>
      <w:r w:rsidRPr="00CB7C66">
        <w:rPr>
          <w:b/>
        </w:rPr>
        <w:t>net borrowing</w:t>
      </w:r>
      <w:r w:rsidRPr="003C1AE2">
        <w:t xml:space="preserve"> measure </w:t>
      </w:r>
      <w:r>
        <w:t xml:space="preserve">broadly </w:t>
      </w:r>
      <w:r w:rsidRPr="003C1AE2">
        <w:t>reflects the</w:t>
      </w:r>
      <w:r>
        <w:t xml:space="preserve"> net</w:t>
      </w:r>
      <w:r w:rsidRPr="003C1AE2">
        <w:t xml:space="preserve"> impact of the general government sector</w:t>
      </w:r>
      <w:r w:rsidRPr="005C5F75">
        <w:t xml:space="preserve"> on the economy and financial markets</w:t>
      </w:r>
      <w:r w:rsidRPr="003C1AE2">
        <w:t xml:space="preserve">, including </w:t>
      </w:r>
      <w:r>
        <w:t xml:space="preserve">the impact of </w:t>
      </w:r>
      <w:r w:rsidRPr="003C1AE2">
        <w:t xml:space="preserve">operating and capital investing transactions. </w:t>
      </w:r>
      <w:r>
        <w:t>N</w:t>
      </w:r>
      <w:r w:rsidRPr="003C1AE2">
        <w:t>et borrowing for 2012</w:t>
      </w:r>
      <w:r w:rsidRPr="003C1AE2">
        <w:noBreakHyphen/>
        <w:t>13 was $2.</w:t>
      </w:r>
      <w:r>
        <w:t>4 billion</w:t>
      </w:r>
      <w:r w:rsidRPr="003C1AE2">
        <w:t>, in line with revised budget expectations</w:t>
      </w:r>
      <w:r>
        <w:t xml:space="preserve"> and</w:t>
      </w:r>
      <w:r w:rsidRPr="003C1AE2">
        <w:t xml:space="preserve"> $</w:t>
      </w:r>
      <w:r>
        <w:t>657 million</w:t>
      </w:r>
      <w:r w:rsidRPr="003C1AE2">
        <w:t xml:space="preserve"> higher than the 2011</w:t>
      </w:r>
      <w:r w:rsidRPr="003C1AE2">
        <w:noBreakHyphen/>
        <w:t xml:space="preserve">12 financial year result, </w:t>
      </w:r>
      <w:r>
        <w:t>reflecting</w:t>
      </w:r>
      <w:r w:rsidRPr="003C1AE2">
        <w:t xml:space="preserve"> the Government</w:t>
      </w:r>
      <w:r>
        <w:t>’</w:t>
      </w:r>
      <w:r w:rsidRPr="003C1AE2">
        <w:t xml:space="preserve">s commitment to infrastructure investment to meet community needs. </w:t>
      </w:r>
    </w:p>
    <w:p w:rsidR="000B4A1E" w:rsidRPr="003C1AE2" w:rsidRDefault="000B4A1E" w:rsidP="00517E51">
      <w:r w:rsidRPr="003C1AE2">
        <w:t xml:space="preserve">The </w:t>
      </w:r>
      <w:r w:rsidRPr="00CB7C66">
        <w:rPr>
          <w:b/>
        </w:rPr>
        <w:t>comprehensive result – total change in net worth</w:t>
      </w:r>
      <w:r w:rsidRPr="003C1AE2">
        <w:t xml:space="preserve"> in 2012</w:t>
      </w:r>
      <w:r w:rsidRPr="003C1AE2">
        <w:noBreakHyphen/>
        <w:t>13 was a gain of $</w:t>
      </w:r>
      <w:r>
        <w:t>8.2 billion</w:t>
      </w:r>
      <w:r w:rsidRPr="003C1AE2">
        <w:t>, compared to a loss of $8.0</w:t>
      </w:r>
      <w:r>
        <w:t> billion</w:t>
      </w:r>
      <w:r w:rsidRPr="003C1AE2">
        <w:t xml:space="preserve"> for the 2011-12 financial year. This mainly reflects the impact of financial market conditions (bond rates) on the valuation of the State</w:t>
      </w:r>
      <w:r>
        <w:t>’</w:t>
      </w:r>
      <w:r w:rsidRPr="003C1AE2">
        <w:t>s superannuation liabilities at the respective reporting dates. Compared to the 2012-13 revised budget, the result is $4</w:t>
      </w:r>
      <w:r>
        <w:t>.0 billion</w:t>
      </w:r>
      <w:r w:rsidRPr="003C1AE2">
        <w:t xml:space="preserve"> higher than expected, primarily due to favourable bond rate movements.</w:t>
      </w:r>
    </w:p>
    <w:p w:rsidR="000B4A1E" w:rsidRPr="003C1AE2" w:rsidRDefault="000B4A1E" w:rsidP="00517E51">
      <w:r w:rsidRPr="003C1AE2">
        <w:t xml:space="preserve">The </w:t>
      </w:r>
      <w:r w:rsidRPr="00CB7C66">
        <w:rPr>
          <w:b/>
        </w:rPr>
        <w:t>cash deficit</w:t>
      </w:r>
      <w:r w:rsidRPr="003C1AE2">
        <w:t xml:space="preserve">  </w:t>
      </w:r>
      <w:r w:rsidRPr="005C5F75">
        <w:t>reflects the sum of net cash</w:t>
      </w:r>
      <w:r>
        <w:t xml:space="preserve"> </w:t>
      </w:r>
      <w:r w:rsidRPr="005C5F75">
        <w:t>flows from operating a</w:t>
      </w:r>
      <w:r>
        <w:t>nd capital investing activities. In </w:t>
      </w:r>
      <w:r w:rsidRPr="003C1AE2">
        <w:t xml:space="preserve">2012-13 </w:t>
      </w:r>
      <w:r>
        <w:t>it was</w:t>
      </w:r>
      <w:r w:rsidRPr="003C1AE2">
        <w:t xml:space="preserve"> broadly in line with the revised budget and $1.5</w:t>
      </w:r>
      <w:r>
        <w:t> billion higher</w:t>
      </w:r>
      <w:r w:rsidRPr="003C1AE2">
        <w:t xml:space="preserve"> than 2011-12. The </w:t>
      </w:r>
      <w:r>
        <w:t>increase</w:t>
      </w:r>
      <w:r w:rsidRPr="003C1AE2">
        <w:t xml:space="preserve"> since the previous year was driven by net cash flows from operating activities.</w:t>
      </w:r>
    </w:p>
    <w:p w:rsidR="000B4A1E" w:rsidRPr="003C1AE2" w:rsidRDefault="000B4A1E" w:rsidP="00517E51">
      <w:r w:rsidRPr="00CB7C66">
        <w:rPr>
          <w:b/>
        </w:rPr>
        <w:t>Net worth</w:t>
      </w:r>
      <w:r w:rsidRPr="003C1AE2">
        <w:t xml:space="preserve"> </w:t>
      </w:r>
      <w:r>
        <w:t>i</w:t>
      </w:r>
      <w:r w:rsidRPr="003C1AE2">
        <w:t>s a measure of economic wealth and is equal to net assets outlined in Table 2.4. The general government sector net worth increased by $8.2</w:t>
      </w:r>
      <w:r>
        <w:t> billion</w:t>
      </w:r>
      <w:r w:rsidRPr="003C1AE2">
        <w:t xml:space="preserve"> since </w:t>
      </w:r>
      <w:r>
        <w:t>30 June 2012</w:t>
      </w:r>
      <w:r w:rsidRPr="003C1AE2">
        <w:t xml:space="preserve">. The movement in net worth </w:t>
      </w:r>
      <w:r>
        <w:t>was</w:t>
      </w:r>
      <w:r w:rsidRPr="005C5F75">
        <w:t xml:space="preserve"> significantly influenced by</w:t>
      </w:r>
      <w:r w:rsidRPr="003C1AE2">
        <w:t xml:space="preserve"> the increase</w:t>
      </w:r>
      <w:r>
        <w:t xml:space="preserve"> in</w:t>
      </w:r>
      <w:r w:rsidRPr="003C1AE2">
        <w:t xml:space="preserve"> </w:t>
      </w:r>
      <w:r w:rsidRPr="00CB7C66">
        <w:rPr>
          <w:b/>
        </w:rPr>
        <w:t>net financial worth</w:t>
      </w:r>
      <w:r w:rsidRPr="00EA4853">
        <w:t xml:space="preserve">, </w:t>
      </w:r>
      <w:r w:rsidRPr="003C1AE2">
        <w:t>which is equal to total financial assets less total liabilities. During 2012</w:t>
      </w:r>
      <w:r w:rsidRPr="003C1AE2">
        <w:noBreakHyphen/>
        <w:t>13, net f</w:t>
      </w:r>
      <w:r>
        <w:t>inancial worth increased by $5.1 billion</w:t>
      </w:r>
      <w:r w:rsidRPr="003C1AE2">
        <w:t xml:space="preserve"> to $</w:t>
      </w:r>
      <w:r>
        <w:t>17.9 billion</w:t>
      </w:r>
      <w:r w:rsidRPr="003C1AE2">
        <w:t>, primarily driven by</w:t>
      </w:r>
      <w:r>
        <w:t xml:space="preserve"> a reduction in the superannuation liability</w:t>
      </w:r>
      <w:r w:rsidRPr="003C1AE2">
        <w:t xml:space="preserve">. </w:t>
      </w:r>
    </w:p>
    <w:p w:rsidR="000B4A1E" w:rsidRPr="00AA0835" w:rsidRDefault="000B4A1E" w:rsidP="00517E51">
      <w:r w:rsidRPr="00CB7C66">
        <w:rPr>
          <w:b/>
        </w:rPr>
        <w:t>Net financial liabilities</w:t>
      </w:r>
      <w:r w:rsidRPr="003C1AE2">
        <w:t xml:space="preserve"> are total liabilities less financial assets (excluding investments in other sector entities). Net financial liabilities were</w:t>
      </w:r>
      <w:r>
        <w:t xml:space="preserve"> $51.6 billion</w:t>
      </w:r>
      <w:r w:rsidRPr="003C1AE2">
        <w:t xml:space="preserve"> as at 30 June 2013, decreasing by $3.1</w:t>
      </w:r>
      <w:r>
        <w:t> billion</w:t>
      </w:r>
      <w:r w:rsidRPr="003C1AE2">
        <w:t xml:space="preserve"> compared to </w:t>
      </w:r>
      <w:r>
        <w:t xml:space="preserve">the </w:t>
      </w:r>
      <w:r w:rsidRPr="003C1AE2">
        <w:t>2011-12</w:t>
      </w:r>
      <w:r>
        <w:t xml:space="preserve"> result</w:t>
      </w:r>
      <w:r w:rsidRPr="003C1AE2">
        <w:t xml:space="preserve">. This was due largely to the same factors that impacted on the net financial worth </w:t>
      </w:r>
      <w:r>
        <w:t>and the factors impacting net debt</w:t>
      </w:r>
      <w:r w:rsidRPr="003C1AE2">
        <w:t>.</w:t>
      </w:r>
    </w:p>
    <w:p w:rsidR="000B4A1E" w:rsidRDefault="000B4A1E">
      <w:pPr>
        <w:spacing w:after="0"/>
        <w:rPr>
          <w:b/>
          <w:i/>
        </w:rPr>
      </w:pPr>
      <w:r>
        <w:rPr>
          <w:b/>
          <w:i/>
        </w:rPr>
        <w:br w:type="page"/>
      </w:r>
    </w:p>
    <w:p w:rsidR="000B4A1E" w:rsidRPr="002F1FA0" w:rsidRDefault="000B4A1E" w:rsidP="00517E51">
      <w:r w:rsidRPr="00CB7C66">
        <w:rPr>
          <w:b/>
        </w:rPr>
        <w:lastRenderedPageBreak/>
        <w:t>Net debt</w:t>
      </w:r>
      <w:r w:rsidRPr="00381D68">
        <w:rPr>
          <w:i/>
        </w:rPr>
        <w:t xml:space="preserve"> </w:t>
      </w:r>
      <w:r w:rsidRPr="00B75A94">
        <w:t>is gross</w:t>
      </w:r>
      <w:r>
        <w:t xml:space="preserve"> debt less </w:t>
      </w:r>
      <w:r w:rsidRPr="00AA0835">
        <w:t xml:space="preserve">liquid financial assets. </w:t>
      </w:r>
      <w:r>
        <w:t>The n</w:t>
      </w:r>
      <w:r w:rsidRPr="00AA0835">
        <w:t>et debt</w:t>
      </w:r>
      <w:r>
        <w:t xml:space="preserve"> outcome is consistent with </w:t>
      </w:r>
      <w:r w:rsidRPr="005D0E1A">
        <w:t>the revised budget expectations for 2012-13</w:t>
      </w:r>
      <w:r>
        <w:t xml:space="preserve"> at</w:t>
      </w:r>
      <w:r w:rsidRPr="005D0E1A">
        <w:t xml:space="preserve"> $19.8</w:t>
      </w:r>
      <w:r>
        <w:t> billion</w:t>
      </w:r>
      <w:r w:rsidRPr="005D0E1A">
        <w:t xml:space="preserve">. </w:t>
      </w:r>
      <w:r>
        <w:t>The increase in net debt in the year was driven by additional borrowings required to finance the Government’s significant infrastructure program and</w:t>
      </w:r>
      <w:r w:rsidRPr="00E45032">
        <w:t xml:space="preserve"> the </w:t>
      </w:r>
      <w:r>
        <w:t>impact</w:t>
      </w:r>
      <w:r w:rsidRPr="00E45032">
        <w:t xml:space="preserve"> of </w:t>
      </w:r>
      <w:r>
        <w:t xml:space="preserve">recognising the </w:t>
      </w:r>
      <w:r w:rsidRPr="00E45032">
        <w:t>finance lea</w:t>
      </w:r>
      <w:r>
        <w:t xml:space="preserve">ses for </w:t>
      </w:r>
      <w:r w:rsidRPr="00E45032">
        <w:t>Peninsula Link and Biosciences Research Centre.</w:t>
      </w:r>
      <w:r>
        <w:t xml:space="preserve"> </w:t>
      </w:r>
    </w:p>
    <w:p w:rsidR="000B4A1E" w:rsidRPr="00110EBA" w:rsidRDefault="000B4A1E" w:rsidP="00517E51">
      <w:pPr>
        <w:pStyle w:val="Heading1"/>
      </w:pPr>
      <w:bookmarkStart w:id="3" w:name="_Toc367967885"/>
      <w:r w:rsidRPr="00110EBA">
        <w:t>Financial performance</w:t>
      </w:r>
      <w:bookmarkEnd w:id="3"/>
    </w:p>
    <w:p w:rsidR="000B4A1E" w:rsidRDefault="000B4A1E" w:rsidP="00517E51">
      <w:r w:rsidRPr="00414176">
        <w:t>Table 2.</w:t>
      </w:r>
      <w:r>
        <w:t>2</w:t>
      </w:r>
      <w:r w:rsidRPr="00414176">
        <w:t xml:space="preserve"> shows </w:t>
      </w:r>
      <w:r>
        <w:t>that the Government achieved its net result from transactions target of at least $100 million, delivering a surplus of $316 million in 2012-13, compared with the revised 2012-13</w:t>
      </w:r>
      <w:r w:rsidRPr="00414176">
        <w:t xml:space="preserve"> estimate of $</w:t>
      </w:r>
      <w:r>
        <w:t xml:space="preserve">177 million. </w:t>
      </w:r>
    </w:p>
    <w:p w:rsidR="000B4A1E" w:rsidRDefault="000B4A1E" w:rsidP="00517E51">
      <w:pPr>
        <w:pStyle w:val="Tableheading"/>
      </w:pPr>
      <w:r>
        <w:t>Table 2.2:</w:t>
      </w:r>
      <w:r>
        <w:tab/>
      </w:r>
      <w:r w:rsidRPr="00110EBA">
        <w:t>Summary</w:t>
      </w:r>
      <w:r>
        <w:t xml:space="preserve"> of operating statement</w:t>
      </w:r>
    </w:p>
    <w:p w:rsidR="000B4A1E" w:rsidRPr="00071AC1" w:rsidRDefault="000B4A1E" w:rsidP="00517E51">
      <w:pPr>
        <w:pStyle w:val="million"/>
      </w:pPr>
      <w:r>
        <w:t>($ million)</w:t>
      </w:r>
    </w:p>
    <w:tbl>
      <w:tblPr>
        <w:tblW w:w="9648" w:type="dxa"/>
        <w:tblInd w:w="29" w:type="dxa"/>
        <w:tblLayout w:type="fixed"/>
        <w:tblCellMar>
          <w:left w:w="43" w:type="dxa"/>
          <w:right w:w="43" w:type="dxa"/>
        </w:tblCellMar>
        <w:tblLook w:val="0000" w:firstRow="0" w:lastRow="0" w:firstColumn="0" w:lastColumn="0" w:noHBand="0" w:noVBand="0"/>
      </w:tblPr>
      <w:tblGrid>
        <w:gridCol w:w="4604"/>
        <w:gridCol w:w="1080"/>
        <w:gridCol w:w="1080"/>
        <w:gridCol w:w="1080"/>
        <w:gridCol w:w="810"/>
        <w:gridCol w:w="994"/>
      </w:tblGrid>
      <w:tr w:rsidR="000B4A1E" w:rsidRPr="00071AC1" w:rsidTr="00517E51">
        <w:tc>
          <w:tcPr>
            <w:tcW w:w="4604" w:type="dxa"/>
            <w:tcBorders>
              <w:top w:val="single" w:sz="4" w:space="0" w:color="auto"/>
              <w:left w:val="single" w:sz="4" w:space="0" w:color="auto"/>
              <w:bottom w:val="single" w:sz="6" w:space="0" w:color="auto"/>
              <w:right w:val="nil"/>
            </w:tcBorders>
            <w:shd w:val="clear" w:color="auto" w:fill="000000"/>
          </w:tcPr>
          <w:p w:rsidR="000B4A1E" w:rsidRPr="00071AC1" w:rsidRDefault="000B4A1E" w:rsidP="00517E51">
            <w:pPr>
              <w:pStyle w:val="Tabletext"/>
              <w:rPr>
                <w:rFonts w:eastAsiaTheme="minorEastAsia"/>
                <w:lang w:eastAsia="en-AU"/>
              </w:rPr>
            </w:pPr>
            <w:r w:rsidRPr="00071AC1">
              <w:rPr>
                <w:rFonts w:eastAsiaTheme="minorEastAsia"/>
                <w:lang w:eastAsia="en-AU"/>
              </w:rPr>
              <w:t xml:space="preserve"> </w:t>
            </w:r>
          </w:p>
        </w:tc>
        <w:tc>
          <w:tcPr>
            <w:tcW w:w="1080" w:type="dxa"/>
            <w:tcBorders>
              <w:top w:val="single" w:sz="4" w:space="0" w:color="auto"/>
              <w:left w:val="nil"/>
              <w:bottom w:val="single" w:sz="6" w:space="0" w:color="auto"/>
              <w:right w:val="nil"/>
            </w:tcBorders>
            <w:shd w:val="clear" w:color="auto" w:fill="000000"/>
          </w:tcPr>
          <w:p w:rsidR="000B4A1E" w:rsidRPr="00071AC1" w:rsidRDefault="000B4A1E" w:rsidP="00517E51">
            <w:pPr>
              <w:pStyle w:val="Tabletextheading"/>
              <w:rPr>
                <w:rFonts w:eastAsiaTheme="minorEastAsia"/>
                <w:lang w:eastAsia="en-AU"/>
              </w:rPr>
            </w:pPr>
            <w:r w:rsidRPr="00071AC1">
              <w:rPr>
                <w:rFonts w:eastAsiaTheme="minorEastAsia"/>
                <w:lang w:eastAsia="en-AU"/>
              </w:rPr>
              <w:t>2012-13  Actual</w:t>
            </w:r>
          </w:p>
        </w:tc>
        <w:tc>
          <w:tcPr>
            <w:tcW w:w="1080" w:type="dxa"/>
            <w:tcBorders>
              <w:top w:val="single" w:sz="4" w:space="0" w:color="auto"/>
              <w:left w:val="nil"/>
              <w:bottom w:val="single" w:sz="6" w:space="0" w:color="auto"/>
              <w:right w:val="nil"/>
            </w:tcBorders>
            <w:shd w:val="clear" w:color="auto" w:fill="000000"/>
          </w:tcPr>
          <w:p w:rsidR="000B4A1E" w:rsidRPr="00071AC1" w:rsidRDefault="000B4A1E" w:rsidP="00517E51">
            <w:pPr>
              <w:pStyle w:val="Tabletextheading"/>
              <w:rPr>
                <w:rFonts w:eastAsiaTheme="minorEastAsia"/>
                <w:lang w:eastAsia="en-AU"/>
              </w:rPr>
            </w:pPr>
            <w:r w:rsidRPr="00071AC1">
              <w:rPr>
                <w:rFonts w:eastAsiaTheme="minorEastAsia"/>
                <w:lang w:eastAsia="en-AU"/>
              </w:rPr>
              <w:t>2012-13 Revised</w:t>
            </w:r>
          </w:p>
        </w:tc>
        <w:tc>
          <w:tcPr>
            <w:tcW w:w="1080" w:type="dxa"/>
            <w:tcBorders>
              <w:top w:val="single" w:sz="4" w:space="0" w:color="auto"/>
              <w:left w:val="nil"/>
              <w:bottom w:val="single" w:sz="6" w:space="0" w:color="auto"/>
              <w:right w:val="nil"/>
            </w:tcBorders>
            <w:shd w:val="clear" w:color="auto" w:fill="000000"/>
          </w:tcPr>
          <w:p w:rsidR="000B4A1E" w:rsidRPr="00071AC1" w:rsidRDefault="000B4A1E" w:rsidP="00517E51">
            <w:pPr>
              <w:pStyle w:val="Tabletextheading"/>
              <w:rPr>
                <w:rFonts w:eastAsiaTheme="minorEastAsia"/>
                <w:lang w:eastAsia="en-AU"/>
              </w:rPr>
            </w:pPr>
            <w:r w:rsidRPr="00071AC1">
              <w:rPr>
                <w:rFonts w:eastAsiaTheme="minorEastAsia"/>
                <w:lang w:eastAsia="en-AU"/>
              </w:rPr>
              <w:t>Revised Variance</w:t>
            </w:r>
          </w:p>
        </w:tc>
        <w:tc>
          <w:tcPr>
            <w:tcW w:w="810" w:type="dxa"/>
            <w:tcBorders>
              <w:top w:val="single" w:sz="4" w:space="0" w:color="auto"/>
              <w:left w:val="nil"/>
              <w:bottom w:val="single" w:sz="6" w:space="0" w:color="auto"/>
              <w:right w:val="nil"/>
            </w:tcBorders>
            <w:shd w:val="clear" w:color="auto" w:fill="000000"/>
          </w:tcPr>
          <w:p w:rsidR="000B4A1E" w:rsidRPr="00071AC1" w:rsidRDefault="000B4A1E" w:rsidP="00517E51">
            <w:pPr>
              <w:pStyle w:val="Tabletextheading"/>
              <w:rPr>
                <w:rFonts w:eastAsiaTheme="minorEastAsia"/>
                <w:lang w:eastAsia="en-AU"/>
              </w:rPr>
            </w:pPr>
          </w:p>
          <w:p w:rsidR="000B4A1E" w:rsidRPr="00071AC1" w:rsidRDefault="000B4A1E" w:rsidP="00517E51">
            <w:pPr>
              <w:pStyle w:val="Tabletextheading"/>
              <w:rPr>
                <w:rFonts w:eastAsiaTheme="minorEastAsia"/>
                <w:lang w:eastAsia="en-AU"/>
              </w:rPr>
            </w:pPr>
            <w:r w:rsidRPr="00071AC1">
              <w:rPr>
                <w:rFonts w:eastAsiaTheme="minorEastAsia"/>
                <w:lang w:eastAsia="en-AU"/>
              </w:rPr>
              <w:t>%</w:t>
            </w:r>
          </w:p>
        </w:tc>
        <w:tc>
          <w:tcPr>
            <w:tcW w:w="994" w:type="dxa"/>
            <w:tcBorders>
              <w:top w:val="single" w:sz="4" w:space="0" w:color="auto"/>
              <w:left w:val="nil"/>
              <w:bottom w:val="single" w:sz="6" w:space="0" w:color="auto"/>
              <w:right w:val="single" w:sz="4" w:space="0" w:color="auto"/>
            </w:tcBorders>
            <w:shd w:val="clear" w:color="auto" w:fill="000000"/>
          </w:tcPr>
          <w:p w:rsidR="000B4A1E" w:rsidRPr="00071AC1" w:rsidRDefault="000B4A1E" w:rsidP="00517E51">
            <w:pPr>
              <w:pStyle w:val="Tabletextheading"/>
              <w:rPr>
                <w:rFonts w:eastAsiaTheme="minorEastAsia"/>
                <w:lang w:eastAsia="en-AU"/>
              </w:rPr>
            </w:pPr>
            <w:r w:rsidRPr="00071AC1">
              <w:rPr>
                <w:rFonts w:eastAsiaTheme="minorEastAsia"/>
                <w:lang w:eastAsia="en-AU"/>
              </w:rPr>
              <w:t>2011-12 Actual</w:t>
            </w:r>
          </w:p>
        </w:tc>
      </w:tr>
      <w:tr w:rsidR="000B4A1E" w:rsidRPr="00071AC1" w:rsidTr="00517E51">
        <w:tc>
          <w:tcPr>
            <w:tcW w:w="4604" w:type="dxa"/>
            <w:tcBorders>
              <w:top w:val="single" w:sz="4" w:space="0" w:color="auto"/>
              <w:left w:val="nil"/>
              <w:bottom w:val="nil"/>
              <w:right w:val="nil"/>
            </w:tcBorders>
          </w:tcPr>
          <w:p w:rsidR="000B4A1E" w:rsidRPr="00071AC1" w:rsidRDefault="000B4A1E" w:rsidP="00517E51">
            <w:pPr>
              <w:pStyle w:val="Tabletext"/>
              <w:rPr>
                <w:rFonts w:eastAsiaTheme="minorEastAsia"/>
                <w:b/>
                <w:bCs/>
                <w:color w:val="000000"/>
                <w:sz w:val="20"/>
                <w:lang w:eastAsia="en-AU"/>
              </w:rPr>
            </w:pPr>
            <w:r w:rsidRPr="00071AC1">
              <w:rPr>
                <w:rFonts w:eastAsiaTheme="minorEastAsia"/>
                <w:b/>
                <w:bCs/>
                <w:color w:val="000000"/>
                <w:sz w:val="20"/>
                <w:lang w:eastAsia="en-AU"/>
              </w:rPr>
              <w:t>Revenue from transactions</w:t>
            </w:r>
          </w:p>
        </w:tc>
        <w:tc>
          <w:tcPr>
            <w:tcW w:w="1080" w:type="dxa"/>
            <w:tcBorders>
              <w:top w:val="single" w:sz="4" w:space="0" w:color="auto"/>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w:t>
            </w:r>
          </w:p>
        </w:tc>
        <w:tc>
          <w:tcPr>
            <w:tcW w:w="1080" w:type="dxa"/>
            <w:tcBorders>
              <w:top w:val="single" w:sz="4" w:space="0" w:color="auto"/>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w:t>
            </w:r>
          </w:p>
        </w:tc>
        <w:tc>
          <w:tcPr>
            <w:tcW w:w="1080" w:type="dxa"/>
            <w:tcBorders>
              <w:top w:val="single" w:sz="4" w:space="0" w:color="auto"/>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w:t>
            </w:r>
          </w:p>
        </w:tc>
        <w:tc>
          <w:tcPr>
            <w:tcW w:w="810" w:type="dxa"/>
            <w:tcBorders>
              <w:top w:val="single" w:sz="4" w:space="0" w:color="auto"/>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w:t>
            </w:r>
          </w:p>
        </w:tc>
        <w:tc>
          <w:tcPr>
            <w:tcW w:w="994" w:type="dxa"/>
            <w:tcBorders>
              <w:top w:val="single" w:sz="4" w:space="0" w:color="auto"/>
              <w:left w:val="nil"/>
              <w:bottom w:val="nil"/>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 xml:space="preserve"> </w:t>
            </w:r>
          </w:p>
        </w:tc>
      </w:tr>
      <w:tr w:rsidR="000B4A1E" w:rsidRPr="00071AC1" w:rsidTr="00517E51">
        <w:tc>
          <w:tcPr>
            <w:tcW w:w="4604" w:type="dxa"/>
            <w:tcBorders>
              <w:top w:val="nil"/>
              <w:left w:val="nil"/>
              <w:bottom w:val="nil"/>
              <w:right w:val="nil"/>
            </w:tcBorders>
          </w:tcPr>
          <w:p w:rsidR="000B4A1E" w:rsidRPr="00071AC1" w:rsidRDefault="000B4A1E" w:rsidP="00517E51">
            <w:pPr>
              <w:pStyle w:val="Tabletext"/>
              <w:rPr>
                <w:rFonts w:eastAsiaTheme="minorEastAsia"/>
                <w:color w:val="000000"/>
                <w:sz w:val="20"/>
                <w:lang w:eastAsia="en-AU"/>
              </w:rPr>
            </w:pPr>
            <w:r w:rsidRPr="00071AC1">
              <w:rPr>
                <w:rFonts w:eastAsiaTheme="minorEastAsia"/>
                <w:color w:val="000000"/>
                <w:sz w:val="20"/>
                <w:lang w:eastAsia="en-AU"/>
              </w:rPr>
              <w:t>Taxation revenue</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15 530.7</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15 621.4</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(90.8)</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(0.6)</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15 026.9</w:t>
            </w:r>
          </w:p>
        </w:tc>
      </w:tr>
      <w:tr w:rsidR="000B4A1E" w:rsidRPr="00071AC1" w:rsidTr="00517E51">
        <w:tc>
          <w:tcPr>
            <w:tcW w:w="4604" w:type="dxa"/>
            <w:tcBorders>
              <w:top w:val="nil"/>
              <w:left w:val="nil"/>
              <w:bottom w:val="nil"/>
              <w:right w:val="nil"/>
            </w:tcBorders>
          </w:tcPr>
          <w:p w:rsidR="000B4A1E" w:rsidRPr="00071AC1" w:rsidRDefault="000B4A1E" w:rsidP="00517E51">
            <w:pPr>
              <w:pStyle w:val="Tabletext"/>
              <w:rPr>
                <w:rFonts w:eastAsiaTheme="minorEastAsia"/>
                <w:color w:val="000000"/>
                <w:sz w:val="20"/>
                <w:lang w:eastAsia="en-AU"/>
              </w:rPr>
            </w:pPr>
            <w:r w:rsidRPr="00071AC1">
              <w:rPr>
                <w:rFonts w:eastAsiaTheme="minorEastAsia"/>
                <w:color w:val="000000"/>
                <w:sz w:val="20"/>
                <w:lang w:eastAsia="en-AU"/>
              </w:rPr>
              <w:t>Interest revenue</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700.7</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672.6</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28.1</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4.2</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412.6</w:t>
            </w:r>
          </w:p>
        </w:tc>
      </w:tr>
      <w:tr w:rsidR="000B4A1E" w:rsidRPr="00071AC1" w:rsidTr="00517E51">
        <w:tc>
          <w:tcPr>
            <w:tcW w:w="4604" w:type="dxa"/>
            <w:tcBorders>
              <w:top w:val="nil"/>
              <w:left w:val="nil"/>
              <w:bottom w:val="nil"/>
              <w:right w:val="nil"/>
            </w:tcBorders>
          </w:tcPr>
          <w:p w:rsidR="000B4A1E" w:rsidRPr="00071AC1" w:rsidRDefault="000B4A1E" w:rsidP="00517E51">
            <w:pPr>
              <w:pStyle w:val="Tabletext"/>
              <w:rPr>
                <w:rFonts w:eastAsiaTheme="minorEastAsia"/>
                <w:color w:val="000000"/>
                <w:sz w:val="20"/>
                <w:lang w:eastAsia="en-AU"/>
              </w:rPr>
            </w:pPr>
            <w:r w:rsidRPr="00071AC1">
              <w:rPr>
                <w:rFonts w:eastAsiaTheme="minorEastAsia"/>
                <w:color w:val="000000"/>
                <w:sz w:val="20"/>
                <w:lang w:eastAsia="en-AU"/>
              </w:rPr>
              <w:t>Dividends and income tax equivalent and rate equivalent revenue</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1 341.7</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1 232.7</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109.0</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8.8</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939.1</w:t>
            </w:r>
          </w:p>
        </w:tc>
      </w:tr>
      <w:tr w:rsidR="000B4A1E" w:rsidRPr="00071AC1" w:rsidTr="00517E51">
        <w:tc>
          <w:tcPr>
            <w:tcW w:w="4604" w:type="dxa"/>
            <w:tcBorders>
              <w:top w:val="nil"/>
              <w:left w:val="nil"/>
              <w:bottom w:val="nil"/>
              <w:right w:val="nil"/>
            </w:tcBorders>
          </w:tcPr>
          <w:p w:rsidR="000B4A1E" w:rsidRPr="00071AC1" w:rsidRDefault="000B4A1E" w:rsidP="00517E51">
            <w:pPr>
              <w:pStyle w:val="Tabletext"/>
              <w:rPr>
                <w:rFonts w:eastAsiaTheme="minorEastAsia"/>
                <w:color w:val="000000"/>
                <w:sz w:val="20"/>
                <w:lang w:eastAsia="en-AU"/>
              </w:rPr>
            </w:pPr>
            <w:r w:rsidRPr="00071AC1">
              <w:rPr>
                <w:rFonts w:eastAsiaTheme="minorEastAsia"/>
                <w:color w:val="000000"/>
                <w:sz w:val="20"/>
                <w:lang w:eastAsia="en-AU"/>
              </w:rPr>
              <w:t>Sales of goods and services</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6 869.3</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6 916.7</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(47.4)</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(0.7)</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6 267.2</w:t>
            </w:r>
          </w:p>
        </w:tc>
      </w:tr>
      <w:tr w:rsidR="000B4A1E" w:rsidRPr="00071AC1" w:rsidTr="00517E51">
        <w:tc>
          <w:tcPr>
            <w:tcW w:w="4604" w:type="dxa"/>
            <w:tcBorders>
              <w:top w:val="nil"/>
              <w:left w:val="nil"/>
              <w:bottom w:val="nil"/>
              <w:right w:val="nil"/>
            </w:tcBorders>
          </w:tcPr>
          <w:p w:rsidR="000B4A1E" w:rsidRPr="00071AC1" w:rsidRDefault="000B4A1E" w:rsidP="00517E51">
            <w:pPr>
              <w:pStyle w:val="Tabletext"/>
              <w:rPr>
                <w:rFonts w:eastAsiaTheme="minorEastAsia"/>
                <w:color w:val="000000"/>
                <w:sz w:val="20"/>
                <w:lang w:eastAsia="en-AU"/>
              </w:rPr>
            </w:pPr>
            <w:r w:rsidRPr="00071AC1">
              <w:rPr>
                <w:rFonts w:eastAsiaTheme="minorEastAsia"/>
                <w:color w:val="000000"/>
                <w:sz w:val="20"/>
                <w:lang w:eastAsia="en-AU"/>
              </w:rPr>
              <w:t>Grants</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21 902.2</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21 693.0</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209.2</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1.0</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22 599.8</w:t>
            </w:r>
          </w:p>
        </w:tc>
      </w:tr>
      <w:tr w:rsidR="000B4A1E" w:rsidRPr="00071AC1" w:rsidTr="00517E51">
        <w:tc>
          <w:tcPr>
            <w:tcW w:w="4604" w:type="dxa"/>
            <w:tcBorders>
              <w:top w:val="nil"/>
              <w:left w:val="nil"/>
              <w:bottom w:val="nil"/>
              <w:right w:val="nil"/>
            </w:tcBorders>
          </w:tcPr>
          <w:p w:rsidR="000B4A1E" w:rsidRPr="00071AC1" w:rsidRDefault="000B4A1E" w:rsidP="00517E51">
            <w:pPr>
              <w:pStyle w:val="Tabletext"/>
              <w:rPr>
                <w:rFonts w:eastAsiaTheme="minorEastAsia"/>
                <w:color w:val="000000"/>
                <w:sz w:val="20"/>
                <w:lang w:eastAsia="en-AU"/>
              </w:rPr>
            </w:pPr>
            <w:r w:rsidRPr="00071AC1">
              <w:rPr>
                <w:rFonts w:eastAsiaTheme="minorEastAsia"/>
                <w:color w:val="000000"/>
                <w:sz w:val="20"/>
                <w:lang w:eastAsia="en-AU"/>
              </w:rPr>
              <w:t>Other revenue</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2 268.3</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1 969.2</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299.1</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15.2</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2 636.7</w:t>
            </w:r>
          </w:p>
        </w:tc>
      </w:tr>
      <w:tr w:rsidR="000B4A1E" w:rsidRPr="00071AC1" w:rsidTr="00517E51">
        <w:tc>
          <w:tcPr>
            <w:tcW w:w="4604" w:type="dxa"/>
            <w:tcBorders>
              <w:top w:val="single" w:sz="6" w:space="0" w:color="auto"/>
              <w:left w:val="nil"/>
              <w:bottom w:val="nil"/>
              <w:right w:val="nil"/>
            </w:tcBorders>
          </w:tcPr>
          <w:p w:rsidR="000B4A1E" w:rsidRPr="00071AC1" w:rsidRDefault="000B4A1E" w:rsidP="00517E51">
            <w:pPr>
              <w:pStyle w:val="Tabletext"/>
              <w:rPr>
                <w:rFonts w:eastAsiaTheme="minorEastAsia"/>
                <w:b/>
                <w:bCs/>
                <w:color w:val="000000"/>
                <w:sz w:val="20"/>
                <w:lang w:eastAsia="en-AU"/>
              </w:rPr>
            </w:pPr>
            <w:r w:rsidRPr="00071AC1">
              <w:rPr>
                <w:rFonts w:eastAsiaTheme="minorEastAsia"/>
                <w:b/>
                <w:bCs/>
                <w:color w:val="000000"/>
                <w:sz w:val="20"/>
                <w:lang w:eastAsia="en-AU"/>
              </w:rPr>
              <w:t>Total revenue from transactions</w:t>
            </w:r>
          </w:p>
        </w:tc>
        <w:tc>
          <w:tcPr>
            <w:tcW w:w="1080" w:type="dxa"/>
            <w:tcBorders>
              <w:top w:val="single" w:sz="6" w:space="0" w:color="auto"/>
              <w:left w:val="nil"/>
              <w:bottom w:val="nil"/>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48 612.9</w:t>
            </w:r>
          </w:p>
        </w:tc>
        <w:tc>
          <w:tcPr>
            <w:tcW w:w="1080" w:type="dxa"/>
            <w:tcBorders>
              <w:top w:val="single" w:sz="6" w:space="0" w:color="auto"/>
              <w:left w:val="nil"/>
              <w:bottom w:val="nil"/>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48 105.6</w:t>
            </w:r>
          </w:p>
        </w:tc>
        <w:tc>
          <w:tcPr>
            <w:tcW w:w="1080" w:type="dxa"/>
            <w:tcBorders>
              <w:top w:val="single" w:sz="6" w:space="0" w:color="auto"/>
              <w:left w:val="nil"/>
              <w:bottom w:val="nil"/>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 xml:space="preserve"> 507.3</w:t>
            </w:r>
          </w:p>
        </w:tc>
        <w:tc>
          <w:tcPr>
            <w:tcW w:w="810" w:type="dxa"/>
            <w:tcBorders>
              <w:top w:val="single" w:sz="6" w:space="0" w:color="auto"/>
              <w:left w:val="nil"/>
              <w:bottom w:val="nil"/>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 xml:space="preserve"> 1.1</w:t>
            </w:r>
          </w:p>
        </w:tc>
        <w:tc>
          <w:tcPr>
            <w:tcW w:w="994" w:type="dxa"/>
            <w:tcBorders>
              <w:top w:val="single" w:sz="6" w:space="0" w:color="auto"/>
              <w:left w:val="nil"/>
              <w:bottom w:val="nil"/>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47 882.3</w:t>
            </w:r>
          </w:p>
        </w:tc>
      </w:tr>
      <w:tr w:rsidR="000B4A1E" w:rsidRPr="00071AC1" w:rsidTr="00517E51">
        <w:tc>
          <w:tcPr>
            <w:tcW w:w="4604" w:type="dxa"/>
            <w:tcBorders>
              <w:top w:val="nil"/>
              <w:left w:val="nil"/>
              <w:bottom w:val="nil"/>
              <w:right w:val="nil"/>
            </w:tcBorders>
          </w:tcPr>
          <w:p w:rsidR="000B4A1E" w:rsidRPr="00071AC1" w:rsidRDefault="000B4A1E" w:rsidP="00517E51">
            <w:pPr>
              <w:pStyle w:val="Tabletext"/>
              <w:rPr>
                <w:rFonts w:eastAsiaTheme="minorEastAsia"/>
                <w:b/>
                <w:bCs/>
                <w:color w:val="000000"/>
                <w:sz w:val="20"/>
                <w:lang w:eastAsia="en-AU"/>
              </w:rPr>
            </w:pPr>
            <w:r w:rsidRPr="00071AC1">
              <w:rPr>
                <w:rFonts w:eastAsiaTheme="minorEastAsia"/>
                <w:b/>
                <w:bCs/>
                <w:color w:val="000000"/>
                <w:sz w:val="20"/>
                <w:lang w:eastAsia="en-AU"/>
              </w:rPr>
              <w:t>Expenses from transactions</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w:t>
            </w:r>
          </w:p>
        </w:tc>
      </w:tr>
      <w:tr w:rsidR="000B4A1E" w:rsidRPr="00071AC1" w:rsidTr="00517E51">
        <w:tc>
          <w:tcPr>
            <w:tcW w:w="4604" w:type="dxa"/>
            <w:tcBorders>
              <w:top w:val="nil"/>
              <w:left w:val="nil"/>
              <w:bottom w:val="nil"/>
              <w:right w:val="nil"/>
            </w:tcBorders>
          </w:tcPr>
          <w:p w:rsidR="000B4A1E" w:rsidRPr="00071AC1" w:rsidRDefault="000B4A1E" w:rsidP="00517E51">
            <w:pPr>
              <w:pStyle w:val="Tabletext"/>
              <w:rPr>
                <w:rFonts w:eastAsiaTheme="minorEastAsia"/>
                <w:color w:val="000000"/>
                <w:sz w:val="20"/>
                <w:lang w:eastAsia="en-AU"/>
              </w:rPr>
            </w:pPr>
            <w:r w:rsidRPr="00071AC1">
              <w:rPr>
                <w:rFonts w:eastAsiaTheme="minorEastAsia"/>
                <w:color w:val="000000"/>
                <w:sz w:val="20"/>
                <w:lang w:eastAsia="en-AU"/>
              </w:rPr>
              <w:t>Employee expenses</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17 788.5</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17 546.3</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242.2</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1.4</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17 120.1</w:t>
            </w:r>
          </w:p>
        </w:tc>
      </w:tr>
      <w:tr w:rsidR="000B4A1E" w:rsidRPr="00071AC1" w:rsidTr="00517E51">
        <w:tc>
          <w:tcPr>
            <w:tcW w:w="4604" w:type="dxa"/>
            <w:tcBorders>
              <w:top w:val="nil"/>
              <w:left w:val="nil"/>
              <w:bottom w:val="nil"/>
              <w:right w:val="nil"/>
            </w:tcBorders>
          </w:tcPr>
          <w:p w:rsidR="000B4A1E" w:rsidRPr="00071AC1" w:rsidRDefault="000B4A1E" w:rsidP="00517E51">
            <w:pPr>
              <w:pStyle w:val="Tabletext"/>
              <w:rPr>
                <w:rFonts w:eastAsiaTheme="minorEastAsia"/>
                <w:color w:val="000000"/>
                <w:sz w:val="20"/>
                <w:lang w:eastAsia="en-AU"/>
              </w:rPr>
            </w:pPr>
            <w:r w:rsidRPr="00071AC1">
              <w:rPr>
                <w:rFonts w:eastAsiaTheme="minorEastAsia"/>
                <w:color w:val="000000"/>
                <w:sz w:val="20"/>
                <w:lang w:eastAsia="en-AU"/>
              </w:rPr>
              <w:t>Superannuation interest expense</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446.3</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446.3</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808.6</w:t>
            </w:r>
          </w:p>
        </w:tc>
      </w:tr>
      <w:tr w:rsidR="000B4A1E" w:rsidRPr="00071AC1" w:rsidTr="00517E51">
        <w:tc>
          <w:tcPr>
            <w:tcW w:w="4604" w:type="dxa"/>
            <w:tcBorders>
              <w:top w:val="nil"/>
              <w:left w:val="nil"/>
              <w:bottom w:val="nil"/>
              <w:right w:val="nil"/>
            </w:tcBorders>
          </w:tcPr>
          <w:p w:rsidR="000B4A1E" w:rsidRPr="00071AC1" w:rsidRDefault="000B4A1E" w:rsidP="00517E51">
            <w:pPr>
              <w:pStyle w:val="Tabletext"/>
              <w:rPr>
                <w:rFonts w:eastAsiaTheme="minorEastAsia"/>
                <w:color w:val="000000"/>
                <w:sz w:val="20"/>
                <w:lang w:eastAsia="en-AU"/>
              </w:rPr>
            </w:pPr>
            <w:r w:rsidRPr="00071AC1">
              <w:rPr>
                <w:rFonts w:eastAsiaTheme="minorEastAsia"/>
                <w:color w:val="000000"/>
                <w:sz w:val="20"/>
                <w:lang w:eastAsia="en-AU"/>
              </w:rPr>
              <w:t>Other superannuation</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1 924.0</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1 923.1</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0.9</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1 823.8</w:t>
            </w:r>
          </w:p>
        </w:tc>
      </w:tr>
      <w:tr w:rsidR="000B4A1E" w:rsidRPr="00071AC1" w:rsidTr="00517E51">
        <w:tc>
          <w:tcPr>
            <w:tcW w:w="4604" w:type="dxa"/>
            <w:tcBorders>
              <w:top w:val="nil"/>
              <w:left w:val="nil"/>
              <w:bottom w:val="nil"/>
              <w:right w:val="nil"/>
            </w:tcBorders>
          </w:tcPr>
          <w:p w:rsidR="000B4A1E" w:rsidRPr="00071AC1" w:rsidRDefault="000B4A1E" w:rsidP="00517E51">
            <w:pPr>
              <w:pStyle w:val="Tabletext"/>
              <w:rPr>
                <w:rFonts w:eastAsiaTheme="minorEastAsia"/>
                <w:color w:val="000000"/>
                <w:sz w:val="20"/>
                <w:lang w:eastAsia="en-AU"/>
              </w:rPr>
            </w:pPr>
            <w:r w:rsidRPr="00071AC1">
              <w:rPr>
                <w:rFonts w:eastAsiaTheme="minorEastAsia"/>
                <w:color w:val="000000"/>
                <w:sz w:val="20"/>
                <w:lang w:eastAsia="en-AU"/>
              </w:rPr>
              <w:t>Depreciation</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2 254.3</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2 264.9</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(10.7)</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(0.5)</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2 126.5</w:t>
            </w:r>
          </w:p>
        </w:tc>
      </w:tr>
      <w:tr w:rsidR="000B4A1E" w:rsidRPr="00071AC1" w:rsidTr="00517E51">
        <w:tc>
          <w:tcPr>
            <w:tcW w:w="4604" w:type="dxa"/>
            <w:tcBorders>
              <w:top w:val="nil"/>
              <w:left w:val="nil"/>
              <w:bottom w:val="nil"/>
              <w:right w:val="nil"/>
            </w:tcBorders>
          </w:tcPr>
          <w:p w:rsidR="000B4A1E" w:rsidRPr="00071AC1" w:rsidRDefault="000B4A1E" w:rsidP="00517E51">
            <w:pPr>
              <w:pStyle w:val="Tabletext"/>
              <w:rPr>
                <w:rFonts w:eastAsiaTheme="minorEastAsia"/>
                <w:color w:val="000000"/>
                <w:sz w:val="20"/>
                <w:lang w:eastAsia="en-AU"/>
              </w:rPr>
            </w:pPr>
            <w:r w:rsidRPr="00071AC1">
              <w:rPr>
                <w:rFonts w:eastAsiaTheme="minorEastAsia"/>
                <w:color w:val="000000"/>
                <w:sz w:val="20"/>
                <w:lang w:eastAsia="en-AU"/>
              </w:rPr>
              <w:t>Interest expense</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1 775.3</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1 750.6</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24.7</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1.4</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1 242.6</w:t>
            </w:r>
          </w:p>
        </w:tc>
      </w:tr>
      <w:tr w:rsidR="000B4A1E" w:rsidRPr="00071AC1" w:rsidTr="00517E51">
        <w:tc>
          <w:tcPr>
            <w:tcW w:w="4604" w:type="dxa"/>
            <w:tcBorders>
              <w:top w:val="nil"/>
              <w:left w:val="nil"/>
              <w:bottom w:val="nil"/>
              <w:right w:val="nil"/>
            </w:tcBorders>
            <w:shd w:val="solid" w:color="FFFFFF" w:fill="auto"/>
          </w:tcPr>
          <w:p w:rsidR="000B4A1E" w:rsidRPr="00071AC1" w:rsidRDefault="000B4A1E" w:rsidP="00517E51">
            <w:pPr>
              <w:pStyle w:val="Tabletext"/>
              <w:rPr>
                <w:rFonts w:eastAsiaTheme="minorEastAsia"/>
                <w:color w:val="000000"/>
                <w:sz w:val="20"/>
                <w:lang w:eastAsia="en-AU"/>
              </w:rPr>
            </w:pPr>
            <w:r w:rsidRPr="00071AC1">
              <w:rPr>
                <w:rFonts w:eastAsiaTheme="minorEastAsia"/>
                <w:color w:val="000000"/>
                <w:sz w:val="20"/>
                <w:lang w:eastAsia="en-AU"/>
              </w:rPr>
              <w:t>Grants and other transfers</w:t>
            </w:r>
          </w:p>
        </w:tc>
        <w:tc>
          <w:tcPr>
            <w:tcW w:w="1080" w:type="dxa"/>
            <w:tcBorders>
              <w:top w:val="nil"/>
              <w:left w:val="nil"/>
              <w:bottom w:val="nil"/>
              <w:right w:val="nil"/>
            </w:tcBorders>
            <w:shd w:val="solid" w:color="FFFFFF" w:fill="auto"/>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8 013.9</w:t>
            </w:r>
          </w:p>
        </w:tc>
        <w:tc>
          <w:tcPr>
            <w:tcW w:w="1080" w:type="dxa"/>
            <w:tcBorders>
              <w:top w:val="nil"/>
              <w:left w:val="nil"/>
              <w:bottom w:val="nil"/>
              <w:right w:val="nil"/>
            </w:tcBorders>
            <w:shd w:val="solid" w:color="FFFFFF" w:fill="auto"/>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7 703.7</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310.3</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 xml:space="preserve"> 4.0</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8 233.8</w:t>
            </w:r>
          </w:p>
        </w:tc>
      </w:tr>
      <w:tr w:rsidR="000B4A1E" w:rsidRPr="00071AC1" w:rsidTr="00517E51">
        <w:tc>
          <w:tcPr>
            <w:tcW w:w="4604" w:type="dxa"/>
            <w:tcBorders>
              <w:top w:val="nil"/>
              <w:left w:val="nil"/>
              <w:bottom w:val="nil"/>
              <w:right w:val="nil"/>
            </w:tcBorders>
            <w:shd w:val="solid" w:color="FFFFFF" w:fill="auto"/>
          </w:tcPr>
          <w:p w:rsidR="000B4A1E" w:rsidRPr="00071AC1" w:rsidRDefault="000B4A1E" w:rsidP="00517E51">
            <w:pPr>
              <w:pStyle w:val="Tabletext"/>
              <w:rPr>
                <w:rFonts w:eastAsiaTheme="minorEastAsia"/>
                <w:color w:val="000000"/>
                <w:sz w:val="20"/>
                <w:lang w:eastAsia="en-AU"/>
              </w:rPr>
            </w:pPr>
            <w:r w:rsidRPr="00071AC1">
              <w:rPr>
                <w:rFonts w:eastAsiaTheme="minorEastAsia"/>
                <w:color w:val="000000"/>
                <w:sz w:val="20"/>
                <w:lang w:eastAsia="en-AU"/>
              </w:rPr>
              <w:t>Other operating expenses</w:t>
            </w:r>
          </w:p>
        </w:tc>
        <w:tc>
          <w:tcPr>
            <w:tcW w:w="1080" w:type="dxa"/>
            <w:tcBorders>
              <w:top w:val="nil"/>
              <w:left w:val="nil"/>
              <w:bottom w:val="nil"/>
              <w:right w:val="nil"/>
            </w:tcBorders>
            <w:shd w:val="solid" w:color="FFFFFF" w:fill="auto"/>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16 094.1</w:t>
            </w:r>
          </w:p>
        </w:tc>
        <w:tc>
          <w:tcPr>
            <w:tcW w:w="1080" w:type="dxa"/>
            <w:tcBorders>
              <w:top w:val="nil"/>
              <w:left w:val="nil"/>
              <w:bottom w:val="nil"/>
              <w:right w:val="nil"/>
            </w:tcBorders>
            <w:shd w:val="solid" w:color="FFFFFF" w:fill="auto"/>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16 293.7</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(199.5)</w:t>
            </w:r>
          </w:p>
        </w:tc>
        <w:tc>
          <w:tcPr>
            <w:tcW w:w="810"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(1.2)</w:t>
            </w:r>
          </w:p>
        </w:tc>
        <w:tc>
          <w:tcPr>
            <w:tcW w:w="994" w:type="dxa"/>
            <w:tcBorders>
              <w:top w:val="nil"/>
              <w:left w:val="nil"/>
              <w:bottom w:val="nil"/>
              <w:right w:val="nil"/>
            </w:tcBorders>
          </w:tcPr>
          <w:p w:rsidR="000B4A1E" w:rsidRPr="00071AC1" w:rsidRDefault="000B4A1E" w:rsidP="00517E51">
            <w:pPr>
              <w:pStyle w:val="TableofFigures"/>
              <w:rPr>
                <w:rFonts w:eastAsiaTheme="minorEastAsia"/>
                <w:color w:val="000000"/>
                <w:sz w:val="20"/>
                <w:lang w:eastAsia="en-AU"/>
              </w:rPr>
            </w:pPr>
            <w:r w:rsidRPr="00071AC1">
              <w:rPr>
                <w:rFonts w:eastAsiaTheme="minorEastAsia"/>
                <w:color w:val="000000"/>
                <w:sz w:val="20"/>
                <w:lang w:eastAsia="en-AU"/>
              </w:rPr>
              <w:t>15 955.6</w:t>
            </w:r>
          </w:p>
        </w:tc>
      </w:tr>
      <w:tr w:rsidR="000B4A1E" w:rsidRPr="00071AC1" w:rsidTr="00517E51">
        <w:tc>
          <w:tcPr>
            <w:tcW w:w="4604" w:type="dxa"/>
            <w:tcBorders>
              <w:top w:val="single" w:sz="6" w:space="0" w:color="auto"/>
              <w:left w:val="nil"/>
              <w:bottom w:val="nil"/>
              <w:right w:val="nil"/>
            </w:tcBorders>
          </w:tcPr>
          <w:p w:rsidR="000B4A1E" w:rsidRPr="00071AC1" w:rsidRDefault="000B4A1E" w:rsidP="00517E51">
            <w:pPr>
              <w:pStyle w:val="Tabletext"/>
              <w:rPr>
                <w:rFonts w:eastAsiaTheme="minorEastAsia"/>
                <w:b/>
                <w:bCs/>
                <w:color w:val="000000"/>
                <w:sz w:val="20"/>
                <w:lang w:eastAsia="en-AU"/>
              </w:rPr>
            </w:pPr>
            <w:r w:rsidRPr="00071AC1">
              <w:rPr>
                <w:rFonts w:eastAsiaTheme="minorEastAsia"/>
                <w:b/>
                <w:bCs/>
                <w:color w:val="000000"/>
                <w:sz w:val="20"/>
                <w:lang w:eastAsia="en-AU"/>
              </w:rPr>
              <w:t>Total expenses from transactions</w:t>
            </w:r>
          </w:p>
        </w:tc>
        <w:tc>
          <w:tcPr>
            <w:tcW w:w="1080" w:type="dxa"/>
            <w:tcBorders>
              <w:top w:val="single" w:sz="6" w:space="0" w:color="auto"/>
              <w:left w:val="nil"/>
              <w:bottom w:val="nil"/>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48 296.4</w:t>
            </w:r>
          </w:p>
        </w:tc>
        <w:tc>
          <w:tcPr>
            <w:tcW w:w="1080" w:type="dxa"/>
            <w:tcBorders>
              <w:top w:val="single" w:sz="6" w:space="0" w:color="auto"/>
              <w:left w:val="nil"/>
              <w:bottom w:val="nil"/>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47 928.6</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 xml:space="preserve"> 367.9</w:t>
            </w:r>
          </w:p>
        </w:tc>
        <w:tc>
          <w:tcPr>
            <w:tcW w:w="81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 xml:space="preserve"> 0.8</w:t>
            </w:r>
          </w:p>
        </w:tc>
        <w:tc>
          <w:tcPr>
            <w:tcW w:w="994" w:type="dxa"/>
            <w:tcBorders>
              <w:top w:val="single" w:sz="6" w:space="0" w:color="auto"/>
              <w:left w:val="nil"/>
              <w:bottom w:val="nil"/>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47 311.0</w:t>
            </w:r>
          </w:p>
        </w:tc>
      </w:tr>
      <w:tr w:rsidR="000B4A1E" w:rsidRPr="00071AC1" w:rsidTr="00517E51">
        <w:tc>
          <w:tcPr>
            <w:tcW w:w="4604" w:type="dxa"/>
            <w:tcBorders>
              <w:top w:val="single" w:sz="6" w:space="0" w:color="auto"/>
              <w:left w:val="nil"/>
              <w:bottom w:val="single" w:sz="6" w:space="0" w:color="auto"/>
              <w:right w:val="nil"/>
            </w:tcBorders>
          </w:tcPr>
          <w:p w:rsidR="000B4A1E" w:rsidRPr="00071AC1" w:rsidRDefault="000B4A1E" w:rsidP="00517E51">
            <w:pPr>
              <w:pStyle w:val="Tabletext"/>
              <w:rPr>
                <w:rFonts w:eastAsiaTheme="minorEastAsia"/>
                <w:b/>
                <w:bCs/>
                <w:color w:val="000000"/>
                <w:sz w:val="20"/>
                <w:lang w:eastAsia="en-AU"/>
              </w:rPr>
            </w:pPr>
            <w:r w:rsidRPr="00071AC1">
              <w:rPr>
                <w:rFonts w:eastAsiaTheme="minorEastAsia"/>
                <w:b/>
                <w:bCs/>
                <w:color w:val="000000"/>
                <w:sz w:val="20"/>
                <w:lang w:eastAsia="en-AU"/>
              </w:rPr>
              <w:t>Net result from transactions – net operating balance</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 xml:space="preserve"> 316.4</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 xml:space="preserve"> 177.0</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 xml:space="preserve"> 139.4</w:t>
            </w:r>
          </w:p>
        </w:tc>
        <w:tc>
          <w:tcPr>
            <w:tcW w:w="81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 xml:space="preserve"> 78.7</w:t>
            </w:r>
          </w:p>
        </w:tc>
        <w:tc>
          <w:tcPr>
            <w:tcW w:w="994"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 xml:space="preserve"> 571.2</w:t>
            </w:r>
          </w:p>
        </w:tc>
      </w:tr>
      <w:tr w:rsidR="000B4A1E" w:rsidRPr="00071AC1" w:rsidTr="00517E51">
        <w:tc>
          <w:tcPr>
            <w:tcW w:w="4604" w:type="dxa"/>
            <w:tcBorders>
              <w:top w:val="nil"/>
              <w:left w:val="nil"/>
              <w:bottom w:val="single" w:sz="6" w:space="0" w:color="auto"/>
              <w:right w:val="nil"/>
            </w:tcBorders>
          </w:tcPr>
          <w:p w:rsidR="000B4A1E" w:rsidRPr="00071AC1" w:rsidRDefault="000B4A1E" w:rsidP="00517E51">
            <w:pPr>
              <w:pStyle w:val="Tabletext"/>
              <w:rPr>
                <w:rFonts w:eastAsiaTheme="minorEastAsia"/>
                <w:b/>
                <w:bCs/>
                <w:color w:val="000000"/>
                <w:sz w:val="20"/>
                <w:lang w:eastAsia="en-AU"/>
              </w:rPr>
            </w:pPr>
            <w:r w:rsidRPr="00071AC1">
              <w:rPr>
                <w:rFonts w:eastAsiaTheme="minorEastAsia"/>
                <w:b/>
                <w:bCs/>
                <w:color w:val="000000"/>
                <w:sz w:val="20"/>
                <w:lang w:eastAsia="en-AU"/>
              </w:rPr>
              <w:t>Total other economic flows included in net result</w:t>
            </w:r>
          </w:p>
        </w:tc>
        <w:tc>
          <w:tcPr>
            <w:tcW w:w="1080" w:type="dxa"/>
            <w:tcBorders>
              <w:top w:val="nil"/>
              <w:left w:val="nil"/>
              <w:bottom w:val="single" w:sz="6"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7 097.4</w:t>
            </w:r>
          </w:p>
        </w:tc>
        <w:tc>
          <w:tcPr>
            <w:tcW w:w="1080" w:type="dxa"/>
            <w:tcBorders>
              <w:top w:val="nil"/>
              <w:left w:val="nil"/>
              <w:bottom w:val="single" w:sz="6"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3 207.6</w:t>
            </w:r>
          </w:p>
        </w:tc>
        <w:tc>
          <w:tcPr>
            <w:tcW w:w="1080" w:type="dxa"/>
            <w:tcBorders>
              <w:top w:val="nil"/>
              <w:left w:val="nil"/>
              <w:bottom w:val="single" w:sz="6"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3 889.8</w:t>
            </w:r>
          </w:p>
        </w:tc>
        <w:tc>
          <w:tcPr>
            <w:tcW w:w="810" w:type="dxa"/>
            <w:tcBorders>
              <w:top w:val="nil"/>
              <w:left w:val="nil"/>
              <w:bottom w:val="single" w:sz="6"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121.3</w:t>
            </w:r>
          </w:p>
        </w:tc>
        <w:tc>
          <w:tcPr>
            <w:tcW w:w="994" w:type="dxa"/>
            <w:tcBorders>
              <w:top w:val="nil"/>
              <w:left w:val="nil"/>
              <w:bottom w:val="single" w:sz="6"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(10 224.2)</w:t>
            </w:r>
          </w:p>
        </w:tc>
      </w:tr>
      <w:tr w:rsidR="000B4A1E" w:rsidRPr="00071AC1" w:rsidTr="00517E51">
        <w:tc>
          <w:tcPr>
            <w:tcW w:w="4604" w:type="dxa"/>
            <w:tcBorders>
              <w:top w:val="single" w:sz="6" w:space="0" w:color="auto"/>
              <w:left w:val="nil"/>
              <w:bottom w:val="single" w:sz="12" w:space="0" w:color="auto"/>
              <w:right w:val="nil"/>
            </w:tcBorders>
          </w:tcPr>
          <w:p w:rsidR="000B4A1E" w:rsidRPr="00071AC1" w:rsidRDefault="000B4A1E" w:rsidP="00517E51">
            <w:pPr>
              <w:pStyle w:val="Tabletext"/>
              <w:rPr>
                <w:rFonts w:eastAsiaTheme="minorEastAsia"/>
                <w:b/>
                <w:bCs/>
                <w:color w:val="000000"/>
                <w:sz w:val="20"/>
                <w:lang w:eastAsia="en-AU"/>
              </w:rPr>
            </w:pPr>
            <w:r w:rsidRPr="00071AC1">
              <w:rPr>
                <w:rFonts w:eastAsiaTheme="minorEastAsia"/>
                <w:b/>
                <w:bCs/>
                <w:color w:val="000000"/>
                <w:sz w:val="20"/>
                <w:lang w:eastAsia="en-AU"/>
              </w:rPr>
              <w:t>Net result</w:t>
            </w:r>
          </w:p>
        </w:tc>
        <w:tc>
          <w:tcPr>
            <w:tcW w:w="1080" w:type="dxa"/>
            <w:tcBorders>
              <w:top w:val="single" w:sz="6" w:space="0" w:color="auto"/>
              <w:left w:val="nil"/>
              <w:bottom w:val="single" w:sz="12"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7 413.8</w:t>
            </w:r>
          </w:p>
        </w:tc>
        <w:tc>
          <w:tcPr>
            <w:tcW w:w="1080" w:type="dxa"/>
            <w:tcBorders>
              <w:top w:val="single" w:sz="6" w:space="0" w:color="auto"/>
              <w:left w:val="nil"/>
              <w:bottom w:val="single" w:sz="12"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3 384.7</w:t>
            </w:r>
          </w:p>
        </w:tc>
        <w:tc>
          <w:tcPr>
            <w:tcW w:w="1080" w:type="dxa"/>
            <w:tcBorders>
              <w:top w:val="single" w:sz="6" w:space="0" w:color="auto"/>
              <w:left w:val="nil"/>
              <w:bottom w:val="single" w:sz="12"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4 029.2</w:t>
            </w:r>
          </w:p>
        </w:tc>
        <w:tc>
          <w:tcPr>
            <w:tcW w:w="810" w:type="dxa"/>
            <w:tcBorders>
              <w:top w:val="single" w:sz="6" w:space="0" w:color="auto"/>
              <w:left w:val="nil"/>
              <w:bottom w:val="single" w:sz="12"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119.0</w:t>
            </w:r>
          </w:p>
        </w:tc>
        <w:tc>
          <w:tcPr>
            <w:tcW w:w="994" w:type="dxa"/>
            <w:tcBorders>
              <w:top w:val="single" w:sz="6" w:space="0" w:color="auto"/>
              <w:left w:val="nil"/>
              <w:bottom w:val="single" w:sz="12" w:space="0" w:color="auto"/>
              <w:right w:val="nil"/>
            </w:tcBorders>
          </w:tcPr>
          <w:p w:rsidR="000B4A1E" w:rsidRPr="00071AC1" w:rsidRDefault="000B4A1E" w:rsidP="00517E51">
            <w:pPr>
              <w:pStyle w:val="TableofFigures"/>
              <w:rPr>
                <w:rFonts w:eastAsiaTheme="minorEastAsia"/>
                <w:b/>
                <w:bCs/>
                <w:color w:val="000000"/>
                <w:sz w:val="20"/>
                <w:lang w:eastAsia="en-AU"/>
              </w:rPr>
            </w:pPr>
            <w:r w:rsidRPr="00071AC1">
              <w:rPr>
                <w:rFonts w:eastAsiaTheme="minorEastAsia"/>
                <w:b/>
                <w:bCs/>
                <w:color w:val="000000"/>
                <w:sz w:val="20"/>
                <w:lang w:eastAsia="en-AU"/>
              </w:rPr>
              <w:t>(9 652.9)</w:t>
            </w:r>
          </w:p>
        </w:tc>
      </w:tr>
    </w:tbl>
    <w:p w:rsidR="000B4A1E" w:rsidRPr="00071AC1" w:rsidRDefault="000B4A1E" w:rsidP="00517E51">
      <w:pPr>
        <w:rPr>
          <w:rStyle w:val="SourceChar"/>
        </w:rPr>
      </w:pPr>
      <w:r w:rsidRPr="00AB1290">
        <w:rPr>
          <w:rStyle w:val="SourceChar"/>
        </w:rPr>
        <w:t xml:space="preserve">Source: Department of Treasury and </w:t>
      </w:r>
      <w:r w:rsidRPr="00071AC1">
        <w:rPr>
          <w:rStyle w:val="SourceChar"/>
        </w:rPr>
        <w:t>Finance</w:t>
      </w:r>
    </w:p>
    <w:p w:rsidR="000B4A1E" w:rsidRDefault="000B4A1E" w:rsidP="00517E51">
      <w:pPr>
        <w:pStyle w:val="Heading2"/>
      </w:pPr>
      <w:r w:rsidRPr="00110EBA">
        <w:t>Revenue</w:t>
      </w:r>
    </w:p>
    <w:p w:rsidR="000B4A1E" w:rsidRDefault="000B4A1E" w:rsidP="00517E51">
      <w:r>
        <w:t>Total revenue from transactions for the year was $48.6 billion, $507 million (or 1.1 per cent) higher than the revised estimate and $731 million (or 1.5 per cent) higher than the previous year. The year</w:t>
      </w:r>
      <w:r>
        <w:noBreakHyphen/>
        <w:t>on</w:t>
      </w:r>
      <w:r>
        <w:noBreakHyphen/>
        <w:t>year growth rate in 2012-13 is the lowest since 1999</w:t>
      </w:r>
      <w:r>
        <w:noBreakHyphen/>
        <w:t xml:space="preserve">2000. </w:t>
      </w:r>
    </w:p>
    <w:p w:rsidR="000B4A1E" w:rsidRDefault="000B4A1E" w:rsidP="00517E51">
      <w:r>
        <w:t>Interest revenue in 2012-13 was in line with the revised estimate and was $288 million higher than in 2011</w:t>
      </w:r>
      <w:r>
        <w:noBreakHyphen/>
        <w:t>12. The increase relates to interest</w:t>
      </w:r>
      <w:r w:rsidRPr="005D0E1A">
        <w:t xml:space="preserve"> revenue received </w:t>
      </w:r>
      <w:r w:rsidRPr="00990FB1">
        <w:t>as part of the back-to-back finance lease arrangement between the Government and Melbourne Water Corporation</w:t>
      </w:r>
      <w:r>
        <w:t xml:space="preserve"> </w:t>
      </w:r>
      <w:r w:rsidRPr="0078187B">
        <w:t>for the desalination plant which was commissioned in December 2012</w:t>
      </w:r>
      <w:r>
        <w:t>,</w:t>
      </w:r>
      <w:r w:rsidRPr="0078187B">
        <w:t xml:space="preserve"> </w:t>
      </w:r>
      <w:r>
        <w:t xml:space="preserve">and is matched </w:t>
      </w:r>
      <w:r w:rsidRPr="0078187B">
        <w:t xml:space="preserve">by </w:t>
      </w:r>
      <w:r w:rsidRPr="004047F4">
        <w:t>a corresponding</w:t>
      </w:r>
      <w:r>
        <w:t xml:space="preserve"> increase in interest expenses.</w:t>
      </w:r>
    </w:p>
    <w:p w:rsidR="000B4A1E" w:rsidRDefault="000B4A1E" w:rsidP="00517E51">
      <w:r w:rsidRPr="002F4BC8">
        <w:t>Grants revenue was $209</w:t>
      </w:r>
      <w:r>
        <w:t> million</w:t>
      </w:r>
      <w:r w:rsidRPr="002F4BC8">
        <w:t xml:space="preserve"> higher than the revised estimate. The variance is largely due to the </w:t>
      </w:r>
      <w:r w:rsidRPr="00280FAF">
        <w:t xml:space="preserve">timing of grants revenue for on-passing from the Commonwealth Government for financial assistance </w:t>
      </w:r>
      <w:r>
        <w:rPr>
          <w:shd w:val="clear" w:color="auto" w:fill="FFFFFF" w:themeFill="background1"/>
        </w:rPr>
        <w:t>and</w:t>
      </w:r>
      <w:r w:rsidRPr="00280FAF">
        <w:rPr>
          <w:shd w:val="clear" w:color="auto" w:fill="FFFFFF" w:themeFill="background1"/>
        </w:rPr>
        <w:t xml:space="preserve"> local</w:t>
      </w:r>
      <w:r w:rsidRPr="00280FAF">
        <w:t xml:space="preserve"> roads grants to local government. </w:t>
      </w:r>
      <w:r>
        <w:t xml:space="preserve">It </w:t>
      </w:r>
      <w:r w:rsidRPr="00280FAF">
        <w:t xml:space="preserve">therefore does not impact on the net result from transactions </w:t>
      </w:r>
      <w:r>
        <w:t>as it is</w:t>
      </w:r>
      <w:r w:rsidRPr="00280FAF">
        <w:t xml:space="preserve"> matched by expenses.</w:t>
      </w:r>
    </w:p>
    <w:p w:rsidR="000B4A1E" w:rsidRDefault="000B4A1E" w:rsidP="00517E51">
      <w:r>
        <w:lastRenderedPageBreak/>
        <w:t xml:space="preserve">Grants revenue declined by </w:t>
      </w:r>
      <w:r w:rsidRPr="00FE3EE4">
        <w:t>$</w:t>
      </w:r>
      <w:r>
        <w:t>698 million</w:t>
      </w:r>
      <w:r w:rsidRPr="00FE3EE4">
        <w:t xml:space="preserve"> (or </w:t>
      </w:r>
      <w:r>
        <w:t>3.1 per cent</w:t>
      </w:r>
      <w:r w:rsidRPr="00FE3EE4">
        <w:t>)</w:t>
      </w:r>
      <w:r>
        <w:t xml:space="preserve"> year on year, mainly reflecting the receipt in 2011</w:t>
      </w:r>
      <w:r>
        <w:noBreakHyphen/>
        <w:t xml:space="preserve">12 of Commonwealth Government grants </w:t>
      </w:r>
      <w:r w:rsidRPr="00B85D6A">
        <w:t>for Nation Building</w:t>
      </w:r>
      <w:r>
        <w:t xml:space="preserve"> road and rail investment</w:t>
      </w:r>
      <w:r w:rsidRPr="00B85D6A">
        <w:t>, Victor</w:t>
      </w:r>
      <w:r>
        <w:t>ian Comprehensive Cancer Centre</w:t>
      </w:r>
      <w:r w:rsidRPr="00B85D6A">
        <w:t xml:space="preserve"> pro</w:t>
      </w:r>
      <w:r>
        <w:t xml:space="preserve">ject, and the winding up of </w:t>
      </w:r>
      <w:r w:rsidRPr="00377282">
        <w:rPr>
          <w:i/>
        </w:rPr>
        <w:t>Building the Education Revolution</w:t>
      </w:r>
      <w:r>
        <w:t xml:space="preserve">. </w:t>
      </w:r>
    </w:p>
    <w:p w:rsidR="000B4A1E" w:rsidRDefault="000B4A1E" w:rsidP="00517E51">
      <w:r>
        <w:t xml:space="preserve">Table 2.3 shows that State taxation revenue in 2012-13 was broadly in line with revised expectations with the slightly lower final result being driven by lower gambling tax and payroll tax. This was partially offset by land transfer duty revenue which was higher than anticipated, driven by a stronger than expected property market towards the later part of 2012-13. </w:t>
      </w:r>
    </w:p>
    <w:p w:rsidR="000B4A1E" w:rsidRDefault="000B4A1E" w:rsidP="00517E51">
      <w:r>
        <w:t>Taxation was $504 million (or 3.4 per cent) higher than in 2011</w:t>
      </w:r>
      <w:r>
        <w:noBreakHyphen/>
        <w:t xml:space="preserve">12. This was impacted by the </w:t>
      </w:r>
      <w:r w:rsidRPr="00F260CE">
        <w:t>biennial</w:t>
      </w:r>
      <w:r>
        <w:t xml:space="preserve"> land tax revaluation cycle, </w:t>
      </w:r>
      <w:r w:rsidRPr="004C6197">
        <w:t xml:space="preserve">and </w:t>
      </w:r>
      <w:r>
        <w:t xml:space="preserve">an </w:t>
      </w:r>
      <w:r w:rsidRPr="004C6197">
        <w:t>increase in motor v</w:t>
      </w:r>
      <w:r>
        <w:t xml:space="preserve">ehicle taxes. The latter largely reflects the </w:t>
      </w:r>
      <w:r w:rsidRPr="004C6197">
        <w:t>increas</w:t>
      </w:r>
      <w:r>
        <w:t xml:space="preserve">e in the registration fee and stamp duty rates as announced in the </w:t>
      </w:r>
      <w:r w:rsidRPr="00326F84">
        <w:rPr>
          <w:i/>
        </w:rPr>
        <w:t>2011-12 Budget Update.</w:t>
      </w:r>
    </w:p>
    <w:p w:rsidR="000B4A1E" w:rsidRDefault="000B4A1E" w:rsidP="00517E51">
      <w:pPr>
        <w:pStyle w:val="Tableheading"/>
      </w:pPr>
      <w:r>
        <w:t>Table 2.3:</w:t>
      </w:r>
      <w:r>
        <w:tab/>
        <w:t>Taxation</w:t>
      </w:r>
    </w:p>
    <w:p w:rsidR="000B4A1E" w:rsidRPr="00071AC1" w:rsidRDefault="000B4A1E" w:rsidP="00517E51">
      <w:pPr>
        <w:pStyle w:val="million"/>
      </w:pPr>
      <w:r>
        <w:t>($ million)</w:t>
      </w:r>
    </w:p>
    <w:tbl>
      <w:tblPr>
        <w:tblW w:w="9648" w:type="dxa"/>
        <w:tblInd w:w="29" w:type="dxa"/>
        <w:tblLayout w:type="fixed"/>
        <w:tblCellMar>
          <w:left w:w="43" w:type="dxa"/>
          <w:right w:w="43" w:type="dxa"/>
        </w:tblCellMar>
        <w:tblLook w:val="0000" w:firstRow="0" w:lastRow="0" w:firstColumn="0" w:lastColumn="0" w:noHBand="0" w:noVBand="0"/>
      </w:tblPr>
      <w:tblGrid>
        <w:gridCol w:w="5504"/>
        <w:gridCol w:w="1080"/>
        <w:gridCol w:w="1080"/>
        <w:gridCol w:w="1080"/>
        <w:gridCol w:w="904"/>
      </w:tblGrid>
      <w:tr w:rsidR="000B4A1E" w:rsidRPr="00071AC1" w:rsidTr="00517E51">
        <w:tc>
          <w:tcPr>
            <w:tcW w:w="5504" w:type="dxa"/>
            <w:tcBorders>
              <w:top w:val="single" w:sz="4" w:space="0" w:color="auto"/>
              <w:left w:val="single" w:sz="4" w:space="0" w:color="auto"/>
              <w:bottom w:val="nil"/>
              <w:right w:val="nil"/>
            </w:tcBorders>
            <w:shd w:val="clear" w:color="auto" w:fill="000000"/>
          </w:tcPr>
          <w:p w:rsidR="000B4A1E" w:rsidRPr="00071AC1" w:rsidRDefault="000B4A1E" w:rsidP="00517E51">
            <w:pPr>
              <w:pStyle w:val="Tabletext"/>
              <w:rPr>
                <w:rFonts w:eastAsiaTheme="minorEastAsia"/>
                <w:sz w:val="21"/>
                <w:szCs w:val="21"/>
                <w:lang w:eastAsia="en-AU"/>
              </w:rPr>
            </w:pPr>
            <w:r w:rsidRPr="00071AC1">
              <w:rPr>
                <w:rFonts w:eastAsiaTheme="minorEastAsia"/>
                <w:sz w:val="21"/>
                <w:szCs w:val="21"/>
                <w:lang w:eastAsia="en-AU"/>
              </w:rPr>
              <w:t xml:space="preserve">  </w:t>
            </w:r>
          </w:p>
        </w:tc>
        <w:tc>
          <w:tcPr>
            <w:tcW w:w="1080" w:type="dxa"/>
            <w:tcBorders>
              <w:top w:val="single" w:sz="4" w:space="0" w:color="auto"/>
              <w:left w:val="nil"/>
              <w:bottom w:val="nil"/>
              <w:right w:val="nil"/>
            </w:tcBorders>
            <w:shd w:val="clear" w:color="auto" w:fill="000000"/>
          </w:tcPr>
          <w:p w:rsidR="000B4A1E" w:rsidRPr="00071AC1" w:rsidRDefault="000B4A1E" w:rsidP="00517E51">
            <w:pPr>
              <w:pStyle w:val="Tabletextheading"/>
              <w:rPr>
                <w:rFonts w:eastAsiaTheme="minorEastAsia"/>
                <w:sz w:val="21"/>
                <w:szCs w:val="21"/>
                <w:lang w:eastAsia="en-AU"/>
              </w:rPr>
            </w:pPr>
            <w:r w:rsidRPr="00071AC1">
              <w:rPr>
                <w:rFonts w:eastAsiaTheme="minorEastAsia"/>
                <w:sz w:val="21"/>
                <w:szCs w:val="21"/>
                <w:lang w:eastAsia="en-AU"/>
              </w:rPr>
              <w:t>2012-13</w:t>
            </w:r>
          </w:p>
        </w:tc>
        <w:tc>
          <w:tcPr>
            <w:tcW w:w="1080" w:type="dxa"/>
            <w:tcBorders>
              <w:top w:val="single" w:sz="4" w:space="0" w:color="auto"/>
              <w:left w:val="nil"/>
              <w:bottom w:val="nil"/>
              <w:right w:val="nil"/>
            </w:tcBorders>
            <w:shd w:val="clear" w:color="auto" w:fill="000000"/>
          </w:tcPr>
          <w:p w:rsidR="000B4A1E" w:rsidRPr="00071AC1" w:rsidRDefault="000B4A1E" w:rsidP="00517E51">
            <w:pPr>
              <w:pStyle w:val="Tabletextheading"/>
              <w:rPr>
                <w:rFonts w:eastAsiaTheme="minorEastAsia"/>
                <w:sz w:val="21"/>
                <w:szCs w:val="21"/>
                <w:lang w:eastAsia="en-AU"/>
              </w:rPr>
            </w:pPr>
            <w:r w:rsidRPr="00071AC1">
              <w:rPr>
                <w:rFonts w:eastAsiaTheme="minorEastAsia"/>
                <w:sz w:val="21"/>
                <w:szCs w:val="21"/>
                <w:lang w:eastAsia="en-AU"/>
              </w:rPr>
              <w:t>2012-13</w:t>
            </w:r>
          </w:p>
        </w:tc>
        <w:tc>
          <w:tcPr>
            <w:tcW w:w="1080" w:type="dxa"/>
            <w:tcBorders>
              <w:top w:val="single" w:sz="4" w:space="0" w:color="auto"/>
              <w:left w:val="nil"/>
              <w:bottom w:val="nil"/>
              <w:right w:val="nil"/>
            </w:tcBorders>
            <w:shd w:val="clear" w:color="auto" w:fill="000000"/>
          </w:tcPr>
          <w:p w:rsidR="000B4A1E" w:rsidRPr="00071AC1" w:rsidRDefault="000B4A1E" w:rsidP="00517E51">
            <w:pPr>
              <w:pStyle w:val="Tabletextheading"/>
              <w:rPr>
                <w:rFonts w:eastAsiaTheme="minorEastAsia"/>
                <w:sz w:val="21"/>
                <w:szCs w:val="21"/>
                <w:lang w:eastAsia="en-AU"/>
              </w:rPr>
            </w:pPr>
            <w:r w:rsidRPr="00071AC1">
              <w:rPr>
                <w:rFonts w:eastAsiaTheme="minorEastAsia"/>
                <w:sz w:val="21"/>
                <w:szCs w:val="21"/>
                <w:lang w:eastAsia="en-AU"/>
              </w:rPr>
              <w:t>Revised</w:t>
            </w:r>
          </w:p>
        </w:tc>
        <w:tc>
          <w:tcPr>
            <w:tcW w:w="904" w:type="dxa"/>
            <w:tcBorders>
              <w:top w:val="single" w:sz="4" w:space="0" w:color="auto"/>
              <w:left w:val="nil"/>
              <w:bottom w:val="nil"/>
              <w:right w:val="single" w:sz="4" w:space="0" w:color="auto"/>
            </w:tcBorders>
            <w:shd w:val="clear" w:color="auto" w:fill="000000"/>
          </w:tcPr>
          <w:p w:rsidR="000B4A1E" w:rsidRPr="00071AC1" w:rsidRDefault="000B4A1E" w:rsidP="00517E51">
            <w:pPr>
              <w:pStyle w:val="Tabletextheading"/>
              <w:rPr>
                <w:rFonts w:eastAsiaTheme="minorEastAsia"/>
                <w:sz w:val="21"/>
                <w:szCs w:val="21"/>
                <w:lang w:eastAsia="en-AU"/>
              </w:rPr>
            </w:pPr>
            <w:r w:rsidRPr="00071AC1">
              <w:rPr>
                <w:rFonts w:eastAsiaTheme="minorEastAsia"/>
                <w:sz w:val="21"/>
                <w:szCs w:val="21"/>
                <w:lang w:eastAsia="en-AU"/>
              </w:rPr>
              <w:t>%</w:t>
            </w:r>
          </w:p>
        </w:tc>
      </w:tr>
      <w:tr w:rsidR="000B4A1E" w:rsidRPr="00071AC1" w:rsidTr="00517E51">
        <w:tc>
          <w:tcPr>
            <w:tcW w:w="5504" w:type="dxa"/>
            <w:tcBorders>
              <w:top w:val="nil"/>
              <w:left w:val="single" w:sz="4" w:space="0" w:color="auto"/>
              <w:bottom w:val="single" w:sz="4" w:space="0" w:color="auto"/>
              <w:right w:val="nil"/>
            </w:tcBorders>
            <w:shd w:val="clear" w:color="auto" w:fill="000000"/>
          </w:tcPr>
          <w:p w:rsidR="000B4A1E" w:rsidRPr="00071AC1" w:rsidRDefault="000B4A1E" w:rsidP="00517E51">
            <w:pPr>
              <w:pStyle w:val="Tabletext"/>
              <w:rPr>
                <w:rFonts w:eastAsiaTheme="minorEastAsia"/>
                <w:sz w:val="21"/>
                <w:szCs w:val="21"/>
                <w:lang w:eastAsia="en-AU"/>
              </w:rPr>
            </w:pPr>
            <w:r w:rsidRPr="00071AC1">
              <w:rPr>
                <w:rFonts w:eastAsiaTheme="minorEastAsia"/>
                <w:sz w:val="21"/>
                <w:szCs w:val="21"/>
                <w:lang w:eastAsia="en-AU"/>
              </w:rPr>
              <w:t xml:space="preserve">  </w:t>
            </w:r>
          </w:p>
        </w:tc>
        <w:tc>
          <w:tcPr>
            <w:tcW w:w="1080" w:type="dxa"/>
            <w:tcBorders>
              <w:top w:val="nil"/>
              <w:left w:val="nil"/>
              <w:bottom w:val="single" w:sz="4" w:space="0" w:color="auto"/>
              <w:right w:val="nil"/>
            </w:tcBorders>
            <w:shd w:val="clear" w:color="auto" w:fill="000000"/>
          </w:tcPr>
          <w:p w:rsidR="000B4A1E" w:rsidRPr="00071AC1" w:rsidRDefault="000B4A1E" w:rsidP="00517E51">
            <w:pPr>
              <w:pStyle w:val="Tabletextheading"/>
              <w:rPr>
                <w:rFonts w:eastAsiaTheme="minorEastAsia"/>
                <w:sz w:val="21"/>
                <w:szCs w:val="21"/>
                <w:lang w:eastAsia="en-AU"/>
              </w:rPr>
            </w:pPr>
            <w:r w:rsidRPr="00071AC1">
              <w:rPr>
                <w:rFonts w:eastAsiaTheme="minorEastAsia"/>
                <w:sz w:val="21"/>
                <w:szCs w:val="21"/>
                <w:lang w:eastAsia="en-AU"/>
              </w:rPr>
              <w:t>Actual</w:t>
            </w:r>
          </w:p>
        </w:tc>
        <w:tc>
          <w:tcPr>
            <w:tcW w:w="1080" w:type="dxa"/>
            <w:tcBorders>
              <w:top w:val="nil"/>
              <w:left w:val="nil"/>
              <w:bottom w:val="single" w:sz="4" w:space="0" w:color="auto"/>
              <w:right w:val="nil"/>
            </w:tcBorders>
            <w:shd w:val="clear" w:color="auto" w:fill="000000"/>
          </w:tcPr>
          <w:p w:rsidR="000B4A1E" w:rsidRPr="00071AC1" w:rsidRDefault="000B4A1E" w:rsidP="00517E51">
            <w:pPr>
              <w:pStyle w:val="Tabletextheading"/>
              <w:rPr>
                <w:rFonts w:eastAsiaTheme="minorEastAsia"/>
                <w:sz w:val="21"/>
                <w:szCs w:val="21"/>
                <w:lang w:eastAsia="en-AU"/>
              </w:rPr>
            </w:pPr>
            <w:r w:rsidRPr="00071AC1">
              <w:rPr>
                <w:rFonts w:eastAsiaTheme="minorEastAsia"/>
                <w:sz w:val="21"/>
                <w:szCs w:val="21"/>
                <w:lang w:eastAsia="en-AU"/>
              </w:rPr>
              <w:t>Revised</w:t>
            </w:r>
          </w:p>
        </w:tc>
        <w:tc>
          <w:tcPr>
            <w:tcW w:w="1080" w:type="dxa"/>
            <w:tcBorders>
              <w:top w:val="nil"/>
              <w:left w:val="nil"/>
              <w:bottom w:val="single" w:sz="4" w:space="0" w:color="auto"/>
              <w:right w:val="nil"/>
            </w:tcBorders>
            <w:shd w:val="clear" w:color="auto" w:fill="000000"/>
          </w:tcPr>
          <w:p w:rsidR="000B4A1E" w:rsidRPr="00071AC1" w:rsidRDefault="000B4A1E" w:rsidP="00517E51">
            <w:pPr>
              <w:pStyle w:val="Tabletextheading"/>
              <w:rPr>
                <w:rFonts w:eastAsiaTheme="minorEastAsia"/>
                <w:sz w:val="21"/>
                <w:szCs w:val="21"/>
                <w:lang w:eastAsia="en-AU"/>
              </w:rPr>
            </w:pPr>
            <w:r w:rsidRPr="00071AC1">
              <w:rPr>
                <w:rFonts w:eastAsiaTheme="minorEastAsia"/>
                <w:sz w:val="21"/>
                <w:szCs w:val="21"/>
                <w:lang w:eastAsia="en-AU"/>
              </w:rPr>
              <w:t>variance</w:t>
            </w:r>
          </w:p>
        </w:tc>
        <w:tc>
          <w:tcPr>
            <w:tcW w:w="904" w:type="dxa"/>
            <w:tcBorders>
              <w:top w:val="nil"/>
              <w:left w:val="nil"/>
              <w:bottom w:val="single" w:sz="4" w:space="0" w:color="auto"/>
              <w:right w:val="single" w:sz="4" w:space="0" w:color="auto"/>
            </w:tcBorders>
            <w:shd w:val="clear" w:color="auto" w:fill="000000"/>
          </w:tcPr>
          <w:p w:rsidR="000B4A1E" w:rsidRPr="00071AC1" w:rsidRDefault="000B4A1E" w:rsidP="00517E51">
            <w:pPr>
              <w:pStyle w:val="Tabletextheading"/>
              <w:rPr>
                <w:rFonts w:eastAsiaTheme="minorEastAsia"/>
                <w:sz w:val="21"/>
                <w:szCs w:val="21"/>
                <w:lang w:eastAsia="en-AU"/>
              </w:rPr>
            </w:pPr>
            <w:r w:rsidRPr="00071AC1">
              <w:rPr>
                <w:rFonts w:eastAsiaTheme="minorEastAsia"/>
                <w:sz w:val="21"/>
                <w:szCs w:val="21"/>
                <w:lang w:eastAsia="en-AU"/>
              </w:rPr>
              <w:t>Change</w:t>
            </w:r>
          </w:p>
        </w:tc>
      </w:tr>
      <w:tr w:rsidR="000B4A1E" w:rsidRPr="00071AC1" w:rsidTr="00517E51">
        <w:tc>
          <w:tcPr>
            <w:tcW w:w="5504" w:type="dxa"/>
            <w:tcBorders>
              <w:top w:val="single" w:sz="4" w:space="0" w:color="auto"/>
              <w:left w:val="nil"/>
              <w:bottom w:val="nil"/>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Taxes on employers' payroll and labour force</w:t>
            </w:r>
          </w:p>
        </w:tc>
        <w:tc>
          <w:tcPr>
            <w:tcW w:w="1080" w:type="dxa"/>
            <w:tcBorders>
              <w:top w:val="single" w:sz="4" w:space="0" w:color="auto"/>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4 750.9</w:t>
            </w:r>
          </w:p>
        </w:tc>
        <w:tc>
          <w:tcPr>
            <w:tcW w:w="1080" w:type="dxa"/>
            <w:tcBorders>
              <w:top w:val="single" w:sz="4" w:space="0" w:color="auto"/>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4 815.9</w:t>
            </w:r>
          </w:p>
        </w:tc>
        <w:tc>
          <w:tcPr>
            <w:tcW w:w="1080" w:type="dxa"/>
            <w:tcBorders>
              <w:top w:val="single" w:sz="4" w:space="0" w:color="auto"/>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( 65.0)</w:t>
            </w:r>
          </w:p>
        </w:tc>
        <w:tc>
          <w:tcPr>
            <w:tcW w:w="904" w:type="dxa"/>
            <w:tcBorders>
              <w:top w:val="single" w:sz="4" w:space="0" w:color="auto"/>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( 1.3)</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Taxes on immovable property</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904"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Land tax</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1 589.2</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1 587.3</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1.9</w:t>
            </w:r>
          </w:p>
        </w:tc>
        <w:tc>
          <w:tcPr>
            <w:tcW w:w="904"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0.1</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Congestion levy</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48.2</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48.1</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0.1</w:t>
            </w:r>
          </w:p>
        </w:tc>
        <w:tc>
          <w:tcPr>
            <w:tcW w:w="904"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0.3</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Metropolitan improvement levy</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136.8</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136.0</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0.8</w:t>
            </w:r>
          </w:p>
        </w:tc>
        <w:tc>
          <w:tcPr>
            <w:tcW w:w="904"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0.6</w:t>
            </w:r>
          </w:p>
        </w:tc>
      </w:tr>
      <w:tr w:rsidR="000B4A1E" w:rsidRPr="00071AC1" w:rsidTr="00517E51">
        <w:tc>
          <w:tcPr>
            <w:tcW w:w="5504" w:type="dxa"/>
            <w:tcBorders>
              <w:top w:val="nil"/>
              <w:left w:val="nil"/>
              <w:bottom w:val="single" w:sz="6" w:space="0" w:color="auto"/>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Property owner contributions to fire brigades</w:t>
            </w:r>
          </w:p>
        </w:tc>
        <w:tc>
          <w:tcPr>
            <w:tcW w:w="1080"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37.8</w:t>
            </w:r>
          </w:p>
        </w:tc>
        <w:tc>
          <w:tcPr>
            <w:tcW w:w="1080"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37.8</w:t>
            </w:r>
          </w:p>
        </w:tc>
        <w:tc>
          <w:tcPr>
            <w:tcW w:w="1080"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w:t>
            </w:r>
          </w:p>
        </w:tc>
        <w:tc>
          <w:tcPr>
            <w:tcW w:w="904"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Total taxes on immovable property</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1 812.0</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1 809.2</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2.8</w:t>
            </w:r>
          </w:p>
        </w:tc>
        <w:tc>
          <w:tcPr>
            <w:tcW w:w="904"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0.2</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Financial and capital transactions</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904"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Land transfer duty</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3 276.1</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3 172.1</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104.0</w:t>
            </w:r>
          </w:p>
        </w:tc>
        <w:tc>
          <w:tcPr>
            <w:tcW w:w="904"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3.3</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Other property duties</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6.6</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7.9</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( 1.3)</w:t>
            </w:r>
          </w:p>
        </w:tc>
        <w:tc>
          <w:tcPr>
            <w:tcW w:w="904"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( 16.1)</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Financial accommodation levy</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96.9</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97.7</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( 0.8)</w:t>
            </w:r>
          </w:p>
        </w:tc>
        <w:tc>
          <w:tcPr>
            <w:tcW w:w="904"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( 0.8)</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Growth areas infrastructure contribution</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56.4</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70.9</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( 14.5)</w:t>
            </w:r>
          </w:p>
        </w:tc>
        <w:tc>
          <w:tcPr>
            <w:tcW w:w="904"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( 20.4)</w:t>
            </w:r>
          </w:p>
        </w:tc>
      </w:tr>
      <w:tr w:rsidR="000B4A1E" w:rsidRPr="00071AC1" w:rsidTr="00517E51">
        <w:tc>
          <w:tcPr>
            <w:tcW w:w="5504" w:type="dxa"/>
            <w:tcBorders>
              <w:top w:val="single" w:sz="6" w:space="0" w:color="auto"/>
              <w:left w:val="nil"/>
              <w:bottom w:val="single" w:sz="6" w:space="0" w:color="auto"/>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Total financial and capital transactions</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3 436.0</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3 348.5</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87.4</w:t>
            </w:r>
          </w:p>
        </w:tc>
        <w:tc>
          <w:tcPr>
            <w:tcW w:w="904"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2.6</w:t>
            </w:r>
          </w:p>
        </w:tc>
      </w:tr>
      <w:tr w:rsidR="000B4A1E" w:rsidRPr="00071AC1" w:rsidTr="00517E51">
        <w:tc>
          <w:tcPr>
            <w:tcW w:w="5504" w:type="dxa"/>
            <w:tcBorders>
              <w:top w:val="single" w:sz="6" w:space="0" w:color="auto"/>
              <w:left w:val="nil"/>
              <w:bottom w:val="single" w:sz="6" w:space="0" w:color="auto"/>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Total taxes on property</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5 247.9</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5 157.7</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90.2</w:t>
            </w:r>
          </w:p>
        </w:tc>
        <w:tc>
          <w:tcPr>
            <w:tcW w:w="904"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1.7</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Taxes on the provision of goods and services</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904"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Gambling taxes</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904"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Private lotteries</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428.9</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428.2</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0.7</w:t>
            </w:r>
          </w:p>
        </w:tc>
        <w:tc>
          <w:tcPr>
            <w:tcW w:w="904"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0.2</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Electronic gaming machines</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1 009.9</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1 076.8</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( 66.9)</w:t>
            </w:r>
          </w:p>
        </w:tc>
        <w:tc>
          <w:tcPr>
            <w:tcW w:w="904"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( 6.2)</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Casino</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200.8</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216.3</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( 15.4)</w:t>
            </w:r>
          </w:p>
        </w:tc>
        <w:tc>
          <w:tcPr>
            <w:tcW w:w="904"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( 7.1)</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Racing</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87.5</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91.5</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( 4.1)</w:t>
            </w:r>
          </w:p>
        </w:tc>
        <w:tc>
          <w:tcPr>
            <w:tcW w:w="904"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( 4.4)</w:t>
            </w:r>
          </w:p>
        </w:tc>
      </w:tr>
      <w:tr w:rsidR="000B4A1E" w:rsidRPr="00071AC1" w:rsidTr="00517E51">
        <w:tc>
          <w:tcPr>
            <w:tcW w:w="5504" w:type="dxa"/>
            <w:tcBorders>
              <w:top w:val="nil"/>
              <w:left w:val="nil"/>
              <w:bottom w:val="single" w:sz="6" w:space="0" w:color="auto"/>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Other</w:t>
            </w:r>
          </w:p>
        </w:tc>
        <w:tc>
          <w:tcPr>
            <w:tcW w:w="1080"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18.2</w:t>
            </w:r>
          </w:p>
        </w:tc>
        <w:tc>
          <w:tcPr>
            <w:tcW w:w="1080"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18.4</w:t>
            </w:r>
          </w:p>
        </w:tc>
        <w:tc>
          <w:tcPr>
            <w:tcW w:w="1080"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( 0.1)</w:t>
            </w:r>
          </w:p>
        </w:tc>
        <w:tc>
          <w:tcPr>
            <w:tcW w:w="904"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( 0.7)</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Total gambling taxes</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1 745.3</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1 831.2</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( 85.9)</w:t>
            </w:r>
          </w:p>
        </w:tc>
        <w:tc>
          <w:tcPr>
            <w:tcW w:w="904"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( 4.7)</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Levies on statutory corporations</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69.4</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70.2</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( 0.7)</w:t>
            </w:r>
          </w:p>
        </w:tc>
        <w:tc>
          <w:tcPr>
            <w:tcW w:w="904"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( 1.0)</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Taxes on insurance</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1 627.5</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1 627.1</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0.4</w:t>
            </w:r>
          </w:p>
        </w:tc>
        <w:tc>
          <w:tcPr>
            <w:tcW w:w="904"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Pr>
                <w:rFonts w:eastAsiaTheme="minorEastAsia"/>
                <w:b/>
                <w:bCs/>
                <w:color w:val="000000"/>
                <w:sz w:val="21"/>
                <w:szCs w:val="21"/>
                <w:lang w:eastAsia="en-AU"/>
              </w:rPr>
              <w:t>..</w:t>
            </w:r>
          </w:p>
        </w:tc>
      </w:tr>
      <w:tr w:rsidR="000B4A1E" w:rsidRPr="00071AC1" w:rsidTr="00517E51">
        <w:tc>
          <w:tcPr>
            <w:tcW w:w="5504" w:type="dxa"/>
            <w:tcBorders>
              <w:top w:val="single" w:sz="6" w:space="0" w:color="auto"/>
              <w:left w:val="nil"/>
              <w:bottom w:val="single" w:sz="6" w:space="0" w:color="auto"/>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Total taxes on the provision of goods and services</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3 442.3</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3 528.5</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( 86.2)</w:t>
            </w:r>
          </w:p>
        </w:tc>
        <w:tc>
          <w:tcPr>
            <w:tcW w:w="904"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( 2.4)</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Taxes on the use of goods and performance of activities</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904"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Motor vehicle taxes</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c>
          <w:tcPr>
            <w:tcW w:w="904"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Vehicle registration fees</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1 174.7</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1 183.9</w:t>
            </w:r>
          </w:p>
        </w:tc>
        <w:tc>
          <w:tcPr>
            <w:tcW w:w="1080"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( 9.1)</w:t>
            </w:r>
          </w:p>
        </w:tc>
        <w:tc>
          <w:tcPr>
            <w:tcW w:w="904" w:type="dxa"/>
            <w:tcBorders>
              <w:top w:val="nil"/>
              <w:left w:val="nil"/>
              <w:bottom w:val="nil"/>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( 0.8)</w:t>
            </w:r>
          </w:p>
        </w:tc>
      </w:tr>
      <w:tr w:rsidR="000B4A1E" w:rsidRPr="00071AC1" w:rsidTr="00517E51">
        <w:tc>
          <w:tcPr>
            <w:tcW w:w="5504" w:type="dxa"/>
            <w:tcBorders>
              <w:top w:val="nil"/>
              <w:left w:val="nil"/>
              <w:bottom w:val="single" w:sz="6" w:space="0" w:color="auto"/>
              <w:right w:val="nil"/>
            </w:tcBorders>
          </w:tcPr>
          <w:p w:rsidR="000B4A1E" w:rsidRPr="00071AC1" w:rsidRDefault="000B4A1E" w:rsidP="00517E51">
            <w:pPr>
              <w:pStyle w:val="Tabletext"/>
              <w:rPr>
                <w:rFonts w:eastAsiaTheme="minorEastAsia"/>
                <w:color w:val="000000"/>
                <w:sz w:val="21"/>
                <w:szCs w:val="21"/>
                <w:lang w:eastAsia="en-AU"/>
              </w:rPr>
            </w:pPr>
            <w:r w:rsidRPr="00071AC1">
              <w:rPr>
                <w:rFonts w:eastAsiaTheme="minorEastAsia"/>
                <w:color w:val="000000"/>
                <w:sz w:val="21"/>
                <w:szCs w:val="21"/>
                <w:lang w:eastAsia="en-AU"/>
              </w:rPr>
              <w:t>Duty on vehicle registrations and transfers</w:t>
            </w:r>
          </w:p>
        </w:tc>
        <w:tc>
          <w:tcPr>
            <w:tcW w:w="1080"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636.1</w:t>
            </w:r>
          </w:p>
        </w:tc>
        <w:tc>
          <w:tcPr>
            <w:tcW w:w="1080"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xml:space="preserve"> 644.3</w:t>
            </w:r>
          </w:p>
        </w:tc>
        <w:tc>
          <w:tcPr>
            <w:tcW w:w="1080"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( 8.2)</w:t>
            </w:r>
          </w:p>
        </w:tc>
        <w:tc>
          <w:tcPr>
            <w:tcW w:w="904"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sz w:val="21"/>
                <w:szCs w:val="21"/>
                <w:lang w:eastAsia="en-AU"/>
              </w:rPr>
            </w:pPr>
            <w:r w:rsidRPr="00071AC1">
              <w:rPr>
                <w:rFonts w:eastAsiaTheme="minorEastAsia"/>
                <w:color w:val="000000"/>
                <w:sz w:val="21"/>
                <w:szCs w:val="21"/>
                <w:lang w:eastAsia="en-AU"/>
              </w:rPr>
              <w:t>( 1.3)</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Total motor vehicle taxes</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1 810.8</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1 828.2</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( 17.4)</w:t>
            </w:r>
          </w:p>
        </w:tc>
        <w:tc>
          <w:tcPr>
            <w:tcW w:w="904"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( 0.9)</w:t>
            </w:r>
          </w:p>
        </w:tc>
      </w:tr>
      <w:tr w:rsidR="000B4A1E" w:rsidRPr="00071AC1" w:rsidTr="00517E51">
        <w:tc>
          <w:tcPr>
            <w:tcW w:w="5504" w:type="dxa"/>
            <w:tcBorders>
              <w:top w:val="nil"/>
              <w:left w:val="nil"/>
              <w:bottom w:val="nil"/>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Franchise taxes</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22.8</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22.9</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( 0.1)</w:t>
            </w:r>
          </w:p>
        </w:tc>
        <w:tc>
          <w:tcPr>
            <w:tcW w:w="904"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( 0.5)</w:t>
            </w:r>
          </w:p>
        </w:tc>
      </w:tr>
      <w:tr w:rsidR="000B4A1E" w:rsidRPr="00071AC1" w:rsidTr="00517E51">
        <w:tc>
          <w:tcPr>
            <w:tcW w:w="5504" w:type="dxa"/>
            <w:tcBorders>
              <w:top w:val="nil"/>
              <w:left w:val="nil"/>
              <w:bottom w:val="single" w:sz="6" w:space="0" w:color="auto"/>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Other</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255.9</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xml:space="preserve"> 268.2</w:t>
            </w:r>
          </w:p>
        </w:tc>
        <w:tc>
          <w:tcPr>
            <w:tcW w:w="1080"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( 12.3)</w:t>
            </w:r>
          </w:p>
        </w:tc>
        <w:tc>
          <w:tcPr>
            <w:tcW w:w="904" w:type="dxa"/>
            <w:tcBorders>
              <w:top w:val="nil"/>
              <w:left w:val="nil"/>
              <w:bottom w:val="nil"/>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( 4.6)</w:t>
            </w:r>
          </w:p>
        </w:tc>
      </w:tr>
      <w:tr w:rsidR="000B4A1E" w:rsidRPr="00071AC1" w:rsidTr="00517E51">
        <w:tc>
          <w:tcPr>
            <w:tcW w:w="5504" w:type="dxa"/>
            <w:tcBorders>
              <w:top w:val="single" w:sz="6" w:space="0" w:color="auto"/>
              <w:left w:val="nil"/>
              <w:bottom w:val="single" w:sz="6" w:space="0" w:color="auto"/>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Total taxes on the use of goods and performance of activities</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2 089.5</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2 119.3</w:t>
            </w:r>
          </w:p>
        </w:tc>
        <w:tc>
          <w:tcPr>
            <w:tcW w:w="1080"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( 29.8)</w:t>
            </w:r>
          </w:p>
        </w:tc>
        <w:tc>
          <w:tcPr>
            <w:tcW w:w="904" w:type="dxa"/>
            <w:tcBorders>
              <w:top w:val="single" w:sz="6" w:space="0" w:color="auto"/>
              <w:left w:val="nil"/>
              <w:bottom w:val="single" w:sz="6"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( 1.4)</w:t>
            </w:r>
          </w:p>
        </w:tc>
      </w:tr>
      <w:tr w:rsidR="000B4A1E" w:rsidRPr="00071AC1" w:rsidTr="00517E51">
        <w:tc>
          <w:tcPr>
            <w:tcW w:w="5504" w:type="dxa"/>
            <w:tcBorders>
              <w:top w:val="nil"/>
              <w:left w:val="nil"/>
              <w:bottom w:val="single" w:sz="12" w:space="0" w:color="auto"/>
              <w:right w:val="nil"/>
            </w:tcBorders>
          </w:tcPr>
          <w:p w:rsidR="000B4A1E" w:rsidRPr="00071AC1" w:rsidRDefault="000B4A1E" w:rsidP="00517E51">
            <w:pPr>
              <w:pStyle w:val="Tabletext"/>
              <w:rPr>
                <w:rFonts w:eastAsiaTheme="minorEastAsia"/>
                <w:b/>
                <w:bCs/>
                <w:color w:val="000000"/>
                <w:sz w:val="21"/>
                <w:szCs w:val="21"/>
                <w:lang w:eastAsia="en-AU"/>
              </w:rPr>
            </w:pPr>
            <w:r w:rsidRPr="00071AC1">
              <w:rPr>
                <w:rFonts w:eastAsiaTheme="minorEastAsia"/>
                <w:b/>
                <w:bCs/>
                <w:color w:val="000000"/>
                <w:sz w:val="21"/>
                <w:szCs w:val="21"/>
                <w:lang w:eastAsia="en-AU"/>
              </w:rPr>
              <w:t>Total taxation revenue</w:t>
            </w:r>
          </w:p>
        </w:tc>
        <w:tc>
          <w:tcPr>
            <w:tcW w:w="1080" w:type="dxa"/>
            <w:tcBorders>
              <w:top w:val="nil"/>
              <w:left w:val="nil"/>
              <w:bottom w:val="single" w:sz="12"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15 530.7</w:t>
            </w:r>
          </w:p>
        </w:tc>
        <w:tc>
          <w:tcPr>
            <w:tcW w:w="1080" w:type="dxa"/>
            <w:tcBorders>
              <w:top w:val="nil"/>
              <w:left w:val="nil"/>
              <w:bottom w:val="single" w:sz="12"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15 621.4</w:t>
            </w:r>
          </w:p>
        </w:tc>
        <w:tc>
          <w:tcPr>
            <w:tcW w:w="1080" w:type="dxa"/>
            <w:tcBorders>
              <w:top w:val="nil"/>
              <w:left w:val="nil"/>
              <w:bottom w:val="single" w:sz="12"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( 90.8)</w:t>
            </w:r>
          </w:p>
        </w:tc>
        <w:tc>
          <w:tcPr>
            <w:tcW w:w="904" w:type="dxa"/>
            <w:tcBorders>
              <w:top w:val="nil"/>
              <w:left w:val="nil"/>
              <w:bottom w:val="single" w:sz="12" w:space="0" w:color="auto"/>
              <w:right w:val="nil"/>
            </w:tcBorders>
          </w:tcPr>
          <w:p w:rsidR="000B4A1E" w:rsidRPr="00071AC1" w:rsidRDefault="000B4A1E" w:rsidP="00517E51">
            <w:pPr>
              <w:pStyle w:val="TableofFigures"/>
              <w:rPr>
                <w:rFonts w:eastAsiaTheme="minorEastAsia"/>
                <w:b/>
                <w:bCs/>
                <w:color w:val="000000"/>
                <w:sz w:val="21"/>
                <w:szCs w:val="21"/>
                <w:lang w:eastAsia="en-AU"/>
              </w:rPr>
            </w:pPr>
            <w:r w:rsidRPr="00071AC1">
              <w:rPr>
                <w:rFonts w:eastAsiaTheme="minorEastAsia"/>
                <w:b/>
                <w:bCs/>
                <w:color w:val="000000"/>
                <w:sz w:val="21"/>
                <w:szCs w:val="21"/>
                <w:lang w:eastAsia="en-AU"/>
              </w:rPr>
              <w:t>( 0.6)</w:t>
            </w:r>
          </w:p>
        </w:tc>
      </w:tr>
    </w:tbl>
    <w:p w:rsidR="000B4A1E" w:rsidRPr="00110EBA" w:rsidRDefault="000B4A1E" w:rsidP="00517E51">
      <w:pPr>
        <w:rPr>
          <w:rStyle w:val="SourceChar"/>
        </w:rPr>
      </w:pPr>
      <w:r w:rsidRPr="00AB1290">
        <w:rPr>
          <w:rStyle w:val="SourceChar"/>
        </w:rPr>
        <w:t>Source: Department of Treasury and Finance</w:t>
      </w:r>
    </w:p>
    <w:p w:rsidR="000B4A1E" w:rsidRDefault="000B4A1E" w:rsidP="00517E51">
      <w:r>
        <w:br w:type="page"/>
      </w:r>
      <w:r>
        <w:lastRenderedPageBreak/>
        <w:t xml:space="preserve">The </w:t>
      </w:r>
      <w:r w:rsidRPr="00D66F0B">
        <w:rPr>
          <w:i/>
        </w:rPr>
        <w:t>2012-13 Financial Report</w:t>
      </w:r>
      <w:r>
        <w:t xml:space="preserve"> reflects the final year of the insurance-based fire services levy as it has been replaced by the Fire Services Property Levy (FSPL). Insurance-based contributions were $572 million in 2012-13, represented as a component of taxes on insurance. In addition, the Metropolitan Fire and Emergency Services Board received $38 million in 2012-13 from property owner contributions, reported under taxes on immovable property as shown in Table 2.3. As announced in the </w:t>
      </w:r>
      <w:r>
        <w:rPr>
          <w:i/>
        </w:rPr>
        <w:t>2013</w:t>
      </w:r>
      <w:r>
        <w:rPr>
          <w:i/>
        </w:rPr>
        <w:noBreakHyphen/>
        <w:t>14 </w:t>
      </w:r>
      <w:r w:rsidRPr="00D66F0B">
        <w:rPr>
          <w:i/>
        </w:rPr>
        <w:t>Budget</w:t>
      </w:r>
      <w:r>
        <w:t>, the FSPL replaces insurance and property owner contributions and future publications will report the FSPL under taxes on immovable property.</w:t>
      </w:r>
    </w:p>
    <w:p w:rsidR="000B4A1E" w:rsidRDefault="000B4A1E" w:rsidP="00517E51">
      <w:r w:rsidRPr="005D0E1A">
        <w:t>Revenue from the sale of goods and services of $6.9</w:t>
      </w:r>
      <w:r>
        <w:t> billion</w:t>
      </w:r>
      <w:r w:rsidRPr="005D0E1A">
        <w:t xml:space="preserve"> was consistent with the re</w:t>
      </w:r>
      <w:r>
        <w:t>vised budget estimate and $602 million</w:t>
      </w:r>
      <w:r w:rsidRPr="005D0E1A">
        <w:t xml:space="preserve"> (or 9.6</w:t>
      </w:r>
      <w:r>
        <w:t> per cent</w:t>
      </w:r>
      <w:r w:rsidRPr="005D0E1A">
        <w:t xml:space="preserve">) higher than in 2011-12. </w:t>
      </w:r>
      <w:r>
        <w:t>The year-on-year increase</w:t>
      </w:r>
      <w:r w:rsidRPr="001B1127">
        <w:t xml:space="preserve"> primarily relates to </w:t>
      </w:r>
      <w:r w:rsidRPr="0078187B">
        <w:t>higher revenues related to the commissioning of the desalination plant and inter</w:t>
      </w:r>
      <w:r w:rsidRPr="0078187B">
        <w:noBreakHyphen/>
        <w:t>sector capital asset charge for increased capital</w:t>
      </w:r>
      <w:r>
        <w:t xml:space="preserve"> asset holdings in VicTrack.</w:t>
      </w:r>
    </w:p>
    <w:p w:rsidR="000B4A1E" w:rsidRDefault="000B4A1E" w:rsidP="00517E51">
      <w:r>
        <w:t xml:space="preserve">Other revenue showed a $299 million positive variance compared to the revised estimate, this was in part due to </w:t>
      </w:r>
      <w:r w:rsidRPr="004D1C04">
        <w:t xml:space="preserve">income </w:t>
      </w:r>
      <w:r w:rsidRPr="005F3D59">
        <w:t xml:space="preserve">received free of charge by VicRoads and </w:t>
      </w:r>
      <w:r>
        <w:t xml:space="preserve">by </w:t>
      </w:r>
      <w:r w:rsidRPr="005F3D59">
        <w:t>Public Transport Victoria to recognise capital improvements made to bus shelters</w:t>
      </w:r>
      <w:r>
        <w:t>, and the</w:t>
      </w:r>
      <w:r w:rsidRPr="004D1C04">
        <w:t xml:space="preserve"> higher than expected revenue </w:t>
      </w:r>
      <w:r>
        <w:t>relating</w:t>
      </w:r>
      <w:r w:rsidRPr="004D1C04">
        <w:t xml:space="preserve"> to </w:t>
      </w:r>
      <w:r>
        <w:t>the sale of land in Kew.</w:t>
      </w:r>
    </w:p>
    <w:p w:rsidR="000B4A1E" w:rsidRDefault="000B4A1E" w:rsidP="00517E51">
      <w:r>
        <w:t>Over the year, other revenue was $368 million lower, reflecting</w:t>
      </w:r>
      <w:r w:rsidRPr="00477994">
        <w:t xml:space="preserve"> </w:t>
      </w:r>
      <w:r>
        <w:t>increased revenue in 2011-12 from the impact of housing po</w:t>
      </w:r>
      <w:r w:rsidR="000B4F8C">
        <w:t>r</w:t>
      </w:r>
      <w:r>
        <w:t>tfolio reforms, non</w:t>
      </w:r>
      <w:r>
        <w:noBreakHyphen/>
      </w:r>
      <w:r w:rsidRPr="00477994">
        <w:t>government sources received by health services and the receipt of assets from local government.</w:t>
      </w:r>
      <w:r>
        <w:t xml:space="preserve"> This was partially offset by an increase in 2012</w:t>
      </w:r>
      <w:r>
        <w:noBreakHyphen/>
        <w:t xml:space="preserve">13 in fines revenue, in particular police traffic camera office </w:t>
      </w:r>
      <w:r w:rsidRPr="004D1C04">
        <w:t>and on the spot fine</w:t>
      </w:r>
      <w:r>
        <w:t>s.</w:t>
      </w:r>
    </w:p>
    <w:p w:rsidR="000B4A1E" w:rsidRDefault="000B4A1E" w:rsidP="00517E51">
      <w:r>
        <w:t xml:space="preserve">Dividends, income tax and rate equivalent revenue was $109 million (or 8.8 per cent) higher than the revised estimate, reflecting the receipt of a </w:t>
      </w:r>
      <w:r w:rsidRPr="00653249">
        <w:t>special dividend from Snowy Hydro</w:t>
      </w:r>
      <w:r>
        <w:t xml:space="preserve"> Limited and </w:t>
      </w:r>
      <w:r w:rsidRPr="00154F9D">
        <w:t xml:space="preserve">better </w:t>
      </w:r>
      <w:r>
        <w:t xml:space="preserve">than expected </w:t>
      </w:r>
      <w:r w:rsidRPr="00154F9D">
        <w:t xml:space="preserve">operating results </w:t>
      </w:r>
      <w:r>
        <w:t xml:space="preserve">from </w:t>
      </w:r>
      <w:r w:rsidRPr="00154F9D">
        <w:t>water businesses</w:t>
      </w:r>
      <w:r>
        <w:t xml:space="preserve">. </w:t>
      </w:r>
    </w:p>
    <w:p w:rsidR="000B4A1E" w:rsidRDefault="000B4A1E" w:rsidP="00517E51">
      <w:pPr>
        <w:pStyle w:val="Heading2"/>
      </w:pPr>
      <w:r w:rsidRPr="00110EBA">
        <w:t>Expenses</w:t>
      </w:r>
    </w:p>
    <w:p w:rsidR="000B4A1E" w:rsidRDefault="000B4A1E" w:rsidP="00517E51">
      <w:r w:rsidRPr="00EB41E0">
        <w:t xml:space="preserve">The </w:t>
      </w:r>
      <w:r w:rsidRPr="00054A46">
        <w:rPr>
          <w:i/>
        </w:rPr>
        <w:t>2011-12 Budget</w:t>
      </w:r>
      <w:r>
        <w:t xml:space="preserve"> announced </w:t>
      </w:r>
      <w:r w:rsidRPr="00EB41E0">
        <w:t xml:space="preserve">measures </w:t>
      </w:r>
      <w:r>
        <w:t>to</w:t>
      </w:r>
      <w:r w:rsidRPr="00EB41E0">
        <w:t xml:space="preserve"> reduce </w:t>
      </w:r>
      <w:r>
        <w:t>unsustainable expenditure growth and</w:t>
      </w:r>
      <w:r w:rsidRPr="00EB41E0">
        <w:t xml:space="preserve"> in line with forecast revenue growth</w:t>
      </w:r>
      <w:r>
        <w:t>. Total expenses for the year were $48.3 billion, $368 million (or 0.8 per cent) higher than the revised estimate and $985 million (or 2.1 per cent) higher than the previous year.</w:t>
      </w:r>
      <w:r w:rsidRPr="00054A46">
        <w:t xml:space="preserve"> </w:t>
      </w:r>
      <w:r>
        <w:t xml:space="preserve">The growth in 2012-13 </w:t>
      </w:r>
      <w:r w:rsidR="00667BF1">
        <w:t>wa</w:t>
      </w:r>
      <w:r>
        <w:t>s well below</w:t>
      </w:r>
      <w:r w:rsidRPr="00DD5115">
        <w:t xml:space="preserve"> the </w:t>
      </w:r>
      <w:r>
        <w:t xml:space="preserve">annual </w:t>
      </w:r>
      <w:r w:rsidRPr="00DD5115">
        <w:t xml:space="preserve">average of </w:t>
      </w:r>
      <w:r>
        <w:t>8.0 per cent over the decade to 2009-10.</w:t>
      </w:r>
    </w:p>
    <w:p w:rsidR="000B4A1E" w:rsidRDefault="000B4A1E" w:rsidP="00517E51">
      <w:r w:rsidRPr="007368C9">
        <w:t>Employee expenses for 2012-13 were slightly higher than anticipated in the revised budget and 3.9</w:t>
      </w:r>
      <w:r>
        <w:t> per cent</w:t>
      </w:r>
      <w:r w:rsidRPr="007368C9">
        <w:t xml:space="preserve"> higher than in 2011-12. The variance to the revised budget largely relates to</w:t>
      </w:r>
      <w:r>
        <w:t xml:space="preserve"> the reclassification of expenditure to employee expenses to reflect actual service provision by hospitals, the</w:t>
      </w:r>
      <w:r w:rsidRPr="007368C9">
        <w:t xml:space="preserve"> </w:t>
      </w:r>
      <w:r>
        <w:t xml:space="preserve">successful </w:t>
      </w:r>
      <w:r w:rsidRPr="007368C9">
        <w:t xml:space="preserve">recruitment outcomes for police and </w:t>
      </w:r>
      <w:r>
        <w:t>P</w:t>
      </w:r>
      <w:r w:rsidRPr="007368C9">
        <w:t xml:space="preserve">rotective </w:t>
      </w:r>
      <w:r>
        <w:t>S</w:t>
      </w:r>
      <w:r w:rsidRPr="007368C9">
        <w:t xml:space="preserve">ervices </w:t>
      </w:r>
      <w:r>
        <w:t>O</w:t>
      </w:r>
      <w:r w:rsidRPr="007368C9">
        <w:t>fficers and employee expenses in the State</w:t>
      </w:r>
      <w:r>
        <w:t>’</w:t>
      </w:r>
      <w:r w:rsidRPr="007368C9">
        <w:t>s schools.</w:t>
      </w:r>
      <w:r>
        <w:t xml:space="preserve"> </w:t>
      </w:r>
      <w:r w:rsidRPr="007368C9">
        <w:t>The growth since 2011-12 is related to the</w:t>
      </w:r>
      <w:r>
        <w:t xml:space="preserve"> result of enterprise bargaining agreements, </w:t>
      </w:r>
      <w:r w:rsidRPr="007368C9">
        <w:t xml:space="preserve"> gro</w:t>
      </w:r>
      <w:r>
        <w:t xml:space="preserve">wth in frontline staff such as </w:t>
      </w:r>
      <w:r w:rsidRPr="007368C9">
        <w:t>police, Protective Servic</w:t>
      </w:r>
      <w:r>
        <w:t>es Officers and hospital staff,</w:t>
      </w:r>
      <w:r w:rsidRPr="007368C9">
        <w:t xml:space="preserve"> voluntary departure packages payments associated with previously announced measures to manage public sector workforce growth</w:t>
      </w:r>
      <w:r>
        <w:t xml:space="preserve"> </w:t>
      </w:r>
      <w:r w:rsidRPr="00150EA1">
        <w:t>and general wage increases.</w:t>
      </w:r>
      <w:r w:rsidRPr="007368C9">
        <w:t xml:space="preserve"> </w:t>
      </w:r>
    </w:p>
    <w:p w:rsidR="000B4A1E" w:rsidRDefault="000B4A1E" w:rsidP="00517E51">
      <w:r w:rsidRPr="0076318E">
        <w:t>Superannuation interest expense for 2012-13 was consistent with expectations in the revised budget and</w:t>
      </w:r>
      <w:r>
        <w:t xml:space="preserve"> $362 million</w:t>
      </w:r>
      <w:r w:rsidRPr="0076318E">
        <w:t xml:space="preserve"> lower </w:t>
      </w:r>
      <w:r>
        <w:t>than</w:t>
      </w:r>
      <w:r w:rsidRPr="0076318E">
        <w:t xml:space="preserve"> 2011-12. This decrease was due to a reduction in the superannuation discount rate as a result of lower bond yields, which fell from 5.3</w:t>
      </w:r>
      <w:r>
        <w:t> per cent</w:t>
      </w:r>
      <w:r w:rsidRPr="0076318E">
        <w:t xml:space="preserve"> at 30 June 2011 to 3.4</w:t>
      </w:r>
      <w:r>
        <w:t> per cent</w:t>
      </w:r>
      <w:r w:rsidRPr="0076318E">
        <w:t xml:space="preserve"> at 30 June 2012.</w:t>
      </w:r>
    </w:p>
    <w:p w:rsidR="000B4A1E" w:rsidRDefault="000B4A1E" w:rsidP="00517E51">
      <w:r>
        <w:t xml:space="preserve">Depreciation expense was broadly in </w:t>
      </w:r>
      <w:r w:rsidRPr="00865C3E">
        <w:t>line with revised budget</w:t>
      </w:r>
      <w:r>
        <w:t xml:space="preserve"> expectations, with </w:t>
      </w:r>
      <w:r w:rsidRPr="00865C3E">
        <w:t>the variance</w:t>
      </w:r>
      <w:r>
        <w:t xml:space="preserve"> from 2011</w:t>
      </w:r>
      <w:r>
        <w:noBreakHyphen/>
        <w:t>12 primarily reflecting</w:t>
      </w:r>
      <w:r w:rsidRPr="00B42E7F">
        <w:t xml:space="preserve"> </w:t>
      </w:r>
      <w:r>
        <w:t>an increase</w:t>
      </w:r>
      <w:r w:rsidRPr="00B42E7F">
        <w:t xml:space="preserve"> in the asset base, </w:t>
      </w:r>
      <w:r>
        <w:t xml:space="preserve">as </w:t>
      </w:r>
      <w:r w:rsidRPr="00B42E7F">
        <w:t>roads and road infrastructure</w:t>
      </w:r>
      <w:r>
        <w:t xml:space="preserve"> was re</w:t>
      </w:r>
      <w:r>
        <w:noBreakHyphen/>
        <w:t>valued.</w:t>
      </w:r>
    </w:p>
    <w:p w:rsidR="000B4A1E" w:rsidRDefault="000B4A1E" w:rsidP="00517E51">
      <w:r>
        <w:t>Interest expense of $1.8 billion was consistent with the revised budget, and $533 million higher than the 2011-12 outcome. This was driven by the recognition in 2012-13 of the desalination plant finance lease (</w:t>
      </w:r>
      <w:r w:rsidRPr="006C2258">
        <w:t>as referred above</w:t>
      </w:r>
      <w:r>
        <w:t>) and higher borrowings to fund the Government’s significant capital expenditure program.</w:t>
      </w:r>
    </w:p>
    <w:p w:rsidR="000B4A1E" w:rsidRDefault="000B4A1E">
      <w:pPr>
        <w:spacing w:after="0"/>
      </w:pPr>
      <w:r>
        <w:br w:type="page"/>
      </w:r>
    </w:p>
    <w:p w:rsidR="000B4A1E" w:rsidRDefault="000B4A1E" w:rsidP="00517E51">
      <w:r>
        <w:lastRenderedPageBreak/>
        <w:t xml:space="preserve">Grants and other transfers expense was $310 million higher than expected in the revised budget due to </w:t>
      </w:r>
      <w:r w:rsidRPr="00280FAF">
        <w:t>earlier than anticipated receipt of Commonwealth Government grants payments for local government.</w:t>
      </w:r>
      <w:r>
        <w:t xml:space="preserve"> Compared to 2011-12, grant and other transfer expenses decreased by $220 million (or 2.7 per cent). This was </w:t>
      </w:r>
      <w:r w:rsidRPr="0042465E">
        <w:t xml:space="preserve">driven by the </w:t>
      </w:r>
      <w:r>
        <w:t xml:space="preserve">scheduled </w:t>
      </w:r>
      <w:r w:rsidRPr="0042465E">
        <w:t xml:space="preserve">completion of </w:t>
      </w:r>
      <w:r>
        <w:t xml:space="preserve">the </w:t>
      </w:r>
      <w:r w:rsidRPr="0042465E">
        <w:t xml:space="preserve">first home owner </w:t>
      </w:r>
      <w:r>
        <w:t>bonus</w:t>
      </w:r>
      <w:r w:rsidRPr="0042465E">
        <w:t xml:space="preserve"> </w:t>
      </w:r>
      <w:r>
        <w:t xml:space="preserve">program </w:t>
      </w:r>
      <w:r w:rsidRPr="0042465E">
        <w:t>in 30 Jun</w:t>
      </w:r>
      <w:r>
        <w:t>e 2012</w:t>
      </w:r>
      <w:r w:rsidRPr="00AD2D3C">
        <w:t>.</w:t>
      </w:r>
      <w:r>
        <w:t xml:space="preserve"> </w:t>
      </w:r>
    </w:p>
    <w:p w:rsidR="000B4A1E" w:rsidRDefault="000B4A1E" w:rsidP="00517E51">
      <w:r>
        <w:t>Other operating expenses for 2012-13 were $16.0 billion, broadly in line with the revised budget and 0.9 per cent higher than 2011-12.</w:t>
      </w:r>
    </w:p>
    <w:p w:rsidR="000B4A1E" w:rsidRDefault="000B4A1E" w:rsidP="00517E51">
      <w:pPr>
        <w:pStyle w:val="Heading2"/>
      </w:pPr>
      <w:r>
        <w:t>Other economic flows included in the net result</w:t>
      </w:r>
    </w:p>
    <w:p w:rsidR="000B4A1E" w:rsidRDefault="000B4A1E" w:rsidP="00517E51">
      <w:r w:rsidRPr="001B1127">
        <w:t>The net result from transactions</w:t>
      </w:r>
      <w:r>
        <w:t xml:space="preserve"> </w:t>
      </w:r>
      <w:r w:rsidRPr="001B1127">
        <w:t>is the Government</w:t>
      </w:r>
      <w:r>
        <w:t>’</w:t>
      </w:r>
      <w:r w:rsidRPr="001B1127">
        <w:t>s net surplus measure for the purposes of its fiscal strategy</w:t>
      </w:r>
      <w:r>
        <w:t>.</w:t>
      </w:r>
    </w:p>
    <w:p w:rsidR="000B4A1E" w:rsidRPr="001B1127" w:rsidRDefault="000B4A1E" w:rsidP="00517E51">
      <w:r w:rsidRPr="001B1127">
        <w:t xml:space="preserve">The overall net result is a different measure. The net result and the net result from transactions </w:t>
      </w:r>
      <w:r>
        <w:t>differ</w:t>
      </w:r>
      <w:r w:rsidRPr="001B1127">
        <w:t xml:space="preserve"> due to other economic flows, which includes various revaluation gains and losses such as actuarial gains and losses on the superannuation liability</w:t>
      </w:r>
      <w:r>
        <w:t>.</w:t>
      </w:r>
      <w:r w:rsidRPr="00076825">
        <w:t xml:space="preserve"> Actuarial gains and losses on superannuation arise due to variations between actual experience and the assumptions used to determine the superannuation expense from transactions. These assumptions include the rate of future salary increases, the length of employee tenure, the expected rate of return on superannuation assets and the discount rate that is used to determine the present value of the superannuation liability.</w:t>
      </w:r>
    </w:p>
    <w:p w:rsidR="000B4A1E" w:rsidRPr="001B1127" w:rsidRDefault="000B4A1E" w:rsidP="00517E51">
      <w:r w:rsidRPr="001B1127">
        <w:t xml:space="preserve">The discount rate used to </w:t>
      </w:r>
      <w:r>
        <w:t>value</w:t>
      </w:r>
      <w:r w:rsidRPr="001B1127">
        <w:t xml:space="preserve"> the superannuation liability is based on Commonwealth Government bond yields. Movements in these bond yields can have a significant impact on the valuation of the superannuation liability. Commonwealth Government bond yields fell markedly over the course of 2011-12, which greatly increased the reported superannuation liability. Conversely, bond yields increased in 2012-13 thereby significant</w:t>
      </w:r>
      <w:r>
        <w:t>ly</w:t>
      </w:r>
      <w:r w:rsidRPr="001B1127">
        <w:t xml:space="preserve"> reduc</w:t>
      </w:r>
      <w:r>
        <w:t>ing</w:t>
      </w:r>
      <w:r w:rsidRPr="001B1127">
        <w:t xml:space="preserve"> the superannuation liability. It is important to note that changes in the reported superannuation liability that arise due to movements in the bond yields that are used for super</w:t>
      </w:r>
      <w:r>
        <w:t>annuation valuation purposes have</w:t>
      </w:r>
      <w:r w:rsidRPr="001B1127">
        <w:t xml:space="preserve"> no impact on the amount of cash required to fund this liability over time. </w:t>
      </w:r>
    </w:p>
    <w:p w:rsidR="000B4A1E" w:rsidRDefault="000B4A1E" w:rsidP="00517E51">
      <w:r w:rsidRPr="001B1127">
        <w:t>Other economic flows included in the net result for 2012-13 totalled a net gain of $7.1</w:t>
      </w:r>
      <w:r>
        <w:t> billion</w:t>
      </w:r>
      <w:r w:rsidRPr="001B1127">
        <w:t>, largely due to a $7.3</w:t>
      </w:r>
      <w:r>
        <w:t> billion</w:t>
      </w:r>
      <w:r w:rsidRPr="001B1127">
        <w:t xml:space="preserve"> actuarial gain on superannuation. This actuarial gain was primarily due to favourable movements in the bond yields that are used to value this liability, as well as higher than expected investment returns on superannuation assets. Overall, the reported net result for the year was a gain of $7.4</w:t>
      </w:r>
      <w:r>
        <w:t> billion</w:t>
      </w:r>
      <w:r w:rsidRPr="001B1127">
        <w:t>, compared to a revised estimate of $3.4</w:t>
      </w:r>
      <w:r>
        <w:t> billion</w:t>
      </w:r>
      <w:r w:rsidRPr="001B1127">
        <w:t>. Th</w:t>
      </w:r>
      <w:r>
        <w:t>is increase was due to the actuarial gain for 2012-13 being</w:t>
      </w:r>
      <w:r w:rsidRPr="001B1127">
        <w:t xml:space="preserve"> higher than forecast </w:t>
      </w:r>
      <w:r>
        <w:t xml:space="preserve">as a result of </w:t>
      </w:r>
      <w:r w:rsidRPr="001B1127">
        <w:t>subsequent increases in the bond yields that are used for superannuation valuation purposes</w:t>
      </w:r>
      <w:r>
        <w:t xml:space="preserve">. </w:t>
      </w:r>
    </w:p>
    <w:p w:rsidR="000B4A1E" w:rsidRPr="00110EBA" w:rsidRDefault="000B4A1E" w:rsidP="00517E51">
      <w:pPr>
        <w:pStyle w:val="Heading1"/>
      </w:pPr>
      <w:bookmarkStart w:id="4" w:name="_Toc367967886"/>
      <w:r w:rsidRPr="00110EBA">
        <w:t>Financial position</w:t>
      </w:r>
      <w:bookmarkEnd w:id="4"/>
    </w:p>
    <w:p w:rsidR="000B4A1E" w:rsidRDefault="000B4A1E" w:rsidP="00517E51">
      <w:r>
        <w:t>Table 2.4 shows that general government sector net assets increased by $8.2 billion (or 7.3 per cent) to $120 billion in the 2012-13 financial year. This was $5.0 billion (or 4.3 per cent) higher than expected in the 2012-13 revised budget.</w:t>
      </w:r>
    </w:p>
    <w:p w:rsidR="000B4A1E" w:rsidRDefault="000B4A1E">
      <w:pPr>
        <w:spacing w:after="0"/>
        <w:rPr>
          <w:rFonts w:ascii="Calibri" w:hAnsi="Calibri"/>
          <w:b/>
          <w:sz w:val="25"/>
        </w:rPr>
      </w:pPr>
      <w:r>
        <w:br w:type="page"/>
      </w:r>
    </w:p>
    <w:p w:rsidR="000B4A1E" w:rsidRDefault="000B4A1E" w:rsidP="00517E51">
      <w:pPr>
        <w:pStyle w:val="Tableheading"/>
      </w:pPr>
      <w:r>
        <w:lastRenderedPageBreak/>
        <w:t>Table 2.4:</w:t>
      </w:r>
      <w:r>
        <w:tab/>
        <w:t>Summary balance sheet</w:t>
      </w:r>
    </w:p>
    <w:p w:rsidR="000B4A1E" w:rsidRPr="00DE70FC" w:rsidRDefault="000B4A1E" w:rsidP="00517E51">
      <w:pPr>
        <w:pStyle w:val="million"/>
      </w:pPr>
      <w:r>
        <w:t>($ million)</w:t>
      </w:r>
    </w:p>
    <w:tbl>
      <w:tblPr>
        <w:tblW w:w="9648" w:type="dxa"/>
        <w:tblInd w:w="29" w:type="dxa"/>
        <w:tblLayout w:type="fixed"/>
        <w:tblCellMar>
          <w:left w:w="43" w:type="dxa"/>
          <w:right w:w="43" w:type="dxa"/>
        </w:tblCellMar>
        <w:tblLook w:val="0000" w:firstRow="0" w:lastRow="0" w:firstColumn="0" w:lastColumn="0" w:noHBand="0" w:noVBand="0"/>
      </w:tblPr>
      <w:tblGrid>
        <w:gridCol w:w="4033"/>
        <w:gridCol w:w="1123"/>
        <w:gridCol w:w="1123"/>
        <w:gridCol w:w="1123"/>
        <w:gridCol w:w="1252"/>
        <w:gridCol w:w="994"/>
      </w:tblGrid>
      <w:tr w:rsidR="000B4A1E" w:rsidRPr="005345F7" w:rsidTr="00517E51">
        <w:tc>
          <w:tcPr>
            <w:tcW w:w="4033" w:type="dxa"/>
            <w:tcBorders>
              <w:top w:val="single" w:sz="4" w:space="0" w:color="auto"/>
              <w:left w:val="single" w:sz="4" w:space="0" w:color="auto"/>
              <w:bottom w:val="nil"/>
              <w:right w:val="nil"/>
            </w:tcBorders>
            <w:shd w:val="clear" w:color="auto" w:fill="000000"/>
          </w:tcPr>
          <w:p w:rsidR="000B4A1E" w:rsidRPr="005345F7" w:rsidRDefault="000B4A1E" w:rsidP="00517E51">
            <w:pPr>
              <w:pStyle w:val="Tabletext"/>
              <w:rPr>
                <w:rFonts w:eastAsiaTheme="minorEastAsia"/>
                <w:sz w:val="21"/>
                <w:lang w:eastAsia="en-AU"/>
              </w:rPr>
            </w:pPr>
            <w:r w:rsidRPr="005345F7">
              <w:rPr>
                <w:rFonts w:eastAsiaTheme="minorEastAsia"/>
                <w:sz w:val="21"/>
                <w:lang w:eastAsia="en-AU"/>
              </w:rPr>
              <w:t xml:space="preserve"> </w:t>
            </w:r>
          </w:p>
        </w:tc>
        <w:tc>
          <w:tcPr>
            <w:tcW w:w="1123" w:type="dxa"/>
            <w:tcBorders>
              <w:top w:val="single" w:sz="4" w:space="0" w:color="auto"/>
              <w:left w:val="nil"/>
              <w:bottom w:val="nil"/>
              <w:right w:val="nil"/>
            </w:tcBorders>
            <w:shd w:val="clear" w:color="auto" w:fill="000000"/>
          </w:tcPr>
          <w:p w:rsidR="000B4A1E" w:rsidRPr="005345F7" w:rsidRDefault="000B4A1E" w:rsidP="00517E51">
            <w:pPr>
              <w:pStyle w:val="Tabletextheading"/>
              <w:rPr>
                <w:rFonts w:eastAsiaTheme="minorEastAsia"/>
                <w:sz w:val="21"/>
                <w:lang w:eastAsia="en-AU"/>
              </w:rPr>
            </w:pPr>
            <w:r w:rsidRPr="005345F7">
              <w:rPr>
                <w:rFonts w:eastAsiaTheme="minorEastAsia"/>
                <w:sz w:val="21"/>
                <w:lang w:eastAsia="en-AU"/>
              </w:rPr>
              <w:t>Actual</w:t>
            </w:r>
          </w:p>
        </w:tc>
        <w:tc>
          <w:tcPr>
            <w:tcW w:w="1123" w:type="dxa"/>
            <w:tcBorders>
              <w:top w:val="single" w:sz="4" w:space="0" w:color="auto"/>
              <w:left w:val="nil"/>
              <w:bottom w:val="nil"/>
              <w:right w:val="nil"/>
            </w:tcBorders>
            <w:shd w:val="clear" w:color="auto" w:fill="000000"/>
          </w:tcPr>
          <w:p w:rsidR="000B4A1E" w:rsidRPr="005345F7" w:rsidRDefault="000B4A1E" w:rsidP="00517E51">
            <w:pPr>
              <w:pStyle w:val="Tabletextheading"/>
              <w:rPr>
                <w:rFonts w:eastAsiaTheme="minorEastAsia"/>
                <w:sz w:val="21"/>
                <w:lang w:eastAsia="en-AU"/>
              </w:rPr>
            </w:pPr>
            <w:r w:rsidRPr="005345F7">
              <w:rPr>
                <w:rFonts w:eastAsiaTheme="minorEastAsia"/>
                <w:sz w:val="21"/>
                <w:lang w:eastAsia="en-AU"/>
              </w:rPr>
              <w:t>Revised</w:t>
            </w:r>
          </w:p>
        </w:tc>
        <w:tc>
          <w:tcPr>
            <w:tcW w:w="1123" w:type="dxa"/>
            <w:tcBorders>
              <w:top w:val="single" w:sz="4" w:space="0" w:color="auto"/>
              <w:left w:val="nil"/>
              <w:bottom w:val="nil"/>
              <w:right w:val="nil"/>
            </w:tcBorders>
            <w:shd w:val="clear" w:color="auto" w:fill="000000"/>
          </w:tcPr>
          <w:p w:rsidR="000B4A1E" w:rsidRPr="005345F7" w:rsidRDefault="000B4A1E" w:rsidP="00517E51">
            <w:pPr>
              <w:pStyle w:val="Tabletextheading"/>
              <w:rPr>
                <w:rFonts w:eastAsiaTheme="minorEastAsia"/>
                <w:sz w:val="21"/>
                <w:lang w:eastAsia="en-AU"/>
              </w:rPr>
            </w:pPr>
            <w:r w:rsidRPr="005345F7">
              <w:rPr>
                <w:rFonts w:eastAsiaTheme="minorEastAsia"/>
                <w:sz w:val="21"/>
                <w:lang w:eastAsia="en-AU"/>
              </w:rPr>
              <w:t>Revised</w:t>
            </w:r>
          </w:p>
        </w:tc>
        <w:tc>
          <w:tcPr>
            <w:tcW w:w="1252" w:type="dxa"/>
            <w:tcBorders>
              <w:top w:val="single" w:sz="4" w:space="0" w:color="auto"/>
              <w:left w:val="nil"/>
              <w:bottom w:val="nil"/>
              <w:right w:val="nil"/>
            </w:tcBorders>
            <w:shd w:val="clear" w:color="auto" w:fill="000000"/>
          </w:tcPr>
          <w:p w:rsidR="000B4A1E" w:rsidRPr="005345F7" w:rsidRDefault="000B4A1E" w:rsidP="00517E51">
            <w:pPr>
              <w:pStyle w:val="Tabletextheading"/>
              <w:rPr>
                <w:rFonts w:eastAsiaTheme="minorEastAsia"/>
                <w:sz w:val="21"/>
                <w:lang w:eastAsia="en-AU"/>
              </w:rPr>
            </w:pPr>
            <w:r w:rsidRPr="005345F7">
              <w:rPr>
                <w:rFonts w:eastAsiaTheme="minorEastAsia"/>
                <w:sz w:val="21"/>
                <w:lang w:eastAsia="en-AU"/>
              </w:rPr>
              <w:t>Actual</w:t>
            </w:r>
          </w:p>
        </w:tc>
        <w:tc>
          <w:tcPr>
            <w:tcW w:w="994" w:type="dxa"/>
            <w:tcBorders>
              <w:top w:val="single" w:sz="4" w:space="0" w:color="auto"/>
              <w:left w:val="nil"/>
              <w:bottom w:val="nil"/>
              <w:right w:val="single" w:sz="4" w:space="0" w:color="auto"/>
            </w:tcBorders>
            <w:shd w:val="clear" w:color="auto" w:fill="000000"/>
          </w:tcPr>
          <w:p w:rsidR="000B4A1E" w:rsidRPr="005345F7" w:rsidRDefault="000B4A1E" w:rsidP="00517E51">
            <w:pPr>
              <w:pStyle w:val="Tabletextheading"/>
              <w:rPr>
                <w:rFonts w:eastAsiaTheme="minorEastAsia"/>
                <w:sz w:val="21"/>
                <w:lang w:eastAsia="en-AU"/>
              </w:rPr>
            </w:pPr>
            <w:r w:rsidRPr="005345F7">
              <w:rPr>
                <w:rFonts w:eastAsiaTheme="minorEastAsia"/>
                <w:sz w:val="21"/>
                <w:lang w:eastAsia="en-AU"/>
              </w:rPr>
              <w:t>Actual</w:t>
            </w:r>
          </w:p>
        </w:tc>
      </w:tr>
      <w:tr w:rsidR="000B4A1E" w:rsidRPr="005345F7" w:rsidTr="00517E51">
        <w:tc>
          <w:tcPr>
            <w:tcW w:w="4033" w:type="dxa"/>
            <w:tcBorders>
              <w:top w:val="nil"/>
              <w:left w:val="single" w:sz="4" w:space="0" w:color="auto"/>
              <w:bottom w:val="single" w:sz="4" w:space="0" w:color="auto"/>
              <w:right w:val="nil"/>
            </w:tcBorders>
            <w:shd w:val="clear" w:color="auto" w:fill="000000"/>
          </w:tcPr>
          <w:p w:rsidR="000B4A1E" w:rsidRPr="005345F7" w:rsidRDefault="000B4A1E" w:rsidP="00517E51">
            <w:pPr>
              <w:pStyle w:val="Tabletext"/>
              <w:rPr>
                <w:rFonts w:eastAsiaTheme="minorEastAsia"/>
                <w:sz w:val="21"/>
                <w:lang w:eastAsia="en-AU"/>
              </w:rPr>
            </w:pPr>
            <w:r w:rsidRPr="005345F7">
              <w:rPr>
                <w:rFonts w:eastAsiaTheme="minorEastAsia"/>
                <w:sz w:val="21"/>
                <w:lang w:eastAsia="en-AU"/>
              </w:rPr>
              <w:t xml:space="preserve"> </w:t>
            </w:r>
          </w:p>
        </w:tc>
        <w:tc>
          <w:tcPr>
            <w:tcW w:w="1123" w:type="dxa"/>
            <w:tcBorders>
              <w:top w:val="nil"/>
              <w:left w:val="nil"/>
              <w:bottom w:val="single" w:sz="4" w:space="0" w:color="auto"/>
              <w:right w:val="nil"/>
            </w:tcBorders>
            <w:shd w:val="clear" w:color="auto" w:fill="000000"/>
          </w:tcPr>
          <w:p w:rsidR="000B4A1E" w:rsidRPr="005345F7" w:rsidRDefault="000B4A1E" w:rsidP="00517E51">
            <w:pPr>
              <w:pStyle w:val="Tabletextheading"/>
              <w:rPr>
                <w:rFonts w:eastAsiaTheme="minorEastAsia"/>
                <w:sz w:val="21"/>
                <w:lang w:eastAsia="en-AU"/>
              </w:rPr>
            </w:pPr>
            <w:r w:rsidRPr="005345F7">
              <w:rPr>
                <w:rFonts w:eastAsiaTheme="minorEastAsia"/>
                <w:sz w:val="21"/>
                <w:lang w:eastAsia="en-AU"/>
              </w:rPr>
              <w:t>2012-13</w:t>
            </w:r>
          </w:p>
        </w:tc>
        <w:tc>
          <w:tcPr>
            <w:tcW w:w="1123" w:type="dxa"/>
            <w:tcBorders>
              <w:top w:val="nil"/>
              <w:left w:val="nil"/>
              <w:bottom w:val="single" w:sz="4" w:space="0" w:color="auto"/>
              <w:right w:val="nil"/>
            </w:tcBorders>
            <w:shd w:val="clear" w:color="auto" w:fill="000000"/>
          </w:tcPr>
          <w:p w:rsidR="000B4A1E" w:rsidRPr="005345F7" w:rsidRDefault="000B4A1E" w:rsidP="00517E51">
            <w:pPr>
              <w:pStyle w:val="Tabletextheading"/>
              <w:rPr>
                <w:rFonts w:eastAsiaTheme="minorEastAsia"/>
                <w:sz w:val="21"/>
                <w:lang w:eastAsia="en-AU"/>
              </w:rPr>
            </w:pPr>
            <w:r w:rsidRPr="005345F7">
              <w:rPr>
                <w:rFonts w:eastAsiaTheme="minorEastAsia"/>
                <w:sz w:val="21"/>
                <w:lang w:eastAsia="en-AU"/>
              </w:rPr>
              <w:t>variance</w:t>
            </w:r>
          </w:p>
        </w:tc>
        <w:tc>
          <w:tcPr>
            <w:tcW w:w="1123" w:type="dxa"/>
            <w:tcBorders>
              <w:top w:val="nil"/>
              <w:left w:val="nil"/>
              <w:bottom w:val="single" w:sz="4" w:space="0" w:color="auto"/>
              <w:right w:val="nil"/>
            </w:tcBorders>
            <w:shd w:val="clear" w:color="auto" w:fill="000000"/>
          </w:tcPr>
          <w:p w:rsidR="000B4A1E" w:rsidRPr="005345F7" w:rsidRDefault="000B4A1E" w:rsidP="00517E51">
            <w:pPr>
              <w:pStyle w:val="Tabletextheading"/>
              <w:rPr>
                <w:rFonts w:eastAsiaTheme="minorEastAsia"/>
                <w:sz w:val="21"/>
                <w:lang w:eastAsia="en-AU"/>
              </w:rPr>
            </w:pPr>
            <w:r w:rsidRPr="005345F7">
              <w:rPr>
                <w:rFonts w:eastAsiaTheme="minorEastAsia"/>
                <w:sz w:val="21"/>
                <w:lang w:eastAsia="en-AU"/>
              </w:rPr>
              <w:t>2012-13</w:t>
            </w:r>
          </w:p>
        </w:tc>
        <w:tc>
          <w:tcPr>
            <w:tcW w:w="1252" w:type="dxa"/>
            <w:tcBorders>
              <w:top w:val="nil"/>
              <w:left w:val="nil"/>
              <w:bottom w:val="single" w:sz="4" w:space="0" w:color="auto"/>
              <w:right w:val="nil"/>
            </w:tcBorders>
            <w:shd w:val="clear" w:color="auto" w:fill="000000"/>
          </w:tcPr>
          <w:p w:rsidR="000B4A1E" w:rsidRPr="005345F7" w:rsidRDefault="000B4A1E" w:rsidP="00517E51">
            <w:pPr>
              <w:pStyle w:val="Tabletextheading"/>
              <w:rPr>
                <w:rFonts w:eastAsiaTheme="minorEastAsia"/>
                <w:sz w:val="21"/>
                <w:lang w:eastAsia="en-AU"/>
              </w:rPr>
            </w:pPr>
            <w:r w:rsidRPr="005345F7">
              <w:rPr>
                <w:rFonts w:eastAsiaTheme="minorEastAsia"/>
                <w:sz w:val="21"/>
                <w:lang w:eastAsia="en-AU"/>
              </w:rPr>
              <w:t>movement</w:t>
            </w:r>
          </w:p>
        </w:tc>
        <w:tc>
          <w:tcPr>
            <w:tcW w:w="994" w:type="dxa"/>
            <w:tcBorders>
              <w:top w:val="nil"/>
              <w:left w:val="nil"/>
              <w:bottom w:val="single" w:sz="4" w:space="0" w:color="auto"/>
              <w:right w:val="single" w:sz="4" w:space="0" w:color="auto"/>
            </w:tcBorders>
            <w:shd w:val="clear" w:color="auto" w:fill="000000"/>
          </w:tcPr>
          <w:p w:rsidR="000B4A1E" w:rsidRPr="005345F7" w:rsidRDefault="000B4A1E" w:rsidP="00517E51">
            <w:pPr>
              <w:pStyle w:val="Tabletextheading"/>
              <w:rPr>
                <w:rFonts w:eastAsiaTheme="minorEastAsia"/>
                <w:sz w:val="21"/>
                <w:lang w:eastAsia="en-AU"/>
              </w:rPr>
            </w:pPr>
            <w:r w:rsidRPr="005345F7">
              <w:rPr>
                <w:rFonts w:eastAsiaTheme="minorEastAsia"/>
                <w:sz w:val="21"/>
                <w:lang w:eastAsia="en-AU"/>
              </w:rPr>
              <w:t>2011-12</w:t>
            </w:r>
          </w:p>
        </w:tc>
      </w:tr>
      <w:tr w:rsidR="000B4A1E" w:rsidRPr="005345F7" w:rsidTr="00517E51">
        <w:tc>
          <w:tcPr>
            <w:tcW w:w="4033" w:type="dxa"/>
            <w:tcBorders>
              <w:top w:val="nil"/>
              <w:left w:val="nil"/>
              <w:bottom w:val="nil"/>
              <w:right w:val="nil"/>
            </w:tcBorders>
          </w:tcPr>
          <w:p w:rsidR="000B4A1E" w:rsidRPr="005345F7" w:rsidRDefault="000B4A1E" w:rsidP="00517E51">
            <w:pPr>
              <w:pStyle w:val="Tabletext"/>
              <w:rPr>
                <w:rFonts w:eastAsiaTheme="minorEastAsia"/>
                <w:b/>
                <w:bCs/>
                <w:color w:val="000000"/>
                <w:sz w:val="21"/>
                <w:lang w:eastAsia="en-AU"/>
              </w:rPr>
            </w:pPr>
            <w:r w:rsidRPr="005345F7">
              <w:rPr>
                <w:rFonts w:eastAsiaTheme="minorEastAsia"/>
                <w:b/>
                <w:bCs/>
                <w:color w:val="000000"/>
                <w:sz w:val="21"/>
                <w:lang w:eastAsia="en-AU"/>
              </w:rPr>
              <w:t>Assets</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xml:space="preserve">  </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xml:space="preserve"> </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xml:space="preserve">  </w:t>
            </w:r>
          </w:p>
        </w:tc>
        <w:tc>
          <w:tcPr>
            <w:tcW w:w="1252"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xml:space="preserve">  </w:t>
            </w:r>
          </w:p>
        </w:tc>
        <w:tc>
          <w:tcPr>
            <w:tcW w:w="994"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xml:space="preserve">  </w:t>
            </w:r>
          </w:p>
        </w:tc>
      </w:tr>
      <w:tr w:rsidR="000B4A1E" w:rsidRPr="005345F7" w:rsidTr="00517E51">
        <w:tc>
          <w:tcPr>
            <w:tcW w:w="4033" w:type="dxa"/>
            <w:tcBorders>
              <w:top w:val="nil"/>
              <w:left w:val="nil"/>
              <w:bottom w:val="nil"/>
              <w:right w:val="nil"/>
            </w:tcBorders>
          </w:tcPr>
          <w:p w:rsidR="000B4A1E" w:rsidRPr="005345F7" w:rsidRDefault="000B4A1E" w:rsidP="00517E51">
            <w:pPr>
              <w:pStyle w:val="Tabletext"/>
              <w:rPr>
                <w:rFonts w:eastAsiaTheme="minorEastAsia"/>
                <w:color w:val="000000"/>
                <w:sz w:val="21"/>
                <w:lang w:eastAsia="en-AU"/>
              </w:rPr>
            </w:pPr>
            <w:r w:rsidRPr="005345F7">
              <w:rPr>
                <w:rFonts w:eastAsiaTheme="minorEastAsia"/>
                <w:color w:val="000000"/>
                <w:sz w:val="21"/>
                <w:lang w:eastAsia="en-AU"/>
              </w:rPr>
              <w:t>Financial assets</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17 082.6</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xml:space="preserve"> 968.8</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16 113.9</w:t>
            </w:r>
          </w:p>
        </w:tc>
        <w:tc>
          <w:tcPr>
            <w:tcW w:w="1252"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5 681.7</w:t>
            </w:r>
          </w:p>
        </w:tc>
        <w:tc>
          <w:tcPr>
            <w:tcW w:w="994"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11 400.9</w:t>
            </w:r>
          </w:p>
        </w:tc>
      </w:tr>
      <w:tr w:rsidR="000B4A1E" w:rsidRPr="005345F7" w:rsidTr="00517E51">
        <w:tc>
          <w:tcPr>
            <w:tcW w:w="4033" w:type="dxa"/>
            <w:tcBorders>
              <w:top w:val="nil"/>
              <w:left w:val="nil"/>
              <w:bottom w:val="nil"/>
              <w:right w:val="nil"/>
            </w:tcBorders>
          </w:tcPr>
          <w:p w:rsidR="000B4A1E" w:rsidRPr="005345F7" w:rsidRDefault="000B4A1E" w:rsidP="00517E51">
            <w:pPr>
              <w:pStyle w:val="Tabletext"/>
              <w:rPr>
                <w:rFonts w:eastAsiaTheme="minorEastAsia"/>
                <w:color w:val="000000"/>
                <w:sz w:val="21"/>
                <w:lang w:eastAsia="en-AU"/>
              </w:rPr>
            </w:pPr>
            <w:r w:rsidRPr="005345F7">
              <w:rPr>
                <w:rFonts w:eastAsiaTheme="minorEastAsia"/>
                <w:color w:val="000000"/>
                <w:sz w:val="21"/>
                <w:lang w:eastAsia="en-AU"/>
              </w:rPr>
              <w:t>Non-financial assets</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102 092.5</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1 029.5</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101 063.0</w:t>
            </w:r>
          </w:p>
        </w:tc>
        <w:tc>
          <w:tcPr>
            <w:tcW w:w="1252"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3 106.5</w:t>
            </w:r>
          </w:p>
        </w:tc>
        <w:tc>
          <w:tcPr>
            <w:tcW w:w="994"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98 986.0</w:t>
            </w:r>
          </w:p>
        </w:tc>
      </w:tr>
      <w:tr w:rsidR="000B4A1E" w:rsidRPr="005345F7" w:rsidTr="00517E51">
        <w:tc>
          <w:tcPr>
            <w:tcW w:w="4033" w:type="dxa"/>
            <w:tcBorders>
              <w:top w:val="nil"/>
              <w:left w:val="nil"/>
              <w:bottom w:val="nil"/>
              <w:right w:val="nil"/>
            </w:tcBorders>
          </w:tcPr>
          <w:p w:rsidR="000B4A1E" w:rsidRPr="005345F7" w:rsidRDefault="000B4A1E" w:rsidP="00517E51">
            <w:pPr>
              <w:pStyle w:val="Tabletext"/>
              <w:rPr>
                <w:rFonts w:eastAsiaTheme="minorEastAsia"/>
                <w:b/>
                <w:bCs/>
                <w:color w:val="000000"/>
                <w:sz w:val="21"/>
                <w:lang w:eastAsia="en-AU"/>
              </w:rPr>
            </w:pPr>
            <w:r w:rsidRPr="005345F7">
              <w:rPr>
                <w:rFonts w:eastAsiaTheme="minorEastAsia"/>
                <w:b/>
                <w:bCs/>
                <w:color w:val="000000"/>
                <w:sz w:val="21"/>
                <w:lang w:eastAsia="en-AU"/>
              </w:rPr>
              <w:t>Investments in other sector entities</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p>
        </w:tc>
        <w:tc>
          <w:tcPr>
            <w:tcW w:w="1252"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p>
        </w:tc>
        <w:tc>
          <w:tcPr>
            <w:tcW w:w="994"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p>
        </w:tc>
      </w:tr>
      <w:tr w:rsidR="000B4A1E" w:rsidRPr="005345F7" w:rsidTr="00517E51">
        <w:tc>
          <w:tcPr>
            <w:tcW w:w="4033" w:type="dxa"/>
            <w:tcBorders>
              <w:top w:val="nil"/>
              <w:left w:val="nil"/>
              <w:bottom w:val="nil"/>
              <w:right w:val="nil"/>
            </w:tcBorders>
          </w:tcPr>
          <w:p w:rsidR="000B4A1E" w:rsidRPr="005345F7" w:rsidRDefault="000B4A1E" w:rsidP="00517E51">
            <w:pPr>
              <w:pStyle w:val="Tabletext"/>
              <w:rPr>
                <w:rFonts w:eastAsiaTheme="minorEastAsia"/>
                <w:color w:val="000000"/>
                <w:sz w:val="21"/>
                <w:lang w:eastAsia="en-AU"/>
              </w:rPr>
            </w:pPr>
            <w:r w:rsidRPr="005345F7">
              <w:rPr>
                <w:rFonts w:eastAsiaTheme="minorEastAsia"/>
                <w:color w:val="000000"/>
                <w:sz w:val="21"/>
                <w:lang w:eastAsia="en-AU"/>
              </w:rPr>
              <w:t>Public non-financial corporations</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67 540.2</w:t>
            </w:r>
          </w:p>
        </w:tc>
        <w:tc>
          <w:tcPr>
            <w:tcW w:w="1123" w:type="dxa"/>
            <w:tcBorders>
              <w:top w:val="nil"/>
              <w:left w:val="nil"/>
              <w:bottom w:val="nil"/>
              <w:right w:val="nil"/>
            </w:tcBorders>
          </w:tcPr>
          <w:p w:rsidR="000B4A1E" w:rsidRPr="005345F7" w:rsidRDefault="000B4A1E" w:rsidP="00517E51">
            <w:pPr>
              <w:pStyle w:val="TableofFigures"/>
              <w:rPr>
                <w:rFonts w:eastAsiaTheme="minorEastAsia" w:cs="Calibri"/>
                <w:color w:val="000000"/>
                <w:sz w:val="21"/>
                <w:szCs w:val="22"/>
                <w:lang w:eastAsia="en-AU"/>
              </w:rPr>
            </w:pPr>
            <w:r w:rsidRPr="005345F7">
              <w:rPr>
                <w:rFonts w:eastAsiaTheme="minorEastAsia"/>
                <w:color w:val="000000"/>
                <w:sz w:val="21"/>
                <w:lang w:eastAsia="en-AU"/>
              </w:rPr>
              <w:t>( 607.1</w:t>
            </w:r>
            <w:r w:rsidRPr="005345F7">
              <w:rPr>
                <w:rFonts w:eastAsiaTheme="minorEastAsia" w:cs="Calibri"/>
                <w:color w:val="000000"/>
                <w:sz w:val="21"/>
                <w:szCs w:val="22"/>
                <w:lang w:eastAsia="en-AU"/>
              </w:rPr>
              <w:t>)</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68 147.3</w:t>
            </w:r>
          </w:p>
        </w:tc>
        <w:tc>
          <w:tcPr>
            <w:tcW w:w="1252" w:type="dxa"/>
            <w:tcBorders>
              <w:top w:val="nil"/>
              <w:left w:val="nil"/>
              <w:bottom w:val="nil"/>
              <w:right w:val="nil"/>
            </w:tcBorders>
          </w:tcPr>
          <w:p w:rsidR="000B4A1E" w:rsidRPr="005345F7" w:rsidRDefault="000B4A1E" w:rsidP="00517E51">
            <w:pPr>
              <w:pStyle w:val="TableofFigures"/>
              <w:rPr>
                <w:rFonts w:eastAsiaTheme="minorEastAsia" w:cs="Calibri"/>
                <w:color w:val="000000"/>
                <w:sz w:val="21"/>
                <w:szCs w:val="22"/>
                <w:lang w:eastAsia="en-AU"/>
              </w:rPr>
            </w:pPr>
            <w:r w:rsidRPr="005345F7">
              <w:rPr>
                <w:rFonts w:eastAsiaTheme="minorEastAsia"/>
                <w:color w:val="000000"/>
                <w:sz w:val="21"/>
                <w:lang w:eastAsia="en-AU"/>
              </w:rPr>
              <w:t>1 063.5</w:t>
            </w:r>
          </w:p>
        </w:tc>
        <w:tc>
          <w:tcPr>
            <w:tcW w:w="994"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66 476.7</w:t>
            </w:r>
          </w:p>
        </w:tc>
      </w:tr>
      <w:tr w:rsidR="000B4A1E" w:rsidRPr="005345F7" w:rsidTr="00517E51">
        <w:tc>
          <w:tcPr>
            <w:tcW w:w="4033" w:type="dxa"/>
            <w:tcBorders>
              <w:top w:val="nil"/>
              <w:left w:val="nil"/>
              <w:bottom w:val="single" w:sz="6" w:space="0" w:color="auto"/>
              <w:right w:val="nil"/>
            </w:tcBorders>
          </w:tcPr>
          <w:p w:rsidR="000B4A1E" w:rsidRPr="005345F7" w:rsidRDefault="000B4A1E" w:rsidP="00517E51">
            <w:pPr>
              <w:pStyle w:val="Tabletext"/>
              <w:rPr>
                <w:rFonts w:eastAsiaTheme="minorEastAsia"/>
                <w:color w:val="000000"/>
                <w:sz w:val="21"/>
                <w:lang w:eastAsia="en-AU"/>
              </w:rPr>
            </w:pPr>
            <w:r w:rsidRPr="005345F7">
              <w:rPr>
                <w:rFonts w:eastAsiaTheme="minorEastAsia"/>
                <w:color w:val="000000"/>
                <w:sz w:val="21"/>
                <w:lang w:eastAsia="en-AU"/>
              </w:rPr>
              <w:t>Public financial corporations</w:t>
            </w:r>
          </w:p>
        </w:tc>
        <w:tc>
          <w:tcPr>
            <w:tcW w:w="1123" w:type="dxa"/>
            <w:tcBorders>
              <w:top w:val="nil"/>
              <w:left w:val="nil"/>
              <w:bottom w:val="single" w:sz="6" w:space="0" w:color="auto"/>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1 949.3</w:t>
            </w:r>
          </w:p>
        </w:tc>
        <w:tc>
          <w:tcPr>
            <w:tcW w:w="1123" w:type="dxa"/>
            <w:tcBorders>
              <w:top w:val="nil"/>
              <w:left w:val="nil"/>
              <w:bottom w:val="single" w:sz="6" w:space="0" w:color="auto"/>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xml:space="preserve"> 344.5</w:t>
            </w:r>
          </w:p>
        </w:tc>
        <w:tc>
          <w:tcPr>
            <w:tcW w:w="1123" w:type="dxa"/>
            <w:tcBorders>
              <w:top w:val="nil"/>
              <w:left w:val="nil"/>
              <w:bottom w:val="single" w:sz="6" w:space="0" w:color="auto"/>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1 604.7</w:t>
            </w:r>
          </w:p>
        </w:tc>
        <w:tc>
          <w:tcPr>
            <w:tcW w:w="1252" w:type="dxa"/>
            <w:tcBorders>
              <w:top w:val="nil"/>
              <w:left w:val="nil"/>
              <w:bottom w:val="single" w:sz="6" w:space="0" w:color="auto"/>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xml:space="preserve"> 912.2</w:t>
            </w:r>
          </w:p>
        </w:tc>
        <w:tc>
          <w:tcPr>
            <w:tcW w:w="994" w:type="dxa"/>
            <w:tcBorders>
              <w:top w:val="nil"/>
              <w:left w:val="nil"/>
              <w:bottom w:val="single" w:sz="6" w:space="0" w:color="auto"/>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1 037.1</w:t>
            </w:r>
          </w:p>
        </w:tc>
      </w:tr>
      <w:tr w:rsidR="000B4A1E" w:rsidRPr="005345F7" w:rsidTr="00517E51">
        <w:tc>
          <w:tcPr>
            <w:tcW w:w="4033" w:type="dxa"/>
            <w:tcBorders>
              <w:top w:val="nil"/>
              <w:left w:val="nil"/>
              <w:bottom w:val="nil"/>
              <w:right w:val="nil"/>
            </w:tcBorders>
          </w:tcPr>
          <w:p w:rsidR="000B4A1E" w:rsidRPr="005345F7" w:rsidRDefault="000B4A1E" w:rsidP="00517E51">
            <w:pPr>
              <w:pStyle w:val="Tabletext"/>
              <w:rPr>
                <w:rFonts w:eastAsiaTheme="minorEastAsia"/>
                <w:b/>
                <w:bCs/>
                <w:color w:val="000000"/>
                <w:sz w:val="21"/>
                <w:lang w:eastAsia="en-AU"/>
              </w:rPr>
            </w:pPr>
            <w:r w:rsidRPr="005345F7">
              <w:rPr>
                <w:rFonts w:eastAsiaTheme="minorEastAsia"/>
                <w:b/>
                <w:bCs/>
                <w:color w:val="000000"/>
                <w:sz w:val="21"/>
                <w:lang w:eastAsia="en-AU"/>
              </w:rPr>
              <w:t>Total assets</w:t>
            </w:r>
          </w:p>
        </w:tc>
        <w:tc>
          <w:tcPr>
            <w:tcW w:w="1123" w:type="dxa"/>
            <w:tcBorders>
              <w:top w:val="nil"/>
              <w:left w:val="nil"/>
              <w:bottom w:val="nil"/>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188 664.6</w:t>
            </w:r>
          </w:p>
        </w:tc>
        <w:tc>
          <w:tcPr>
            <w:tcW w:w="1123" w:type="dxa"/>
            <w:tcBorders>
              <w:top w:val="nil"/>
              <w:left w:val="nil"/>
              <w:bottom w:val="nil"/>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1 735.7</w:t>
            </w:r>
          </w:p>
        </w:tc>
        <w:tc>
          <w:tcPr>
            <w:tcW w:w="1123" w:type="dxa"/>
            <w:tcBorders>
              <w:top w:val="nil"/>
              <w:left w:val="nil"/>
              <w:bottom w:val="nil"/>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186 928.9</w:t>
            </w:r>
          </w:p>
        </w:tc>
        <w:tc>
          <w:tcPr>
            <w:tcW w:w="1252" w:type="dxa"/>
            <w:tcBorders>
              <w:top w:val="nil"/>
              <w:left w:val="nil"/>
              <w:bottom w:val="nil"/>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10 763.9</w:t>
            </w:r>
          </w:p>
        </w:tc>
        <w:tc>
          <w:tcPr>
            <w:tcW w:w="994" w:type="dxa"/>
            <w:tcBorders>
              <w:top w:val="nil"/>
              <w:left w:val="nil"/>
              <w:bottom w:val="nil"/>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177 900.7</w:t>
            </w:r>
          </w:p>
        </w:tc>
      </w:tr>
      <w:tr w:rsidR="000B4A1E" w:rsidRPr="005345F7" w:rsidTr="00517E51">
        <w:tc>
          <w:tcPr>
            <w:tcW w:w="4033" w:type="dxa"/>
            <w:tcBorders>
              <w:top w:val="nil"/>
              <w:left w:val="nil"/>
              <w:bottom w:val="nil"/>
              <w:right w:val="nil"/>
            </w:tcBorders>
          </w:tcPr>
          <w:p w:rsidR="000B4A1E" w:rsidRPr="005345F7" w:rsidRDefault="000B4A1E" w:rsidP="00517E51">
            <w:pPr>
              <w:pStyle w:val="Tabletext"/>
              <w:rPr>
                <w:rFonts w:eastAsiaTheme="minorEastAsia"/>
                <w:b/>
                <w:bCs/>
                <w:color w:val="000000"/>
                <w:sz w:val="21"/>
                <w:lang w:eastAsia="en-AU"/>
              </w:rPr>
            </w:pPr>
            <w:r w:rsidRPr="005345F7">
              <w:rPr>
                <w:rFonts w:eastAsiaTheme="minorEastAsia"/>
                <w:b/>
                <w:bCs/>
                <w:color w:val="000000"/>
                <w:sz w:val="21"/>
                <w:lang w:eastAsia="en-AU"/>
              </w:rPr>
              <w:t>Liabilities</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xml:space="preserve">  </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xml:space="preserve"> </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xml:space="preserve"> </w:t>
            </w:r>
          </w:p>
        </w:tc>
        <w:tc>
          <w:tcPr>
            <w:tcW w:w="1252" w:type="dxa"/>
            <w:tcBorders>
              <w:top w:val="nil"/>
              <w:left w:val="nil"/>
              <w:bottom w:val="nil"/>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 xml:space="preserve"> </w:t>
            </w:r>
          </w:p>
        </w:tc>
        <w:tc>
          <w:tcPr>
            <w:tcW w:w="994"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xml:space="preserve">  </w:t>
            </w:r>
          </w:p>
        </w:tc>
      </w:tr>
      <w:tr w:rsidR="000B4A1E" w:rsidRPr="005345F7" w:rsidTr="00517E51">
        <w:tc>
          <w:tcPr>
            <w:tcW w:w="4033" w:type="dxa"/>
            <w:tcBorders>
              <w:top w:val="nil"/>
              <w:left w:val="nil"/>
              <w:bottom w:val="nil"/>
              <w:right w:val="nil"/>
            </w:tcBorders>
          </w:tcPr>
          <w:p w:rsidR="000B4A1E" w:rsidRPr="005345F7" w:rsidRDefault="000B4A1E" w:rsidP="00517E51">
            <w:pPr>
              <w:pStyle w:val="Tabletext"/>
              <w:rPr>
                <w:rFonts w:eastAsiaTheme="minorEastAsia"/>
                <w:color w:val="000000"/>
                <w:sz w:val="21"/>
                <w:lang w:eastAsia="en-AU"/>
              </w:rPr>
            </w:pPr>
            <w:r w:rsidRPr="005345F7">
              <w:rPr>
                <w:rFonts w:eastAsiaTheme="minorEastAsia"/>
                <w:color w:val="000000"/>
                <w:sz w:val="21"/>
                <w:lang w:eastAsia="en-AU"/>
              </w:rPr>
              <w:t>Superannuation</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25 142.5</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(3 725.0)</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28 867.5</w:t>
            </w:r>
          </w:p>
        </w:tc>
        <w:tc>
          <w:tcPr>
            <w:tcW w:w="1252"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(7 455.0)</w:t>
            </w:r>
          </w:p>
        </w:tc>
        <w:tc>
          <w:tcPr>
            <w:tcW w:w="994"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32 597.5</w:t>
            </w:r>
          </w:p>
        </w:tc>
      </w:tr>
      <w:tr w:rsidR="000B4A1E" w:rsidRPr="005345F7" w:rsidTr="00517E51">
        <w:tc>
          <w:tcPr>
            <w:tcW w:w="4033" w:type="dxa"/>
            <w:tcBorders>
              <w:top w:val="nil"/>
              <w:left w:val="nil"/>
              <w:bottom w:val="nil"/>
              <w:right w:val="nil"/>
            </w:tcBorders>
          </w:tcPr>
          <w:p w:rsidR="000B4A1E" w:rsidRPr="005345F7" w:rsidRDefault="000B4A1E" w:rsidP="00517E51">
            <w:pPr>
              <w:pStyle w:val="Tabletext"/>
              <w:rPr>
                <w:rFonts w:eastAsiaTheme="minorEastAsia"/>
                <w:color w:val="000000"/>
                <w:sz w:val="21"/>
                <w:lang w:eastAsia="en-AU"/>
              </w:rPr>
            </w:pPr>
            <w:r w:rsidRPr="005345F7">
              <w:rPr>
                <w:rFonts w:eastAsiaTheme="minorEastAsia"/>
                <w:color w:val="000000"/>
                <w:sz w:val="21"/>
                <w:lang w:eastAsia="en-AU"/>
              </w:rPr>
              <w:t>Borrowings</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31 345.3</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( 113.3)</w:t>
            </w:r>
          </w:p>
        </w:tc>
        <w:tc>
          <w:tcPr>
            <w:tcW w:w="1123"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31 458.6</w:t>
            </w:r>
          </w:p>
        </w:tc>
        <w:tc>
          <w:tcPr>
            <w:tcW w:w="1252"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8 951.4</w:t>
            </w:r>
          </w:p>
        </w:tc>
        <w:tc>
          <w:tcPr>
            <w:tcW w:w="994"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22 393.9</w:t>
            </w:r>
          </w:p>
        </w:tc>
      </w:tr>
      <w:tr w:rsidR="000B4A1E" w:rsidRPr="005345F7" w:rsidTr="00517E51">
        <w:tc>
          <w:tcPr>
            <w:tcW w:w="4033" w:type="dxa"/>
            <w:tcBorders>
              <w:top w:val="nil"/>
              <w:left w:val="nil"/>
              <w:bottom w:val="nil"/>
              <w:right w:val="nil"/>
            </w:tcBorders>
          </w:tcPr>
          <w:p w:rsidR="000B4A1E" w:rsidRPr="005345F7" w:rsidRDefault="000B4A1E" w:rsidP="00517E51">
            <w:pPr>
              <w:pStyle w:val="Tabletext"/>
              <w:rPr>
                <w:rFonts w:eastAsiaTheme="minorEastAsia"/>
                <w:color w:val="000000"/>
                <w:sz w:val="21"/>
                <w:lang w:eastAsia="en-AU"/>
              </w:rPr>
            </w:pPr>
            <w:r w:rsidRPr="005345F7">
              <w:rPr>
                <w:rFonts w:eastAsiaTheme="minorEastAsia"/>
                <w:color w:val="000000"/>
                <w:sz w:val="21"/>
                <w:lang w:eastAsia="en-AU"/>
              </w:rPr>
              <w:t>Other liabilities</w:t>
            </w:r>
          </w:p>
        </w:tc>
        <w:tc>
          <w:tcPr>
            <w:tcW w:w="1123" w:type="dxa"/>
            <w:tcBorders>
              <w:top w:val="nil"/>
              <w:left w:val="nil"/>
              <w:bottom w:val="single" w:sz="6" w:space="0" w:color="auto"/>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12 219.6</w:t>
            </w:r>
          </w:p>
        </w:tc>
        <w:tc>
          <w:tcPr>
            <w:tcW w:w="1123" w:type="dxa"/>
            <w:tcBorders>
              <w:top w:val="nil"/>
              <w:left w:val="nil"/>
              <w:bottom w:val="single" w:sz="6" w:space="0" w:color="auto"/>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 xml:space="preserve"> 595.9</w:t>
            </w:r>
          </w:p>
        </w:tc>
        <w:tc>
          <w:tcPr>
            <w:tcW w:w="1123" w:type="dxa"/>
            <w:tcBorders>
              <w:top w:val="nil"/>
              <w:left w:val="nil"/>
              <w:bottom w:val="single" w:sz="6" w:space="0" w:color="auto"/>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11 623.6</w:t>
            </w:r>
          </w:p>
        </w:tc>
        <w:tc>
          <w:tcPr>
            <w:tcW w:w="1252" w:type="dxa"/>
            <w:tcBorders>
              <w:top w:val="nil"/>
              <w:left w:val="nil"/>
              <w:bottom w:val="nil"/>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1 074.0</w:t>
            </w:r>
          </w:p>
        </w:tc>
        <w:tc>
          <w:tcPr>
            <w:tcW w:w="994" w:type="dxa"/>
            <w:tcBorders>
              <w:top w:val="nil"/>
              <w:left w:val="nil"/>
              <w:bottom w:val="single" w:sz="6" w:space="0" w:color="auto"/>
              <w:right w:val="nil"/>
            </w:tcBorders>
          </w:tcPr>
          <w:p w:rsidR="000B4A1E" w:rsidRPr="005345F7" w:rsidRDefault="000B4A1E" w:rsidP="00517E51">
            <w:pPr>
              <w:pStyle w:val="TableofFigures"/>
              <w:rPr>
                <w:rFonts w:eastAsiaTheme="minorEastAsia"/>
                <w:color w:val="000000"/>
                <w:sz w:val="21"/>
                <w:lang w:eastAsia="en-AU"/>
              </w:rPr>
            </w:pPr>
            <w:r w:rsidRPr="005345F7">
              <w:rPr>
                <w:rFonts w:eastAsiaTheme="minorEastAsia"/>
                <w:color w:val="000000"/>
                <w:sz w:val="21"/>
                <w:lang w:eastAsia="en-AU"/>
              </w:rPr>
              <w:t>11 145.6</w:t>
            </w:r>
          </w:p>
        </w:tc>
      </w:tr>
      <w:tr w:rsidR="000B4A1E" w:rsidRPr="005345F7" w:rsidTr="00517E51">
        <w:tc>
          <w:tcPr>
            <w:tcW w:w="4033" w:type="dxa"/>
            <w:tcBorders>
              <w:top w:val="single" w:sz="6" w:space="0" w:color="auto"/>
              <w:left w:val="nil"/>
              <w:bottom w:val="single" w:sz="6" w:space="0" w:color="auto"/>
              <w:right w:val="nil"/>
            </w:tcBorders>
          </w:tcPr>
          <w:p w:rsidR="000B4A1E" w:rsidRPr="005345F7" w:rsidRDefault="000B4A1E" w:rsidP="00517E51">
            <w:pPr>
              <w:pStyle w:val="Tabletext"/>
              <w:rPr>
                <w:rFonts w:eastAsiaTheme="minorEastAsia"/>
                <w:b/>
                <w:bCs/>
                <w:color w:val="000000"/>
                <w:sz w:val="21"/>
                <w:lang w:eastAsia="en-AU"/>
              </w:rPr>
            </w:pPr>
            <w:r w:rsidRPr="005345F7">
              <w:rPr>
                <w:rFonts w:eastAsiaTheme="minorEastAsia"/>
                <w:b/>
                <w:bCs/>
                <w:color w:val="000000"/>
                <w:sz w:val="21"/>
                <w:lang w:eastAsia="en-AU"/>
              </w:rPr>
              <w:t>Total liabilities</w:t>
            </w:r>
          </w:p>
        </w:tc>
        <w:tc>
          <w:tcPr>
            <w:tcW w:w="1123" w:type="dxa"/>
            <w:tcBorders>
              <w:top w:val="single" w:sz="6" w:space="0" w:color="auto"/>
              <w:left w:val="nil"/>
              <w:bottom w:val="single" w:sz="6" w:space="0" w:color="auto"/>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68 707.4</w:t>
            </w:r>
          </w:p>
        </w:tc>
        <w:tc>
          <w:tcPr>
            <w:tcW w:w="1123" w:type="dxa"/>
            <w:tcBorders>
              <w:top w:val="single" w:sz="6" w:space="0" w:color="auto"/>
              <w:left w:val="nil"/>
              <w:bottom w:val="single" w:sz="6" w:space="0" w:color="auto"/>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(3 242.4)</w:t>
            </w:r>
          </w:p>
        </w:tc>
        <w:tc>
          <w:tcPr>
            <w:tcW w:w="1123" w:type="dxa"/>
            <w:tcBorders>
              <w:top w:val="single" w:sz="6" w:space="0" w:color="auto"/>
              <w:left w:val="nil"/>
              <w:bottom w:val="single" w:sz="6" w:space="0" w:color="auto"/>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71 949.7</w:t>
            </w:r>
          </w:p>
        </w:tc>
        <w:tc>
          <w:tcPr>
            <w:tcW w:w="1252" w:type="dxa"/>
            <w:tcBorders>
              <w:top w:val="single" w:sz="6" w:space="0" w:color="auto"/>
              <w:left w:val="nil"/>
              <w:bottom w:val="single" w:sz="6" w:space="0" w:color="auto"/>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2 570.4</w:t>
            </w:r>
          </w:p>
        </w:tc>
        <w:tc>
          <w:tcPr>
            <w:tcW w:w="994" w:type="dxa"/>
            <w:tcBorders>
              <w:top w:val="single" w:sz="6" w:space="0" w:color="auto"/>
              <w:left w:val="nil"/>
              <w:bottom w:val="single" w:sz="6" w:space="0" w:color="auto"/>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66 137.0</w:t>
            </w:r>
          </w:p>
        </w:tc>
      </w:tr>
      <w:tr w:rsidR="000B4A1E" w:rsidRPr="005345F7" w:rsidTr="00517E51">
        <w:tc>
          <w:tcPr>
            <w:tcW w:w="4033" w:type="dxa"/>
            <w:tcBorders>
              <w:top w:val="single" w:sz="6" w:space="0" w:color="auto"/>
              <w:left w:val="nil"/>
              <w:bottom w:val="single" w:sz="12" w:space="0" w:color="auto"/>
              <w:right w:val="nil"/>
            </w:tcBorders>
          </w:tcPr>
          <w:p w:rsidR="000B4A1E" w:rsidRPr="005345F7" w:rsidRDefault="000B4A1E" w:rsidP="00517E51">
            <w:pPr>
              <w:pStyle w:val="Tabletext"/>
              <w:rPr>
                <w:rFonts w:eastAsiaTheme="minorEastAsia"/>
                <w:b/>
                <w:bCs/>
                <w:color w:val="000000"/>
                <w:sz w:val="21"/>
                <w:lang w:eastAsia="en-AU"/>
              </w:rPr>
            </w:pPr>
            <w:r w:rsidRPr="005345F7">
              <w:rPr>
                <w:rFonts w:eastAsiaTheme="minorEastAsia"/>
                <w:b/>
                <w:bCs/>
                <w:color w:val="000000"/>
                <w:sz w:val="21"/>
                <w:lang w:eastAsia="en-AU"/>
              </w:rPr>
              <w:t>Net assets</w:t>
            </w:r>
          </w:p>
        </w:tc>
        <w:tc>
          <w:tcPr>
            <w:tcW w:w="1123" w:type="dxa"/>
            <w:tcBorders>
              <w:top w:val="single" w:sz="6" w:space="0" w:color="auto"/>
              <w:left w:val="nil"/>
              <w:bottom w:val="single" w:sz="12" w:space="0" w:color="auto"/>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119 957.2</w:t>
            </w:r>
          </w:p>
        </w:tc>
        <w:tc>
          <w:tcPr>
            <w:tcW w:w="1123" w:type="dxa"/>
            <w:tcBorders>
              <w:top w:val="single" w:sz="6" w:space="0" w:color="auto"/>
              <w:left w:val="nil"/>
              <w:bottom w:val="single" w:sz="12" w:space="0" w:color="auto"/>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4 978.1</w:t>
            </w:r>
          </w:p>
        </w:tc>
        <w:tc>
          <w:tcPr>
            <w:tcW w:w="1123" w:type="dxa"/>
            <w:tcBorders>
              <w:top w:val="single" w:sz="6" w:space="0" w:color="auto"/>
              <w:left w:val="nil"/>
              <w:bottom w:val="single" w:sz="12" w:space="0" w:color="auto"/>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114 979.1</w:t>
            </w:r>
          </w:p>
        </w:tc>
        <w:tc>
          <w:tcPr>
            <w:tcW w:w="1252" w:type="dxa"/>
            <w:tcBorders>
              <w:top w:val="single" w:sz="6" w:space="0" w:color="auto"/>
              <w:left w:val="nil"/>
              <w:bottom w:val="single" w:sz="12" w:space="0" w:color="auto"/>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8 193.5</w:t>
            </w:r>
          </w:p>
        </w:tc>
        <w:tc>
          <w:tcPr>
            <w:tcW w:w="994" w:type="dxa"/>
            <w:tcBorders>
              <w:top w:val="single" w:sz="6" w:space="0" w:color="auto"/>
              <w:left w:val="nil"/>
              <w:bottom w:val="single" w:sz="12" w:space="0" w:color="auto"/>
              <w:right w:val="nil"/>
            </w:tcBorders>
          </w:tcPr>
          <w:p w:rsidR="000B4A1E" w:rsidRPr="005345F7" w:rsidRDefault="000B4A1E" w:rsidP="00517E51">
            <w:pPr>
              <w:pStyle w:val="TableofFigures"/>
              <w:rPr>
                <w:rFonts w:eastAsiaTheme="minorEastAsia"/>
                <w:b/>
                <w:bCs/>
                <w:color w:val="000000"/>
                <w:sz w:val="21"/>
                <w:lang w:eastAsia="en-AU"/>
              </w:rPr>
            </w:pPr>
            <w:r w:rsidRPr="005345F7">
              <w:rPr>
                <w:rFonts w:eastAsiaTheme="minorEastAsia"/>
                <w:b/>
                <w:bCs/>
                <w:color w:val="000000"/>
                <w:sz w:val="21"/>
                <w:lang w:eastAsia="en-AU"/>
              </w:rPr>
              <w:t>111 763.7</w:t>
            </w:r>
          </w:p>
        </w:tc>
      </w:tr>
    </w:tbl>
    <w:p w:rsidR="000B4A1E" w:rsidRPr="00B24A5F" w:rsidRDefault="000B4A1E" w:rsidP="00517E51">
      <w:pPr>
        <w:pStyle w:val="Source"/>
        <w:rPr>
          <w:rStyle w:val="SourceChar"/>
          <w:i/>
        </w:rPr>
      </w:pPr>
      <w:r w:rsidRPr="00AB1290">
        <w:rPr>
          <w:rStyle w:val="SourceChar"/>
        </w:rPr>
        <w:t xml:space="preserve">Source: </w:t>
      </w:r>
      <w:r w:rsidRPr="00667BF1">
        <w:rPr>
          <w:rStyle w:val="SourceChar"/>
          <w:i/>
        </w:rPr>
        <w:t>Department of Treasury and Finance</w:t>
      </w:r>
    </w:p>
    <w:p w:rsidR="000B4A1E" w:rsidRDefault="000B4A1E" w:rsidP="00517E51">
      <w:pPr>
        <w:pStyle w:val="Heading2"/>
      </w:pPr>
      <w:r>
        <w:t>Assets</w:t>
      </w:r>
    </w:p>
    <w:p w:rsidR="000B4A1E" w:rsidRDefault="000B4A1E" w:rsidP="00517E51">
      <w:r>
        <w:t xml:space="preserve">Financial assets in Table 2.4 include cash assets, investments and loans and placements. The value of the financial assets held by the general government sector increased by $5.7 billion to $17.1 billion during the financial year. This is primarily due to </w:t>
      </w:r>
      <w:r w:rsidRPr="00251357">
        <w:t>the recognition in 2012-13 of the desalination plant finance lease</w:t>
      </w:r>
      <w:r>
        <w:t xml:space="preserve"> arrangements and recognising a receivable for electronic gaming machine revenue </w:t>
      </w:r>
      <w:r w:rsidRPr="004905D7">
        <w:t xml:space="preserve">raised from </w:t>
      </w:r>
      <w:r>
        <w:t>the pre-auction club offer of entitlements in October/</w:t>
      </w:r>
      <w:r w:rsidRPr="004905D7">
        <w:t>November 2009 and the auction of entitlements in April/May 2010.</w:t>
      </w:r>
    </w:p>
    <w:p w:rsidR="000B4A1E" w:rsidRDefault="000B4A1E" w:rsidP="00517E51">
      <w:r>
        <w:t>Non-financial assets increased by $3.1 billion during the year which is mainly due to increases in the value of land, buildings and infrastructure. This included assets associated with the commissioning of the Peninsula Link, Ararat Prison as well as the revaluation of land and buildings throughout the year.</w:t>
      </w:r>
    </w:p>
    <w:p w:rsidR="000B4A1E" w:rsidRPr="009C516B" w:rsidRDefault="000B4A1E" w:rsidP="00517E51">
      <w:r>
        <w:t xml:space="preserve">General government investments in other sector entities increased by $2.0 billion in the year. This </w:t>
      </w:r>
      <w:r w:rsidRPr="009C516B">
        <w:t xml:space="preserve">included increased investment in:  </w:t>
      </w:r>
    </w:p>
    <w:p w:rsidR="000B4A1E" w:rsidRPr="009C516B" w:rsidRDefault="000B4A1E" w:rsidP="00517E51">
      <w:pPr>
        <w:pStyle w:val="BulletText"/>
      </w:pPr>
      <w:r w:rsidRPr="009C516B">
        <w:t>public non-financial corporations of $</w:t>
      </w:r>
      <w:r>
        <w:t>1.1 billion</w:t>
      </w:r>
      <w:r w:rsidRPr="009C516B">
        <w:t xml:space="preserve">, which </w:t>
      </w:r>
      <w:r>
        <w:t xml:space="preserve">is </w:t>
      </w:r>
      <w:r w:rsidRPr="009C516B">
        <w:t xml:space="preserve">primarily driven by the transfer of transport assets from the Department of Transport, Planning and Local Infrastructure to VicTrack including Regional Rail Link and assets from the Public Transport Ticketing Authority; and </w:t>
      </w:r>
    </w:p>
    <w:p w:rsidR="000B4A1E" w:rsidRPr="009C516B" w:rsidRDefault="000B4A1E" w:rsidP="00517E51">
      <w:pPr>
        <w:pStyle w:val="BulletText"/>
      </w:pPr>
      <w:r w:rsidRPr="009C516B">
        <w:t>public financial</w:t>
      </w:r>
      <w:r>
        <w:t xml:space="preserve"> corporations </w:t>
      </w:r>
      <w:r w:rsidRPr="00E407E7">
        <w:t>of $</w:t>
      </w:r>
      <w:r>
        <w:t>912 million</w:t>
      </w:r>
      <w:r w:rsidRPr="00E407E7">
        <w:t xml:space="preserve">, which was </w:t>
      </w:r>
      <w:r>
        <w:t xml:space="preserve">largely </w:t>
      </w:r>
      <w:r w:rsidRPr="00E407E7">
        <w:t xml:space="preserve">driven by a reported increase in the net result by the </w:t>
      </w:r>
      <w:r>
        <w:t xml:space="preserve">State’s insurance agencies. </w:t>
      </w:r>
    </w:p>
    <w:p w:rsidR="000B4A1E" w:rsidRDefault="000B4A1E" w:rsidP="00517E51">
      <w:pPr>
        <w:pStyle w:val="Heading2"/>
      </w:pPr>
      <w:r>
        <w:t>Liabilities</w:t>
      </w:r>
    </w:p>
    <w:p w:rsidR="000B4A1E" w:rsidRDefault="000B4A1E" w:rsidP="00517E51">
      <w:r>
        <w:t xml:space="preserve">Total liabilities as at 30 June 2013 were $3.2 billion lower than the 2012-13 revised budget, driven by a decrease in the superannuation liability </w:t>
      </w:r>
      <w:r w:rsidRPr="00F6080C">
        <w:t>d</w:t>
      </w:r>
      <w:r>
        <w:t>ue to favourable bond yield movements. The superannuation liability relates to public sector defined benefit superannuation schemes and represents the present value of expected future benefits that scheme members have accrued to date, less the value of superannuation assets.</w:t>
      </w:r>
    </w:p>
    <w:p w:rsidR="000B4A1E" w:rsidRDefault="000B4A1E" w:rsidP="00517E51">
      <w:r>
        <w:t>Total general government sector liabilities increased by $2.6 billion to $68.7 billion in the 2012</w:t>
      </w:r>
      <w:r>
        <w:noBreakHyphen/>
        <w:t>13 financial year. The increase is p</w:t>
      </w:r>
      <w:r w:rsidRPr="00F6080C">
        <w:t>rimarily related to reco</w:t>
      </w:r>
      <w:r>
        <w:t>gnising</w:t>
      </w:r>
      <w:r w:rsidRPr="00F6080C">
        <w:t xml:space="preserve"> fin</w:t>
      </w:r>
      <w:r>
        <w:t>ance lease liabilities for the desalination p</w:t>
      </w:r>
      <w:r w:rsidRPr="00F6080C">
        <w:t>lant, Peninsula Link and Biosciences Research Centre</w:t>
      </w:r>
      <w:r>
        <w:t>,</w:t>
      </w:r>
      <w:r w:rsidRPr="00F6080C">
        <w:t xml:space="preserve"> and an increase in borrowings required to f</w:t>
      </w:r>
      <w:r>
        <w:t>inance</w:t>
      </w:r>
      <w:r w:rsidRPr="00F6080C">
        <w:t xml:space="preserve"> the Government</w:t>
      </w:r>
      <w:r>
        <w:t>’</w:t>
      </w:r>
      <w:r w:rsidRPr="00F6080C">
        <w:t xml:space="preserve">s </w:t>
      </w:r>
      <w:r w:rsidRPr="00985B29">
        <w:t>infrastructure investment</w:t>
      </w:r>
      <w:r w:rsidRPr="00F6080C">
        <w:t>.</w:t>
      </w:r>
      <w:r>
        <w:t xml:space="preserve"> </w:t>
      </w:r>
      <w:r w:rsidRPr="00F6080C">
        <w:t xml:space="preserve">The variance </w:t>
      </w:r>
      <w:r>
        <w:t xml:space="preserve">was partially offset by a decrease in the superannuation liability primarily due to </w:t>
      </w:r>
      <w:r w:rsidRPr="00801CF1">
        <w:t xml:space="preserve">increases in </w:t>
      </w:r>
      <w:r>
        <w:t xml:space="preserve">the </w:t>
      </w:r>
      <w:r w:rsidRPr="00801CF1">
        <w:t>bond yields that are used for valuation purposes.</w:t>
      </w:r>
    </w:p>
    <w:p w:rsidR="000B4A1E" w:rsidRPr="00470736" w:rsidRDefault="000B4A1E" w:rsidP="00517E51">
      <w:pPr>
        <w:pStyle w:val="Heading1"/>
      </w:pPr>
      <w:bookmarkStart w:id="5" w:name="_Toc367967887"/>
      <w:r w:rsidRPr="00470736">
        <w:lastRenderedPageBreak/>
        <w:t>Cash flows</w:t>
      </w:r>
      <w:bookmarkEnd w:id="5"/>
    </w:p>
    <w:p w:rsidR="000B4A1E" w:rsidRDefault="000B4A1E" w:rsidP="00517E51">
      <w:r>
        <w:t>Table 2.5 outlines the use of cash resources to fund Victoria’s infrastructure investment program. It summarises cash generated through the operations of Victorian government departments and other general government sector agencies, and how that cash is invested in infrastructure.</w:t>
      </w:r>
    </w:p>
    <w:p w:rsidR="000B4A1E" w:rsidRDefault="000B4A1E" w:rsidP="00517E51">
      <w:r>
        <w:t xml:space="preserve">A detailed statement of cash flows is </w:t>
      </w:r>
      <w:r w:rsidRPr="005B34D2">
        <w:t xml:space="preserve">provided in Chapter 4. In </w:t>
      </w:r>
      <w:r>
        <w:t xml:space="preserve">the </w:t>
      </w:r>
      <w:r w:rsidRPr="005B34D2">
        <w:t>2012</w:t>
      </w:r>
      <w:r w:rsidRPr="005B34D2">
        <w:noBreakHyphen/>
        <w:t>13 financial</w:t>
      </w:r>
      <w:r>
        <w:t xml:space="preserve"> year, approximately one third of the general government sector infrastructure investment program of $5.2 billion was funded from net cash flows from operating activities. </w:t>
      </w:r>
    </w:p>
    <w:p w:rsidR="000B4A1E" w:rsidRDefault="000B4A1E" w:rsidP="00517E51">
      <w:pPr>
        <w:pStyle w:val="Tableheading"/>
      </w:pPr>
      <w:r>
        <w:t>Table 2.5:</w:t>
      </w:r>
      <w:r>
        <w:tab/>
        <w:t>Application of cash resources</w:t>
      </w:r>
    </w:p>
    <w:p w:rsidR="000B4A1E" w:rsidRPr="00071AC1" w:rsidRDefault="000B4A1E" w:rsidP="00517E51">
      <w:pPr>
        <w:pStyle w:val="million"/>
        <w:rPr>
          <w:rFonts w:ascii="Garamond" w:hAnsi="Garamond"/>
          <w:b/>
          <w:bCs/>
          <w:sz w:val="24"/>
          <w:lang w:val="en-US"/>
        </w:rPr>
      </w:pPr>
      <w:r>
        <w:t>($ million)</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0B4A1E" w:rsidRPr="00071AC1" w:rsidTr="00517E51">
        <w:tc>
          <w:tcPr>
            <w:tcW w:w="7401" w:type="dxa"/>
            <w:tcBorders>
              <w:top w:val="single" w:sz="4" w:space="0" w:color="auto"/>
              <w:left w:val="single" w:sz="4" w:space="0" w:color="auto"/>
              <w:bottom w:val="nil"/>
              <w:right w:val="nil"/>
            </w:tcBorders>
            <w:shd w:val="clear" w:color="auto" w:fill="000000"/>
          </w:tcPr>
          <w:p w:rsidR="000B4A1E" w:rsidRPr="00071AC1" w:rsidRDefault="000B4A1E" w:rsidP="00517E51">
            <w:pPr>
              <w:pStyle w:val="Tabletext"/>
              <w:rPr>
                <w:rFonts w:eastAsiaTheme="minorEastAsia"/>
                <w:lang w:eastAsia="en-AU"/>
              </w:rPr>
            </w:pPr>
            <w:r w:rsidRPr="00071AC1">
              <w:rPr>
                <w:rFonts w:eastAsiaTheme="minorEastAsia"/>
                <w:lang w:eastAsia="en-AU"/>
              </w:rPr>
              <w:t xml:space="preserve"> </w:t>
            </w:r>
          </w:p>
        </w:tc>
        <w:tc>
          <w:tcPr>
            <w:tcW w:w="1123" w:type="dxa"/>
            <w:tcBorders>
              <w:top w:val="single" w:sz="4" w:space="0" w:color="auto"/>
              <w:left w:val="nil"/>
              <w:bottom w:val="nil"/>
              <w:right w:val="nil"/>
            </w:tcBorders>
            <w:shd w:val="clear" w:color="auto" w:fill="000000"/>
          </w:tcPr>
          <w:p w:rsidR="000B4A1E" w:rsidRPr="00071AC1" w:rsidRDefault="000B4A1E" w:rsidP="00517E51">
            <w:pPr>
              <w:pStyle w:val="Tabletextheading"/>
              <w:rPr>
                <w:rFonts w:eastAsiaTheme="minorEastAsia"/>
                <w:lang w:eastAsia="en-AU"/>
              </w:rPr>
            </w:pPr>
            <w:r w:rsidRPr="00071AC1">
              <w:rPr>
                <w:rFonts w:eastAsiaTheme="minorEastAsia"/>
                <w:lang w:eastAsia="en-AU"/>
              </w:rPr>
              <w:t>2012-13</w:t>
            </w:r>
          </w:p>
        </w:tc>
        <w:tc>
          <w:tcPr>
            <w:tcW w:w="1123" w:type="dxa"/>
            <w:tcBorders>
              <w:top w:val="single" w:sz="4" w:space="0" w:color="auto"/>
              <w:left w:val="nil"/>
              <w:bottom w:val="nil"/>
              <w:right w:val="single" w:sz="4" w:space="0" w:color="auto"/>
            </w:tcBorders>
            <w:shd w:val="clear" w:color="auto" w:fill="000000"/>
          </w:tcPr>
          <w:p w:rsidR="000B4A1E" w:rsidRPr="00071AC1" w:rsidRDefault="000B4A1E" w:rsidP="00517E51">
            <w:pPr>
              <w:pStyle w:val="Tabletextheading"/>
              <w:rPr>
                <w:rFonts w:eastAsiaTheme="minorEastAsia"/>
                <w:lang w:eastAsia="en-AU"/>
              </w:rPr>
            </w:pPr>
            <w:r w:rsidRPr="00071AC1">
              <w:rPr>
                <w:rFonts w:eastAsiaTheme="minorEastAsia"/>
                <w:lang w:eastAsia="en-AU"/>
              </w:rPr>
              <w:t>2012-13</w:t>
            </w:r>
          </w:p>
        </w:tc>
      </w:tr>
      <w:tr w:rsidR="000B4A1E" w:rsidRPr="00071AC1" w:rsidTr="00517E51">
        <w:tc>
          <w:tcPr>
            <w:tcW w:w="7401" w:type="dxa"/>
            <w:tcBorders>
              <w:top w:val="nil"/>
              <w:left w:val="single" w:sz="4" w:space="0" w:color="auto"/>
              <w:bottom w:val="single" w:sz="4" w:space="0" w:color="auto"/>
              <w:right w:val="nil"/>
            </w:tcBorders>
            <w:shd w:val="clear" w:color="auto" w:fill="000000"/>
          </w:tcPr>
          <w:p w:rsidR="000B4A1E" w:rsidRPr="00071AC1" w:rsidRDefault="000B4A1E" w:rsidP="00517E51">
            <w:pPr>
              <w:pStyle w:val="Tabletext"/>
              <w:rPr>
                <w:rFonts w:eastAsiaTheme="minorEastAsia"/>
                <w:lang w:eastAsia="en-AU"/>
              </w:rPr>
            </w:pPr>
            <w:r w:rsidRPr="00071AC1">
              <w:rPr>
                <w:rFonts w:eastAsiaTheme="minorEastAsia"/>
                <w:lang w:eastAsia="en-AU"/>
              </w:rPr>
              <w:t xml:space="preserve"> </w:t>
            </w:r>
          </w:p>
        </w:tc>
        <w:tc>
          <w:tcPr>
            <w:tcW w:w="1123" w:type="dxa"/>
            <w:tcBorders>
              <w:top w:val="nil"/>
              <w:left w:val="nil"/>
              <w:bottom w:val="single" w:sz="4" w:space="0" w:color="auto"/>
              <w:right w:val="nil"/>
            </w:tcBorders>
            <w:shd w:val="clear" w:color="auto" w:fill="000000"/>
          </w:tcPr>
          <w:p w:rsidR="000B4A1E" w:rsidRPr="00071AC1" w:rsidRDefault="000B4A1E" w:rsidP="00517E51">
            <w:pPr>
              <w:pStyle w:val="Tabletextheading"/>
              <w:rPr>
                <w:rFonts w:eastAsiaTheme="minorEastAsia"/>
                <w:iCs/>
                <w:lang w:eastAsia="en-AU"/>
              </w:rPr>
            </w:pPr>
            <w:r w:rsidRPr="00071AC1">
              <w:rPr>
                <w:rFonts w:eastAsiaTheme="minorEastAsia"/>
                <w:iCs/>
                <w:lang w:eastAsia="en-AU"/>
              </w:rPr>
              <w:t>Actual</w:t>
            </w:r>
          </w:p>
        </w:tc>
        <w:tc>
          <w:tcPr>
            <w:tcW w:w="1123" w:type="dxa"/>
            <w:tcBorders>
              <w:top w:val="nil"/>
              <w:left w:val="nil"/>
              <w:bottom w:val="single" w:sz="4" w:space="0" w:color="auto"/>
              <w:right w:val="single" w:sz="4" w:space="0" w:color="auto"/>
            </w:tcBorders>
            <w:shd w:val="clear" w:color="auto" w:fill="000000"/>
          </w:tcPr>
          <w:p w:rsidR="000B4A1E" w:rsidRPr="00071AC1" w:rsidRDefault="000B4A1E" w:rsidP="00517E51">
            <w:pPr>
              <w:pStyle w:val="Tabletextheading"/>
              <w:rPr>
                <w:rFonts w:eastAsiaTheme="minorEastAsia"/>
                <w:iCs/>
                <w:lang w:eastAsia="en-AU"/>
              </w:rPr>
            </w:pPr>
            <w:r w:rsidRPr="00071AC1">
              <w:rPr>
                <w:rFonts w:eastAsiaTheme="minorEastAsia"/>
                <w:iCs/>
                <w:lang w:eastAsia="en-AU"/>
              </w:rPr>
              <w:t>Revised</w:t>
            </w:r>
          </w:p>
        </w:tc>
      </w:tr>
      <w:tr w:rsidR="000B4A1E" w:rsidRPr="00071AC1" w:rsidTr="00517E51">
        <w:tc>
          <w:tcPr>
            <w:tcW w:w="7401" w:type="dxa"/>
            <w:tcBorders>
              <w:top w:val="single" w:sz="4" w:space="0" w:color="auto"/>
              <w:left w:val="nil"/>
              <w:bottom w:val="nil"/>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Net result from transactions</w:t>
            </w:r>
            <w:r>
              <w:rPr>
                <w:rFonts w:eastAsiaTheme="minorEastAsia"/>
                <w:color w:val="000000"/>
                <w:lang w:eastAsia="en-AU"/>
              </w:rPr>
              <w:t xml:space="preserve"> – </w:t>
            </w:r>
            <w:r w:rsidRPr="00071AC1">
              <w:rPr>
                <w:rFonts w:eastAsiaTheme="minorEastAsia"/>
                <w:color w:val="000000"/>
                <w:lang w:eastAsia="en-AU"/>
              </w:rPr>
              <w:t>Net operating balance</w:t>
            </w:r>
          </w:p>
        </w:tc>
        <w:tc>
          <w:tcPr>
            <w:tcW w:w="1123" w:type="dxa"/>
            <w:tcBorders>
              <w:top w:val="single" w:sz="4" w:space="0" w:color="auto"/>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316.4</w:t>
            </w:r>
          </w:p>
        </w:tc>
        <w:tc>
          <w:tcPr>
            <w:tcW w:w="1123" w:type="dxa"/>
            <w:tcBorders>
              <w:top w:val="single" w:sz="4" w:space="0" w:color="auto"/>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177.0</w:t>
            </w:r>
          </w:p>
        </w:tc>
      </w:tr>
      <w:tr w:rsidR="000B4A1E" w:rsidRPr="00071AC1" w:rsidTr="00517E51">
        <w:tc>
          <w:tcPr>
            <w:tcW w:w="7401" w:type="dxa"/>
            <w:tcBorders>
              <w:top w:val="nil"/>
              <w:left w:val="nil"/>
              <w:bottom w:val="single" w:sz="6" w:space="0" w:color="auto"/>
              <w:right w:val="nil"/>
            </w:tcBorders>
          </w:tcPr>
          <w:p w:rsidR="000B4A1E" w:rsidRPr="00071AC1" w:rsidRDefault="000B4A1E" w:rsidP="00517E51">
            <w:pPr>
              <w:pStyle w:val="Tabletext"/>
              <w:rPr>
                <w:rFonts w:eastAsiaTheme="minorEastAsia"/>
                <w:color w:val="000000"/>
                <w:vertAlign w:val="superscript"/>
                <w:lang w:eastAsia="en-AU"/>
              </w:rPr>
            </w:pPr>
            <w:r w:rsidRPr="00071AC1">
              <w:rPr>
                <w:rFonts w:eastAsiaTheme="minorEastAsia"/>
                <w:color w:val="000000"/>
                <w:lang w:eastAsia="en-AU"/>
              </w:rPr>
              <w:t>Add back: Non-cash revenues and expenses (net)</w:t>
            </w:r>
            <w:r>
              <w:rPr>
                <w:rFonts w:eastAsiaTheme="minorEastAsia"/>
                <w:color w:val="000000"/>
                <w:lang w:eastAsia="en-AU"/>
              </w:rPr>
              <w:t xml:space="preserve"> </w:t>
            </w:r>
            <w:r w:rsidRPr="00071AC1">
              <w:rPr>
                <w:rFonts w:eastAsiaTheme="minorEastAsia"/>
                <w:color w:val="000000"/>
                <w:vertAlign w:val="superscript"/>
                <w:lang w:eastAsia="en-AU"/>
              </w:rPr>
              <w:t>(a)</w:t>
            </w:r>
          </w:p>
        </w:tc>
        <w:tc>
          <w:tcPr>
            <w:tcW w:w="1123"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1 375.9</w:t>
            </w:r>
          </w:p>
        </w:tc>
        <w:tc>
          <w:tcPr>
            <w:tcW w:w="1123"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1 548.6</w:t>
            </w:r>
          </w:p>
        </w:tc>
      </w:tr>
      <w:tr w:rsidR="000B4A1E" w:rsidRPr="00071AC1" w:rsidTr="00517E51">
        <w:tc>
          <w:tcPr>
            <w:tcW w:w="7401" w:type="dxa"/>
            <w:tcBorders>
              <w:top w:val="nil"/>
              <w:left w:val="nil"/>
              <w:bottom w:val="nil"/>
              <w:right w:val="nil"/>
            </w:tcBorders>
          </w:tcPr>
          <w:p w:rsidR="000B4A1E" w:rsidRPr="00071AC1" w:rsidRDefault="000B4A1E" w:rsidP="00517E51">
            <w:pPr>
              <w:pStyle w:val="Tabletext"/>
              <w:rPr>
                <w:rFonts w:eastAsiaTheme="minorEastAsia"/>
                <w:b/>
                <w:bCs/>
                <w:color w:val="000000"/>
                <w:lang w:eastAsia="en-AU"/>
              </w:rPr>
            </w:pPr>
            <w:r w:rsidRPr="00071AC1">
              <w:rPr>
                <w:rFonts w:eastAsiaTheme="minorEastAsia"/>
                <w:b/>
                <w:bCs/>
                <w:color w:val="000000"/>
                <w:lang w:eastAsia="en-AU"/>
              </w:rPr>
              <w:t>Net cash flow from operating activities</w:t>
            </w:r>
          </w:p>
        </w:tc>
        <w:tc>
          <w:tcPr>
            <w:tcW w:w="1123" w:type="dxa"/>
            <w:tcBorders>
              <w:top w:val="nil"/>
              <w:left w:val="nil"/>
              <w:bottom w:val="nil"/>
              <w:right w:val="nil"/>
            </w:tcBorders>
          </w:tcPr>
          <w:p w:rsidR="000B4A1E" w:rsidRPr="00071AC1" w:rsidRDefault="000B4A1E" w:rsidP="00517E51">
            <w:pPr>
              <w:pStyle w:val="TableofFigures"/>
              <w:rPr>
                <w:rFonts w:eastAsiaTheme="minorEastAsia"/>
                <w:b/>
                <w:bCs/>
                <w:color w:val="000000"/>
                <w:lang w:eastAsia="en-AU"/>
              </w:rPr>
            </w:pPr>
            <w:r w:rsidRPr="00071AC1">
              <w:rPr>
                <w:rFonts w:eastAsiaTheme="minorEastAsia"/>
                <w:b/>
                <w:bCs/>
                <w:color w:val="000000"/>
                <w:lang w:eastAsia="en-AU"/>
              </w:rPr>
              <w:t>1 692.3</w:t>
            </w:r>
          </w:p>
        </w:tc>
        <w:tc>
          <w:tcPr>
            <w:tcW w:w="1123" w:type="dxa"/>
            <w:tcBorders>
              <w:top w:val="nil"/>
              <w:left w:val="nil"/>
              <w:bottom w:val="nil"/>
              <w:right w:val="nil"/>
            </w:tcBorders>
          </w:tcPr>
          <w:p w:rsidR="000B4A1E" w:rsidRPr="00071AC1" w:rsidRDefault="000B4A1E" w:rsidP="00517E51">
            <w:pPr>
              <w:pStyle w:val="TableofFigures"/>
              <w:rPr>
                <w:rFonts w:eastAsiaTheme="minorEastAsia"/>
                <w:b/>
                <w:bCs/>
                <w:color w:val="000000"/>
                <w:lang w:eastAsia="en-AU"/>
              </w:rPr>
            </w:pPr>
            <w:r w:rsidRPr="00071AC1">
              <w:rPr>
                <w:rFonts w:eastAsiaTheme="minorEastAsia"/>
                <w:b/>
                <w:bCs/>
                <w:color w:val="000000"/>
                <w:lang w:eastAsia="en-AU"/>
              </w:rPr>
              <w:t>1 725.6</w:t>
            </w:r>
          </w:p>
        </w:tc>
      </w:tr>
      <w:tr w:rsidR="000B4A1E" w:rsidRPr="00071AC1" w:rsidTr="00517E51">
        <w:tc>
          <w:tcPr>
            <w:tcW w:w="7401" w:type="dxa"/>
            <w:tcBorders>
              <w:top w:val="nil"/>
              <w:left w:val="nil"/>
              <w:bottom w:val="nil"/>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Less:</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w:t>
            </w:r>
          </w:p>
        </w:tc>
      </w:tr>
      <w:tr w:rsidR="000B4A1E" w:rsidRPr="00071AC1" w:rsidTr="00517E51">
        <w:tc>
          <w:tcPr>
            <w:tcW w:w="7401" w:type="dxa"/>
            <w:tcBorders>
              <w:top w:val="nil"/>
              <w:left w:val="nil"/>
              <w:bottom w:val="nil"/>
              <w:right w:val="nil"/>
            </w:tcBorders>
          </w:tcPr>
          <w:p w:rsidR="000B4A1E" w:rsidRPr="00071AC1" w:rsidRDefault="000B4A1E" w:rsidP="00517E51">
            <w:pPr>
              <w:pStyle w:val="Tabletext"/>
              <w:rPr>
                <w:rFonts w:eastAsiaTheme="minorEastAsia"/>
                <w:b/>
                <w:bCs/>
                <w:color w:val="000000"/>
                <w:lang w:eastAsia="en-AU"/>
              </w:rPr>
            </w:pPr>
            <w:r w:rsidRPr="00071AC1">
              <w:rPr>
                <w:rFonts w:eastAsiaTheme="minorEastAsia"/>
                <w:b/>
                <w:bCs/>
                <w:color w:val="000000"/>
                <w:lang w:eastAsia="en-AU"/>
              </w:rPr>
              <w:t>Net investment in fixed assets</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w:t>
            </w:r>
          </w:p>
        </w:tc>
      </w:tr>
      <w:tr w:rsidR="000B4A1E" w:rsidRPr="00071AC1" w:rsidTr="00517E51">
        <w:tc>
          <w:tcPr>
            <w:tcW w:w="7401" w:type="dxa"/>
            <w:tcBorders>
              <w:top w:val="nil"/>
              <w:left w:val="nil"/>
              <w:bottom w:val="nil"/>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Expenditure on approved projects</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5 450.0</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5 610.2</w:t>
            </w:r>
          </w:p>
        </w:tc>
      </w:tr>
      <w:tr w:rsidR="000B4A1E" w:rsidRPr="00071AC1" w:rsidTr="00517E51">
        <w:tc>
          <w:tcPr>
            <w:tcW w:w="7401" w:type="dxa"/>
            <w:tcBorders>
              <w:top w:val="nil"/>
              <w:left w:val="nil"/>
              <w:bottom w:val="single" w:sz="6" w:space="0" w:color="auto"/>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Sale of non-financial assets</w:t>
            </w:r>
          </w:p>
        </w:tc>
        <w:tc>
          <w:tcPr>
            <w:tcW w:w="1123"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248.0</w:t>
            </w:r>
          </w:p>
        </w:tc>
        <w:tc>
          <w:tcPr>
            <w:tcW w:w="1123"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405.7</w:t>
            </w:r>
          </w:p>
        </w:tc>
      </w:tr>
      <w:tr w:rsidR="000B4A1E" w:rsidRPr="00071AC1" w:rsidTr="00517E51">
        <w:tc>
          <w:tcPr>
            <w:tcW w:w="7401" w:type="dxa"/>
            <w:tcBorders>
              <w:top w:val="nil"/>
              <w:left w:val="nil"/>
              <w:bottom w:val="nil"/>
              <w:right w:val="nil"/>
            </w:tcBorders>
          </w:tcPr>
          <w:p w:rsidR="000B4A1E" w:rsidRPr="00071AC1" w:rsidRDefault="000B4A1E" w:rsidP="00517E51">
            <w:pPr>
              <w:pStyle w:val="Tabletext"/>
              <w:rPr>
                <w:rFonts w:eastAsiaTheme="minorEastAsia"/>
                <w:b/>
                <w:bCs/>
                <w:color w:val="000000"/>
                <w:lang w:eastAsia="en-AU"/>
              </w:rPr>
            </w:pPr>
            <w:r w:rsidRPr="00071AC1">
              <w:rPr>
                <w:rFonts w:eastAsiaTheme="minorEastAsia"/>
                <w:b/>
                <w:bCs/>
                <w:color w:val="000000"/>
                <w:lang w:eastAsia="en-AU"/>
              </w:rPr>
              <w:t xml:space="preserve">Net investment in fixed assets </w:t>
            </w:r>
          </w:p>
        </w:tc>
        <w:tc>
          <w:tcPr>
            <w:tcW w:w="1123" w:type="dxa"/>
            <w:tcBorders>
              <w:top w:val="nil"/>
              <w:left w:val="nil"/>
              <w:bottom w:val="nil"/>
              <w:right w:val="nil"/>
            </w:tcBorders>
          </w:tcPr>
          <w:p w:rsidR="000B4A1E" w:rsidRPr="00071AC1" w:rsidRDefault="000B4A1E" w:rsidP="00517E51">
            <w:pPr>
              <w:pStyle w:val="TableofFigures"/>
              <w:rPr>
                <w:rFonts w:eastAsiaTheme="minorEastAsia"/>
                <w:b/>
                <w:bCs/>
                <w:color w:val="000000"/>
                <w:lang w:eastAsia="en-AU"/>
              </w:rPr>
            </w:pPr>
            <w:r w:rsidRPr="00071AC1">
              <w:rPr>
                <w:rFonts w:eastAsiaTheme="minorEastAsia"/>
                <w:b/>
                <w:bCs/>
                <w:color w:val="000000"/>
                <w:lang w:eastAsia="en-AU"/>
              </w:rPr>
              <w:t>5 202.0</w:t>
            </w:r>
          </w:p>
        </w:tc>
        <w:tc>
          <w:tcPr>
            <w:tcW w:w="1123" w:type="dxa"/>
            <w:tcBorders>
              <w:top w:val="nil"/>
              <w:left w:val="nil"/>
              <w:bottom w:val="nil"/>
              <w:right w:val="nil"/>
            </w:tcBorders>
          </w:tcPr>
          <w:p w:rsidR="000B4A1E" w:rsidRPr="00071AC1" w:rsidRDefault="000B4A1E" w:rsidP="00517E51">
            <w:pPr>
              <w:pStyle w:val="TableofFigures"/>
              <w:rPr>
                <w:rFonts w:eastAsiaTheme="minorEastAsia"/>
                <w:b/>
                <w:bCs/>
                <w:color w:val="000000"/>
                <w:lang w:eastAsia="en-AU"/>
              </w:rPr>
            </w:pPr>
            <w:r w:rsidRPr="00071AC1">
              <w:rPr>
                <w:rFonts w:eastAsiaTheme="minorEastAsia"/>
                <w:b/>
                <w:bCs/>
                <w:color w:val="000000"/>
                <w:lang w:eastAsia="en-AU"/>
              </w:rPr>
              <w:t>5 204.5</w:t>
            </w:r>
          </w:p>
        </w:tc>
      </w:tr>
      <w:tr w:rsidR="000B4A1E" w:rsidRPr="00071AC1" w:rsidTr="00517E51">
        <w:tc>
          <w:tcPr>
            <w:tcW w:w="7401" w:type="dxa"/>
            <w:tcBorders>
              <w:top w:val="nil"/>
              <w:left w:val="nil"/>
              <w:bottom w:val="nil"/>
              <w:right w:val="nil"/>
            </w:tcBorders>
          </w:tcPr>
          <w:p w:rsidR="000B4A1E" w:rsidRPr="00071AC1" w:rsidRDefault="000B4A1E" w:rsidP="00517E51">
            <w:pPr>
              <w:pStyle w:val="Tabletext"/>
              <w:rPr>
                <w:rFonts w:eastAsiaTheme="minorEastAsia" w:cs="Calibri"/>
                <w:color w:val="000000"/>
                <w:szCs w:val="22"/>
                <w:vertAlign w:val="superscript"/>
                <w:lang w:eastAsia="en-AU"/>
              </w:rPr>
            </w:pPr>
            <w:r w:rsidRPr="00071AC1">
              <w:rPr>
                <w:rFonts w:eastAsiaTheme="minorEastAsia"/>
                <w:color w:val="000000"/>
                <w:lang w:eastAsia="en-AU"/>
              </w:rPr>
              <w:t xml:space="preserve">Finance leases </w:t>
            </w:r>
            <w:r w:rsidRPr="00071AC1">
              <w:rPr>
                <w:rFonts w:eastAsiaTheme="minorEastAsia" w:cs="Calibri"/>
                <w:color w:val="000000"/>
                <w:szCs w:val="22"/>
                <w:vertAlign w:val="superscript"/>
                <w:lang w:eastAsia="en-AU"/>
              </w:rPr>
              <w:t>(b)</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1 064.8</w:t>
            </w:r>
          </w:p>
        </w:tc>
        <w:tc>
          <w:tcPr>
            <w:tcW w:w="1123" w:type="dxa"/>
            <w:tcBorders>
              <w:top w:val="nil"/>
              <w:left w:val="nil"/>
              <w:bottom w:val="nil"/>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1 055.3</w:t>
            </w:r>
          </w:p>
        </w:tc>
      </w:tr>
      <w:tr w:rsidR="000B4A1E" w:rsidRPr="00071AC1" w:rsidTr="00517E51">
        <w:tc>
          <w:tcPr>
            <w:tcW w:w="7401" w:type="dxa"/>
            <w:tcBorders>
              <w:top w:val="nil"/>
              <w:left w:val="nil"/>
              <w:bottom w:val="single" w:sz="6" w:space="0" w:color="auto"/>
              <w:right w:val="nil"/>
            </w:tcBorders>
          </w:tcPr>
          <w:p w:rsidR="000B4A1E" w:rsidRPr="00071AC1" w:rsidRDefault="000B4A1E" w:rsidP="00517E51">
            <w:pPr>
              <w:pStyle w:val="Tabletext"/>
              <w:rPr>
                <w:rFonts w:eastAsiaTheme="minorEastAsia"/>
                <w:color w:val="000000"/>
                <w:lang w:eastAsia="en-AU"/>
              </w:rPr>
            </w:pPr>
            <w:r w:rsidRPr="00071AC1">
              <w:rPr>
                <w:rFonts w:eastAsiaTheme="minorEastAsia"/>
                <w:color w:val="000000"/>
                <w:lang w:eastAsia="en-AU"/>
              </w:rPr>
              <w:t>Other investment activities (net)</w:t>
            </w:r>
          </w:p>
        </w:tc>
        <w:tc>
          <w:tcPr>
            <w:tcW w:w="1123"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10.7</w:t>
            </w:r>
          </w:p>
        </w:tc>
        <w:tc>
          <w:tcPr>
            <w:tcW w:w="1123" w:type="dxa"/>
            <w:tcBorders>
              <w:top w:val="nil"/>
              <w:left w:val="nil"/>
              <w:bottom w:val="single" w:sz="6" w:space="0" w:color="auto"/>
              <w:right w:val="nil"/>
            </w:tcBorders>
          </w:tcPr>
          <w:p w:rsidR="000B4A1E" w:rsidRPr="00071AC1" w:rsidRDefault="000B4A1E" w:rsidP="00517E51">
            <w:pPr>
              <w:pStyle w:val="TableofFigures"/>
              <w:rPr>
                <w:rFonts w:eastAsiaTheme="minorEastAsia"/>
                <w:color w:val="000000"/>
                <w:lang w:eastAsia="en-AU"/>
              </w:rPr>
            </w:pPr>
            <w:r w:rsidRPr="00071AC1">
              <w:rPr>
                <w:rFonts w:eastAsiaTheme="minorEastAsia"/>
                <w:color w:val="000000"/>
                <w:lang w:eastAsia="en-AU"/>
              </w:rPr>
              <w:t xml:space="preserve"> 69.2</w:t>
            </w:r>
          </w:p>
        </w:tc>
      </w:tr>
      <w:tr w:rsidR="000B4A1E" w:rsidRPr="00071AC1" w:rsidTr="00517E51">
        <w:tc>
          <w:tcPr>
            <w:tcW w:w="7401" w:type="dxa"/>
            <w:tcBorders>
              <w:top w:val="single" w:sz="6" w:space="0" w:color="auto"/>
              <w:left w:val="nil"/>
              <w:bottom w:val="single" w:sz="12" w:space="0" w:color="auto"/>
              <w:right w:val="nil"/>
            </w:tcBorders>
          </w:tcPr>
          <w:p w:rsidR="000B4A1E" w:rsidRPr="00071AC1" w:rsidRDefault="000B4A1E" w:rsidP="00517E51">
            <w:pPr>
              <w:pStyle w:val="Tabletext"/>
              <w:rPr>
                <w:rFonts w:eastAsiaTheme="minorEastAsia"/>
                <w:b/>
                <w:bCs/>
                <w:color w:val="000000"/>
                <w:lang w:eastAsia="en-AU"/>
              </w:rPr>
            </w:pPr>
            <w:r w:rsidRPr="00071AC1">
              <w:rPr>
                <w:rFonts w:eastAsiaTheme="minorEastAsia"/>
                <w:b/>
                <w:bCs/>
                <w:color w:val="000000"/>
                <w:lang w:eastAsia="en-AU"/>
              </w:rPr>
              <w:t xml:space="preserve">Increase in net debt </w:t>
            </w:r>
          </w:p>
        </w:tc>
        <w:tc>
          <w:tcPr>
            <w:tcW w:w="1123" w:type="dxa"/>
            <w:tcBorders>
              <w:top w:val="single" w:sz="6" w:space="0" w:color="auto"/>
              <w:left w:val="nil"/>
              <w:bottom w:val="single" w:sz="12" w:space="0" w:color="auto"/>
              <w:right w:val="nil"/>
            </w:tcBorders>
          </w:tcPr>
          <w:p w:rsidR="000B4A1E" w:rsidRPr="00071AC1" w:rsidRDefault="000B4A1E" w:rsidP="00517E51">
            <w:pPr>
              <w:pStyle w:val="TableofFigures"/>
              <w:rPr>
                <w:rFonts w:eastAsiaTheme="minorEastAsia"/>
                <w:b/>
                <w:bCs/>
                <w:color w:val="000000"/>
                <w:lang w:eastAsia="en-AU"/>
              </w:rPr>
            </w:pPr>
            <w:r w:rsidRPr="00071AC1">
              <w:rPr>
                <w:rFonts w:eastAsiaTheme="minorEastAsia"/>
                <w:b/>
                <w:bCs/>
                <w:color w:val="000000"/>
                <w:lang w:eastAsia="en-AU"/>
              </w:rPr>
              <w:t>(4 585.2)</w:t>
            </w:r>
          </w:p>
        </w:tc>
        <w:tc>
          <w:tcPr>
            <w:tcW w:w="1123" w:type="dxa"/>
            <w:tcBorders>
              <w:top w:val="single" w:sz="6" w:space="0" w:color="auto"/>
              <w:left w:val="nil"/>
              <w:bottom w:val="single" w:sz="12" w:space="0" w:color="auto"/>
              <w:right w:val="nil"/>
            </w:tcBorders>
          </w:tcPr>
          <w:p w:rsidR="000B4A1E" w:rsidRPr="00071AC1" w:rsidRDefault="000B4A1E" w:rsidP="00517E51">
            <w:pPr>
              <w:pStyle w:val="TableofFigures"/>
              <w:rPr>
                <w:rFonts w:eastAsiaTheme="minorEastAsia"/>
                <w:b/>
                <w:bCs/>
                <w:color w:val="000000"/>
                <w:lang w:eastAsia="en-AU"/>
              </w:rPr>
            </w:pPr>
            <w:r w:rsidRPr="00071AC1">
              <w:rPr>
                <w:rFonts w:eastAsiaTheme="minorEastAsia"/>
                <w:b/>
                <w:bCs/>
                <w:color w:val="000000"/>
                <w:lang w:eastAsia="en-AU"/>
              </w:rPr>
              <w:t>(4 603.4)</w:t>
            </w:r>
          </w:p>
        </w:tc>
      </w:tr>
    </w:tbl>
    <w:p w:rsidR="000B4A1E" w:rsidRPr="00BE7B37" w:rsidRDefault="000B4A1E" w:rsidP="00517E51">
      <w:pPr>
        <w:pStyle w:val="Source"/>
        <w:rPr>
          <w:rStyle w:val="SourceChar"/>
          <w:i/>
        </w:rPr>
      </w:pPr>
      <w:r w:rsidRPr="00BE7B37">
        <w:rPr>
          <w:rStyle w:val="SourceChar"/>
          <w:i/>
        </w:rPr>
        <w:t>Source: Department of Treasury and Finance</w:t>
      </w:r>
    </w:p>
    <w:p w:rsidR="000B4A1E" w:rsidRPr="00800217" w:rsidRDefault="000B4A1E" w:rsidP="00517E51">
      <w:pPr>
        <w:pStyle w:val="Notes"/>
        <w:rPr>
          <w:rStyle w:val="SourceChar"/>
          <w:i/>
        </w:rPr>
      </w:pPr>
      <w:r w:rsidRPr="00800217">
        <w:rPr>
          <w:rStyle w:val="SourceChar"/>
          <w:i/>
        </w:rPr>
        <w:t>Note</w:t>
      </w:r>
      <w:r>
        <w:rPr>
          <w:rStyle w:val="SourceChar"/>
          <w:i/>
        </w:rPr>
        <w:t>s</w:t>
      </w:r>
      <w:r w:rsidRPr="00800217">
        <w:rPr>
          <w:rStyle w:val="SourceChar"/>
          <w:i/>
        </w:rPr>
        <w:t>:</w:t>
      </w:r>
    </w:p>
    <w:p w:rsidR="000B4A1E" w:rsidRDefault="000B4A1E" w:rsidP="00517E51">
      <w:pPr>
        <w:pStyle w:val="Notes"/>
        <w:rPr>
          <w:rStyle w:val="SourceChar"/>
          <w:i/>
        </w:rPr>
      </w:pPr>
      <w:r w:rsidRPr="00800217">
        <w:rPr>
          <w:rStyle w:val="SourceChar"/>
          <w:i/>
        </w:rPr>
        <w:t>(a)</w:t>
      </w:r>
      <w:r w:rsidRPr="00800217">
        <w:rPr>
          <w:rStyle w:val="SourceChar"/>
          <w:i/>
        </w:rPr>
        <w:tab/>
        <w:t>Includes depreciation and non-cash movements in liabilities such as superannuation and employee benefits.</w:t>
      </w:r>
    </w:p>
    <w:p w:rsidR="000B4A1E" w:rsidRPr="00054A46" w:rsidRDefault="000B4A1E" w:rsidP="00517E51">
      <w:pPr>
        <w:pStyle w:val="Notes"/>
        <w:rPr>
          <w:rStyle w:val="SourceChar"/>
          <w:i/>
        </w:rPr>
      </w:pPr>
      <w:r>
        <w:rPr>
          <w:rStyle w:val="SourceChar"/>
          <w:i/>
        </w:rPr>
        <w:t>(b)</w:t>
      </w:r>
      <w:r>
        <w:rPr>
          <w:rStyle w:val="SourceChar"/>
          <w:i/>
        </w:rPr>
        <w:tab/>
        <w:t xml:space="preserve">Includes </w:t>
      </w:r>
      <w:r w:rsidRPr="00076A96">
        <w:rPr>
          <w:rStyle w:val="SourceChar"/>
          <w:i/>
        </w:rPr>
        <w:t>amount</w:t>
      </w:r>
      <w:r>
        <w:rPr>
          <w:rStyle w:val="SourceChar"/>
          <w:i/>
        </w:rPr>
        <w:t xml:space="preserve">s related to </w:t>
      </w:r>
      <w:r w:rsidRPr="00076A96">
        <w:rPr>
          <w:rStyle w:val="SourceChar"/>
          <w:i/>
        </w:rPr>
        <w:t>the Peninsula Link and the Biosciences Research Centre projects.</w:t>
      </w:r>
    </w:p>
    <w:p w:rsidR="000B4A1E" w:rsidRPr="00054A46" w:rsidRDefault="000B4A1E" w:rsidP="00517E51">
      <w:pPr>
        <w:pStyle w:val="Heading1"/>
      </w:pPr>
      <w:bookmarkStart w:id="6" w:name="_Toc367967888"/>
      <w:r w:rsidRPr="000D522D">
        <w:t>Infrastructure</w:t>
      </w:r>
      <w:r w:rsidRPr="00054A46">
        <w:t xml:space="preserve"> investment</w:t>
      </w:r>
      <w:bookmarkEnd w:id="6"/>
    </w:p>
    <w:p w:rsidR="000B4A1E" w:rsidRDefault="000B4A1E" w:rsidP="00517E51">
      <w:r w:rsidRPr="007407BC">
        <w:t xml:space="preserve">Infrastructure provides the platform for delivering high quality services to the community. It has a significant impact on state and national productivity and has the ability to generate significant employment. </w:t>
      </w:r>
    </w:p>
    <w:p w:rsidR="000B4A1E" w:rsidRDefault="000B4A1E" w:rsidP="00517E51">
      <w:r>
        <w:t>Chart 2.1 shows the trend in net infrastructure investment by the general government sector since 1995. General government net infrastructure investment was $5.2 billion for 2012-13, consistent with revised budget expectations.</w:t>
      </w:r>
    </w:p>
    <w:p w:rsidR="000B4A1E" w:rsidRDefault="000B4A1E" w:rsidP="00517E51">
      <w:pPr>
        <w:pStyle w:val="Tableheading"/>
      </w:pPr>
      <w:r>
        <w:lastRenderedPageBreak/>
        <w:t>Chart 2.1:</w:t>
      </w:r>
      <w:r>
        <w:tab/>
        <w:t>Net infrastructure investment</w:t>
      </w:r>
      <w:r w:rsidRPr="00470736">
        <w:rPr>
          <w:vertAlign w:val="superscript"/>
        </w:rPr>
        <w:t>(a)</w:t>
      </w:r>
    </w:p>
    <w:p w:rsidR="000B4A1E" w:rsidRPr="00570AC5" w:rsidRDefault="001A6345" w:rsidP="00517E51">
      <w:pPr>
        <w:pStyle w:val="Chartpara"/>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262.2pt">
            <v:imagedata r:id="rId14" o:title=""/>
          </v:shape>
        </w:pict>
      </w:r>
    </w:p>
    <w:p w:rsidR="000B4A1E" w:rsidRDefault="000B4A1E" w:rsidP="00517E51">
      <w:pPr>
        <w:pStyle w:val="Notes"/>
      </w:pPr>
      <w:r>
        <w:t>Note:</w:t>
      </w:r>
    </w:p>
    <w:p w:rsidR="000B4A1E" w:rsidRDefault="000B4A1E" w:rsidP="00517E51">
      <w:pPr>
        <w:pStyle w:val="Notes"/>
      </w:pPr>
      <w:r>
        <w:t>(a)</w:t>
      </w:r>
      <w:r>
        <w:tab/>
        <w:t>Excludes the proceeds from privatisation.</w:t>
      </w:r>
    </w:p>
    <w:p w:rsidR="000B4A1E" w:rsidRDefault="000B4A1E" w:rsidP="00517E51">
      <w:pPr>
        <w:pStyle w:val="Notes"/>
      </w:pPr>
    </w:p>
    <w:p w:rsidR="000B4A1E" w:rsidRDefault="000B4A1E" w:rsidP="00517E51">
      <w:r>
        <w:t>The general government sector’s infrastructure investment program in 2012</w:t>
      </w:r>
      <w:r>
        <w:noBreakHyphen/>
        <w:t>13, which includes capital purchases by the general government sector and contributions by the general government sector to other sectors of government for capital purposes (net of assets sales), is $5.2 billion, with the majority invested in the transport, health and education sectors.</w:t>
      </w:r>
    </w:p>
    <w:p w:rsidR="000B4A1E" w:rsidRDefault="000B4A1E" w:rsidP="00517E51"/>
    <w:p w:rsidR="000B4A1E" w:rsidRPr="008F519D" w:rsidRDefault="000B4A1E" w:rsidP="00517E51">
      <w:pPr>
        <w:pStyle w:val="HighlightBoxHeading"/>
        <w:rPr>
          <w:b/>
        </w:rPr>
      </w:pPr>
      <w:r w:rsidRPr="008F519D">
        <w:rPr>
          <w:b/>
        </w:rPr>
        <w:t>The Government’s infrastructure scorecard 2012-13</w:t>
      </w:r>
    </w:p>
    <w:p w:rsidR="000B4A1E" w:rsidRPr="005F76BC" w:rsidRDefault="000B4A1E" w:rsidP="00517E51">
      <w:pPr>
        <w:pStyle w:val="HighlightBoxText"/>
      </w:pPr>
      <w:r w:rsidRPr="005F76BC">
        <w:t>Major projects completed during the year include:</w:t>
      </w:r>
    </w:p>
    <w:p w:rsidR="000B4A1E" w:rsidRPr="00776315" w:rsidRDefault="000B4A1E" w:rsidP="00517E51">
      <w:pPr>
        <w:pStyle w:val="HighlightBoxBullet"/>
      </w:pPr>
      <w:r w:rsidRPr="00776315">
        <w:t>schools land acquisition, modernisation, regeneration and construction;</w:t>
      </w:r>
    </w:p>
    <w:p w:rsidR="000B4A1E" w:rsidRPr="00776315" w:rsidRDefault="000B4A1E" w:rsidP="00517E51">
      <w:pPr>
        <w:pStyle w:val="HighlightBoxBullet"/>
      </w:pPr>
      <w:r w:rsidRPr="00776315">
        <w:t>Ballarat Base Hospital;</w:t>
      </w:r>
    </w:p>
    <w:p w:rsidR="000B4A1E" w:rsidRPr="00776315" w:rsidRDefault="000B4A1E" w:rsidP="00517E51">
      <w:pPr>
        <w:pStyle w:val="HighlightBoxBullet"/>
      </w:pPr>
      <w:r>
        <w:t xml:space="preserve">Arts Centre Melbourne; </w:t>
      </w:r>
      <w:r w:rsidRPr="00776315">
        <w:t>and</w:t>
      </w:r>
    </w:p>
    <w:p w:rsidR="000B4A1E" w:rsidRPr="00776315" w:rsidRDefault="000B4A1E" w:rsidP="00517E51">
      <w:pPr>
        <w:pStyle w:val="HighlightBoxBullet"/>
      </w:pPr>
      <w:r w:rsidRPr="00776315">
        <w:t xml:space="preserve">Southbank Cultural Precinct </w:t>
      </w:r>
      <w:r>
        <w:t>– redevelopment.</w:t>
      </w:r>
    </w:p>
    <w:p w:rsidR="000B4A1E" w:rsidRPr="005F76BC" w:rsidRDefault="000B4A1E" w:rsidP="00517E51">
      <w:pPr>
        <w:pStyle w:val="HighlightBoxText"/>
      </w:pPr>
      <w:r w:rsidRPr="005F76BC">
        <w:t>Major projects already in progress include:</w:t>
      </w:r>
    </w:p>
    <w:p w:rsidR="000B4A1E" w:rsidRPr="00776315" w:rsidRDefault="000B4A1E" w:rsidP="00517E51">
      <w:pPr>
        <w:pStyle w:val="HighlightBoxBullet"/>
      </w:pPr>
      <w:r w:rsidRPr="00776315">
        <w:t>Box Hill Hospital;</w:t>
      </w:r>
    </w:p>
    <w:p w:rsidR="000B4A1E" w:rsidRPr="00776315" w:rsidRDefault="000B4A1E" w:rsidP="00517E51">
      <w:pPr>
        <w:pStyle w:val="HighlightBoxBullet"/>
      </w:pPr>
      <w:r w:rsidRPr="00776315">
        <w:t>Bendigo Hospital;</w:t>
      </w:r>
    </w:p>
    <w:p w:rsidR="000B4A1E" w:rsidRPr="00776315" w:rsidRDefault="000B4A1E" w:rsidP="00517E51">
      <w:pPr>
        <w:pStyle w:val="HighlightBoxBullet"/>
      </w:pPr>
      <w:r>
        <w:t>redevelopment of Melbourne Park;</w:t>
      </w:r>
    </w:p>
    <w:p w:rsidR="000B4A1E" w:rsidRPr="00776315" w:rsidRDefault="000B4A1E" w:rsidP="00517E51">
      <w:pPr>
        <w:pStyle w:val="HighlightBoxBullet"/>
      </w:pPr>
      <w:r w:rsidRPr="00776315">
        <w:t>procurement of new trams, metropolitan and regional rolling stock, including supporting infrastructure;</w:t>
      </w:r>
    </w:p>
    <w:p w:rsidR="000B4A1E" w:rsidRPr="00776315" w:rsidRDefault="000B4A1E" w:rsidP="00517E51">
      <w:pPr>
        <w:pStyle w:val="HighlightBoxBullet"/>
      </w:pPr>
      <w:r w:rsidRPr="00776315">
        <w:t>Regional Rail Link;</w:t>
      </w:r>
    </w:p>
    <w:p w:rsidR="000B4A1E" w:rsidRPr="00776315" w:rsidRDefault="000B4A1E" w:rsidP="00517E51">
      <w:pPr>
        <w:pStyle w:val="HighlightBoxBullet"/>
      </w:pPr>
      <w:r>
        <w:t>M</w:t>
      </w:r>
      <w:r w:rsidRPr="00776315">
        <w:t>80 upgrade; and</w:t>
      </w:r>
    </w:p>
    <w:p w:rsidR="000B4A1E" w:rsidRPr="00776315" w:rsidRDefault="000B4A1E" w:rsidP="00517E51">
      <w:pPr>
        <w:pStyle w:val="HighlightBoxBullet"/>
      </w:pPr>
      <w:r w:rsidRPr="00776315">
        <w:t>Victorian Comprehensive Cancer Centre.</w:t>
      </w:r>
    </w:p>
    <w:p w:rsidR="000B4A1E" w:rsidRDefault="000B4A1E">
      <w:pPr>
        <w:spacing w:after="0"/>
      </w:pPr>
      <w:r>
        <w:br w:type="page"/>
      </w:r>
    </w:p>
    <w:p w:rsidR="000B4A1E" w:rsidRPr="005F76BC" w:rsidRDefault="000B4A1E" w:rsidP="00517E51">
      <w:pPr>
        <w:pStyle w:val="HighlightBoxText"/>
        <w:keepNext/>
      </w:pPr>
      <w:r w:rsidRPr="005F76BC">
        <w:lastRenderedPageBreak/>
        <w:t>Major projects started in 2012-13:</w:t>
      </w:r>
    </w:p>
    <w:p w:rsidR="000B4A1E" w:rsidRDefault="000B4A1E" w:rsidP="00517E51">
      <w:pPr>
        <w:pStyle w:val="HighlightBoxBullet"/>
      </w:pPr>
      <w:r w:rsidRPr="000509E9">
        <w:t>Monash Children</w:t>
      </w:r>
      <w:r>
        <w:t>’</w:t>
      </w:r>
      <w:r w:rsidRPr="000509E9">
        <w:t>s Hospit</w:t>
      </w:r>
      <w:r>
        <w:t xml:space="preserve">al; </w:t>
      </w:r>
    </w:p>
    <w:p w:rsidR="000B4A1E" w:rsidRDefault="000B4A1E" w:rsidP="00517E51">
      <w:pPr>
        <w:pStyle w:val="HighlightBoxBullet"/>
      </w:pPr>
      <w:r>
        <w:t xml:space="preserve">Royal Victorian Eye and </w:t>
      </w:r>
      <w:r w:rsidRPr="000509E9">
        <w:t>Ear Hospital</w:t>
      </w:r>
      <w:r>
        <w:t>;</w:t>
      </w:r>
    </w:p>
    <w:p w:rsidR="000B4A1E" w:rsidRPr="00776315" w:rsidRDefault="000B4A1E" w:rsidP="00517E51">
      <w:pPr>
        <w:pStyle w:val="HighlightBoxBullet"/>
      </w:pPr>
      <w:r w:rsidRPr="00776315">
        <w:t>Geelong Hospital upgrade;</w:t>
      </w:r>
    </w:p>
    <w:p w:rsidR="000B4A1E" w:rsidRPr="00776315" w:rsidRDefault="000B4A1E" w:rsidP="00517E51">
      <w:pPr>
        <w:pStyle w:val="HighlightBoxBullet"/>
      </w:pPr>
      <w:r w:rsidRPr="00776315">
        <w:t>increased prison capacity;</w:t>
      </w:r>
    </w:p>
    <w:p w:rsidR="000B4A1E" w:rsidRPr="00776315" w:rsidRDefault="000B4A1E" w:rsidP="00517E51">
      <w:pPr>
        <w:pStyle w:val="HighlightBoxBullet"/>
      </w:pPr>
      <w:r w:rsidRPr="00776315">
        <w:t xml:space="preserve">metro level crossings </w:t>
      </w:r>
      <w:r>
        <w:t xml:space="preserve">removal </w:t>
      </w:r>
      <w:r w:rsidRPr="00776315">
        <w:t xml:space="preserve">(Mitcham and Springvale); </w:t>
      </w:r>
    </w:p>
    <w:p w:rsidR="000B4A1E" w:rsidRPr="00776315" w:rsidRDefault="000B4A1E" w:rsidP="00517E51">
      <w:pPr>
        <w:pStyle w:val="HighlightBoxBullet"/>
      </w:pPr>
      <w:r>
        <w:t xml:space="preserve">Shrine of Remembrance; </w:t>
      </w:r>
      <w:r w:rsidRPr="00776315">
        <w:t xml:space="preserve">and </w:t>
      </w:r>
    </w:p>
    <w:p w:rsidR="000B4A1E" w:rsidRDefault="000B4A1E" w:rsidP="00517E51">
      <w:pPr>
        <w:pStyle w:val="HighlightBoxBullet"/>
      </w:pPr>
      <w:r w:rsidRPr="00776315">
        <w:t>Koo Wee Rup bypass.</w:t>
      </w:r>
    </w:p>
    <w:p w:rsidR="000B4A1E" w:rsidRDefault="000B4A1E" w:rsidP="00517E51"/>
    <w:p w:rsidR="000B4A1E" w:rsidRPr="001F6132" w:rsidRDefault="000B4A1E" w:rsidP="00517E51"/>
    <w:p w:rsidR="000B4A1E" w:rsidRDefault="000B4A1E" w:rsidP="00EC7BE0"/>
    <w:p w:rsidR="000B4A1E" w:rsidRDefault="000B4A1E" w:rsidP="00FE76C7">
      <w:pPr>
        <w:sectPr w:rsidR="000B4A1E" w:rsidSect="00740862">
          <w:footerReference w:type="even" r:id="rId15"/>
          <w:footerReference w:type="default" r:id="rId16"/>
          <w:type w:val="oddPage"/>
          <w:pgSz w:w="11906" w:h="16838" w:code="9"/>
          <w:pgMar w:top="1152" w:right="1152" w:bottom="1152" w:left="1152" w:header="720" w:footer="576" w:gutter="0"/>
          <w:cols w:space="708"/>
          <w:docGrid w:linePitch="360"/>
        </w:sectPr>
      </w:pPr>
    </w:p>
    <w:p w:rsidR="000B4A1E" w:rsidRPr="00552444" w:rsidRDefault="000B4A1E" w:rsidP="00517E51">
      <w:pPr>
        <w:pStyle w:val="ChapterHeading"/>
      </w:pPr>
      <w:bookmarkStart w:id="7" w:name="_Toc367967889"/>
      <w:r w:rsidRPr="00552444">
        <w:lastRenderedPageBreak/>
        <w:t>Chapter 3 – State of Victoria outcome</w:t>
      </w:r>
      <w:bookmarkEnd w:id="7"/>
    </w:p>
    <w:p w:rsidR="000B4A1E" w:rsidRPr="00552444" w:rsidRDefault="000B4A1E" w:rsidP="00517E51">
      <w:pPr>
        <w:pStyle w:val="HighlightBoxBullet"/>
      </w:pPr>
      <w:r w:rsidRPr="00552444">
        <w:t>The State of Victoria net result from transactions for 2012-13 was a deficit of $2.5</w:t>
      </w:r>
      <w:r>
        <w:t> billion</w:t>
      </w:r>
      <w:r w:rsidRPr="00552444">
        <w:t xml:space="preserve"> which reflects an improvement compared to the revised 2012-13 forecast deficit of $2.7</w:t>
      </w:r>
      <w:r>
        <w:t> billion</w:t>
      </w:r>
      <w:r w:rsidRPr="00552444">
        <w:t xml:space="preserve"> published in the </w:t>
      </w:r>
      <w:r w:rsidRPr="00552444">
        <w:rPr>
          <w:i/>
        </w:rPr>
        <w:t>2013</w:t>
      </w:r>
      <w:r w:rsidRPr="00552444">
        <w:rPr>
          <w:i/>
        </w:rPr>
        <w:noBreakHyphen/>
        <w:t>14 Budget</w:t>
      </w:r>
      <w:r w:rsidRPr="00552444">
        <w:t xml:space="preserve">. </w:t>
      </w:r>
    </w:p>
    <w:p w:rsidR="000B4A1E" w:rsidRPr="00552444" w:rsidRDefault="000B4A1E" w:rsidP="00517E51">
      <w:pPr>
        <w:pStyle w:val="HighlightBoxBullet"/>
      </w:pPr>
      <w:r w:rsidRPr="00552444">
        <w:t>The overall net result for the State for 2012-13 was a net surplus of $9.5</w:t>
      </w:r>
      <w:r>
        <w:t> billion</w:t>
      </w:r>
      <w:r w:rsidRPr="00552444">
        <w:t>. This included significant valuation gains on the State’s financial assets and liabilities</w:t>
      </w:r>
      <w:r>
        <w:t xml:space="preserve"> as financial market conditions </w:t>
      </w:r>
      <w:r w:rsidRPr="00552444">
        <w:t xml:space="preserve">continued to recover. </w:t>
      </w:r>
    </w:p>
    <w:p w:rsidR="000B4A1E" w:rsidRPr="00552444" w:rsidRDefault="000B4A1E" w:rsidP="00517E51">
      <w:pPr>
        <w:pStyle w:val="HighlightBoxBullet"/>
      </w:pPr>
      <w:r w:rsidRPr="00552444">
        <w:t>The State’s balance sheet was affected by the commissioning of the desalination plant, which resulted in significant equivalent increases in both non</w:t>
      </w:r>
      <w:r w:rsidRPr="00552444">
        <w:noBreakHyphen/>
        <w:t xml:space="preserve">financial assets and borrowings (finance leases) during the year. The rise in borrowings raised to finance infrastructure investment was largely offset by a decline in the superannuation liability, </w:t>
      </w:r>
      <w:r>
        <w:t>as a result of</w:t>
      </w:r>
      <w:r w:rsidRPr="00552444">
        <w:t xml:space="preserve"> valuation gains associated with rising bond rates and stronger than expected investment returns.</w:t>
      </w:r>
    </w:p>
    <w:p w:rsidR="000B4A1E" w:rsidRPr="00552444" w:rsidRDefault="000B4A1E" w:rsidP="00517E51">
      <w:pPr>
        <w:pStyle w:val="HighlightBoxBullet"/>
      </w:pPr>
      <w:r w:rsidRPr="00552444">
        <w:t xml:space="preserve">The State’s finances remain in a strong and sustainable position. </w:t>
      </w:r>
    </w:p>
    <w:p w:rsidR="000B4A1E" w:rsidRPr="00552444" w:rsidRDefault="000B4A1E" w:rsidP="00517E51"/>
    <w:p w:rsidR="000B4A1E" w:rsidRPr="00552444" w:rsidRDefault="000B4A1E" w:rsidP="00517E51">
      <w:r w:rsidRPr="00552444">
        <w:t>This chapter sets out the financial results for the State of Victoria for 2012</w:t>
      </w:r>
      <w:r w:rsidRPr="00552444">
        <w:noBreakHyphen/>
        <w:t xml:space="preserve">13. </w:t>
      </w:r>
    </w:p>
    <w:p w:rsidR="000B4A1E" w:rsidRPr="00552444" w:rsidRDefault="000B4A1E" w:rsidP="00517E51">
      <w:r w:rsidRPr="00552444">
        <w:t xml:space="preserve">The State comprises the general government sector, which has been discussed in Chapter 2, the public non-financial corporations (PNFC) sector and the public financial corporations (PFC) sector. </w:t>
      </w:r>
    </w:p>
    <w:p w:rsidR="000B4A1E" w:rsidRPr="00552444" w:rsidRDefault="000B4A1E" w:rsidP="00517E51">
      <w:r w:rsidRPr="00552444">
        <w:t>The PNFC and PFC sectors, which are discussed in this chapter, comprise a wide range of entities that generally provide goods and services on a commercial basis, achieving cost recovery through user charges and fees.</w:t>
      </w:r>
    </w:p>
    <w:p w:rsidR="000B4A1E" w:rsidRPr="00552444" w:rsidRDefault="000B4A1E" w:rsidP="00517E51">
      <w:r w:rsidRPr="00552444">
        <w:t>When considering the State of Victoria results, it is important to note the elimination of transactions between the sectors in arriving at the consolidated position. These eliminations mean that the State of Victoria result is not necessarily the sum of results and variations from each individual sector.</w:t>
      </w:r>
    </w:p>
    <w:p w:rsidR="000B4A1E" w:rsidRPr="00552444" w:rsidRDefault="000B4A1E" w:rsidP="00517E51">
      <w:r w:rsidRPr="00552444">
        <w:t>The full financial statements for the State of Victoria are provided in Chapter 4</w:t>
      </w:r>
      <w:r>
        <w:t xml:space="preserve">. </w:t>
      </w:r>
      <w:r w:rsidRPr="00552444">
        <w:t>Sector contributions to the State’s outcome are also shown.</w:t>
      </w:r>
    </w:p>
    <w:p w:rsidR="000B4A1E" w:rsidRPr="00552444" w:rsidRDefault="000B4A1E" w:rsidP="00517E51">
      <w:pPr>
        <w:pStyle w:val="Heading1"/>
      </w:pPr>
      <w:bookmarkStart w:id="8" w:name="_Toc367967890"/>
      <w:r w:rsidRPr="00552444">
        <w:t>Financial performance</w:t>
      </w:r>
      <w:bookmarkEnd w:id="8"/>
    </w:p>
    <w:p w:rsidR="000B4A1E" w:rsidRPr="00552444" w:rsidRDefault="000B4A1E" w:rsidP="00517E51">
      <w:r w:rsidRPr="00552444">
        <w:t>The operating performance for the State of Victoria is summarised in Table 3.1. This table shows that the State recorded a net deficit from transactions of $2.5</w:t>
      </w:r>
      <w:r>
        <w:t> billion</w:t>
      </w:r>
      <w:r w:rsidRPr="00552444">
        <w:t xml:space="preserve"> in 2012</w:t>
      </w:r>
      <w:r w:rsidRPr="00552444">
        <w:noBreakHyphen/>
        <w:t>13. After including other economic flows, the State recorded a net surplus of $9.5</w:t>
      </w:r>
      <w:r>
        <w:t> billion</w:t>
      </w:r>
      <w:r w:rsidRPr="00552444">
        <w:t>, which contrasts to a $16.0</w:t>
      </w:r>
      <w:r>
        <w:t> billion</w:t>
      </w:r>
      <w:r w:rsidRPr="00552444">
        <w:t xml:space="preserve"> deficit recorded in 2011</w:t>
      </w:r>
      <w:r w:rsidRPr="00552444">
        <w:noBreakHyphen/>
        <w:t xml:space="preserve">12. </w:t>
      </w:r>
    </w:p>
    <w:p w:rsidR="000B4A1E" w:rsidRPr="00552444" w:rsidRDefault="000B4A1E">
      <w:pPr>
        <w:spacing w:after="0"/>
        <w:rPr>
          <w:rFonts w:ascii="Calibri" w:hAnsi="Calibri"/>
          <w:b/>
          <w:kern w:val="28"/>
          <w:sz w:val="28"/>
          <w:szCs w:val="22"/>
        </w:rPr>
      </w:pPr>
      <w:r w:rsidRPr="00552444">
        <w:br w:type="page"/>
      </w:r>
    </w:p>
    <w:p w:rsidR="000B4A1E" w:rsidRPr="00552444" w:rsidRDefault="000B4A1E" w:rsidP="00517E51">
      <w:pPr>
        <w:pStyle w:val="Heading2"/>
      </w:pPr>
      <w:r w:rsidRPr="00552444">
        <w:lastRenderedPageBreak/>
        <w:t xml:space="preserve">Operating statement </w:t>
      </w:r>
    </w:p>
    <w:p w:rsidR="000B4A1E" w:rsidRPr="00552444" w:rsidRDefault="000B4A1E" w:rsidP="00517E51">
      <w:pPr>
        <w:pStyle w:val="Tableheading"/>
      </w:pPr>
      <w:r w:rsidRPr="00552444">
        <w:t>Table 3.1:</w:t>
      </w:r>
      <w:r w:rsidRPr="00552444">
        <w:tab/>
        <w:t>2012</w:t>
      </w:r>
      <w:r w:rsidRPr="00552444">
        <w:noBreakHyphen/>
        <w:t>13 summary operating statement – State of Victoria</w:t>
      </w:r>
    </w:p>
    <w:p w:rsidR="000B4A1E" w:rsidRPr="00E0779C" w:rsidRDefault="000B4A1E" w:rsidP="00517E51">
      <w:pPr>
        <w:pStyle w:val="million"/>
        <w:rPr>
          <w:rFonts w:ascii="Times New Roman" w:hAnsi="Times New Roman"/>
          <w:lang w:eastAsia="en-AU"/>
        </w:rPr>
      </w:pPr>
      <w:r w:rsidRPr="00552444">
        <w:t>($</w:t>
      </w:r>
      <w:r>
        <w:t> million</w:t>
      </w:r>
      <w:r w:rsidRPr="00552444">
        <w:t>)</w:t>
      </w:r>
    </w:p>
    <w:tbl>
      <w:tblPr>
        <w:tblW w:w="9648" w:type="dxa"/>
        <w:tblInd w:w="29" w:type="dxa"/>
        <w:tblLayout w:type="fixed"/>
        <w:tblCellMar>
          <w:left w:w="43" w:type="dxa"/>
          <w:right w:w="43" w:type="dxa"/>
        </w:tblCellMar>
        <w:tblLook w:val="0000" w:firstRow="0" w:lastRow="0" w:firstColumn="0" w:lastColumn="0" w:noHBand="0" w:noVBand="0"/>
      </w:tblPr>
      <w:tblGrid>
        <w:gridCol w:w="4244"/>
        <w:gridCol w:w="1110"/>
        <w:gridCol w:w="1110"/>
        <w:gridCol w:w="1110"/>
        <w:gridCol w:w="951"/>
        <w:gridCol w:w="1123"/>
      </w:tblGrid>
      <w:tr w:rsidR="000B4A1E" w:rsidRPr="00E0779C" w:rsidTr="00517E51">
        <w:tc>
          <w:tcPr>
            <w:tcW w:w="4244" w:type="dxa"/>
            <w:tcBorders>
              <w:top w:val="single" w:sz="4" w:space="0" w:color="auto"/>
              <w:left w:val="single" w:sz="4" w:space="0" w:color="auto"/>
              <w:bottom w:val="nil"/>
              <w:right w:val="nil"/>
            </w:tcBorders>
            <w:shd w:val="clear" w:color="auto" w:fill="000000"/>
          </w:tcPr>
          <w:p w:rsidR="000B4A1E" w:rsidRPr="00E0779C" w:rsidRDefault="000B4A1E" w:rsidP="00517E51">
            <w:pPr>
              <w:pStyle w:val="Tabletext"/>
              <w:rPr>
                <w:rFonts w:eastAsiaTheme="minorEastAsia"/>
                <w:lang w:eastAsia="en-AU"/>
              </w:rPr>
            </w:pPr>
          </w:p>
        </w:tc>
        <w:tc>
          <w:tcPr>
            <w:tcW w:w="1110" w:type="dxa"/>
            <w:tcBorders>
              <w:top w:val="single" w:sz="4" w:space="0" w:color="auto"/>
              <w:left w:val="nil"/>
              <w:bottom w:val="nil"/>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2012-13</w:t>
            </w:r>
          </w:p>
        </w:tc>
        <w:tc>
          <w:tcPr>
            <w:tcW w:w="1110" w:type="dxa"/>
            <w:tcBorders>
              <w:top w:val="single" w:sz="4" w:space="0" w:color="auto"/>
              <w:left w:val="nil"/>
              <w:bottom w:val="nil"/>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2012-13</w:t>
            </w:r>
          </w:p>
        </w:tc>
        <w:tc>
          <w:tcPr>
            <w:tcW w:w="1110" w:type="dxa"/>
            <w:tcBorders>
              <w:top w:val="single" w:sz="4" w:space="0" w:color="auto"/>
              <w:left w:val="nil"/>
              <w:bottom w:val="nil"/>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Revised</w:t>
            </w:r>
          </w:p>
        </w:tc>
        <w:tc>
          <w:tcPr>
            <w:tcW w:w="951" w:type="dxa"/>
            <w:tcBorders>
              <w:top w:val="single" w:sz="4" w:space="0" w:color="auto"/>
              <w:left w:val="nil"/>
              <w:bottom w:val="nil"/>
              <w:right w:val="single" w:sz="12" w:space="0" w:color="auto"/>
            </w:tcBorders>
            <w:shd w:val="clear" w:color="auto" w:fill="000000"/>
          </w:tcPr>
          <w:p w:rsidR="000B4A1E" w:rsidRPr="00E0779C" w:rsidRDefault="000B4A1E" w:rsidP="00517E51">
            <w:pPr>
              <w:pStyle w:val="Tabletextheading"/>
              <w:rPr>
                <w:rFonts w:eastAsiaTheme="minorEastAsia" w:cs="Calibri"/>
                <w:szCs w:val="22"/>
                <w:lang w:eastAsia="en-AU"/>
              </w:rPr>
            </w:pPr>
            <w:r w:rsidRPr="00E0779C">
              <w:rPr>
                <w:rFonts w:eastAsiaTheme="minorEastAsia"/>
                <w:lang w:eastAsia="en-AU"/>
              </w:rPr>
              <w:t xml:space="preserve">% </w:t>
            </w:r>
          </w:p>
        </w:tc>
        <w:tc>
          <w:tcPr>
            <w:tcW w:w="1123" w:type="dxa"/>
            <w:tcBorders>
              <w:top w:val="single" w:sz="4" w:space="0" w:color="auto"/>
              <w:left w:val="nil"/>
              <w:bottom w:val="nil"/>
              <w:right w:val="single" w:sz="4" w:space="0" w:color="auto"/>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2011-12</w:t>
            </w:r>
          </w:p>
        </w:tc>
      </w:tr>
      <w:tr w:rsidR="000B4A1E" w:rsidRPr="00E0779C" w:rsidTr="00517E51">
        <w:tc>
          <w:tcPr>
            <w:tcW w:w="4244" w:type="dxa"/>
            <w:tcBorders>
              <w:top w:val="nil"/>
              <w:left w:val="single" w:sz="4" w:space="0" w:color="auto"/>
              <w:bottom w:val="single" w:sz="4" w:space="0" w:color="auto"/>
              <w:right w:val="nil"/>
            </w:tcBorders>
            <w:shd w:val="clear" w:color="auto" w:fill="000000"/>
          </w:tcPr>
          <w:p w:rsidR="000B4A1E" w:rsidRPr="00E0779C" w:rsidRDefault="000B4A1E" w:rsidP="00517E51">
            <w:pPr>
              <w:pStyle w:val="Tabletext"/>
              <w:rPr>
                <w:rFonts w:eastAsiaTheme="minorEastAsia"/>
                <w:lang w:eastAsia="en-AU"/>
              </w:rPr>
            </w:pPr>
          </w:p>
        </w:tc>
        <w:tc>
          <w:tcPr>
            <w:tcW w:w="1110" w:type="dxa"/>
            <w:tcBorders>
              <w:top w:val="nil"/>
              <w:left w:val="nil"/>
              <w:bottom w:val="single" w:sz="4" w:space="0" w:color="auto"/>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Actual</w:t>
            </w:r>
          </w:p>
        </w:tc>
        <w:tc>
          <w:tcPr>
            <w:tcW w:w="1110" w:type="dxa"/>
            <w:tcBorders>
              <w:top w:val="nil"/>
              <w:left w:val="nil"/>
              <w:bottom w:val="single" w:sz="4" w:space="0" w:color="auto"/>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Revised</w:t>
            </w:r>
          </w:p>
        </w:tc>
        <w:tc>
          <w:tcPr>
            <w:tcW w:w="1110" w:type="dxa"/>
            <w:tcBorders>
              <w:top w:val="nil"/>
              <w:left w:val="nil"/>
              <w:bottom w:val="single" w:sz="4" w:space="0" w:color="auto"/>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variance</w:t>
            </w:r>
          </w:p>
        </w:tc>
        <w:tc>
          <w:tcPr>
            <w:tcW w:w="951" w:type="dxa"/>
            <w:tcBorders>
              <w:top w:val="nil"/>
              <w:left w:val="nil"/>
              <w:bottom w:val="single" w:sz="4" w:space="0" w:color="auto"/>
              <w:right w:val="single" w:sz="12" w:space="0" w:color="auto"/>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Change</w:t>
            </w:r>
          </w:p>
        </w:tc>
        <w:tc>
          <w:tcPr>
            <w:tcW w:w="1123" w:type="dxa"/>
            <w:tcBorders>
              <w:top w:val="nil"/>
              <w:left w:val="nil"/>
              <w:bottom w:val="single" w:sz="4" w:space="0" w:color="auto"/>
              <w:right w:val="single" w:sz="4" w:space="0" w:color="auto"/>
            </w:tcBorders>
            <w:shd w:val="clear" w:color="auto" w:fill="000000"/>
          </w:tcPr>
          <w:p w:rsidR="000B4A1E" w:rsidRPr="00E0779C" w:rsidRDefault="000B4A1E" w:rsidP="00517E51">
            <w:pPr>
              <w:pStyle w:val="Tabletextheading"/>
              <w:rPr>
                <w:rFonts w:eastAsiaTheme="minorEastAsia"/>
                <w:iCs/>
                <w:lang w:eastAsia="en-AU"/>
              </w:rPr>
            </w:pPr>
            <w:r w:rsidRPr="00E0779C">
              <w:rPr>
                <w:rFonts w:eastAsiaTheme="minorEastAsia"/>
                <w:iCs/>
                <w:lang w:eastAsia="en-AU"/>
              </w:rPr>
              <w:t>Actual</w:t>
            </w:r>
          </w:p>
        </w:tc>
      </w:tr>
      <w:tr w:rsidR="000B4A1E" w:rsidRPr="00E0779C" w:rsidTr="00517E51">
        <w:tc>
          <w:tcPr>
            <w:tcW w:w="4244" w:type="dxa"/>
            <w:tcBorders>
              <w:top w:val="single" w:sz="4" w:space="0" w:color="auto"/>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Revenue</w:t>
            </w:r>
          </w:p>
        </w:tc>
        <w:tc>
          <w:tcPr>
            <w:tcW w:w="1110"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1110"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1110"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951"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1123"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r>
      <w:tr w:rsidR="000B4A1E" w:rsidRPr="00E0779C" w:rsidTr="00517E51">
        <w:tc>
          <w:tcPr>
            <w:tcW w:w="4244" w:type="dxa"/>
            <w:tcBorders>
              <w:top w:val="nil"/>
              <w:left w:val="nil"/>
              <w:bottom w:val="nil"/>
              <w:right w:val="nil"/>
            </w:tcBorders>
          </w:tcPr>
          <w:p w:rsidR="000B4A1E" w:rsidRPr="00E0779C" w:rsidRDefault="000B4A1E" w:rsidP="00517E51">
            <w:pPr>
              <w:pStyle w:val="Tabletext"/>
            </w:pPr>
            <w:r w:rsidRPr="00E0779C">
              <w:rPr>
                <w:rFonts w:eastAsiaTheme="minorEastAsia"/>
                <w:lang w:eastAsia="en-AU"/>
              </w:rPr>
              <w:t>Taxation revenue</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15 184.7</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15 284.1</w:t>
            </w:r>
          </w:p>
        </w:tc>
        <w:tc>
          <w:tcPr>
            <w:tcW w:w="1110"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( 99.5)</w:t>
            </w:r>
          </w:p>
        </w:tc>
        <w:tc>
          <w:tcPr>
            <w:tcW w:w="951"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( 0.7</w:t>
            </w:r>
            <w:r w:rsidRPr="00E0779C">
              <w:rPr>
                <w:rFonts w:eastAsiaTheme="minorEastAsia" w:cs="Calibri"/>
                <w:szCs w:val="22"/>
                <w:lang w:eastAsia="en-AU"/>
              </w:rPr>
              <w:t>)</w:t>
            </w:r>
          </w:p>
        </w:tc>
        <w:tc>
          <w:tcPr>
            <w:tcW w:w="1123"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14 775.9</w:t>
            </w:r>
          </w:p>
        </w:tc>
      </w:tr>
      <w:tr w:rsidR="000B4A1E" w:rsidRPr="00E0779C" w:rsidTr="00517E51">
        <w:tc>
          <w:tcPr>
            <w:tcW w:w="424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Interest</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970.4</w:t>
            </w:r>
          </w:p>
        </w:tc>
        <w:tc>
          <w:tcPr>
            <w:tcW w:w="1110"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1 012.4</w:t>
            </w:r>
          </w:p>
        </w:tc>
        <w:tc>
          <w:tcPr>
            <w:tcW w:w="1110"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( 42.0)</w:t>
            </w:r>
          </w:p>
        </w:tc>
        <w:tc>
          <w:tcPr>
            <w:tcW w:w="951"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( 4.1)</w:t>
            </w:r>
          </w:p>
        </w:tc>
        <w:tc>
          <w:tcPr>
            <w:tcW w:w="1123"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1 215.8</w:t>
            </w:r>
          </w:p>
        </w:tc>
      </w:tr>
      <w:tr w:rsidR="000B4A1E" w:rsidRPr="00E0779C" w:rsidTr="00517E51">
        <w:tc>
          <w:tcPr>
            <w:tcW w:w="424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Dividends, income tax and rate equivalent revenue</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610.9</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494.7</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116.3</w:t>
            </w:r>
          </w:p>
        </w:tc>
        <w:tc>
          <w:tcPr>
            <w:tcW w:w="951"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23.5</w:t>
            </w:r>
          </w:p>
        </w:tc>
        <w:tc>
          <w:tcPr>
            <w:tcW w:w="1123"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571.1</w:t>
            </w:r>
          </w:p>
        </w:tc>
      </w:tr>
      <w:tr w:rsidR="000B4A1E" w:rsidRPr="00E0779C" w:rsidTr="00517E51">
        <w:tc>
          <w:tcPr>
            <w:tcW w:w="424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Sales of goods and services</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12 896.9</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12 969.3</w:t>
            </w:r>
          </w:p>
        </w:tc>
        <w:tc>
          <w:tcPr>
            <w:tcW w:w="1110"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( 72.3)</w:t>
            </w:r>
          </w:p>
        </w:tc>
        <w:tc>
          <w:tcPr>
            <w:tcW w:w="951"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( 0.6</w:t>
            </w:r>
            <w:r w:rsidRPr="00E0779C">
              <w:rPr>
                <w:rFonts w:eastAsiaTheme="minorEastAsia" w:cs="Calibri"/>
                <w:szCs w:val="22"/>
                <w:lang w:eastAsia="en-AU"/>
              </w:rPr>
              <w:t>)</w:t>
            </w:r>
          </w:p>
        </w:tc>
        <w:tc>
          <w:tcPr>
            <w:tcW w:w="1123"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12 609.6</w:t>
            </w:r>
          </w:p>
        </w:tc>
      </w:tr>
      <w:tr w:rsidR="000B4A1E" w:rsidRPr="00E0779C" w:rsidTr="00517E51">
        <w:tc>
          <w:tcPr>
            <w:tcW w:w="424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Grants</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21 790.4</w:t>
            </w:r>
          </w:p>
        </w:tc>
        <w:tc>
          <w:tcPr>
            <w:tcW w:w="1110"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21 601.5</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188.9</w:t>
            </w:r>
          </w:p>
        </w:tc>
        <w:tc>
          <w:tcPr>
            <w:tcW w:w="951"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0.9</w:t>
            </w:r>
          </w:p>
        </w:tc>
        <w:tc>
          <w:tcPr>
            <w:tcW w:w="1123"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22 476.7</w:t>
            </w:r>
          </w:p>
        </w:tc>
      </w:tr>
      <w:tr w:rsidR="000B4A1E" w:rsidRPr="00E0779C" w:rsidTr="00517E51">
        <w:tc>
          <w:tcPr>
            <w:tcW w:w="424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Other revenue</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2 749.6</w:t>
            </w:r>
          </w:p>
        </w:tc>
        <w:tc>
          <w:tcPr>
            <w:tcW w:w="1110"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2 372.5</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377.0</w:t>
            </w:r>
          </w:p>
        </w:tc>
        <w:tc>
          <w:tcPr>
            <w:tcW w:w="951"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15.9</w:t>
            </w:r>
          </w:p>
        </w:tc>
        <w:tc>
          <w:tcPr>
            <w:tcW w:w="1123"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2 808.6</w:t>
            </w:r>
          </w:p>
        </w:tc>
      </w:tr>
      <w:tr w:rsidR="000B4A1E" w:rsidRPr="00E0779C" w:rsidTr="00517E51">
        <w:tc>
          <w:tcPr>
            <w:tcW w:w="4244" w:type="dxa"/>
            <w:tcBorders>
              <w:top w:val="single" w:sz="6" w:space="0" w:color="auto"/>
              <w:left w:val="nil"/>
              <w:bottom w:val="nil"/>
              <w:right w:val="nil"/>
            </w:tcBorders>
          </w:tcPr>
          <w:p w:rsidR="000B4A1E" w:rsidRPr="00E0779C" w:rsidRDefault="000B4A1E" w:rsidP="00517E51">
            <w:pPr>
              <w:pStyle w:val="Tabletext"/>
              <w:rPr>
                <w:rFonts w:eastAsiaTheme="minorEastAsia"/>
                <w:b/>
                <w:bCs/>
                <w:lang w:eastAsia="en-AU"/>
              </w:rPr>
            </w:pPr>
            <w:r w:rsidRPr="00E0779C">
              <w:rPr>
                <w:rFonts w:eastAsiaTheme="minorEastAsia"/>
                <w:b/>
                <w:bCs/>
                <w:lang w:eastAsia="en-AU"/>
              </w:rPr>
              <w:t>Total revenue</w:t>
            </w:r>
          </w:p>
        </w:tc>
        <w:tc>
          <w:tcPr>
            <w:tcW w:w="1110" w:type="dxa"/>
            <w:tcBorders>
              <w:top w:val="single" w:sz="6" w:space="0" w:color="auto"/>
              <w:left w:val="nil"/>
              <w:bottom w:val="nil"/>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54 203.0</w:t>
            </w:r>
          </w:p>
        </w:tc>
        <w:tc>
          <w:tcPr>
            <w:tcW w:w="1110" w:type="dxa"/>
            <w:tcBorders>
              <w:top w:val="single" w:sz="6" w:space="0" w:color="auto"/>
              <w:left w:val="nil"/>
              <w:bottom w:val="nil"/>
              <w:right w:val="nil"/>
            </w:tcBorders>
          </w:tcPr>
          <w:p w:rsidR="000B4A1E" w:rsidRPr="00E0779C" w:rsidRDefault="000B4A1E" w:rsidP="00517E51">
            <w:pPr>
              <w:pStyle w:val="TableofFigures"/>
              <w:rPr>
                <w:rFonts w:eastAsiaTheme="minorEastAsia" w:cs="Calibri"/>
                <w:b/>
                <w:bCs/>
                <w:szCs w:val="22"/>
                <w:lang w:eastAsia="en-AU"/>
              </w:rPr>
            </w:pPr>
            <w:r w:rsidRPr="00E0779C">
              <w:rPr>
                <w:rFonts w:eastAsiaTheme="minorEastAsia"/>
                <w:b/>
                <w:bCs/>
                <w:lang w:eastAsia="en-AU"/>
              </w:rPr>
              <w:t>53 734.6</w:t>
            </w:r>
          </w:p>
        </w:tc>
        <w:tc>
          <w:tcPr>
            <w:tcW w:w="1110" w:type="dxa"/>
            <w:tcBorders>
              <w:top w:val="single" w:sz="6" w:space="0" w:color="auto"/>
              <w:left w:val="nil"/>
              <w:bottom w:val="nil"/>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 xml:space="preserve"> 468.4</w:t>
            </w:r>
          </w:p>
        </w:tc>
        <w:tc>
          <w:tcPr>
            <w:tcW w:w="951" w:type="dxa"/>
            <w:tcBorders>
              <w:top w:val="single" w:sz="6" w:space="0" w:color="auto"/>
              <w:left w:val="nil"/>
              <w:bottom w:val="nil"/>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 xml:space="preserve"> 0.9</w:t>
            </w:r>
          </w:p>
        </w:tc>
        <w:tc>
          <w:tcPr>
            <w:tcW w:w="1123" w:type="dxa"/>
            <w:tcBorders>
              <w:top w:val="single" w:sz="6" w:space="0" w:color="auto"/>
              <w:left w:val="nil"/>
              <w:bottom w:val="nil"/>
              <w:right w:val="nil"/>
            </w:tcBorders>
          </w:tcPr>
          <w:p w:rsidR="000B4A1E" w:rsidRPr="00E0779C" w:rsidRDefault="000B4A1E" w:rsidP="00517E51">
            <w:pPr>
              <w:pStyle w:val="TableofFigures"/>
              <w:rPr>
                <w:rFonts w:eastAsiaTheme="minorEastAsia" w:cs="Calibri"/>
                <w:b/>
                <w:bCs/>
                <w:szCs w:val="22"/>
                <w:lang w:eastAsia="en-AU"/>
              </w:rPr>
            </w:pPr>
            <w:r w:rsidRPr="00E0779C">
              <w:rPr>
                <w:rFonts w:eastAsiaTheme="minorEastAsia"/>
                <w:b/>
                <w:bCs/>
                <w:lang w:eastAsia="en-AU"/>
              </w:rPr>
              <w:t>54 457.8</w:t>
            </w:r>
          </w:p>
        </w:tc>
      </w:tr>
      <w:tr w:rsidR="000B4A1E" w:rsidRPr="00E0779C" w:rsidTr="00517E51">
        <w:tc>
          <w:tcPr>
            <w:tcW w:w="424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Expenses</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c>
          <w:tcPr>
            <w:tcW w:w="951"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r>
      <w:tr w:rsidR="000B4A1E" w:rsidRPr="00E0779C" w:rsidTr="00517E51">
        <w:tc>
          <w:tcPr>
            <w:tcW w:w="424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Employee expenses</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18 794.9</w:t>
            </w:r>
          </w:p>
        </w:tc>
        <w:tc>
          <w:tcPr>
            <w:tcW w:w="1110"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18 531.2</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263.7</w:t>
            </w:r>
          </w:p>
        </w:tc>
        <w:tc>
          <w:tcPr>
            <w:tcW w:w="951"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1.4</w:t>
            </w:r>
          </w:p>
        </w:tc>
        <w:tc>
          <w:tcPr>
            <w:tcW w:w="1123"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18 057.2</w:t>
            </w:r>
          </w:p>
        </w:tc>
      </w:tr>
      <w:tr w:rsidR="000B4A1E" w:rsidRPr="00E0779C" w:rsidTr="00517E51">
        <w:tc>
          <w:tcPr>
            <w:tcW w:w="4244" w:type="dxa"/>
            <w:tcBorders>
              <w:top w:val="nil"/>
              <w:left w:val="nil"/>
              <w:bottom w:val="nil"/>
              <w:right w:val="nil"/>
            </w:tcBorders>
          </w:tcPr>
          <w:p w:rsidR="000B4A1E" w:rsidRPr="00E0779C" w:rsidRDefault="000B4A1E" w:rsidP="00517E51">
            <w:pPr>
              <w:pStyle w:val="Tabletext"/>
              <w:rPr>
                <w:rFonts w:eastAsiaTheme="minorEastAsia"/>
                <w:vertAlign w:val="superscript"/>
                <w:lang w:eastAsia="en-AU"/>
              </w:rPr>
            </w:pPr>
            <w:r w:rsidRPr="00E0779C">
              <w:rPr>
                <w:rFonts w:eastAsiaTheme="minorEastAsia"/>
                <w:lang w:eastAsia="en-AU"/>
              </w:rPr>
              <w:t>Superannuation</w:t>
            </w:r>
            <w:r w:rsidRPr="00E0779C">
              <w:rPr>
                <w:rFonts w:eastAsiaTheme="minorEastAsia"/>
                <w:vertAlign w:val="superscript"/>
                <w:lang w:eastAsia="en-AU"/>
              </w:rPr>
              <w:t xml:space="preserve"> (a)</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2 483.9</w:t>
            </w:r>
          </w:p>
        </w:tc>
        <w:tc>
          <w:tcPr>
            <w:tcW w:w="1110"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2 478.4</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5.5</w:t>
            </w:r>
          </w:p>
        </w:tc>
        <w:tc>
          <w:tcPr>
            <w:tcW w:w="951"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0.2</w:t>
            </w:r>
          </w:p>
        </w:tc>
        <w:tc>
          <w:tcPr>
            <w:tcW w:w="1123"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2 769.7</w:t>
            </w:r>
          </w:p>
        </w:tc>
      </w:tr>
      <w:tr w:rsidR="000B4A1E" w:rsidRPr="00E0779C" w:rsidTr="00517E51">
        <w:tc>
          <w:tcPr>
            <w:tcW w:w="424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Depreciation</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4 131.6</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4 193.1</w:t>
            </w:r>
          </w:p>
        </w:tc>
        <w:tc>
          <w:tcPr>
            <w:tcW w:w="1110"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( 61.4)</w:t>
            </w:r>
          </w:p>
        </w:tc>
        <w:tc>
          <w:tcPr>
            <w:tcW w:w="951"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( 1.5</w:t>
            </w:r>
            <w:r w:rsidRPr="00E0779C">
              <w:rPr>
                <w:rFonts w:eastAsiaTheme="minorEastAsia" w:cs="Calibri"/>
                <w:szCs w:val="22"/>
                <w:lang w:eastAsia="en-AU"/>
              </w:rPr>
              <w:t>)</w:t>
            </w:r>
          </w:p>
        </w:tc>
        <w:tc>
          <w:tcPr>
            <w:tcW w:w="1123"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3 880.4</w:t>
            </w:r>
          </w:p>
        </w:tc>
      </w:tr>
      <w:tr w:rsidR="000B4A1E" w:rsidRPr="00E0779C" w:rsidTr="00517E51">
        <w:tc>
          <w:tcPr>
            <w:tcW w:w="424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Interest expense</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2 538.6</w:t>
            </w:r>
          </w:p>
        </w:tc>
        <w:tc>
          <w:tcPr>
            <w:tcW w:w="1110"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2 537.0</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1.6</w:t>
            </w:r>
          </w:p>
        </w:tc>
        <w:tc>
          <w:tcPr>
            <w:tcW w:w="951"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0.1</w:t>
            </w:r>
          </w:p>
        </w:tc>
        <w:tc>
          <w:tcPr>
            <w:tcW w:w="1123"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2 129.6</w:t>
            </w:r>
          </w:p>
        </w:tc>
      </w:tr>
      <w:tr w:rsidR="000B4A1E" w:rsidRPr="00E0779C" w:rsidTr="00517E51">
        <w:tc>
          <w:tcPr>
            <w:tcW w:w="424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Other operating expenses</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23 342.6</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23 606.0</w:t>
            </w:r>
          </w:p>
        </w:tc>
        <w:tc>
          <w:tcPr>
            <w:tcW w:w="1110"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( 263.4)</w:t>
            </w:r>
          </w:p>
        </w:tc>
        <w:tc>
          <w:tcPr>
            <w:tcW w:w="951"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( 1.1</w:t>
            </w:r>
            <w:r w:rsidRPr="00E0779C">
              <w:rPr>
                <w:rFonts w:eastAsiaTheme="minorEastAsia" w:cs="Calibri"/>
                <w:szCs w:val="22"/>
                <w:lang w:eastAsia="en-AU"/>
              </w:rPr>
              <w:t>)</w:t>
            </w:r>
          </w:p>
        </w:tc>
        <w:tc>
          <w:tcPr>
            <w:tcW w:w="1123"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23 233.0</w:t>
            </w:r>
          </w:p>
        </w:tc>
      </w:tr>
      <w:tr w:rsidR="000B4A1E" w:rsidRPr="00E0779C" w:rsidTr="00517E51">
        <w:tc>
          <w:tcPr>
            <w:tcW w:w="424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Grants and other transfers</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5 398.3</w:t>
            </w:r>
          </w:p>
        </w:tc>
        <w:tc>
          <w:tcPr>
            <w:tcW w:w="1110"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5 124.2</w:t>
            </w:r>
          </w:p>
        </w:tc>
        <w:tc>
          <w:tcPr>
            <w:tcW w:w="111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274.1</w:t>
            </w:r>
          </w:p>
        </w:tc>
        <w:tc>
          <w:tcPr>
            <w:tcW w:w="951"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5.3</w:t>
            </w:r>
          </w:p>
        </w:tc>
        <w:tc>
          <w:tcPr>
            <w:tcW w:w="1123" w:type="dxa"/>
            <w:tcBorders>
              <w:top w:val="nil"/>
              <w:left w:val="nil"/>
              <w:bottom w:val="nil"/>
              <w:right w:val="nil"/>
            </w:tcBorders>
          </w:tcPr>
          <w:p w:rsidR="000B4A1E" w:rsidRPr="00E0779C" w:rsidRDefault="000B4A1E" w:rsidP="00517E51">
            <w:pPr>
              <w:pStyle w:val="TableofFigures"/>
              <w:rPr>
                <w:rFonts w:eastAsiaTheme="minorEastAsia" w:cs="Calibri"/>
                <w:szCs w:val="22"/>
                <w:lang w:eastAsia="en-AU"/>
              </w:rPr>
            </w:pPr>
            <w:r w:rsidRPr="00E0779C">
              <w:rPr>
                <w:rFonts w:eastAsiaTheme="minorEastAsia"/>
                <w:lang w:eastAsia="en-AU"/>
              </w:rPr>
              <w:t>5 635.4</w:t>
            </w:r>
          </w:p>
        </w:tc>
      </w:tr>
      <w:tr w:rsidR="000B4A1E" w:rsidRPr="00E0779C" w:rsidTr="00517E51">
        <w:tc>
          <w:tcPr>
            <w:tcW w:w="4244" w:type="dxa"/>
            <w:tcBorders>
              <w:top w:val="single" w:sz="6" w:space="0" w:color="auto"/>
              <w:left w:val="nil"/>
              <w:bottom w:val="single" w:sz="6" w:space="0" w:color="auto"/>
              <w:right w:val="nil"/>
            </w:tcBorders>
          </w:tcPr>
          <w:p w:rsidR="000B4A1E" w:rsidRPr="00E0779C" w:rsidRDefault="000B4A1E" w:rsidP="00517E51">
            <w:pPr>
              <w:pStyle w:val="Tabletext"/>
              <w:rPr>
                <w:rFonts w:eastAsiaTheme="minorEastAsia"/>
                <w:b/>
                <w:bCs/>
                <w:lang w:eastAsia="en-AU"/>
              </w:rPr>
            </w:pPr>
            <w:r w:rsidRPr="00E0779C">
              <w:rPr>
                <w:rFonts w:eastAsiaTheme="minorEastAsia"/>
                <w:b/>
                <w:bCs/>
                <w:lang w:eastAsia="en-AU"/>
              </w:rPr>
              <w:t>Total expenses</w:t>
            </w:r>
          </w:p>
        </w:tc>
        <w:tc>
          <w:tcPr>
            <w:tcW w:w="1110"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56 689.8</w:t>
            </w:r>
          </w:p>
        </w:tc>
        <w:tc>
          <w:tcPr>
            <w:tcW w:w="1110"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cs="Calibri"/>
                <w:b/>
                <w:bCs/>
                <w:szCs w:val="22"/>
                <w:lang w:eastAsia="en-AU"/>
              </w:rPr>
            </w:pPr>
            <w:r w:rsidRPr="00E0779C">
              <w:rPr>
                <w:rFonts w:eastAsiaTheme="minorEastAsia"/>
                <w:b/>
                <w:bCs/>
                <w:lang w:eastAsia="en-AU"/>
              </w:rPr>
              <w:t>56 469.8</w:t>
            </w:r>
          </w:p>
        </w:tc>
        <w:tc>
          <w:tcPr>
            <w:tcW w:w="1110"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 xml:space="preserve"> 220.0</w:t>
            </w:r>
          </w:p>
        </w:tc>
        <w:tc>
          <w:tcPr>
            <w:tcW w:w="951"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 xml:space="preserve"> 0.4</w:t>
            </w:r>
          </w:p>
        </w:tc>
        <w:tc>
          <w:tcPr>
            <w:tcW w:w="1123"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cs="Calibri"/>
                <w:b/>
                <w:bCs/>
                <w:szCs w:val="22"/>
                <w:lang w:eastAsia="en-AU"/>
              </w:rPr>
            </w:pPr>
            <w:r w:rsidRPr="00E0779C">
              <w:rPr>
                <w:rFonts w:eastAsiaTheme="minorEastAsia"/>
                <w:b/>
                <w:bCs/>
                <w:lang w:eastAsia="en-AU"/>
              </w:rPr>
              <w:t>55 705.3</w:t>
            </w:r>
          </w:p>
        </w:tc>
      </w:tr>
      <w:tr w:rsidR="000B4A1E" w:rsidRPr="00E0779C" w:rsidTr="00517E51">
        <w:tc>
          <w:tcPr>
            <w:tcW w:w="4244" w:type="dxa"/>
            <w:tcBorders>
              <w:top w:val="nil"/>
              <w:left w:val="nil"/>
              <w:bottom w:val="single" w:sz="12" w:space="0" w:color="auto"/>
              <w:right w:val="nil"/>
            </w:tcBorders>
          </w:tcPr>
          <w:p w:rsidR="000B4A1E" w:rsidRPr="00E0779C" w:rsidRDefault="000B4A1E" w:rsidP="00517E51">
            <w:pPr>
              <w:pStyle w:val="Tabletext"/>
              <w:rPr>
                <w:rFonts w:eastAsiaTheme="minorEastAsia"/>
                <w:b/>
                <w:bCs/>
                <w:lang w:eastAsia="en-AU"/>
              </w:rPr>
            </w:pPr>
            <w:r w:rsidRPr="00E0779C">
              <w:rPr>
                <w:rFonts w:eastAsiaTheme="minorEastAsia"/>
                <w:b/>
                <w:bCs/>
                <w:lang w:eastAsia="en-AU"/>
              </w:rPr>
              <w:t>Net result from transactions – net operating balance</w:t>
            </w:r>
          </w:p>
        </w:tc>
        <w:tc>
          <w:tcPr>
            <w:tcW w:w="1110" w:type="dxa"/>
            <w:tcBorders>
              <w:top w:val="nil"/>
              <w:left w:val="nil"/>
              <w:bottom w:val="single" w:sz="12" w:space="0" w:color="auto"/>
              <w:right w:val="nil"/>
            </w:tcBorders>
          </w:tcPr>
          <w:p w:rsidR="000B4A1E" w:rsidRPr="00E0779C" w:rsidRDefault="000B4A1E" w:rsidP="00517E51">
            <w:pPr>
              <w:pStyle w:val="TableofFigures"/>
              <w:rPr>
                <w:rFonts w:eastAsiaTheme="minorEastAsia" w:cs="Calibri"/>
                <w:b/>
                <w:bCs/>
                <w:color w:val="000000"/>
                <w:szCs w:val="22"/>
                <w:lang w:eastAsia="en-AU"/>
              </w:rPr>
            </w:pPr>
            <w:r w:rsidRPr="00E0779C">
              <w:rPr>
                <w:rFonts w:eastAsiaTheme="minorEastAsia"/>
                <w:b/>
                <w:bCs/>
                <w:lang w:eastAsia="en-AU"/>
              </w:rPr>
              <w:t>(2 486.8)</w:t>
            </w:r>
          </w:p>
        </w:tc>
        <w:tc>
          <w:tcPr>
            <w:tcW w:w="1110" w:type="dxa"/>
            <w:tcBorders>
              <w:top w:val="nil"/>
              <w:left w:val="nil"/>
              <w:bottom w:val="single" w:sz="12" w:space="0" w:color="auto"/>
              <w:right w:val="nil"/>
            </w:tcBorders>
          </w:tcPr>
          <w:p w:rsidR="000B4A1E" w:rsidRPr="00E0779C" w:rsidRDefault="000B4A1E" w:rsidP="00517E51">
            <w:pPr>
              <w:pStyle w:val="TableofFigures"/>
              <w:rPr>
                <w:rFonts w:eastAsiaTheme="minorEastAsia" w:cs="Calibri"/>
                <w:b/>
                <w:bCs/>
                <w:szCs w:val="22"/>
                <w:lang w:eastAsia="en-AU"/>
              </w:rPr>
            </w:pPr>
            <w:r w:rsidRPr="00E0779C">
              <w:rPr>
                <w:rFonts w:eastAsiaTheme="minorEastAsia"/>
                <w:b/>
                <w:bCs/>
                <w:lang w:eastAsia="en-AU"/>
              </w:rPr>
              <w:t xml:space="preserve">(2 </w:t>
            </w:r>
            <w:r w:rsidRPr="00E0779C">
              <w:rPr>
                <w:rFonts w:eastAsiaTheme="minorEastAsia" w:cs="Calibri"/>
                <w:b/>
                <w:bCs/>
                <w:szCs w:val="22"/>
                <w:lang w:eastAsia="en-AU"/>
              </w:rPr>
              <w:t>735.2)</w:t>
            </w:r>
          </w:p>
        </w:tc>
        <w:tc>
          <w:tcPr>
            <w:tcW w:w="1110" w:type="dxa"/>
            <w:tcBorders>
              <w:top w:val="nil"/>
              <w:left w:val="nil"/>
              <w:bottom w:val="single" w:sz="12" w:space="0" w:color="auto"/>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 xml:space="preserve"> 248.4</w:t>
            </w:r>
          </w:p>
        </w:tc>
        <w:tc>
          <w:tcPr>
            <w:tcW w:w="951" w:type="dxa"/>
            <w:tcBorders>
              <w:top w:val="nil"/>
              <w:left w:val="nil"/>
              <w:bottom w:val="single" w:sz="12" w:space="0" w:color="auto"/>
              <w:right w:val="nil"/>
            </w:tcBorders>
          </w:tcPr>
          <w:p w:rsidR="000B4A1E" w:rsidRPr="00E0779C" w:rsidRDefault="000B4A1E" w:rsidP="00517E51">
            <w:pPr>
              <w:pStyle w:val="TableofFigures"/>
              <w:rPr>
                <w:rFonts w:eastAsiaTheme="minorEastAsia" w:cs="Calibri"/>
                <w:b/>
                <w:bCs/>
                <w:szCs w:val="22"/>
                <w:lang w:eastAsia="en-AU"/>
              </w:rPr>
            </w:pPr>
            <w:r w:rsidRPr="00E0779C">
              <w:rPr>
                <w:rFonts w:eastAsiaTheme="minorEastAsia"/>
                <w:b/>
                <w:bCs/>
                <w:lang w:eastAsia="en-AU"/>
              </w:rPr>
              <w:t>( 9.1</w:t>
            </w:r>
            <w:r w:rsidRPr="00E0779C">
              <w:rPr>
                <w:rFonts w:eastAsiaTheme="minorEastAsia" w:cs="Calibri"/>
                <w:b/>
                <w:bCs/>
                <w:szCs w:val="22"/>
                <w:lang w:eastAsia="en-AU"/>
              </w:rPr>
              <w:t>)</w:t>
            </w:r>
          </w:p>
        </w:tc>
        <w:tc>
          <w:tcPr>
            <w:tcW w:w="1123" w:type="dxa"/>
            <w:tcBorders>
              <w:top w:val="nil"/>
              <w:left w:val="nil"/>
              <w:bottom w:val="single" w:sz="12" w:space="0" w:color="auto"/>
              <w:right w:val="nil"/>
            </w:tcBorders>
          </w:tcPr>
          <w:p w:rsidR="000B4A1E" w:rsidRPr="00E0779C" w:rsidRDefault="000B4A1E" w:rsidP="00517E51">
            <w:pPr>
              <w:pStyle w:val="TableofFigures"/>
              <w:rPr>
                <w:rFonts w:eastAsiaTheme="minorEastAsia" w:cs="Calibri"/>
                <w:b/>
                <w:bCs/>
                <w:color w:val="000000"/>
                <w:szCs w:val="22"/>
                <w:lang w:eastAsia="en-AU"/>
              </w:rPr>
            </w:pPr>
            <w:r w:rsidRPr="00E0779C">
              <w:rPr>
                <w:rFonts w:eastAsiaTheme="minorEastAsia"/>
                <w:b/>
                <w:bCs/>
                <w:lang w:eastAsia="en-AU"/>
              </w:rPr>
              <w:t>(1 247.6)</w:t>
            </w:r>
          </w:p>
        </w:tc>
      </w:tr>
      <w:tr w:rsidR="000B4A1E" w:rsidRPr="00E0779C" w:rsidTr="00517E51">
        <w:tc>
          <w:tcPr>
            <w:tcW w:w="4244" w:type="dxa"/>
            <w:tcBorders>
              <w:top w:val="single" w:sz="6" w:space="0" w:color="auto"/>
              <w:left w:val="nil"/>
              <w:bottom w:val="single" w:sz="6" w:space="0" w:color="auto"/>
              <w:right w:val="nil"/>
            </w:tcBorders>
          </w:tcPr>
          <w:p w:rsidR="000B4A1E" w:rsidRPr="00E0779C" w:rsidRDefault="000B4A1E" w:rsidP="00517E51">
            <w:pPr>
              <w:pStyle w:val="Tabletext"/>
              <w:rPr>
                <w:rFonts w:eastAsiaTheme="minorEastAsia"/>
                <w:b/>
                <w:bCs/>
                <w:lang w:eastAsia="en-AU"/>
              </w:rPr>
            </w:pPr>
            <w:r w:rsidRPr="00E0779C">
              <w:rPr>
                <w:rFonts w:eastAsiaTheme="minorEastAsia"/>
                <w:b/>
                <w:bCs/>
                <w:lang w:eastAsia="en-AU"/>
              </w:rPr>
              <w:t>Total other economic flows included in net result</w:t>
            </w:r>
          </w:p>
        </w:tc>
        <w:tc>
          <w:tcPr>
            <w:tcW w:w="1110"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12 012.6</w:t>
            </w:r>
          </w:p>
        </w:tc>
        <w:tc>
          <w:tcPr>
            <w:tcW w:w="1110"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6 899.1</w:t>
            </w:r>
          </w:p>
        </w:tc>
        <w:tc>
          <w:tcPr>
            <w:tcW w:w="1110"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5 113.4</w:t>
            </w:r>
          </w:p>
        </w:tc>
        <w:tc>
          <w:tcPr>
            <w:tcW w:w="951"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 xml:space="preserve"> 74.1</w:t>
            </w:r>
          </w:p>
        </w:tc>
        <w:tc>
          <w:tcPr>
            <w:tcW w:w="1123"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cs="Calibri"/>
                <w:b/>
                <w:bCs/>
                <w:szCs w:val="22"/>
                <w:lang w:eastAsia="en-AU"/>
              </w:rPr>
            </w:pPr>
            <w:r w:rsidRPr="00E0779C">
              <w:rPr>
                <w:rFonts w:eastAsiaTheme="minorEastAsia"/>
                <w:b/>
                <w:bCs/>
                <w:lang w:eastAsia="en-AU"/>
              </w:rPr>
              <w:t xml:space="preserve">(14 </w:t>
            </w:r>
            <w:r w:rsidRPr="00E0779C">
              <w:rPr>
                <w:rFonts w:eastAsiaTheme="minorEastAsia" w:cs="Calibri"/>
                <w:b/>
                <w:bCs/>
                <w:szCs w:val="22"/>
                <w:lang w:eastAsia="en-AU"/>
              </w:rPr>
              <w:t>714.3)</w:t>
            </w:r>
          </w:p>
        </w:tc>
      </w:tr>
      <w:tr w:rsidR="000B4A1E" w:rsidRPr="00E0779C" w:rsidTr="00517E51">
        <w:tc>
          <w:tcPr>
            <w:tcW w:w="4244" w:type="dxa"/>
            <w:tcBorders>
              <w:top w:val="nil"/>
              <w:left w:val="nil"/>
              <w:bottom w:val="single" w:sz="12" w:space="0" w:color="auto"/>
              <w:right w:val="nil"/>
            </w:tcBorders>
          </w:tcPr>
          <w:p w:rsidR="000B4A1E" w:rsidRPr="00E0779C" w:rsidRDefault="000B4A1E" w:rsidP="00517E51">
            <w:pPr>
              <w:pStyle w:val="Tabletext"/>
              <w:rPr>
                <w:rFonts w:eastAsiaTheme="minorEastAsia"/>
                <w:b/>
                <w:bCs/>
                <w:lang w:eastAsia="en-AU"/>
              </w:rPr>
            </w:pPr>
            <w:r w:rsidRPr="00E0779C">
              <w:rPr>
                <w:rFonts w:eastAsiaTheme="minorEastAsia"/>
                <w:b/>
                <w:bCs/>
                <w:lang w:eastAsia="en-AU"/>
              </w:rPr>
              <w:t>Net result</w:t>
            </w:r>
          </w:p>
        </w:tc>
        <w:tc>
          <w:tcPr>
            <w:tcW w:w="1110" w:type="dxa"/>
            <w:tcBorders>
              <w:top w:val="nil"/>
              <w:left w:val="nil"/>
              <w:bottom w:val="single" w:sz="12" w:space="0" w:color="auto"/>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9 525.8</w:t>
            </w:r>
          </w:p>
        </w:tc>
        <w:tc>
          <w:tcPr>
            <w:tcW w:w="1110" w:type="dxa"/>
            <w:tcBorders>
              <w:top w:val="nil"/>
              <w:left w:val="nil"/>
              <w:bottom w:val="single" w:sz="12" w:space="0" w:color="auto"/>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4 163.9</w:t>
            </w:r>
          </w:p>
        </w:tc>
        <w:tc>
          <w:tcPr>
            <w:tcW w:w="1110" w:type="dxa"/>
            <w:tcBorders>
              <w:top w:val="nil"/>
              <w:left w:val="nil"/>
              <w:bottom w:val="single" w:sz="12" w:space="0" w:color="auto"/>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5 361.8</w:t>
            </w:r>
          </w:p>
        </w:tc>
        <w:tc>
          <w:tcPr>
            <w:tcW w:w="951" w:type="dxa"/>
            <w:tcBorders>
              <w:top w:val="nil"/>
              <w:left w:val="nil"/>
              <w:bottom w:val="single" w:sz="12" w:space="0" w:color="auto"/>
              <w:right w:val="nil"/>
            </w:tcBorders>
          </w:tcPr>
          <w:p w:rsidR="000B4A1E" w:rsidRPr="00E0779C" w:rsidRDefault="000B4A1E" w:rsidP="00517E51">
            <w:pPr>
              <w:pStyle w:val="TableofFigures"/>
              <w:rPr>
                <w:rFonts w:eastAsiaTheme="minorEastAsia"/>
                <w:b/>
                <w:bCs/>
                <w:lang w:eastAsia="en-AU"/>
              </w:rPr>
            </w:pPr>
            <w:r w:rsidRPr="00E0779C">
              <w:rPr>
                <w:rFonts w:eastAsiaTheme="minorEastAsia"/>
                <w:b/>
                <w:bCs/>
                <w:lang w:eastAsia="en-AU"/>
              </w:rPr>
              <w:t xml:space="preserve"> 128.8</w:t>
            </w:r>
          </w:p>
        </w:tc>
        <w:tc>
          <w:tcPr>
            <w:tcW w:w="1123" w:type="dxa"/>
            <w:tcBorders>
              <w:top w:val="nil"/>
              <w:left w:val="nil"/>
              <w:bottom w:val="single" w:sz="12" w:space="0" w:color="auto"/>
              <w:right w:val="nil"/>
            </w:tcBorders>
          </w:tcPr>
          <w:p w:rsidR="000B4A1E" w:rsidRPr="00E0779C" w:rsidRDefault="000B4A1E" w:rsidP="00517E51">
            <w:pPr>
              <w:pStyle w:val="TableofFigures"/>
              <w:rPr>
                <w:rFonts w:eastAsiaTheme="minorEastAsia" w:cs="Calibri"/>
                <w:b/>
                <w:bCs/>
                <w:szCs w:val="22"/>
                <w:lang w:eastAsia="en-AU"/>
              </w:rPr>
            </w:pPr>
            <w:r w:rsidRPr="00E0779C">
              <w:rPr>
                <w:rFonts w:eastAsiaTheme="minorEastAsia"/>
                <w:b/>
                <w:bCs/>
                <w:lang w:eastAsia="en-AU"/>
              </w:rPr>
              <w:t xml:space="preserve">(15 </w:t>
            </w:r>
            <w:r w:rsidRPr="00E0779C">
              <w:rPr>
                <w:rFonts w:eastAsiaTheme="minorEastAsia" w:cs="Calibri"/>
                <w:b/>
                <w:bCs/>
                <w:szCs w:val="22"/>
                <w:lang w:eastAsia="en-AU"/>
              </w:rPr>
              <w:t>961.9)</w:t>
            </w:r>
          </w:p>
        </w:tc>
      </w:tr>
    </w:tbl>
    <w:p w:rsidR="000B4A1E" w:rsidRPr="00552444" w:rsidRDefault="000B4A1E" w:rsidP="00517E51">
      <w:pPr>
        <w:pStyle w:val="Notes"/>
      </w:pPr>
      <w:r w:rsidRPr="00552444">
        <w:t>Note:</w:t>
      </w:r>
    </w:p>
    <w:p w:rsidR="000B4A1E" w:rsidRPr="00552444" w:rsidRDefault="000B4A1E" w:rsidP="00517E51">
      <w:pPr>
        <w:pStyle w:val="Notes"/>
      </w:pPr>
      <w:r w:rsidRPr="00552444">
        <w:t>(a)</w:t>
      </w:r>
      <w:r w:rsidRPr="00552444">
        <w:tab/>
        <w:t>Includes superannuation interest expense and other superannuation expenses.</w:t>
      </w:r>
    </w:p>
    <w:p w:rsidR="000B4A1E" w:rsidRPr="00552444" w:rsidRDefault="000B4A1E" w:rsidP="00517E51">
      <w:pPr>
        <w:pStyle w:val="Heading3"/>
      </w:pPr>
      <w:r w:rsidRPr="00552444">
        <w:t>Revenue</w:t>
      </w:r>
    </w:p>
    <w:p w:rsidR="000B4A1E" w:rsidRPr="00552444" w:rsidRDefault="000B4A1E" w:rsidP="00517E51">
      <w:r w:rsidRPr="00552444">
        <w:t>Total revenue of the State declined 0.5</w:t>
      </w:r>
      <w:r>
        <w:t> per cent</w:t>
      </w:r>
      <w:r w:rsidRPr="00552444">
        <w:t xml:space="preserve"> in 2012-13 to $54.2</w:t>
      </w:r>
      <w:r>
        <w:t> billion</w:t>
      </w:r>
      <w:r w:rsidRPr="00552444">
        <w:t xml:space="preserve"> and was 0.9</w:t>
      </w:r>
      <w:r>
        <w:t> per cent</w:t>
      </w:r>
      <w:r w:rsidRPr="00552444">
        <w:t xml:space="preserve"> higher than the revised budget estimate. This was primarily due to movements in the general government sector revenue discussed in Chapter 2.</w:t>
      </w:r>
    </w:p>
    <w:p w:rsidR="000B4A1E" w:rsidRPr="00552444" w:rsidRDefault="000B4A1E" w:rsidP="00517E51">
      <w:r w:rsidRPr="00552444">
        <w:t>As shown in Chart 3.1, the general government sector accounts for 89.7</w:t>
      </w:r>
      <w:r>
        <w:t> per cent</w:t>
      </w:r>
      <w:r w:rsidRPr="00552444">
        <w:t xml:space="preserve"> of total state revenue. </w:t>
      </w:r>
    </w:p>
    <w:p w:rsidR="000B4A1E" w:rsidRPr="00552444" w:rsidRDefault="000B4A1E" w:rsidP="00517E51">
      <w:pPr>
        <w:pStyle w:val="Tableheading"/>
      </w:pPr>
      <w:r w:rsidRPr="00552444">
        <w:lastRenderedPageBreak/>
        <w:t>Chart 3.1:</w:t>
      </w:r>
      <w:r w:rsidRPr="00552444">
        <w:tab/>
        <w:t>Revenue contributions by sector</w:t>
      </w:r>
    </w:p>
    <w:p w:rsidR="000B4A1E" w:rsidRPr="00552444" w:rsidRDefault="001A6345" w:rsidP="00517E51">
      <w:pPr>
        <w:pStyle w:val="Chartpara"/>
      </w:pPr>
      <w:r>
        <w:pict>
          <v:shape id="_x0000_i1026" type="#_x0000_t75" style="width:481.45pt;height:279.4pt">
            <v:imagedata r:id="rId17" o:title=""/>
          </v:shape>
        </w:pict>
      </w:r>
    </w:p>
    <w:p w:rsidR="000B4A1E" w:rsidRPr="00552444" w:rsidRDefault="000B4A1E" w:rsidP="00517E51">
      <w:pPr>
        <w:pStyle w:val="Source"/>
      </w:pPr>
      <w:r w:rsidRPr="00552444">
        <w:t>Source: Department of Treasury and Finance</w:t>
      </w:r>
    </w:p>
    <w:p w:rsidR="000B4A1E" w:rsidRPr="00552444" w:rsidRDefault="000B4A1E" w:rsidP="00517E51">
      <w:pPr>
        <w:pStyle w:val="Notes"/>
      </w:pPr>
      <w:r w:rsidRPr="00552444">
        <w:t xml:space="preserve">Note: </w:t>
      </w:r>
    </w:p>
    <w:p w:rsidR="000B4A1E" w:rsidRPr="00552444" w:rsidRDefault="000B4A1E" w:rsidP="00517E51">
      <w:pPr>
        <w:pStyle w:val="Notes"/>
      </w:pPr>
      <w:r w:rsidRPr="00552444">
        <w:t>(a)</w:t>
      </w:r>
      <w:r w:rsidRPr="00552444">
        <w:tab/>
      </w:r>
      <w:r>
        <w:t>State of Victoria</w:t>
      </w:r>
      <w:r w:rsidRPr="00552444">
        <w:t xml:space="preserve"> will not equal the sum of the general government, PN</w:t>
      </w:r>
      <w:r>
        <w:t>FC and PFC sectors due to inter</w:t>
      </w:r>
      <w:r w:rsidRPr="00552444">
        <w:t>sector eliminations.</w:t>
      </w:r>
    </w:p>
    <w:p w:rsidR="000B4A1E" w:rsidRPr="00552444" w:rsidRDefault="000B4A1E" w:rsidP="00517E51"/>
    <w:p w:rsidR="000B4A1E" w:rsidRPr="00552444" w:rsidRDefault="000B4A1E" w:rsidP="00517E51">
      <w:pPr>
        <w:rPr>
          <w:highlight w:val="yellow"/>
        </w:rPr>
      </w:pPr>
      <w:r w:rsidRPr="00552444">
        <w:t xml:space="preserve">In the PNFC sector, total revenue </w:t>
      </w:r>
      <w:r>
        <w:t>increased by</w:t>
      </w:r>
      <w:r w:rsidRPr="00552444">
        <w:t xml:space="preserve"> $34</w:t>
      </w:r>
      <w:r>
        <w:t> million</w:t>
      </w:r>
      <w:r w:rsidRPr="00552444">
        <w:t xml:space="preserve"> (or 0.4</w:t>
      </w:r>
      <w:r>
        <w:t> per cent</w:t>
      </w:r>
      <w:r w:rsidRPr="00552444">
        <w:t xml:space="preserve">) </w:t>
      </w:r>
      <w:r>
        <w:t>from</w:t>
      </w:r>
      <w:r w:rsidRPr="00552444">
        <w:t xml:space="preserve"> 2011</w:t>
      </w:r>
      <w:r w:rsidRPr="00552444">
        <w:noBreakHyphen/>
        <w:t xml:space="preserve">12 and </w:t>
      </w:r>
      <w:r>
        <w:t xml:space="preserve">was </w:t>
      </w:r>
      <w:r w:rsidRPr="00552444">
        <w:t>$68</w:t>
      </w:r>
      <w:r>
        <w:t> million</w:t>
      </w:r>
      <w:r w:rsidRPr="00552444">
        <w:t xml:space="preserve"> (0.8</w:t>
      </w:r>
      <w:r>
        <w:t> per cent</w:t>
      </w:r>
      <w:r w:rsidRPr="00552444">
        <w:t>) higher than the revised 2012</w:t>
      </w:r>
      <w:r w:rsidRPr="00552444">
        <w:noBreakHyphen/>
        <w:t>13 estimate. The improvement compared to the revised estimate largely reflects higher than forecast investment income</w:t>
      </w:r>
      <w:r>
        <w:t xml:space="preserve">. </w:t>
      </w:r>
      <w:r w:rsidRPr="00552444">
        <w:t xml:space="preserve"> </w:t>
      </w:r>
      <w:r w:rsidRPr="00552444">
        <w:rPr>
          <w:highlight w:val="yellow"/>
        </w:rPr>
        <w:t xml:space="preserve">  </w:t>
      </w:r>
    </w:p>
    <w:p w:rsidR="000B4A1E" w:rsidRPr="00552444" w:rsidRDefault="000B4A1E" w:rsidP="00517E51">
      <w:r w:rsidRPr="00552444">
        <w:t>In the PFC sector, the largest revenue item is income from sales of goods and services of $3.7</w:t>
      </w:r>
      <w:r>
        <w:t> billion</w:t>
      </w:r>
      <w:r w:rsidRPr="00552444">
        <w:t>, which was 2.6</w:t>
      </w:r>
      <w:r>
        <w:t> per cent</w:t>
      </w:r>
      <w:r w:rsidRPr="00552444">
        <w:t xml:space="preserve"> higher than 2011</w:t>
      </w:r>
      <w:r w:rsidRPr="00552444">
        <w:noBreakHyphen/>
        <w:t>12 and 0.7</w:t>
      </w:r>
      <w:r>
        <w:t> per cent</w:t>
      </w:r>
      <w:r w:rsidRPr="00552444">
        <w:t xml:space="preserve"> higher than the revised 2012</w:t>
      </w:r>
      <w:r w:rsidRPr="00552444">
        <w:noBreakHyphen/>
        <w:t>13 estimate. The variance to 2011</w:t>
      </w:r>
      <w:r w:rsidRPr="00552444">
        <w:noBreakHyphen/>
        <w:t>12 mainly reflects increased premium revenue from the Transport Accident Commission (TAC) due to higher numbers of registered motor vehicles and inflation, which influence TAC premium revenue. This was partly offset by lower sales income from the Victorian WorkCover Authority (VWA) due to a 3</w:t>
      </w:r>
      <w:r>
        <w:t> per cent</w:t>
      </w:r>
      <w:r w:rsidRPr="00552444">
        <w:t xml:space="preserve"> reduction in the premium rate for the 2012-13 year.</w:t>
      </w:r>
    </w:p>
    <w:p w:rsidR="000B4A1E" w:rsidRPr="00552444" w:rsidRDefault="000B4A1E" w:rsidP="00517E51">
      <w:pPr>
        <w:pStyle w:val="Heading3"/>
      </w:pPr>
      <w:r w:rsidRPr="00552444">
        <w:t>Expenses</w:t>
      </w:r>
    </w:p>
    <w:p w:rsidR="000B4A1E" w:rsidRPr="00552444" w:rsidRDefault="000B4A1E" w:rsidP="00517E51">
      <w:r w:rsidRPr="00552444">
        <w:t xml:space="preserve">At the </w:t>
      </w:r>
      <w:r>
        <w:t>consolidated</w:t>
      </w:r>
      <w:r w:rsidRPr="00552444">
        <w:t xml:space="preserve"> State level, expenses increased by 1.8</w:t>
      </w:r>
      <w:r>
        <w:t> per cent</w:t>
      </w:r>
      <w:r w:rsidRPr="00552444">
        <w:t xml:space="preserve"> to $56.7</w:t>
      </w:r>
      <w:r>
        <w:t> billion</w:t>
      </w:r>
      <w:r w:rsidRPr="00552444">
        <w:t>, and were 0.4</w:t>
      </w:r>
      <w:r>
        <w:t> per cent</w:t>
      </w:r>
      <w:r w:rsidRPr="00552444">
        <w:t xml:space="preserve"> higher than the revised budget estimate. </w:t>
      </w:r>
    </w:p>
    <w:p w:rsidR="000B4A1E" w:rsidRPr="00552444" w:rsidRDefault="000B4A1E" w:rsidP="00517E51">
      <w:r w:rsidRPr="00552444">
        <w:t>In the PNFC sector, total expenses increased 3.3</w:t>
      </w:r>
      <w:r>
        <w:t> per cent</w:t>
      </w:r>
      <w:r w:rsidRPr="00552444">
        <w:t xml:space="preserve"> from 2011-12 but were 2.6</w:t>
      </w:r>
      <w:r>
        <w:t> per cent</w:t>
      </w:r>
      <w:r w:rsidRPr="00552444">
        <w:t xml:space="preserve"> lower than the revised budget estimate. The increase since 2011-12 reflects: </w:t>
      </w:r>
    </w:p>
    <w:p w:rsidR="000B4A1E" w:rsidRPr="00552444" w:rsidRDefault="000B4A1E" w:rsidP="00517E51">
      <w:pPr>
        <w:pStyle w:val="BulletText"/>
      </w:pPr>
      <w:r w:rsidRPr="00552444">
        <w:t>a significant increase in depreciation and amortisation costs associated with the large capital expenditure program, and the commissioning of the desalination plant in December 2012; and</w:t>
      </w:r>
    </w:p>
    <w:p w:rsidR="000B4A1E" w:rsidRPr="00552444" w:rsidRDefault="000B4A1E" w:rsidP="00517E51">
      <w:pPr>
        <w:pStyle w:val="BulletText"/>
      </w:pPr>
      <w:r w:rsidRPr="00552444">
        <w:t xml:space="preserve">an increase in interest expenses reflecting the rise in borrowings to finance infrastructure, and interest on the finance lease for the desalination plant. </w:t>
      </w:r>
    </w:p>
    <w:p w:rsidR="000B4A1E" w:rsidRPr="00552444" w:rsidRDefault="000B4A1E" w:rsidP="00517E51">
      <w:r w:rsidRPr="00552444">
        <w:t>Within the PFC sector, total expenses increased $94</w:t>
      </w:r>
      <w:r>
        <w:t> million</w:t>
      </w:r>
      <w:r w:rsidRPr="00552444">
        <w:t xml:space="preserve"> from 2011-12 and were $138</w:t>
      </w:r>
      <w:r>
        <w:t> million</w:t>
      </w:r>
      <w:r w:rsidRPr="00552444">
        <w:t xml:space="preserve"> higher than the revised budget estimate</w:t>
      </w:r>
      <w:r>
        <w:t xml:space="preserve">. </w:t>
      </w:r>
      <w:r w:rsidRPr="00552444">
        <w:t>The increase from 2011-12 was mainly due to a rise in interest costs on the higher borrowing levels maintained by Treasury Corporation of Victoria, and increases in insurance claims costs of the VWA</w:t>
      </w:r>
      <w:r>
        <w:t xml:space="preserve">. </w:t>
      </w:r>
      <w:r w:rsidRPr="00552444">
        <w:t xml:space="preserve"> </w:t>
      </w:r>
    </w:p>
    <w:p w:rsidR="000B4A1E" w:rsidRPr="00552444" w:rsidRDefault="000B4A1E" w:rsidP="00517E51">
      <w:pPr>
        <w:pStyle w:val="Heading3"/>
      </w:pPr>
      <w:r w:rsidRPr="00552444">
        <w:lastRenderedPageBreak/>
        <w:t>Net result from transactions</w:t>
      </w:r>
    </w:p>
    <w:p w:rsidR="000B4A1E" w:rsidRPr="00552444" w:rsidRDefault="000B4A1E" w:rsidP="00517E51">
      <w:r w:rsidRPr="00552444">
        <w:t xml:space="preserve">As shown in chart 3.2, the PNFC and PFC sectors both contributed deficits towards the </w:t>
      </w:r>
      <w:r>
        <w:t>State’s</w:t>
      </w:r>
      <w:r w:rsidRPr="00552444">
        <w:t xml:space="preserve"> net result from transactions</w:t>
      </w:r>
      <w:r>
        <w:t xml:space="preserve">. </w:t>
      </w:r>
      <w:r w:rsidRPr="00552444">
        <w:t xml:space="preserve">It is important to note that due to inter-sector transactions, the </w:t>
      </w:r>
      <w:r>
        <w:t>State</w:t>
      </w:r>
      <w:r w:rsidRPr="00552444">
        <w:t xml:space="preserve"> result is not equal to the sum of the aggregated results of the general government, PNFC and PFC sectors. </w:t>
      </w:r>
    </w:p>
    <w:p w:rsidR="000B4A1E" w:rsidRPr="00552444" w:rsidRDefault="000B4A1E" w:rsidP="00517E51">
      <w:r w:rsidRPr="00552444">
        <w:t>The PNFC sector incurred a deficit from transactions of $298</w:t>
      </w:r>
      <w:r>
        <w:t> million</w:t>
      </w:r>
      <w:r w:rsidRPr="00552444">
        <w:t xml:space="preserve"> during 2012</w:t>
      </w:r>
      <w:r w:rsidRPr="00552444">
        <w:noBreakHyphen/>
        <w:t>13 compared to a deficit in 2011</w:t>
      </w:r>
      <w:r w:rsidRPr="00552444">
        <w:noBreakHyphen/>
        <w:t>12 of $60</w:t>
      </w:r>
      <w:r>
        <w:t> million</w:t>
      </w:r>
      <w:r w:rsidRPr="00552444">
        <w:t>. The 2012-13 result was stronger than the revised budget estimate deficit of $598</w:t>
      </w:r>
      <w:r>
        <w:t> million</w:t>
      </w:r>
      <w:r w:rsidRPr="00552444">
        <w:t>, largely due to higher than expected investment income, and a stronger performance from the water sector.</w:t>
      </w:r>
    </w:p>
    <w:p w:rsidR="000B4A1E" w:rsidRPr="00552444" w:rsidRDefault="000B4A1E" w:rsidP="00517E51">
      <w:r w:rsidRPr="00552444">
        <w:t>The PFC sector recorded a net deficit from transactions of $979</w:t>
      </w:r>
      <w:r>
        <w:t> million</w:t>
      </w:r>
      <w:r w:rsidRPr="00552444">
        <w:t xml:space="preserve"> during 2012</w:t>
      </w:r>
      <w:r w:rsidRPr="00552444">
        <w:noBreakHyphen/>
        <w:t xml:space="preserve">13. This </w:t>
      </w:r>
      <w:r>
        <w:t xml:space="preserve">is higher than the 2011-12 net deficit of $940 million and also the revised budget estimate of $860 million. </w:t>
      </w:r>
      <w:r w:rsidRPr="00552444">
        <w:t>These movements are small compared to the</w:t>
      </w:r>
      <w:r>
        <w:t xml:space="preserve"> total revenue of the sector, and the change relative to the revised budget estimate largely reflect higher insurance claims costs.</w:t>
      </w:r>
    </w:p>
    <w:p w:rsidR="000B4A1E" w:rsidRPr="00552444" w:rsidRDefault="000B4A1E" w:rsidP="00517E51">
      <w:pPr>
        <w:pStyle w:val="Tableheading"/>
      </w:pPr>
      <w:r w:rsidRPr="00552444">
        <w:t>Chart 3.2:</w:t>
      </w:r>
      <w:r w:rsidRPr="00552444">
        <w:tab/>
        <w:t>Net result from transactions by sector</w:t>
      </w:r>
    </w:p>
    <w:p w:rsidR="000B4A1E" w:rsidRPr="00552444" w:rsidRDefault="001A6345" w:rsidP="00517E51">
      <w:pPr>
        <w:pStyle w:val="Chartpara"/>
      </w:pPr>
      <w:r>
        <w:pict>
          <v:shape id="_x0000_i1027" type="#_x0000_t75" style="width:480.35pt;height:279.4pt">
            <v:imagedata r:id="rId18" o:title=""/>
          </v:shape>
        </w:pict>
      </w:r>
    </w:p>
    <w:p w:rsidR="000B4A1E" w:rsidRPr="00552444" w:rsidRDefault="000B4A1E" w:rsidP="00517E51">
      <w:pPr>
        <w:pStyle w:val="Source"/>
      </w:pPr>
      <w:r w:rsidRPr="00552444">
        <w:t>Source: Department of Treasury and Finance</w:t>
      </w:r>
    </w:p>
    <w:p w:rsidR="000B4A1E" w:rsidRPr="00552444" w:rsidRDefault="000B4A1E" w:rsidP="00517E51">
      <w:pPr>
        <w:pStyle w:val="Notes"/>
      </w:pPr>
      <w:r w:rsidRPr="00552444">
        <w:t xml:space="preserve">Note: </w:t>
      </w:r>
    </w:p>
    <w:p w:rsidR="000B4A1E" w:rsidRPr="00552444" w:rsidRDefault="000B4A1E" w:rsidP="00517E51">
      <w:pPr>
        <w:pStyle w:val="Notes"/>
      </w:pPr>
      <w:r w:rsidRPr="00552444">
        <w:t>(a)</w:t>
      </w:r>
      <w:r w:rsidRPr="00552444">
        <w:tab/>
        <w:t>The State of Victoria result will not equal the sum of the general government, PN</w:t>
      </w:r>
      <w:r>
        <w:t>FC and PFC sectors due to inter</w:t>
      </w:r>
      <w:r w:rsidRPr="00552444">
        <w:t>sector eliminations.</w:t>
      </w:r>
    </w:p>
    <w:p w:rsidR="000B4A1E" w:rsidRPr="00552444" w:rsidRDefault="000B4A1E" w:rsidP="00517E51">
      <w:pPr>
        <w:pStyle w:val="Notes"/>
      </w:pPr>
    </w:p>
    <w:p w:rsidR="000B4A1E" w:rsidRPr="00552444" w:rsidRDefault="000B4A1E" w:rsidP="00517E51">
      <w:pPr>
        <w:spacing w:after="0"/>
      </w:pPr>
      <w:r w:rsidRPr="00552444">
        <w:t>While the PFC sector recorded a net deficit from transactions of $979</w:t>
      </w:r>
      <w:r>
        <w:t> million</w:t>
      </w:r>
      <w:r w:rsidRPr="00552444">
        <w:t xml:space="preserve"> in 2012-13, it should be noted that this excludes gains in the value of the investment portfolios of the insurance agencies which will be used to fund their claims liabilities over time</w:t>
      </w:r>
      <w:r>
        <w:t xml:space="preserve">. </w:t>
      </w:r>
      <w:r w:rsidRPr="00552444">
        <w:t>These gains amounted to $2.3</w:t>
      </w:r>
      <w:r>
        <w:t> billion</w:t>
      </w:r>
      <w:r w:rsidRPr="00552444">
        <w:t xml:space="preserve"> in 2012-13 and are classified as other economic flows</w:t>
      </w:r>
      <w:r>
        <w:t xml:space="preserve">. </w:t>
      </w:r>
      <w:r w:rsidRPr="00552444">
        <w:t>Other economic flows are added to the net result from transactions to obtain the net result</w:t>
      </w:r>
      <w:r>
        <w:t xml:space="preserve">. </w:t>
      </w:r>
    </w:p>
    <w:p w:rsidR="000B4A1E" w:rsidRDefault="000B4A1E">
      <w:pPr>
        <w:spacing w:after="0"/>
        <w:rPr>
          <w:rFonts w:ascii="Calibri" w:hAnsi="Calibri"/>
          <w:b/>
          <w:i/>
          <w:sz w:val="26"/>
          <w:szCs w:val="22"/>
        </w:rPr>
      </w:pPr>
      <w:r>
        <w:br w:type="page"/>
      </w:r>
    </w:p>
    <w:p w:rsidR="000B4A1E" w:rsidRPr="00552444" w:rsidRDefault="000B4A1E" w:rsidP="00517E51">
      <w:pPr>
        <w:pStyle w:val="Heading3"/>
      </w:pPr>
      <w:r w:rsidRPr="00552444">
        <w:lastRenderedPageBreak/>
        <w:t>Net result</w:t>
      </w:r>
    </w:p>
    <w:p w:rsidR="000B4A1E" w:rsidRPr="00552444" w:rsidRDefault="000B4A1E" w:rsidP="00517E51">
      <w:r w:rsidRPr="00552444">
        <w:t>At the consolidated State level, the net result was a surplus of $9.5</w:t>
      </w:r>
      <w:r>
        <w:t> billion</w:t>
      </w:r>
      <w:r w:rsidRPr="00552444">
        <w:t>. This contrasts to the $16.0</w:t>
      </w:r>
      <w:r>
        <w:t> billion</w:t>
      </w:r>
      <w:r w:rsidRPr="00552444">
        <w:t xml:space="preserve"> deficit recorded in 2011</w:t>
      </w:r>
      <w:r w:rsidRPr="00552444">
        <w:noBreakHyphen/>
        <w:t>12, and the revised budget estimate of a surplus of $4.2</w:t>
      </w:r>
      <w:r>
        <w:t> billion</w:t>
      </w:r>
      <w:r w:rsidRPr="00552444">
        <w:t xml:space="preserve">. </w:t>
      </w:r>
    </w:p>
    <w:p w:rsidR="000B4A1E" w:rsidRPr="00552444" w:rsidRDefault="000B4A1E" w:rsidP="00517E51">
      <w:r w:rsidRPr="00552444">
        <w:t>The difference between the net result and net result from transactions comprises ‘other economic flows’, and includes the impact of valuation movements and actuarial assumptions on the State’s financial assets and liabilities. Other economic flows contributed $12.0</w:t>
      </w:r>
      <w:r>
        <w:t> billion</w:t>
      </w:r>
      <w:r w:rsidRPr="00552444">
        <w:t xml:space="preserve"> towards the </w:t>
      </w:r>
      <w:r>
        <w:t xml:space="preserve">2012-13 net result of a </w:t>
      </w:r>
      <w:r w:rsidRPr="00552444">
        <w:t>$9.5</w:t>
      </w:r>
      <w:r>
        <w:t> billion</w:t>
      </w:r>
      <w:r w:rsidRPr="00552444">
        <w:t xml:space="preserve"> </w:t>
      </w:r>
      <w:r>
        <w:t>surplus</w:t>
      </w:r>
      <w:r w:rsidRPr="00552444">
        <w:t>, and were driven by:</w:t>
      </w:r>
    </w:p>
    <w:p w:rsidR="000B4A1E" w:rsidRPr="00552444" w:rsidRDefault="000B4A1E" w:rsidP="00517E51">
      <w:pPr>
        <w:pStyle w:val="BulletText"/>
      </w:pPr>
      <w:r>
        <w:t xml:space="preserve">an </w:t>
      </w:r>
      <w:r w:rsidRPr="00552444">
        <w:t>actuarial gain of $7.</w:t>
      </w:r>
      <w:r>
        <w:t>4 billion</w:t>
      </w:r>
      <w:r w:rsidRPr="00552444">
        <w:t xml:space="preserve"> on defined benefit superannuation plans. Of th</w:t>
      </w:r>
      <w:r>
        <w:t>is</w:t>
      </w:r>
      <w:r w:rsidRPr="00552444">
        <w:t xml:space="preserve"> gain, approximately $6.1</w:t>
      </w:r>
      <w:r>
        <w:t> billion</w:t>
      </w:r>
      <w:r w:rsidRPr="00552444">
        <w:t xml:space="preserve"> was due to favourable movements in bond rates and other assumptions with the remainder attributable to better than expected investment returns on superannuation assets. Actuarial gains and losses associated with bond rate movements arise solely due to the application of Australian Accounting Standards and do not affect the amount of cash required to fund the superannuation liability; and</w:t>
      </w:r>
    </w:p>
    <w:p w:rsidR="000B4A1E" w:rsidRPr="00552444" w:rsidRDefault="000B4A1E" w:rsidP="00517E51">
      <w:pPr>
        <w:pStyle w:val="BulletText"/>
      </w:pPr>
      <w:r w:rsidRPr="00552444">
        <w:t>gains of $4.2</w:t>
      </w:r>
      <w:r>
        <w:t> billion</w:t>
      </w:r>
      <w:r w:rsidRPr="00552444">
        <w:t xml:space="preserve"> in the PFC sector, as a recovery in financial markets led to improved investment returns and also valuation gains on financial liabilities.</w:t>
      </w:r>
    </w:p>
    <w:p w:rsidR="000B4A1E" w:rsidRPr="00552444" w:rsidRDefault="000B4A1E" w:rsidP="00517E51">
      <w:pPr>
        <w:pStyle w:val="Heading1"/>
      </w:pPr>
      <w:bookmarkStart w:id="9" w:name="_Toc367967891"/>
      <w:r w:rsidRPr="00552444">
        <w:t>Financial position</w:t>
      </w:r>
      <w:bookmarkEnd w:id="9"/>
    </w:p>
    <w:p w:rsidR="000B4A1E" w:rsidRPr="00552444" w:rsidRDefault="000B4A1E" w:rsidP="00517E51">
      <w:r w:rsidRPr="00552444">
        <w:t>As shown in table 3.2, the State’s net assets increased by $10.8</w:t>
      </w:r>
      <w:r>
        <w:t> billion</w:t>
      </w:r>
      <w:r w:rsidRPr="00552444">
        <w:t xml:space="preserve"> to $123.</w:t>
      </w:r>
      <w:r>
        <w:t>6 billion</w:t>
      </w:r>
      <w:r w:rsidRPr="00552444">
        <w:t xml:space="preserve"> at 30 June 2013. This was $6.</w:t>
      </w:r>
      <w:r>
        <w:t>1 billion</w:t>
      </w:r>
      <w:r w:rsidRPr="00552444">
        <w:t xml:space="preserve"> higher than </w:t>
      </w:r>
      <w:r>
        <w:t>revised 2012-13 estimate</w:t>
      </w:r>
      <w:r w:rsidRPr="00552444">
        <w:t xml:space="preserve"> in the </w:t>
      </w:r>
      <w:r w:rsidRPr="00552444">
        <w:rPr>
          <w:i/>
        </w:rPr>
        <w:t>2013</w:t>
      </w:r>
      <w:r w:rsidRPr="00552444">
        <w:rPr>
          <w:i/>
        </w:rPr>
        <w:noBreakHyphen/>
        <w:t>14 Budget</w:t>
      </w:r>
      <w:r w:rsidRPr="00552444">
        <w:t>. Approximately $50</w:t>
      </w:r>
      <w:r>
        <w:t> billion</w:t>
      </w:r>
      <w:r w:rsidRPr="00552444">
        <w:t xml:space="preserve"> of the State’s net assets are held within the general government sector, and were discussed in Chapter 2.</w:t>
      </w:r>
    </w:p>
    <w:p w:rsidR="000B4A1E" w:rsidRPr="00552444" w:rsidRDefault="000B4A1E" w:rsidP="00517E51">
      <w:pPr>
        <w:pStyle w:val="Tableheading"/>
      </w:pPr>
      <w:r w:rsidRPr="00552444">
        <w:t>Table 3.2:</w:t>
      </w:r>
      <w:r w:rsidRPr="00552444">
        <w:tab/>
        <w:t>Summary balance sheet – State of Victoria</w:t>
      </w:r>
    </w:p>
    <w:p w:rsidR="000B4A1E" w:rsidRPr="00E0779C" w:rsidRDefault="000B4A1E" w:rsidP="00517E51">
      <w:pPr>
        <w:pStyle w:val="million"/>
        <w:rPr>
          <w:rFonts w:ascii="Times New Roman" w:hAnsi="Times New Roman"/>
          <w:lang w:eastAsia="en-AU"/>
        </w:rPr>
      </w:pPr>
      <w:r w:rsidRPr="00552444">
        <w:t>($</w:t>
      </w:r>
      <w:r>
        <w:t> million</w:t>
      </w:r>
      <w:r w:rsidRPr="00552444">
        <w:t>)</w:t>
      </w:r>
    </w:p>
    <w:tbl>
      <w:tblPr>
        <w:tblW w:w="9648" w:type="dxa"/>
        <w:tblInd w:w="29" w:type="dxa"/>
        <w:tblLayout w:type="fixed"/>
        <w:tblCellMar>
          <w:left w:w="43" w:type="dxa"/>
          <w:right w:w="43" w:type="dxa"/>
        </w:tblCellMar>
        <w:tblLook w:val="0000" w:firstRow="0" w:lastRow="0" w:firstColumn="0" w:lastColumn="0" w:noHBand="0" w:noVBand="0"/>
      </w:tblPr>
      <w:tblGrid>
        <w:gridCol w:w="3884"/>
        <w:gridCol w:w="1140"/>
        <w:gridCol w:w="1140"/>
        <w:gridCol w:w="1140"/>
        <w:gridCol w:w="1221"/>
        <w:gridCol w:w="1123"/>
      </w:tblGrid>
      <w:tr w:rsidR="000B4A1E" w:rsidRPr="00E0779C" w:rsidTr="00517E51">
        <w:tc>
          <w:tcPr>
            <w:tcW w:w="3884" w:type="dxa"/>
            <w:tcBorders>
              <w:top w:val="single" w:sz="4" w:space="0" w:color="auto"/>
              <w:left w:val="single" w:sz="4" w:space="0" w:color="auto"/>
              <w:bottom w:val="nil"/>
              <w:right w:val="nil"/>
            </w:tcBorders>
            <w:shd w:val="clear" w:color="auto" w:fill="000000"/>
          </w:tcPr>
          <w:p w:rsidR="000B4A1E" w:rsidRPr="00E0779C" w:rsidRDefault="000B4A1E" w:rsidP="00517E51">
            <w:pPr>
              <w:pStyle w:val="Tabletext"/>
              <w:rPr>
                <w:rFonts w:eastAsiaTheme="minorEastAsia"/>
                <w:lang w:eastAsia="en-AU"/>
              </w:rPr>
            </w:pPr>
          </w:p>
        </w:tc>
        <w:tc>
          <w:tcPr>
            <w:tcW w:w="1140" w:type="dxa"/>
            <w:tcBorders>
              <w:top w:val="single" w:sz="4" w:space="0" w:color="auto"/>
              <w:left w:val="nil"/>
              <w:bottom w:val="nil"/>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2012-13</w:t>
            </w:r>
          </w:p>
        </w:tc>
        <w:tc>
          <w:tcPr>
            <w:tcW w:w="1140" w:type="dxa"/>
            <w:tcBorders>
              <w:top w:val="single" w:sz="4" w:space="0" w:color="auto"/>
              <w:left w:val="nil"/>
              <w:bottom w:val="nil"/>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Budget</w:t>
            </w:r>
          </w:p>
        </w:tc>
        <w:tc>
          <w:tcPr>
            <w:tcW w:w="1140" w:type="dxa"/>
            <w:tcBorders>
              <w:top w:val="single" w:sz="4" w:space="0" w:color="auto"/>
              <w:left w:val="nil"/>
              <w:bottom w:val="nil"/>
              <w:right w:val="single" w:sz="6" w:space="0" w:color="auto"/>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2012-13</w:t>
            </w:r>
          </w:p>
        </w:tc>
        <w:tc>
          <w:tcPr>
            <w:tcW w:w="1221" w:type="dxa"/>
            <w:tcBorders>
              <w:top w:val="single" w:sz="4" w:space="0" w:color="auto"/>
              <w:left w:val="nil"/>
              <w:bottom w:val="nil"/>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Actual</w:t>
            </w:r>
          </w:p>
        </w:tc>
        <w:tc>
          <w:tcPr>
            <w:tcW w:w="1123" w:type="dxa"/>
            <w:tcBorders>
              <w:top w:val="single" w:sz="4" w:space="0" w:color="auto"/>
              <w:left w:val="nil"/>
              <w:bottom w:val="nil"/>
              <w:right w:val="single" w:sz="4" w:space="0" w:color="auto"/>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2011-12</w:t>
            </w:r>
          </w:p>
        </w:tc>
      </w:tr>
      <w:tr w:rsidR="000B4A1E" w:rsidRPr="00E0779C" w:rsidTr="00517E51">
        <w:tc>
          <w:tcPr>
            <w:tcW w:w="3884" w:type="dxa"/>
            <w:tcBorders>
              <w:top w:val="nil"/>
              <w:left w:val="single" w:sz="4" w:space="0" w:color="auto"/>
              <w:bottom w:val="single" w:sz="4" w:space="0" w:color="auto"/>
              <w:right w:val="nil"/>
            </w:tcBorders>
            <w:shd w:val="clear" w:color="auto" w:fill="000000"/>
          </w:tcPr>
          <w:p w:rsidR="000B4A1E" w:rsidRPr="00E0779C" w:rsidRDefault="000B4A1E" w:rsidP="00517E51">
            <w:pPr>
              <w:pStyle w:val="Tabletext"/>
              <w:rPr>
                <w:rFonts w:eastAsiaTheme="minorEastAsia"/>
                <w:lang w:eastAsia="en-AU"/>
              </w:rPr>
            </w:pPr>
          </w:p>
        </w:tc>
        <w:tc>
          <w:tcPr>
            <w:tcW w:w="1140" w:type="dxa"/>
            <w:tcBorders>
              <w:top w:val="nil"/>
              <w:left w:val="nil"/>
              <w:bottom w:val="single" w:sz="4" w:space="0" w:color="auto"/>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Actual</w:t>
            </w:r>
          </w:p>
        </w:tc>
        <w:tc>
          <w:tcPr>
            <w:tcW w:w="1140" w:type="dxa"/>
            <w:tcBorders>
              <w:top w:val="nil"/>
              <w:left w:val="nil"/>
              <w:bottom w:val="single" w:sz="4" w:space="0" w:color="auto"/>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variance</w:t>
            </w:r>
          </w:p>
        </w:tc>
        <w:tc>
          <w:tcPr>
            <w:tcW w:w="1140" w:type="dxa"/>
            <w:tcBorders>
              <w:top w:val="nil"/>
              <w:left w:val="nil"/>
              <w:bottom w:val="single" w:sz="4" w:space="0" w:color="auto"/>
              <w:right w:val="single" w:sz="6" w:space="0" w:color="auto"/>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Revised</w:t>
            </w:r>
          </w:p>
        </w:tc>
        <w:tc>
          <w:tcPr>
            <w:tcW w:w="1221" w:type="dxa"/>
            <w:tcBorders>
              <w:top w:val="nil"/>
              <w:left w:val="nil"/>
              <w:bottom w:val="single" w:sz="4" w:space="0" w:color="auto"/>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movement</w:t>
            </w:r>
          </w:p>
        </w:tc>
        <w:tc>
          <w:tcPr>
            <w:tcW w:w="1123" w:type="dxa"/>
            <w:tcBorders>
              <w:top w:val="nil"/>
              <w:left w:val="nil"/>
              <w:bottom w:val="single" w:sz="4" w:space="0" w:color="auto"/>
              <w:right w:val="single" w:sz="4" w:space="0" w:color="auto"/>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Actual</w:t>
            </w:r>
          </w:p>
        </w:tc>
      </w:tr>
      <w:tr w:rsidR="000B4A1E" w:rsidRPr="00E0779C" w:rsidTr="00517E51">
        <w:tc>
          <w:tcPr>
            <w:tcW w:w="3884" w:type="dxa"/>
            <w:tcBorders>
              <w:top w:val="single" w:sz="4" w:space="0" w:color="auto"/>
              <w:left w:val="nil"/>
              <w:bottom w:val="nil"/>
              <w:right w:val="nil"/>
            </w:tcBorders>
          </w:tcPr>
          <w:p w:rsidR="000B4A1E" w:rsidRPr="00E0779C" w:rsidRDefault="000B4A1E" w:rsidP="00517E51">
            <w:pPr>
              <w:pStyle w:val="Tabletext"/>
              <w:rPr>
                <w:rFonts w:eastAsiaTheme="minorEastAsia"/>
                <w:b/>
                <w:bCs/>
                <w:lang w:eastAsia="en-AU"/>
              </w:rPr>
            </w:pPr>
            <w:r w:rsidRPr="00E0779C">
              <w:rPr>
                <w:rFonts w:eastAsiaTheme="minorEastAsia"/>
                <w:b/>
                <w:bCs/>
                <w:lang w:eastAsia="en-AU"/>
              </w:rPr>
              <w:t>Assets</w:t>
            </w:r>
          </w:p>
        </w:tc>
        <w:tc>
          <w:tcPr>
            <w:tcW w:w="1140"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1140"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1140"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1221"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1123"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r>
      <w:tr w:rsidR="000B4A1E" w:rsidRPr="00E0779C" w:rsidTr="00517E51">
        <w:tc>
          <w:tcPr>
            <w:tcW w:w="388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Financial assets</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43 486.5</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831.9</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42 654.6</w:t>
            </w:r>
          </w:p>
        </w:tc>
        <w:tc>
          <w:tcPr>
            <w:tcW w:w="1221"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3 561.2</w:t>
            </w:r>
          </w:p>
        </w:tc>
        <w:tc>
          <w:tcPr>
            <w:tcW w:w="1123"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39 925.3</w:t>
            </w:r>
          </w:p>
        </w:tc>
      </w:tr>
      <w:tr w:rsidR="000B4A1E" w:rsidRPr="00E0779C" w:rsidTr="00517E51">
        <w:tc>
          <w:tcPr>
            <w:tcW w:w="388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Non financial assets</w:t>
            </w:r>
          </w:p>
        </w:tc>
        <w:tc>
          <w:tcPr>
            <w:tcW w:w="1140" w:type="dxa"/>
            <w:tcBorders>
              <w:top w:val="nil"/>
              <w:left w:val="nil"/>
              <w:bottom w:val="single" w:sz="6" w:space="0" w:color="auto"/>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192 570.0</w:t>
            </w:r>
          </w:p>
        </w:tc>
        <w:tc>
          <w:tcPr>
            <w:tcW w:w="1140" w:type="dxa"/>
            <w:tcBorders>
              <w:top w:val="nil"/>
              <w:left w:val="nil"/>
              <w:bottom w:val="single" w:sz="6" w:space="0" w:color="auto"/>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498.7</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192 071.3</w:t>
            </w:r>
          </w:p>
        </w:tc>
        <w:tc>
          <w:tcPr>
            <w:tcW w:w="1221" w:type="dxa"/>
            <w:tcBorders>
              <w:top w:val="nil"/>
              <w:left w:val="nil"/>
              <w:bottom w:val="single" w:sz="6" w:space="0" w:color="auto"/>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9 573.6</w:t>
            </w:r>
          </w:p>
        </w:tc>
        <w:tc>
          <w:tcPr>
            <w:tcW w:w="1123" w:type="dxa"/>
            <w:tcBorders>
              <w:top w:val="nil"/>
              <w:left w:val="nil"/>
              <w:bottom w:val="single" w:sz="6" w:space="0" w:color="auto"/>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182 996.5</w:t>
            </w:r>
          </w:p>
        </w:tc>
      </w:tr>
      <w:tr w:rsidR="000B4A1E" w:rsidRPr="00E0779C" w:rsidTr="00517E51">
        <w:tc>
          <w:tcPr>
            <w:tcW w:w="3884" w:type="dxa"/>
            <w:tcBorders>
              <w:top w:val="single" w:sz="6" w:space="0" w:color="auto"/>
              <w:left w:val="nil"/>
              <w:bottom w:val="nil"/>
              <w:right w:val="nil"/>
            </w:tcBorders>
          </w:tcPr>
          <w:p w:rsidR="000B4A1E" w:rsidRPr="00E0779C" w:rsidRDefault="000B4A1E" w:rsidP="00517E51">
            <w:pPr>
              <w:pStyle w:val="Tabletext"/>
              <w:rPr>
                <w:rFonts w:eastAsiaTheme="minorEastAsia"/>
                <w:b/>
                <w:bCs/>
                <w:lang w:eastAsia="en-AU"/>
              </w:rPr>
            </w:pPr>
            <w:r w:rsidRPr="00E0779C">
              <w:rPr>
                <w:rFonts w:eastAsiaTheme="minorEastAsia"/>
                <w:b/>
                <w:bCs/>
                <w:lang w:eastAsia="en-AU"/>
              </w:rPr>
              <w:t>Total assets</w:t>
            </w:r>
          </w:p>
        </w:tc>
        <w:tc>
          <w:tcPr>
            <w:tcW w:w="1140" w:type="dxa"/>
            <w:tcBorders>
              <w:top w:val="nil"/>
              <w:left w:val="nil"/>
              <w:bottom w:val="nil"/>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236 056.6</w:t>
            </w:r>
          </w:p>
        </w:tc>
        <w:tc>
          <w:tcPr>
            <w:tcW w:w="1140" w:type="dxa"/>
            <w:tcBorders>
              <w:top w:val="nil"/>
              <w:left w:val="nil"/>
              <w:bottom w:val="nil"/>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1 330.7</w:t>
            </w:r>
          </w:p>
        </w:tc>
        <w:tc>
          <w:tcPr>
            <w:tcW w:w="1140" w:type="dxa"/>
            <w:tcBorders>
              <w:top w:val="single" w:sz="6" w:space="0" w:color="auto"/>
              <w:left w:val="nil"/>
              <w:bottom w:val="nil"/>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234 725.9</w:t>
            </w:r>
          </w:p>
        </w:tc>
        <w:tc>
          <w:tcPr>
            <w:tcW w:w="1221" w:type="dxa"/>
            <w:tcBorders>
              <w:top w:val="nil"/>
              <w:left w:val="nil"/>
              <w:bottom w:val="nil"/>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13 134.7</w:t>
            </w:r>
          </w:p>
        </w:tc>
        <w:tc>
          <w:tcPr>
            <w:tcW w:w="1123" w:type="dxa"/>
            <w:tcBorders>
              <w:top w:val="nil"/>
              <w:left w:val="nil"/>
              <w:bottom w:val="nil"/>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222 921.8</w:t>
            </w:r>
          </w:p>
        </w:tc>
      </w:tr>
      <w:tr w:rsidR="000B4A1E" w:rsidRPr="00E0779C" w:rsidTr="00517E51">
        <w:tc>
          <w:tcPr>
            <w:tcW w:w="3884" w:type="dxa"/>
            <w:tcBorders>
              <w:top w:val="nil"/>
              <w:left w:val="nil"/>
              <w:bottom w:val="nil"/>
              <w:right w:val="nil"/>
            </w:tcBorders>
          </w:tcPr>
          <w:p w:rsidR="000B4A1E" w:rsidRPr="00E0779C" w:rsidRDefault="000B4A1E" w:rsidP="00517E51">
            <w:pPr>
              <w:pStyle w:val="Tabletext"/>
              <w:rPr>
                <w:rFonts w:eastAsiaTheme="minorEastAsia"/>
                <w:b/>
                <w:bCs/>
                <w:lang w:eastAsia="en-AU"/>
              </w:rPr>
            </w:pPr>
            <w:r w:rsidRPr="00E0779C">
              <w:rPr>
                <w:rFonts w:eastAsiaTheme="minorEastAsia"/>
                <w:b/>
                <w:bCs/>
                <w:lang w:eastAsia="en-AU"/>
              </w:rPr>
              <w:t>Liabilities</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c>
          <w:tcPr>
            <w:tcW w:w="1221"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w:t>
            </w:r>
          </w:p>
        </w:tc>
        <w:tc>
          <w:tcPr>
            <w:tcW w:w="1123"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r>
      <w:tr w:rsidR="000B4A1E" w:rsidRPr="00E0779C" w:rsidTr="00517E51">
        <w:tc>
          <w:tcPr>
            <w:tcW w:w="388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Superannuation</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25 225.4</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(3 770.0)</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28 995.5</w:t>
            </w:r>
          </w:p>
        </w:tc>
        <w:tc>
          <w:tcPr>
            <w:tcW w:w="1221"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(7 525.3)</w:t>
            </w:r>
          </w:p>
        </w:tc>
        <w:tc>
          <w:tcPr>
            <w:tcW w:w="1123"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32 750.8</w:t>
            </w:r>
          </w:p>
        </w:tc>
      </w:tr>
      <w:tr w:rsidR="000B4A1E" w:rsidRPr="00E0779C" w:rsidTr="00517E51">
        <w:tc>
          <w:tcPr>
            <w:tcW w:w="388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Borrowings</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47 437.0</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(1 260.4)</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48 697.4</w:t>
            </w:r>
          </w:p>
        </w:tc>
        <w:tc>
          <w:tcPr>
            <w:tcW w:w="1221"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6 799.3</w:t>
            </w:r>
          </w:p>
        </w:tc>
        <w:tc>
          <w:tcPr>
            <w:tcW w:w="1123"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40 637.7</w:t>
            </w:r>
          </w:p>
        </w:tc>
      </w:tr>
      <w:tr w:rsidR="000B4A1E" w:rsidRPr="00E0779C" w:rsidTr="00517E51">
        <w:tc>
          <w:tcPr>
            <w:tcW w:w="388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Other liabilities</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39 762.0</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252.8</w:t>
            </w:r>
          </w:p>
        </w:tc>
        <w:tc>
          <w:tcPr>
            <w:tcW w:w="1140"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39 509.2</w:t>
            </w:r>
          </w:p>
        </w:tc>
        <w:tc>
          <w:tcPr>
            <w:tcW w:w="1221"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3 086.3</w:t>
            </w:r>
          </w:p>
        </w:tc>
        <w:tc>
          <w:tcPr>
            <w:tcW w:w="1123"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36 675.7</w:t>
            </w:r>
          </w:p>
        </w:tc>
      </w:tr>
      <w:tr w:rsidR="000B4A1E" w:rsidRPr="00E0779C" w:rsidTr="00517E51">
        <w:tc>
          <w:tcPr>
            <w:tcW w:w="3884" w:type="dxa"/>
            <w:tcBorders>
              <w:top w:val="single" w:sz="6" w:space="0" w:color="auto"/>
              <w:left w:val="nil"/>
              <w:bottom w:val="nil"/>
              <w:right w:val="nil"/>
            </w:tcBorders>
          </w:tcPr>
          <w:p w:rsidR="000B4A1E" w:rsidRPr="00E0779C" w:rsidRDefault="000B4A1E" w:rsidP="00517E51">
            <w:pPr>
              <w:pStyle w:val="Tabletext"/>
              <w:rPr>
                <w:rFonts w:eastAsiaTheme="minorEastAsia"/>
                <w:b/>
                <w:bCs/>
                <w:lang w:eastAsia="en-AU"/>
              </w:rPr>
            </w:pPr>
            <w:r w:rsidRPr="00E0779C">
              <w:rPr>
                <w:rFonts w:eastAsiaTheme="minorEastAsia"/>
                <w:b/>
                <w:bCs/>
                <w:lang w:eastAsia="en-AU"/>
              </w:rPr>
              <w:t>Total liabilities</w:t>
            </w:r>
          </w:p>
        </w:tc>
        <w:tc>
          <w:tcPr>
            <w:tcW w:w="1140"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112 424.5</w:t>
            </w:r>
          </w:p>
        </w:tc>
        <w:tc>
          <w:tcPr>
            <w:tcW w:w="1140"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(4 777.6)</w:t>
            </w:r>
          </w:p>
        </w:tc>
        <w:tc>
          <w:tcPr>
            <w:tcW w:w="1140"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117 202.1</w:t>
            </w:r>
          </w:p>
        </w:tc>
        <w:tc>
          <w:tcPr>
            <w:tcW w:w="1221"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2 360.3</w:t>
            </w:r>
          </w:p>
        </w:tc>
        <w:tc>
          <w:tcPr>
            <w:tcW w:w="1123" w:type="dxa"/>
            <w:tcBorders>
              <w:top w:val="single" w:sz="6" w:space="0" w:color="auto"/>
              <w:left w:val="nil"/>
              <w:bottom w:val="single" w:sz="6" w:space="0" w:color="auto"/>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110 064.2</w:t>
            </w:r>
          </w:p>
        </w:tc>
      </w:tr>
      <w:tr w:rsidR="000B4A1E" w:rsidRPr="00E0779C" w:rsidTr="00517E51">
        <w:tc>
          <w:tcPr>
            <w:tcW w:w="3884" w:type="dxa"/>
            <w:tcBorders>
              <w:top w:val="single" w:sz="6" w:space="0" w:color="auto"/>
              <w:left w:val="nil"/>
              <w:bottom w:val="single" w:sz="12" w:space="0" w:color="auto"/>
              <w:right w:val="nil"/>
            </w:tcBorders>
          </w:tcPr>
          <w:p w:rsidR="000B4A1E" w:rsidRPr="00E0779C" w:rsidRDefault="000B4A1E" w:rsidP="00517E51">
            <w:pPr>
              <w:pStyle w:val="Tabletext"/>
              <w:rPr>
                <w:rFonts w:eastAsiaTheme="minorEastAsia"/>
                <w:b/>
                <w:bCs/>
                <w:lang w:eastAsia="en-AU"/>
              </w:rPr>
            </w:pPr>
            <w:r w:rsidRPr="00E0779C">
              <w:rPr>
                <w:rFonts w:eastAsiaTheme="minorEastAsia"/>
                <w:b/>
                <w:bCs/>
                <w:lang w:eastAsia="en-AU"/>
              </w:rPr>
              <w:t>Net assets</w:t>
            </w:r>
          </w:p>
        </w:tc>
        <w:tc>
          <w:tcPr>
            <w:tcW w:w="1140" w:type="dxa"/>
            <w:tcBorders>
              <w:top w:val="single" w:sz="6" w:space="0" w:color="auto"/>
              <w:left w:val="nil"/>
              <w:bottom w:val="single" w:sz="12" w:space="0" w:color="auto"/>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123 632.1</w:t>
            </w:r>
          </w:p>
        </w:tc>
        <w:tc>
          <w:tcPr>
            <w:tcW w:w="1140" w:type="dxa"/>
            <w:tcBorders>
              <w:top w:val="single" w:sz="6" w:space="0" w:color="auto"/>
              <w:left w:val="nil"/>
              <w:bottom w:val="single" w:sz="12" w:space="0" w:color="auto"/>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6 108.3</w:t>
            </w:r>
          </w:p>
        </w:tc>
        <w:tc>
          <w:tcPr>
            <w:tcW w:w="1140" w:type="dxa"/>
            <w:tcBorders>
              <w:top w:val="single" w:sz="6" w:space="0" w:color="auto"/>
              <w:left w:val="nil"/>
              <w:bottom w:val="single" w:sz="12" w:space="0" w:color="auto"/>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117 523.8</w:t>
            </w:r>
          </w:p>
        </w:tc>
        <w:tc>
          <w:tcPr>
            <w:tcW w:w="1221" w:type="dxa"/>
            <w:tcBorders>
              <w:top w:val="single" w:sz="6" w:space="0" w:color="auto"/>
              <w:left w:val="nil"/>
              <w:bottom w:val="single" w:sz="12" w:space="0" w:color="auto"/>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10 774.5</w:t>
            </w:r>
          </w:p>
        </w:tc>
        <w:tc>
          <w:tcPr>
            <w:tcW w:w="1123" w:type="dxa"/>
            <w:tcBorders>
              <w:top w:val="single" w:sz="6" w:space="0" w:color="auto"/>
              <w:left w:val="nil"/>
              <w:bottom w:val="single" w:sz="12" w:space="0" w:color="auto"/>
              <w:right w:val="nil"/>
            </w:tcBorders>
          </w:tcPr>
          <w:p w:rsidR="000B4A1E" w:rsidRPr="00E0779C" w:rsidRDefault="000B4A1E" w:rsidP="00517E51">
            <w:pPr>
              <w:pStyle w:val="TableofFigures"/>
              <w:rPr>
                <w:rFonts w:eastAsiaTheme="minorEastAsia"/>
                <w:b/>
                <w:lang w:eastAsia="en-AU"/>
              </w:rPr>
            </w:pPr>
            <w:r w:rsidRPr="00E0779C">
              <w:rPr>
                <w:rFonts w:eastAsiaTheme="minorEastAsia"/>
                <w:b/>
                <w:lang w:eastAsia="en-AU"/>
              </w:rPr>
              <w:t>112 857.6</w:t>
            </w:r>
          </w:p>
        </w:tc>
      </w:tr>
    </w:tbl>
    <w:p w:rsidR="000B4A1E" w:rsidRPr="00552444" w:rsidRDefault="000B4A1E" w:rsidP="00517E51">
      <w:pPr>
        <w:pStyle w:val="Source"/>
      </w:pPr>
      <w:r w:rsidRPr="00552444">
        <w:t>Source: Department of Treasury and Finance</w:t>
      </w:r>
    </w:p>
    <w:p w:rsidR="000B4A1E" w:rsidRPr="00552444" w:rsidRDefault="000B4A1E" w:rsidP="00517E51"/>
    <w:p w:rsidR="000B4A1E" w:rsidRPr="00552444" w:rsidRDefault="000B4A1E" w:rsidP="00517E51">
      <w:pPr>
        <w:pStyle w:val="Tableheading"/>
      </w:pPr>
      <w:r w:rsidRPr="00552444">
        <w:lastRenderedPageBreak/>
        <w:t>Chart 3.3:</w:t>
      </w:r>
      <w:r w:rsidRPr="00552444">
        <w:tab/>
        <w:t>Net assets by sector as at 30 June</w:t>
      </w:r>
    </w:p>
    <w:p w:rsidR="000B4A1E" w:rsidRPr="00552444" w:rsidRDefault="001A6345" w:rsidP="00517E51">
      <w:pPr>
        <w:pStyle w:val="Chartpara"/>
      </w:pPr>
      <w:r>
        <w:pict>
          <v:shape id="_x0000_i1028" type="#_x0000_t75" style="width:481.45pt;height:279.4pt">
            <v:imagedata r:id="rId19" o:title=""/>
          </v:shape>
        </w:pict>
      </w:r>
    </w:p>
    <w:p w:rsidR="000B4A1E" w:rsidRPr="00552444" w:rsidRDefault="000B4A1E" w:rsidP="00517E51">
      <w:pPr>
        <w:pStyle w:val="Source"/>
      </w:pPr>
      <w:r w:rsidRPr="00552444">
        <w:t>Source: Department of Treasury and Finance</w:t>
      </w:r>
    </w:p>
    <w:p w:rsidR="000B4A1E" w:rsidRPr="00552444" w:rsidRDefault="000B4A1E" w:rsidP="00517E51">
      <w:pPr>
        <w:pStyle w:val="Notes"/>
      </w:pPr>
      <w:r w:rsidRPr="00552444">
        <w:t>Notes:</w:t>
      </w:r>
    </w:p>
    <w:p w:rsidR="000B4A1E" w:rsidRPr="00552444" w:rsidRDefault="000B4A1E" w:rsidP="00517E51">
      <w:pPr>
        <w:pStyle w:val="Notes"/>
      </w:pPr>
      <w:r w:rsidRPr="00552444">
        <w:t>(a)</w:t>
      </w:r>
      <w:r w:rsidRPr="00552444">
        <w:tab/>
        <w:t xml:space="preserve">General government net assets excludes investments in other sector entities. </w:t>
      </w:r>
    </w:p>
    <w:p w:rsidR="000B4A1E" w:rsidRPr="00552444" w:rsidRDefault="000B4A1E" w:rsidP="00517E51">
      <w:pPr>
        <w:pStyle w:val="Notes"/>
      </w:pPr>
      <w:r w:rsidRPr="00552444">
        <w:t>(b)</w:t>
      </w:r>
      <w:r w:rsidRPr="00552444">
        <w:tab/>
      </w:r>
      <w:r>
        <w:t>State of Victoria</w:t>
      </w:r>
      <w:r w:rsidRPr="00552444">
        <w:t xml:space="preserve"> will not equal the sum of the general government, PNFC a</w:t>
      </w:r>
      <w:r>
        <w:t>nd PFC sectors due to the inter</w:t>
      </w:r>
      <w:r w:rsidRPr="00552444">
        <w:t>sector eliminations.</w:t>
      </w:r>
    </w:p>
    <w:p w:rsidR="000B4A1E" w:rsidRPr="00552444" w:rsidRDefault="000B4A1E" w:rsidP="00517E51"/>
    <w:p w:rsidR="000B4A1E" w:rsidRPr="00552444" w:rsidRDefault="000B4A1E" w:rsidP="00517E51">
      <w:r w:rsidRPr="00552444">
        <w:t>As shown in Chart 3.3, the increase in net assets was largely driven by the general government sector, which included the impact of significant actuarial gains on the State’s defined benefit superannuation obligations. The PFC sector net asset position improved by $2.8</w:t>
      </w:r>
      <w:r>
        <w:t> billion</w:t>
      </w:r>
      <w:r w:rsidRPr="00552444">
        <w:t>, largely due to the impact of improved investment returns and valuation gains on the sector’s financial liabilities.</w:t>
      </w:r>
    </w:p>
    <w:p w:rsidR="000B4A1E" w:rsidRPr="00552444" w:rsidRDefault="000B4A1E" w:rsidP="00517E51">
      <w:r w:rsidRPr="00552444">
        <w:t>Another significant movement on the balance sheet during 2012</w:t>
      </w:r>
      <w:r w:rsidRPr="00552444">
        <w:noBreakHyphen/>
        <w:t>13 was the recognition of the desalination plant, which resulted in increased borrowings and non</w:t>
      </w:r>
      <w:r w:rsidRPr="00552444">
        <w:noBreakHyphen/>
        <w:t>financial assets. The PNFC sector recognised a total finance lease liability of $4.3</w:t>
      </w:r>
      <w:r>
        <w:t> billion</w:t>
      </w:r>
      <w:r w:rsidRPr="00552444">
        <w:t xml:space="preserve"> after commercial acceptance of the plant.</w:t>
      </w:r>
    </w:p>
    <w:p w:rsidR="000B4A1E" w:rsidRPr="00552444" w:rsidRDefault="000B4A1E" w:rsidP="00517E51">
      <w:pPr>
        <w:pStyle w:val="Heading1"/>
      </w:pPr>
      <w:bookmarkStart w:id="10" w:name="_Toc367967892"/>
      <w:r w:rsidRPr="00552444">
        <w:t>Cash flows</w:t>
      </w:r>
      <w:bookmarkEnd w:id="10"/>
    </w:p>
    <w:p w:rsidR="000B4A1E" w:rsidRPr="00552444" w:rsidRDefault="000B4A1E" w:rsidP="00517E51">
      <w:r w:rsidRPr="00552444">
        <w:t>After excluding non</w:t>
      </w:r>
      <w:r w:rsidRPr="00552444">
        <w:noBreakHyphen/>
        <w:t>cash items such as asset revaluations and depreciation, the change in operating receipts and payments for the State broadly reflects the same factors underpinning the operating income and expense movements already discussed in this chapter.</w:t>
      </w:r>
    </w:p>
    <w:p w:rsidR="000B4A1E" w:rsidRPr="00552444" w:rsidRDefault="000B4A1E" w:rsidP="00517E51">
      <w:pPr>
        <w:pStyle w:val="Heading2"/>
      </w:pPr>
      <w:r w:rsidRPr="00552444">
        <w:t>Infrastructure investment</w:t>
      </w:r>
    </w:p>
    <w:p w:rsidR="000B4A1E" w:rsidRPr="00552444" w:rsidRDefault="000B4A1E" w:rsidP="00517E51">
      <w:r w:rsidRPr="00552444">
        <w:t>Total infrastructure investment for the State was $6.</w:t>
      </w:r>
      <w:r>
        <w:t>9 billion</w:t>
      </w:r>
      <w:r w:rsidRPr="00552444">
        <w:t>. This included $</w:t>
      </w:r>
      <w:r>
        <w:t>3.6 billion</w:t>
      </w:r>
      <w:r w:rsidRPr="00552444">
        <w:t xml:space="preserve"> undertaken by the PNFC sector, particularly in the water and transport sectors.</w:t>
      </w:r>
    </w:p>
    <w:p w:rsidR="000B4A1E" w:rsidRPr="00552444" w:rsidRDefault="000B4A1E" w:rsidP="00517E51">
      <w:r w:rsidRPr="00552444">
        <w:t>Key projects</w:t>
      </w:r>
      <w:r>
        <w:t xml:space="preserve"> in the PNFC sector included </w:t>
      </w:r>
      <w:r w:rsidRPr="00552444">
        <w:t>constructing Regional Rail Link, purchasing rolling stock, the Eastern Treatment Plant tertiary upgrade, water sector projects related to customer growth and renewal of existing assets and Goulburn Murray Water’s connections program, connecting irrigators to a modernised main system of irrigation channels.</w:t>
      </w:r>
    </w:p>
    <w:p w:rsidR="000B4A1E" w:rsidRPr="00552444" w:rsidRDefault="000B4A1E" w:rsidP="00517E51">
      <w:pPr>
        <w:pStyle w:val="Heading1"/>
      </w:pPr>
      <w:bookmarkStart w:id="11" w:name="_Toc367967893"/>
      <w:r w:rsidRPr="00552444">
        <w:lastRenderedPageBreak/>
        <w:t>Financial sustainability</w:t>
      </w:r>
      <w:r>
        <w:t xml:space="preserve"> (non</w:t>
      </w:r>
      <w:r>
        <w:noBreakHyphen/>
      </w:r>
      <w:r w:rsidRPr="00552444">
        <w:t>financial public sector)</w:t>
      </w:r>
      <w:bookmarkEnd w:id="11"/>
    </w:p>
    <w:p w:rsidR="000B4A1E" w:rsidRPr="00552444" w:rsidRDefault="000B4A1E" w:rsidP="00517E51">
      <w:r w:rsidRPr="00552444">
        <w:t>The sustainability of the non</w:t>
      </w:r>
      <w:r w:rsidRPr="00552444">
        <w:noBreakHyphen/>
        <w:t>financial public sector (NFPS) is significant for the State’s credit rating. The NFPS comprises the general government sector and PNFC sector. In determining financial sustainability, the credit rating agencies consider the levels of net debt and net financial liabilities and the State’s capacity to service these liabilities.</w:t>
      </w:r>
    </w:p>
    <w:p w:rsidR="000B4A1E" w:rsidRPr="00552444" w:rsidRDefault="000B4A1E" w:rsidP="00517E51">
      <w:r w:rsidRPr="00552444">
        <w:t>As shown in Table 3.3, NFPS net debt increased to $34.6</w:t>
      </w:r>
      <w:r>
        <w:t> billion</w:t>
      </w:r>
      <w:r w:rsidRPr="00552444">
        <w:t xml:space="preserve"> as at 30 June 2013, or 10.1</w:t>
      </w:r>
      <w:r>
        <w:t> per cent of </w:t>
      </w:r>
      <w:r w:rsidRPr="00552444">
        <w:t>GSP. The $10.0</w:t>
      </w:r>
      <w:r>
        <w:t> billion</w:t>
      </w:r>
      <w:r w:rsidRPr="00552444">
        <w:t xml:space="preserve"> increase in net debt reflects the substantial investment in new infrastructure, including the desalination plant finance lease liability of $4.3</w:t>
      </w:r>
      <w:r>
        <w:t> billion</w:t>
      </w:r>
      <w:r w:rsidRPr="00552444">
        <w:t xml:space="preserve"> as mentioned above.</w:t>
      </w:r>
    </w:p>
    <w:p w:rsidR="000B4A1E" w:rsidRPr="00552444" w:rsidRDefault="000B4A1E" w:rsidP="00517E51">
      <w:r>
        <w:t>T</w:t>
      </w:r>
      <w:r w:rsidRPr="00552444">
        <w:t>he</w:t>
      </w:r>
      <w:r>
        <w:t xml:space="preserve"> NFPS</w:t>
      </w:r>
      <w:r w:rsidRPr="00552444">
        <w:t xml:space="preserve"> net superannuation liability declined by $7.5</w:t>
      </w:r>
      <w:r>
        <w:t> billion</w:t>
      </w:r>
      <w:r w:rsidRPr="00552444">
        <w:t xml:space="preserve"> to $25.2</w:t>
      </w:r>
      <w:r>
        <w:t> billion</w:t>
      </w:r>
      <w:r w:rsidRPr="00552444">
        <w:t xml:space="preserve"> as at 30 June 2013. This was driven by actuarial gains on the superannuation liability that arose due to favourable movements in bond rates, and other valuation assumptions, along with stronger than expected investment returns. As a result, the ratio of net financial liabilities to GSP declined to 19.</w:t>
      </w:r>
      <w:r>
        <w:t>3 per cent</w:t>
      </w:r>
      <w:r w:rsidRPr="00552444">
        <w:t>.</w:t>
      </w:r>
    </w:p>
    <w:p w:rsidR="000B4A1E" w:rsidRPr="00552444" w:rsidRDefault="000B4A1E" w:rsidP="00517E51">
      <w:pPr>
        <w:pStyle w:val="Tableheading"/>
      </w:pPr>
      <w:r w:rsidRPr="00552444">
        <w:t>Table 3.3:</w:t>
      </w:r>
      <w:r w:rsidRPr="00552444">
        <w:tab/>
        <w:t>Non</w:t>
      </w:r>
      <w:r w:rsidRPr="00552444">
        <w:noBreakHyphen/>
        <w:t xml:space="preserve">financial public sector net debt and net financial liabilities as at </w:t>
      </w:r>
      <w:r>
        <w:br/>
      </w:r>
      <w:r w:rsidRPr="00552444">
        <w:t>30 June 2013</w:t>
      </w:r>
    </w:p>
    <w:p w:rsidR="000B4A1E" w:rsidRPr="006D326C" w:rsidRDefault="000B4A1E" w:rsidP="00517E51">
      <w:pPr>
        <w:pStyle w:val="million"/>
        <w:rPr>
          <w:rFonts w:ascii="Times New Roman" w:hAnsi="Times New Roman"/>
          <w:b/>
          <w:lang w:eastAsia="en-AU"/>
        </w:rPr>
      </w:pPr>
      <w:r w:rsidRPr="00552444">
        <w:t>($</w:t>
      </w:r>
      <w:r>
        <w:t> million</w:t>
      </w:r>
      <w:r w:rsidRPr="00552444">
        <w:t>)</w:t>
      </w:r>
    </w:p>
    <w:tbl>
      <w:tblPr>
        <w:tblW w:w="9648" w:type="dxa"/>
        <w:tblInd w:w="29" w:type="dxa"/>
        <w:tblLayout w:type="fixed"/>
        <w:tblCellMar>
          <w:left w:w="43" w:type="dxa"/>
          <w:right w:w="43" w:type="dxa"/>
        </w:tblCellMar>
        <w:tblLook w:val="0000" w:firstRow="0" w:lastRow="0" w:firstColumn="0" w:lastColumn="0" w:noHBand="0" w:noVBand="0"/>
      </w:tblPr>
      <w:tblGrid>
        <w:gridCol w:w="1094"/>
        <w:gridCol w:w="2700"/>
        <w:gridCol w:w="1170"/>
        <w:gridCol w:w="1080"/>
        <w:gridCol w:w="1226"/>
        <w:gridCol w:w="1189"/>
        <w:gridCol w:w="116"/>
        <w:gridCol w:w="267"/>
        <w:gridCol w:w="267"/>
        <w:gridCol w:w="267"/>
        <w:gridCol w:w="272"/>
      </w:tblGrid>
      <w:tr w:rsidR="000B4A1E" w:rsidRPr="006D326C" w:rsidTr="00517E51">
        <w:tc>
          <w:tcPr>
            <w:tcW w:w="3794" w:type="dxa"/>
            <w:gridSpan w:val="2"/>
            <w:tcBorders>
              <w:top w:val="single" w:sz="4" w:space="0" w:color="auto"/>
              <w:left w:val="single" w:sz="4" w:space="0" w:color="auto"/>
              <w:bottom w:val="nil"/>
              <w:right w:val="nil"/>
            </w:tcBorders>
            <w:shd w:val="clear" w:color="auto" w:fill="000000"/>
          </w:tcPr>
          <w:p w:rsidR="000B4A1E" w:rsidRPr="006D326C" w:rsidRDefault="000B4A1E" w:rsidP="00517E51">
            <w:pPr>
              <w:pStyle w:val="Tabletext"/>
              <w:rPr>
                <w:rFonts w:eastAsiaTheme="minorEastAsia"/>
                <w:lang w:eastAsia="en-AU"/>
              </w:rPr>
            </w:pPr>
          </w:p>
        </w:tc>
        <w:tc>
          <w:tcPr>
            <w:tcW w:w="1170" w:type="dxa"/>
            <w:tcBorders>
              <w:top w:val="single" w:sz="4" w:space="0" w:color="auto"/>
              <w:left w:val="nil"/>
              <w:bottom w:val="nil"/>
              <w:right w:val="nil"/>
            </w:tcBorders>
            <w:shd w:val="clear" w:color="auto" w:fill="000000"/>
          </w:tcPr>
          <w:p w:rsidR="000B4A1E" w:rsidRPr="006D326C" w:rsidRDefault="000B4A1E" w:rsidP="00517E51">
            <w:pPr>
              <w:pStyle w:val="Tabletextheading"/>
              <w:rPr>
                <w:rFonts w:eastAsiaTheme="minorEastAsia"/>
                <w:lang w:eastAsia="en-AU"/>
              </w:rPr>
            </w:pPr>
            <w:r w:rsidRPr="006D326C">
              <w:rPr>
                <w:rFonts w:eastAsiaTheme="minorEastAsia"/>
                <w:lang w:eastAsia="en-AU"/>
              </w:rPr>
              <w:t>Actual</w:t>
            </w:r>
          </w:p>
        </w:tc>
        <w:tc>
          <w:tcPr>
            <w:tcW w:w="1080" w:type="dxa"/>
            <w:tcBorders>
              <w:top w:val="single" w:sz="4" w:space="0" w:color="auto"/>
              <w:left w:val="nil"/>
              <w:bottom w:val="nil"/>
              <w:right w:val="nil"/>
            </w:tcBorders>
            <w:shd w:val="clear" w:color="auto" w:fill="000000"/>
          </w:tcPr>
          <w:p w:rsidR="000B4A1E" w:rsidRPr="006D326C" w:rsidRDefault="000B4A1E" w:rsidP="00517E51">
            <w:pPr>
              <w:pStyle w:val="Tabletextheading"/>
              <w:rPr>
                <w:rFonts w:eastAsiaTheme="minorEastAsia"/>
                <w:lang w:eastAsia="en-AU"/>
              </w:rPr>
            </w:pPr>
            <w:r w:rsidRPr="006D326C">
              <w:rPr>
                <w:rFonts w:eastAsiaTheme="minorEastAsia"/>
                <w:lang w:eastAsia="en-AU"/>
              </w:rPr>
              <w:t>Revised</w:t>
            </w:r>
          </w:p>
        </w:tc>
        <w:tc>
          <w:tcPr>
            <w:tcW w:w="1226" w:type="dxa"/>
            <w:tcBorders>
              <w:top w:val="single" w:sz="4" w:space="0" w:color="auto"/>
              <w:left w:val="nil"/>
              <w:bottom w:val="nil"/>
              <w:right w:val="single" w:sz="6" w:space="0" w:color="auto"/>
            </w:tcBorders>
            <w:shd w:val="clear" w:color="auto" w:fill="000000"/>
          </w:tcPr>
          <w:p w:rsidR="000B4A1E" w:rsidRPr="006D326C" w:rsidRDefault="000B4A1E" w:rsidP="00517E51">
            <w:pPr>
              <w:pStyle w:val="Tabletextheading"/>
              <w:rPr>
                <w:rFonts w:eastAsiaTheme="minorEastAsia"/>
                <w:lang w:eastAsia="en-AU"/>
              </w:rPr>
            </w:pPr>
            <w:r w:rsidRPr="006D326C">
              <w:rPr>
                <w:rFonts w:eastAsiaTheme="minorEastAsia"/>
                <w:lang w:eastAsia="en-AU"/>
              </w:rPr>
              <w:t>Revised</w:t>
            </w:r>
          </w:p>
        </w:tc>
        <w:tc>
          <w:tcPr>
            <w:tcW w:w="1189" w:type="dxa"/>
            <w:tcBorders>
              <w:top w:val="single" w:sz="4" w:space="0" w:color="auto"/>
              <w:left w:val="nil"/>
              <w:bottom w:val="nil"/>
              <w:right w:val="nil"/>
            </w:tcBorders>
            <w:shd w:val="clear" w:color="auto" w:fill="000000"/>
          </w:tcPr>
          <w:p w:rsidR="000B4A1E" w:rsidRPr="006D326C" w:rsidRDefault="000B4A1E" w:rsidP="00517E51">
            <w:pPr>
              <w:pStyle w:val="Tabletextheading"/>
              <w:rPr>
                <w:rFonts w:eastAsiaTheme="minorEastAsia"/>
                <w:lang w:eastAsia="en-AU"/>
              </w:rPr>
            </w:pPr>
            <w:r w:rsidRPr="006D326C">
              <w:rPr>
                <w:rFonts w:eastAsiaTheme="minorEastAsia"/>
                <w:lang w:eastAsia="en-AU"/>
              </w:rPr>
              <w:t>Actual</w:t>
            </w:r>
          </w:p>
        </w:tc>
        <w:tc>
          <w:tcPr>
            <w:tcW w:w="1189" w:type="dxa"/>
            <w:gridSpan w:val="5"/>
            <w:tcBorders>
              <w:top w:val="single" w:sz="4" w:space="0" w:color="auto"/>
              <w:left w:val="nil"/>
              <w:bottom w:val="nil"/>
              <w:right w:val="single" w:sz="4" w:space="0" w:color="auto"/>
            </w:tcBorders>
            <w:shd w:val="clear" w:color="auto" w:fill="000000"/>
          </w:tcPr>
          <w:p w:rsidR="000B4A1E" w:rsidRPr="006D326C" w:rsidRDefault="000B4A1E" w:rsidP="00517E51">
            <w:pPr>
              <w:pStyle w:val="Tabletextheading"/>
              <w:rPr>
                <w:rFonts w:eastAsiaTheme="minorEastAsia"/>
                <w:lang w:eastAsia="en-AU"/>
              </w:rPr>
            </w:pPr>
            <w:r w:rsidRPr="006D326C">
              <w:rPr>
                <w:rFonts w:eastAsiaTheme="minorEastAsia"/>
                <w:lang w:eastAsia="en-AU"/>
              </w:rPr>
              <w:t>Actual</w:t>
            </w:r>
          </w:p>
        </w:tc>
      </w:tr>
      <w:tr w:rsidR="000B4A1E" w:rsidRPr="006D326C" w:rsidTr="00517E51">
        <w:tc>
          <w:tcPr>
            <w:tcW w:w="3794" w:type="dxa"/>
            <w:gridSpan w:val="2"/>
            <w:tcBorders>
              <w:top w:val="nil"/>
              <w:left w:val="single" w:sz="4" w:space="0" w:color="auto"/>
              <w:bottom w:val="single" w:sz="4" w:space="0" w:color="auto"/>
              <w:right w:val="nil"/>
            </w:tcBorders>
            <w:shd w:val="clear" w:color="auto" w:fill="000000"/>
          </w:tcPr>
          <w:p w:rsidR="000B4A1E" w:rsidRPr="006D326C" w:rsidRDefault="000B4A1E" w:rsidP="00517E51">
            <w:pPr>
              <w:pStyle w:val="Tabletext"/>
              <w:rPr>
                <w:rFonts w:eastAsiaTheme="minorEastAsia"/>
                <w:lang w:eastAsia="en-AU"/>
              </w:rPr>
            </w:pPr>
          </w:p>
        </w:tc>
        <w:tc>
          <w:tcPr>
            <w:tcW w:w="1170" w:type="dxa"/>
            <w:tcBorders>
              <w:top w:val="nil"/>
              <w:left w:val="nil"/>
              <w:bottom w:val="single" w:sz="4" w:space="0" w:color="auto"/>
              <w:right w:val="nil"/>
            </w:tcBorders>
            <w:shd w:val="clear" w:color="auto" w:fill="000000"/>
          </w:tcPr>
          <w:p w:rsidR="000B4A1E" w:rsidRPr="006D326C" w:rsidRDefault="000B4A1E" w:rsidP="00517E51">
            <w:pPr>
              <w:pStyle w:val="Tabletextheading"/>
              <w:rPr>
                <w:rFonts w:eastAsiaTheme="minorEastAsia"/>
                <w:lang w:eastAsia="en-AU"/>
              </w:rPr>
            </w:pPr>
            <w:r w:rsidRPr="006D326C">
              <w:rPr>
                <w:rFonts w:eastAsiaTheme="minorEastAsia"/>
                <w:lang w:eastAsia="en-AU"/>
              </w:rPr>
              <w:t>30 Jun 2013</w:t>
            </w:r>
          </w:p>
        </w:tc>
        <w:tc>
          <w:tcPr>
            <w:tcW w:w="1080" w:type="dxa"/>
            <w:tcBorders>
              <w:top w:val="nil"/>
              <w:left w:val="nil"/>
              <w:bottom w:val="single" w:sz="4" w:space="0" w:color="auto"/>
              <w:right w:val="nil"/>
            </w:tcBorders>
            <w:shd w:val="clear" w:color="auto" w:fill="000000"/>
          </w:tcPr>
          <w:p w:rsidR="000B4A1E" w:rsidRPr="006D326C" w:rsidRDefault="000B4A1E" w:rsidP="00517E51">
            <w:pPr>
              <w:pStyle w:val="Tabletextheading"/>
              <w:rPr>
                <w:rFonts w:eastAsiaTheme="minorEastAsia"/>
                <w:lang w:eastAsia="en-AU"/>
              </w:rPr>
            </w:pPr>
            <w:r w:rsidRPr="006D326C">
              <w:rPr>
                <w:rFonts w:eastAsiaTheme="minorEastAsia"/>
                <w:lang w:eastAsia="en-AU"/>
              </w:rPr>
              <w:t>variance</w:t>
            </w:r>
          </w:p>
        </w:tc>
        <w:tc>
          <w:tcPr>
            <w:tcW w:w="1226" w:type="dxa"/>
            <w:tcBorders>
              <w:top w:val="nil"/>
              <w:left w:val="nil"/>
              <w:bottom w:val="single" w:sz="4" w:space="0" w:color="auto"/>
              <w:right w:val="single" w:sz="6" w:space="0" w:color="auto"/>
            </w:tcBorders>
            <w:shd w:val="clear" w:color="auto" w:fill="000000"/>
          </w:tcPr>
          <w:p w:rsidR="000B4A1E" w:rsidRPr="006D326C" w:rsidRDefault="000B4A1E" w:rsidP="00517E51">
            <w:pPr>
              <w:pStyle w:val="Tabletextheading"/>
              <w:rPr>
                <w:rFonts w:eastAsiaTheme="minorEastAsia"/>
                <w:lang w:eastAsia="en-AU"/>
              </w:rPr>
            </w:pPr>
            <w:r w:rsidRPr="006D326C">
              <w:rPr>
                <w:rFonts w:eastAsiaTheme="minorEastAsia"/>
                <w:lang w:eastAsia="en-AU"/>
              </w:rPr>
              <w:t>30 Jun 2013</w:t>
            </w:r>
          </w:p>
        </w:tc>
        <w:tc>
          <w:tcPr>
            <w:tcW w:w="1189" w:type="dxa"/>
            <w:tcBorders>
              <w:top w:val="nil"/>
              <w:left w:val="nil"/>
              <w:bottom w:val="single" w:sz="4" w:space="0" w:color="auto"/>
              <w:right w:val="nil"/>
            </w:tcBorders>
            <w:shd w:val="clear" w:color="auto" w:fill="000000"/>
          </w:tcPr>
          <w:p w:rsidR="000B4A1E" w:rsidRPr="006D326C" w:rsidRDefault="000B4A1E" w:rsidP="00517E51">
            <w:pPr>
              <w:pStyle w:val="Tabletextheading"/>
              <w:rPr>
                <w:rFonts w:eastAsiaTheme="minorEastAsia"/>
                <w:lang w:eastAsia="en-AU"/>
              </w:rPr>
            </w:pPr>
            <w:r w:rsidRPr="006D326C">
              <w:rPr>
                <w:rFonts w:eastAsiaTheme="minorEastAsia"/>
                <w:lang w:eastAsia="en-AU"/>
              </w:rPr>
              <w:t>Movement</w:t>
            </w:r>
          </w:p>
        </w:tc>
        <w:tc>
          <w:tcPr>
            <w:tcW w:w="1189" w:type="dxa"/>
            <w:gridSpan w:val="5"/>
            <w:tcBorders>
              <w:top w:val="nil"/>
              <w:left w:val="nil"/>
              <w:bottom w:val="single" w:sz="4" w:space="0" w:color="auto"/>
              <w:right w:val="single" w:sz="4" w:space="0" w:color="auto"/>
            </w:tcBorders>
            <w:shd w:val="clear" w:color="auto" w:fill="000000"/>
          </w:tcPr>
          <w:p w:rsidR="000B4A1E" w:rsidRPr="006D326C" w:rsidRDefault="000B4A1E" w:rsidP="00517E51">
            <w:pPr>
              <w:pStyle w:val="Tabletextheading"/>
              <w:rPr>
                <w:rFonts w:eastAsiaTheme="minorEastAsia"/>
                <w:lang w:eastAsia="en-AU"/>
              </w:rPr>
            </w:pPr>
            <w:r w:rsidRPr="006D326C">
              <w:rPr>
                <w:rFonts w:eastAsiaTheme="minorEastAsia"/>
                <w:lang w:eastAsia="en-AU"/>
              </w:rPr>
              <w:t>30 Jun 2012</w:t>
            </w:r>
          </w:p>
        </w:tc>
      </w:tr>
      <w:tr w:rsidR="000B4A1E" w:rsidRPr="006D326C" w:rsidTr="00517E51">
        <w:tc>
          <w:tcPr>
            <w:tcW w:w="3794" w:type="dxa"/>
            <w:gridSpan w:val="2"/>
            <w:tcBorders>
              <w:top w:val="single" w:sz="4" w:space="0" w:color="auto"/>
              <w:left w:val="nil"/>
              <w:bottom w:val="nil"/>
              <w:right w:val="nil"/>
            </w:tcBorders>
          </w:tcPr>
          <w:p w:rsidR="000B4A1E" w:rsidRPr="006D326C" w:rsidRDefault="000B4A1E" w:rsidP="00517E51">
            <w:pPr>
              <w:pStyle w:val="Tabletext"/>
              <w:rPr>
                <w:rFonts w:eastAsiaTheme="minorEastAsia"/>
                <w:b/>
                <w:bCs/>
                <w:lang w:eastAsia="en-AU"/>
              </w:rPr>
            </w:pPr>
            <w:r w:rsidRPr="006D326C">
              <w:rPr>
                <w:rFonts w:eastAsiaTheme="minorEastAsia"/>
                <w:b/>
                <w:bCs/>
                <w:lang w:eastAsia="en-AU"/>
              </w:rPr>
              <w:t>Assets</w:t>
            </w:r>
          </w:p>
        </w:tc>
        <w:tc>
          <w:tcPr>
            <w:tcW w:w="1170" w:type="dxa"/>
            <w:tcBorders>
              <w:top w:val="single" w:sz="4" w:space="0" w:color="auto"/>
              <w:left w:val="nil"/>
              <w:bottom w:val="nil"/>
              <w:right w:val="nil"/>
            </w:tcBorders>
          </w:tcPr>
          <w:p w:rsidR="000B4A1E" w:rsidRPr="006D326C" w:rsidRDefault="000B4A1E" w:rsidP="00517E51">
            <w:pPr>
              <w:pStyle w:val="TableofFigures"/>
              <w:rPr>
                <w:rFonts w:eastAsiaTheme="minorEastAsia"/>
                <w:lang w:eastAsia="en-AU"/>
              </w:rPr>
            </w:pPr>
          </w:p>
        </w:tc>
        <w:tc>
          <w:tcPr>
            <w:tcW w:w="1080" w:type="dxa"/>
            <w:tcBorders>
              <w:top w:val="single" w:sz="4" w:space="0" w:color="auto"/>
              <w:left w:val="nil"/>
              <w:bottom w:val="nil"/>
              <w:right w:val="nil"/>
            </w:tcBorders>
          </w:tcPr>
          <w:p w:rsidR="000B4A1E" w:rsidRPr="006D326C" w:rsidRDefault="000B4A1E" w:rsidP="00517E51">
            <w:pPr>
              <w:pStyle w:val="TableofFigures"/>
              <w:rPr>
                <w:rFonts w:eastAsiaTheme="minorEastAsia"/>
                <w:lang w:eastAsia="en-AU"/>
              </w:rPr>
            </w:pPr>
          </w:p>
        </w:tc>
        <w:tc>
          <w:tcPr>
            <w:tcW w:w="1226" w:type="dxa"/>
            <w:tcBorders>
              <w:top w:val="single" w:sz="4" w:space="0" w:color="auto"/>
              <w:left w:val="nil"/>
              <w:bottom w:val="nil"/>
              <w:right w:val="nil"/>
            </w:tcBorders>
          </w:tcPr>
          <w:p w:rsidR="000B4A1E" w:rsidRPr="006D326C" w:rsidRDefault="000B4A1E" w:rsidP="00517E51">
            <w:pPr>
              <w:pStyle w:val="TableofFigures"/>
              <w:rPr>
                <w:rFonts w:eastAsiaTheme="minorEastAsia"/>
                <w:lang w:eastAsia="en-AU"/>
              </w:rPr>
            </w:pPr>
          </w:p>
        </w:tc>
        <w:tc>
          <w:tcPr>
            <w:tcW w:w="1189" w:type="dxa"/>
            <w:tcBorders>
              <w:top w:val="single" w:sz="4" w:space="0" w:color="auto"/>
              <w:left w:val="nil"/>
              <w:bottom w:val="nil"/>
              <w:right w:val="nil"/>
            </w:tcBorders>
          </w:tcPr>
          <w:p w:rsidR="000B4A1E" w:rsidRPr="006D326C" w:rsidRDefault="000B4A1E" w:rsidP="00517E51">
            <w:pPr>
              <w:pStyle w:val="TableofFigures"/>
              <w:rPr>
                <w:rFonts w:eastAsiaTheme="minorEastAsia"/>
                <w:lang w:eastAsia="en-AU"/>
              </w:rPr>
            </w:pPr>
          </w:p>
        </w:tc>
        <w:tc>
          <w:tcPr>
            <w:tcW w:w="1189" w:type="dxa"/>
            <w:gridSpan w:val="5"/>
            <w:tcBorders>
              <w:top w:val="single" w:sz="4" w:space="0" w:color="auto"/>
              <w:left w:val="nil"/>
              <w:bottom w:val="nil"/>
              <w:right w:val="nil"/>
            </w:tcBorders>
          </w:tcPr>
          <w:p w:rsidR="000B4A1E" w:rsidRPr="006D326C" w:rsidRDefault="000B4A1E" w:rsidP="00517E51">
            <w:pPr>
              <w:pStyle w:val="TableofFigures"/>
              <w:rPr>
                <w:rFonts w:eastAsiaTheme="minorEastAsia"/>
                <w:lang w:eastAsia="en-AU"/>
              </w:rPr>
            </w:pPr>
          </w:p>
        </w:tc>
      </w:tr>
      <w:tr w:rsidR="000B4A1E" w:rsidRPr="006D326C" w:rsidTr="00517E51">
        <w:tc>
          <w:tcPr>
            <w:tcW w:w="3794" w:type="dxa"/>
            <w:gridSpan w:val="2"/>
            <w:tcBorders>
              <w:top w:val="nil"/>
              <w:left w:val="nil"/>
              <w:bottom w:val="nil"/>
              <w:right w:val="nil"/>
            </w:tcBorders>
          </w:tcPr>
          <w:p w:rsidR="000B4A1E" w:rsidRPr="006D326C" w:rsidRDefault="000B4A1E" w:rsidP="00517E51">
            <w:pPr>
              <w:pStyle w:val="Tabletext"/>
              <w:rPr>
                <w:rFonts w:eastAsiaTheme="minorEastAsia"/>
                <w:lang w:eastAsia="en-AU"/>
              </w:rPr>
            </w:pPr>
            <w:r w:rsidRPr="006D326C">
              <w:rPr>
                <w:rFonts w:eastAsiaTheme="minorEastAsia"/>
                <w:lang w:eastAsia="en-AU"/>
              </w:rPr>
              <w:t>Cash and deposits</w:t>
            </w:r>
          </w:p>
        </w:tc>
        <w:tc>
          <w:tcPr>
            <w:tcW w:w="1170"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4 759.9</w:t>
            </w:r>
          </w:p>
        </w:tc>
        <w:tc>
          <w:tcPr>
            <w:tcW w:w="1080"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( 398.0)</w:t>
            </w:r>
          </w:p>
        </w:tc>
        <w:tc>
          <w:tcPr>
            <w:tcW w:w="1226"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5 157.9</w:t>
            </w:r>
          </w:p>
        </w:tc>
        <w:tc>
          <w:tcPr>
            <w:tcW w:w="1189" w:type="dxa"/>
            <w:tcBorders>
              <w:top w:val="nil"/>
              <w:left w:val="nil"/>
              <w:bottom w:val="nil"/>
              <w:right w:val="nil"/>
            </w:tcBorders>
          </w:tcPr>
          <w:p w:rsidR="000B4A1E" w:rsidRPr="006D326C" w:rsidRDefault="000B4A1E" w:rsidP="00517E51">
            <w:pPr>
              <w:pStyle w:val="TableofFigures"/>
              <w:rPr>
                <w:rFonts w:eastAsiaTheme="minorEastAsia" w:cs="Calibri"/>
                <w:color w:val="0000FF"/>
                <w:szCs w:val="22"/>
                <w:lang w:eastAsia="en-AU"/>
              </w:rPr>
            </w:pPr>
            <w:r w:rsidRPr="006D326C">
              <w:rPr>
                <w:rFonts w:eastAsiaTheme="minorEastAsia"/>
                <w:lang w:eastAsia="en-AU"/>
              </w:rPr>
              <w:t>(1 015.2)</w:t>
            </w:r>
          </w:p>
        </w:tc>
        <w:tc>
          <w:tcPr>
            <w:tcW w:w="1189" w:type="dxa"/>
            <w:gridSpan w:val="5"/>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5 775.1</w:t>
            </w:r>
          </w:p>
        </w:tc>
      </w:tr>
      <w:tr w:rsidR="000B4A1E" w:rsidRPr="006D326C" w:rsidTr="00517E51">
        <w:tc>
          <w:tcPr>
            <w:tcW w:w="3794" w:type="dxa"/>
            <w:gridSpan w:val="2"/>
            <w:tcBorders>
              <w:top w:val="nil"/>
              <w:left w:val="nil"/>
              <w:bottom w:val="nil"/>
              <w:right w:val="nil"/>
            </w:tcBorders>
          </w:tcPr>
          <w:p w:rsidR="000B4A1E" w:rsidRPr="006D326C" w:rsidRDefault="000B4A1E" w:rsidP="00517E51">
            <w:pPr>
              <w:pStyle w:val="Tabletext"/>
              <w:rPr>
                <w:rFonts w:eastAsiaTheme="minorEastAsia"/>
                <w:lang w:eastAsia="en-AU"/>
              </w:rPr>
            </w:pPr>
            <w:r w:rsidRPr="006D326C">
              <w:rPr>
                <w:rFonts w:eastAsiaTheme="minorEastAsia"/>
                <w:lang w:eastAsia="en-AU"/>
              </w:rPr>
              <w:t>Advances paid</w:t>
            </w:r>
          </w:p>
        </w:tc>
        <w:tc>
          <w:tcPr>
            <w:tcW w:w="1170"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xml:space="preserve"> 72.1</w:t>
            </w:r>
          </w:p>
        </w:tc>
        <w:tc>
          <w:tcPr>
            <w:tcW w:w="1080"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( 61.4)</w:t>
            </w:r>
          </w:p>
        </w:tc>
        <w:tc>
          <w:tcPr>
            <w:tcW w:w="1226"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xml:space="preserve"> 133.4</w:t>
            </w:r>
          </w:p>
        </w:tc>
        <w:tc>
          <w:tcPr>
            <w:tcW w:w="1189"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( 16.5)</w:t>
            </w:r>
          </w:p>
        </w:tc>
        <w:tc>
          <w:tcPr>
            <w:tcW w:w="1189" w:type="dxa"/>
            <w:gridSpan w:val="5"/>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xml:space="preserve"> 88.6</w:t>
            </w:r>
          </w:p>
        </w:tc>
      </w:tr>
      <w:tr w:rsidR="000B4A1E" w:rsidRPr="006D326C" w:rsidTr="00517E51">
        <w:tc>
          <w:tcPr>
            <w:tcW w:w="3794" w:type="dxa"/>
            <w:gridSpan w:val="2"/>
            <w:tcBorders>
              <w:top w:val="nil"/>
              <w:left w:val="nil"/>
              <w:bottom w:val="nil"/>
              <w:right w:val="nil"/>
            </w:tcBorders>
          </w:tcPr>
          <w:p w:rsidR="000B4A1E" w:rsidRPr="006D326C" w:rsidRDefault="000B4A1E" w:rsidP="00517E51">
            <w:pPr>
              <w:pStyle w:val="Tabletext"/>
              <w:rPr>
                <w:rFonts w:eastAsiaTheme="minorEastAsia"/>
                <w:lang w:eastAsia="en-AU"/>
              </w:rPr>
            </w:pPr>
            <w:r w:rsidRPr="006D326C">
              <w:rPr>
                <w:rFonts w:eastAsiaTheme="minorEastAsia"/>
                <w:lang w:eastAsia="en-AU"/>
              </w:rPr>
              <w:t>Investments, loans and placements</w:t>
            </w:r>
          </w:p>
        </w:tc>
        <w:tc>
          <w:tcPr>
            <w:tcW w:w="1170" w:type="dxa"/>
            <w:tcBorders>
              <w:top w:val="nil"/>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4 439.6</w:t>
            </w:r>
          </w:p>
        </w:tc>
        <w:tc>
          <w:tcPr>
            <w:tcW w:w="1080" w:type="dxa"/>
            <w:tcBorders>
              <w:top w:val="nil"/>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xml:space="preserve"> 911.6</w:t>
            </w:r>
          </w:p>
        </w:tc>
        <w:tc>
          <w:tcPr>
            <w:tcW w:w="1226" w:type="dxa"/>
            <w:tcBorders>
              <w:top w:val="nil"/>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3 528.0</w:t>
            </w:r>
          </w:p>
        </w:tc>
        <w:tc>
          <w:tcPr>
            <w:tcW w:w="1189" w:type="dxa"/>
            <w:tcBorders>
              <w:top w:val="nil"/>
              <w:left w:val="nil"/>
              <w:bottom w:val="single" w:sz="6" w:space="0" w:color="auto"/>
              <w:right w:val="nil"/>
            </w:tcBorders>
          </w:tcPr>
          <w:p w:rsidR="000B4A1E" w:rsidRPr="006D326C" w:rsidRDefault="000B4A1E" w:rsidP="00517E51">
            <w:pPr>
              <w:pStyle w:val="TableofFigures"/>
              <w:rPr>
                <w:rFonts w:eastAsiaTheme="minorEastAsia" w:cs="Calibri"/>
                <w:color w:val="0000FF"/>
                <w:szCs w:val="22"/>
                <w:lang w:eastAsia="en-AU"/>
              </w:rPr>
            </w:pPr>
            <w:r w:rsidRPr="006D326C">
              <w:rPr>
                <w:rFonts w:eastAsiaTheme="minorEastAsia"/>
                <w:lang w:eastAsia="en-AU"/>
              </w:rPr>
              <w:t>1 157.6</w:t>
            </w:r>
          </w:p>
        </w:tc>
        <w:tc>
          <w:tcPr>
            <w:tcW w:w="1189" w:type="dxa"/>
            <w:gridSpan w:val="5"/>
            <w:tcBorders>
              <w:top w:val="nil"/>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3 282.0</w:t>
            </w:r>
          </w:p>
        </w:tc>
      </w:tr>
      <w:tr w:rsidR="000B4A1E" w:rsidRPr="006D326C" w:rsidTr="00517E51">
        <w:tc>
          <w:tcPr>
            <w:tcW w:w="3794" w:type="dxa"/>
            <w:gridSpan w:val="2"/>
            <w:tcBorders>
              <w:top w:val="single" w:sz="6" w:space="0" w:color="auto"/>
              <w:left w:val="nil"/>
              <w:bottom w:val="nil"/>
              <w:right w:val="nil"/>
            </w:tcBorders>
          </w:tcPr>
          <w:p w:rsidR="000B4A1E" w:rsidRPr="006D326C" w:rsidRDefault="000B4A1E" w:rsidP="00517E51">
            <w:pPr>
              <w:pStyle w:val="Tabletext"/>
              <w:rPr>
                <w:rFonts w:eastAsiaTheme="minorEastAsia"/>
                <w:b/>
                <w:bCs/>
                <w:lang w:eastAsia="en-AU"/>
              </w:rPr>
            </w:pPr>
            <w:r w:rsidRPr="006D326C">
              <w:rPr>
                <w:rFonts w:eastAsiaTheme="minorEastAsia"/>
                <w:b/>
                <w:bCs/>
                <w:lang w:eastAsia="en-AU"/>
              </w:rPr>
              <w:t xml:space="preserve">Total </w:t>
            </w:r>
          </w:p>
        </w:tc>
        <w:tc>
          <w:tcPr>
            <w:tcW w:w="1170" w:type="dxa"/>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9 271.5</w:t>
            </w:r>
          </w:p>
        </w:tc>
        <w:tc>
          <w:tcPr>
            <w:tcW w:w="1080" w:type="dxa"/>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 xml:space="preserve"> 452.2</w:t>
            </w:r>
          </w:p>
        </w:tc>
        <w:tc>
          <w:tcPr>
            <w:tcW w:w="1226" w:type="dxa"/>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8 819.3</w:t>
            </w:r>
          </w:p>
        </w:tc>
        <w:tc>
          <w:tcPr>
            <w:tcW w:w="1189" w:type="dxa"/>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 xml:space="preserve"> 125.8</w:t>
            </w:r>
          </w:p>
        </w:tc>
        <w:tc>
          <w:tcPr>
            <w:tcW w:w="1189" w:type="dxa"/>
            <w:gridSpan w:val="5"/>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9 145.7</w:t>
            </w:r>
          </w:p>
        </w:tc>
      </w:tr>
      <w:tr w:rsidR="000B4A1E" w:rsidRPr="006D326C" w:rsidTr="00517E51">
        <w:tc>
          <w:tcPr>
            <w:tcW w:w="3794" w:type="dxa"/>
            <w:gridSpan w:val="2"/>
            <w:tcBorders>
              <w:top w:val="nil"/>
              <w:left w:val="nil"/>
              <w:bottom w:val="nil"/>
              <w:right w:val="nil"/>
            </w:tcBorders>
          </w:tcPr>
          <w:p w:rsidR="000B4A1E" w:rsidRPr="006D326C" w:rsidRDefault="000B4A1E" w:rsidP="00517E51">
            <w:pPr>
              <w:pStyle w:val="Tabletext"/>
              <w:rPr>
                <w:rFonts w:eastAsiaTheme="minorEastAsia"/>
                <w:b/>
                <w:bCs/>
                <w:lang w:eastAsia="en-AU"/>
              </w:rPr>
            </w:pPr>
            <w:r w:rsidRPr="006D326C">
              <w:rPr>
                <w:rFonts w:eastAsiaTheme="minorEastAsia"/>
                <w:b/>
                <w:bCs/>
                <w:lang w:eastAsia="en-AU"/>
              </w:rPr>
              <w:t>Liabilities</w:t>
            </w:r>
          </w:p>
        </w:tc>
        <w:tc>
          <w:tcPr>
            <w:tcW w:w="1170" w:type="dxa"/>
            <w:tcBorders>
              <w:top w:val="nil"/>
              <w:left w:val="nil"/>
              <w:bottom w:val="nil"/>
              <w:right w:val="nil"/>
            </w:tcBorders>
          </w:tcPr>
          <w:p w:rsidR="000B4A1E" w:rsidRPr="006D326C" w:rsidRDefault="000B4A1E" w:rsidP="00517E51">
            <w:pPr>
              <w:pStyle w:val="TableofFigures"/>
              <w:rPr>
                <w:rFonts w:eastAsiaTheme="minorEastAsia"/>
                <w:lang w:eastAsia="en-AU"/>
              </w:rPr>
            </w:pPr>
          </w:p>
        </w:tc>
        <w:tc>
          <w:tcPr>
            <w:tcW w:w="1080" w:type="dxa"/>
            <w:tcBorders>
              <w:top w:val="nil"/>
              <w:left w:val="nil"/>
              <w:bottom w:val="nil"/>
              <w:right w:val="nil"/>
            </w:tcBorders>
          </w:tcPr>
          <w:p w:rsidR="000B4A1E" w:rsidRPr="006D326C" w:rsidRDefault="000B4A1E" w:rsidP="00517E51">
            <w:pPr>
              <w:pStyle w:val="TableofFigures"/>
              <w:rPr>
                <w:rFonts w:eastAsiaTheme="minorEastAsia"/>
                <w:lang w:eastAsia="en-AU"/>
              </w:rPr>
            </w:pPr>
          </w:p>
        </w:tc>
        <w:tc>
          <w:tcPr>
            <w:tcW w:w="1226" w:type="dxa"/>
            <w:tcBorders>
              <w:top w:val="nil"/>
              <w:left w:val="nil"/>
              <w:bottom w:val="nil"/>
              <w:right w:val="nil"/>
            </w:tcBorders>
          </w:tcPr>
          <w:p w:rsidR="000B4A1E" w:rsidRPr="006D326C" w:rsidRDefault="000B4A1E" w:rsidP="00517E51">
            <w:pPr>
              <w:pStyle w:val="TableofFigures"/>
              <w:rPr>
                <w:rFonts w:eastAsiaTheme="minorEastAsia"/>
                <w:lang w:eastAsia="en-AU"/>
              </w:rPr>
            </w:pPr>
          </w:p>
        </w:tc>
        <w:tc>
          <w:tcPr>
            <w:tcW w:w="1189" w:type="dxa"/>
            <w:tcBorders>
              <w:top w:val="nil"/>
              <w:left w:val="nil"/>
              <w:bottom w:val="nil"/>
              <w:right w:val="nil"/>
            </w:tcBorders>
          </w:tcPr>
          <w:p w:rsidR="000B4A1E" w:rsidRPr="006D326C" w:rsidRDefault="000B4A1E" w:rsidP="00517E51">
            <w:pPr>
              <w:pStyle w:val="TableofFigures"/>
              <w:rPr>
                <w:rFonts w:eastAsiaTheme="minorEastAsia"/>
                <w:lang w:eastAsia="en-AU"/>
              </w:rPr>
            </w:pPr>
          </w:p>
        </w:tc>
        <w:tc>
          <w:tcPr>
            <w:tcW w:w="1189" w:type="dxa"/>
            <w:gridSpan w:val="5"/>
            <w:tcBorders>
              <w:top w:val="nil"/>
              <w:left w:val="nil"/>
              <w:bottom w:val="nil"/>
              <w:right w:val="nil"/>
            </w:tcBorders>
          </w:tcPr>
          <w:p w:rsidR="000B4A1E" w:rsidRPr="006D326C" w:rsidRDefault="000B4A1E" w:rsidP="00517E51">
            <w:pPr>
              <w:pStyle w:val="TableofFigures"/>
              <w:rPr>
                <w:rFonts w:eastAsiaTheme="minorEastAsia"/>
                <w:lang w:eastAsia="en-AU"/>
              </w:rPr>
            </w:pPr>
          </w:p>
        </w:tc>
      </w:tr>
      <w:tr w:rsidR="000B4A1E" w:rsidRPr="006D326C" w:rsidTr="00517E51">
        <w:tc>
          <w:tcPr>
            <w:tcW w:w="3794" w:type="dxa"/>
            <w:gridSpan w:val="2"/>
            <w:tcBorders>
              <w:top w:val="nil"/>
              <w:left w:val="nil"/>
              <w:bottom w:val="nil"/>
              <w:right w:val="nil"/>
            </w:tcBorders>
          </w:tcPr>
          <w:p w:rsidR="000B4A1E" w:rsidRPr="006D326C" w:rsidRDefault="000B4A1E" w:rsidP="00517E51">
            <w:pPr>
              <w:pStyle w:val="Tabletext"/>
              <w:rPr>
                <w:rFonts w:eastAsiaTheme="minorEastAsia"/>
                <w:lang w:eastAsia="en-AU"/>
              </w:rPr>
            </w:pPr>
            <w:r w:rsidRPr="006D326C">
              <w:rPr>
                <w:rFonts w:eastAsiaTheme="minorEastAsia"/>
                <w:lang w:eastAsia="en-AU"/>
              </w:rPr>
              <w:t>Deposits held and advances received</w:t>
            </w:r>
          </w:p>
        </w:tc>
        <w:tc>
          <w:tcPr>
            <w:tcW w:w="1170"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xml:space="preserve"> 583.4</w:t>
            </w:r>
          </w:p>
        </w:tc>
        <w:tc>
          <w:tcPr>
            <w:tcW w:w="1080"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xml:space="preserve"> 111.6</w:t>
            </w:r>
          </w:p>
        </w:tc>
        <w:tc>
          <w:tcPr>
            <w:tcW w:w="1226"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xml:space="preserve"> 471.8</w:t>
            </w:r>
          </w:p>
        </w:tc>
        <w:tc>
          <w:tcPr>
            <w:tcW w:w="1189"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xml:space="preserve"> 76.3</w:t>
            </w:r>
          </w:p>
        </w:tc>
        <w:tc>
          <w:tcPr>
            <w:tcW w:w="1189" w:type="dxa"/>
            <w:gridSpan w:val="5"/>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xml:space="preserve"> 507.2</w:t>
            </w:r>
          </w:p>
        </w:tc>
      </w:tr>
      <w:tr w:rsidR="000B4A1E" w:rsidRPr="006D326C" w:rsidTr="00517E51">
        <w:tc>
          <w:tcPr>
            <w:tcW w:w="3794" w:type="dxa"/>
            <w:gridSpan w:val="2"/>
            <w:tcBorders>
              <w:top w:val="nil"/>
              <w:left w:val="nil"/>
              <w:bottom w:val="nil"/>
              <w:right w:val="nil"/>
            </w:tcBorders>
          </w:tcPr>
          <w:p w:rsidR="000B4A1E" w:rsidRPr="006D326C" w:rsidRDefault="000B4A1E" w:rsidP="00517E51">
            <w:pPr>
              <w:pStyle w:val="Tabletext"/>
              <w:rPr>
                <w:rFonts w:eastAsiaTheme="minorEastAsia"/>
                <w:lang w:eastAsia="en-AU"/>
              </w:rPr>
            </w:pPr>
            <w:r w:rsidRPr="006D326C">
              <w:rPr>
                <w:rFonts w:eastAsiaTheme="minorEastAsia"/>
                <w:lang w:eastAsia="en-AU"/>
              </w:rPr>
              <w:t>Borrowings</w:t>
            </w:r>
          </w:p>
        </w:tc>
        <w:tc>
          <w:tcPr>
            <w:tcW w:w="1170"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43 272.9</w:t>
            </w:r>
          </w:p>
        </w:tc>
        <w:tc>
          <w:tcPr>
            <w:tcW w:w="1080"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( 217.2)</w:t>
            </w:r>
          </w:p>
        </w:tc>
        <w:tc>
          <w:tcPr>
            <w:tcW w:w="1226"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43 490.0</w:t>
            </w:r>
          </w:p>
        </w:tc>
        <w:tc>
          <w:tcPr>
            <w:tcW w:w="1189" w:type="dxa"/>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10 013.2</w:t>
            </w:r>
          </w:p>
        </w:tc>
        <w:tc>
          <w:tcPr>
            <w:tcW w:w="1189" w:type="dxa"/>
            <w:gridSpan w:val="5"/>
            <w:tcBorders>
              <w:top w:val="nil"/>
              <w:left w:val="nil"/>
              <w:bottom w:val="nil"/>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33 259.7</w:t>
            </w:r>
          </w:p>
        </w:tc>
      </w:tr>
      <w:tr w:rsidR="000B4A1E" w:rsidRPr="006D326C" w:rsidTr="00517E51">
        <w:tc>
          <w:tcPr>
            <w:tcW w:w="3794" w:type="dxa"/>
            <w:gridSpan w:val="2"/>
            <w:tcBorders>
              <w:top w:val="single" w:sz="6" w:space="0" w:color="auto"/>
              <w:left w:val="nil"/>
              <w:bottom w:val="nil"/>
              <w:right w:val="nil"/>
            </w:tcBorders>
          </w:tcPr>
          <w:p w:rsidR="000B4A1E" w:rsidRPr="006D326C" w:rsidRDefault="000B4A1E" w:rsidP="00517E51">
            <w:pPr>
              <w:pStyle w:val="Tabletext"/>
              <w:rPr>
                <w:rFonts w:eastAsiaTheme="minorEastAsia"/>
                <w:b/>
                <w:bCs/>
                <w:lang w:eastAsia="en-AU"/>
              </w:rPr>
            </w:pPr>
            <w:r w:rsidRPr="006D326C">
              <w:rPr>
                <w:rFonts w:eastAsiaTheme="minorEastAsia"/>
                <w:b/>
                <w:bCs/>
                <w:lang w:eastAsia="en-AU"/>
              </w:rPr>
              <w:t>Total</w:t>
            </w:r>
          </w:p>
        </w:tc>
        <w:tc>
          <w:tcPr>
            <w:tcW w:w="1170" w:type="dxa"/>
            <w:tcBorders>
              <w:top w:val="single" w:sz="6" w:space="0" w:color="auto"/>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43 856.3</w:t>
            </w:r>
          </w:p>
        </w:tc>
        <w:tc>
          <w:tcPr>
            <w:tcW w:w="1080" w:type="dxa"/>
            <w:tcBorders>
              <w:top w:val="single" w:sz="6" w:space="0" w:color="auto"/>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( 105.6)</w:t>
            </w:r>
          </w:p>
        </w:tc>
        <w:tc>
          <w:tcPr>
            <w:tcW w:w="1226" w:type="dxa"/>
            <w:tcBorders>
              <w:top w:val="single" w:sz="6" w:space="0" w:color="auto"/>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43 961.9</w:t>
            </w:r>
          </w:p>
        </w:tc>
        <w:tc>
          <w:tcPr>
            <w:tcW w:w="1189" w:type="dxa"/>
            <w:tcBorders>
              <w:top w:val="single" w:sz="6" w:space="0" w:color="auto"/>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10 089.4</w:t>
            </w:r>
          </w:p>
        </w:tc>
        <w:tc>
          <w:tcPr>
            <w:tcW w:w="1189" w:type="dxa"/>
            <w:gridSpan w:val="5"/>
            <w:tcBorders>
              <w:top w:val="single" w:sz="6" w:space="0" w:color="auto"/>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33 766.9</w:t>
            </w:r>
          </w:p>
        </w:tc>
      </w:tr>
      <w:tr w:rsidR="000B4A1E" w:rsidRPr="006D326C" w:rsidTr="00517E51">
        <w:tc>
          <w:tcPr>
            <w:tcW w:w="3794" w:type="dxa"/>
            <w:gridSpan w:val="2"/>
            <w:tcBorders>
              <w:top w:val="single" w:sz="6" w:space="0" w:color="auto"/>
              <w:left w:val="nil"/>
              <w:bottom w:val="nil"/>
              <w:right w:val="nil"/>
            </w:tcBorders>
          </w:tcPr>
          <w:p w:rsidR="000B4A1E" w:rsidRPr="006D326C" w:rsidRDefault="000B4A1E" w:rsidP="00517E51">
            <w:pPr>
              <w:pStyle w:val="Tabletext"/>
              <w:rPr>
                <w:rFonts w:eastAsiaTheme="minorEastAsia"/>
                <w:b/>
                <w:bCs/>
                <w:lang w:eastAsia="en-AU"/>
              </w:rPr>
            </w:pPr>
            <w:r w:rsidRPr="006D326C">
              <w:rPr>
                <w:rFonts w:eastAsiaTheme="minorEastAsia"/>
                <w:b/>
                <w:bCs/>
                <w:lang w:eastAsia="en-AU"/>
              </w:rPr>
              <w:t>Net debt</w:t>
            </w:r>
          </w:p>
        </w:tc>
        <w:tc>
          <w:tcPr>
            <w:tcW w:w="1170" w:type="dxa"/>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34 584.8</w:t>
            </w:r>
          </w:p>
        </w:tc>
        <w:tc>
          <w:tcPr>
            <w:tcW w:w="1080" w:type="dxa"/>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( 557.8)</w:t>
            </w:r>
          </w:p>
        </w:tc>
        <w:tc>
          <w:tcPr>
            <w:tcW w:w="1226" w:type="dxa"/>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35 142.6</w:t>
            </w:r>
          </w:p>
        </w:tc>
        <w:tc>
          <w:tcPr>
            <w:tcW w:w="1189" w:type="dxa"/>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9 963.6</w:t>
            </w:r>
          </w:p>
        </w:tc>
        <w:tc>
          <w:tcPr>
            <w:tcW w:w="1189" w:type="dxa"/>
            <w:gridSpan w:val="5"/>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24 621.1</w:t>
            </w:r>
          </w:p>
        </w:tc>
      </w:tr>
      <w:tr w:rsidR="000B4A1E" w:rsidRPr="006D326C" w:rsidTr="00517E51">
        <w:tc>
          <w:tcPr>
            <w:tcW w:w="3794" w:type="dxa"/>
            <w:gridSpan w:val="2"/>
            <w:tcBorders>
              <w:top w:val="nil"/>
              <w:left w:val="nil"/>
              <w:bottom w:val="single" w:sz="6" w:space="0" w:color="auto"/>
              <w:right w:val="nil"/>
            </w:tcBorders>
          </w:tcPr>
          <w:p w:rsidR="000B4A1E" w:rsidRPr="006D326C" w:rsidRDefault="000B4A1E" w:rsidP="00517E51">
            <w:pPr>
              <w:pStyle w:val="Tabletext"/>
              <w:rPr>
                <w:rFonts w:eastAsiaTheme="minorEastAsia"/>
                <w:lang w:eastAsia="en-AU"/>
              </w:rPr>
            </w:pPr>
            <w:r w:rsidRPr="006D326C">
              <w:rPr>
                <w:rFonts w:eastAsiaTheme="minorEastAsia"/>
                <w:lang w:eastAsia="en-AU"/>
              </w:rPr>
              <w:t>Superannuation liability</w:t>
            </w:r>
          </w:p>
        </w:tc>
        <w:tc>
          <w:tcPr>
            <w:tcW w:w="1170" w:type="dxa"/>
            <w:tcBorders>
              <w:top w:val="nil"/>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25 225.4</w:t>
            </w:r>
          </w:p>
        </w:tc>
        <w:tc>
          <w:tcPr>
            <w:tcW w:w="1080" w:type="dxa"/>
            <w:tcBorders>
              <w:top w:val="nil"/>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(3 770.0)</w:t>
            </w:r>
          </w:p>
        </w:tc>
        <w:tc>
          <w:tcPr>
            <w:tcW w:w="1226" w:type="dxa"/>
            <w:tcBorders>
              <w:top w:val="nil"/>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28 995.5</w:t>
            </w:r>
          </w:p>
        </w:tc>
        <w:tc>
          <w:tcPr>
            <w:tcW w:w="1189" w:type="dxa"/>
            <w:tcBorders>
              <w:top w:val="nil"/>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(7 525.3)</w:t>
            </w:r>
          </w:p>
        </w:tc>
        <w:tc>
          <w:tcPr>
            <w:tcW w:w="1189" w:type="dxa"/>
            <w:gridSpan w:val="5"/>
            <w:tcBorders>
              <w:top w:val="nil"/>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32 750.8</w:t>
            </w:r>
          </w:p>
        </w:tc>
      </w:tr>
      <w:tr w:rsidR="000B4A1E" w:rsidRPr="006D326C" w:rsidTr="00517E51">
        <w:tc>
          <w:tcPr>
            <w:tcW w:w="3794" w:type="dxa"/>
            <w:gridSpan w:val="2"/>
            <w:tcBorders>
              <w:top w:val="single" w:sz="6" w:space="0" w:color="auto"/>
              <w:left w:val="nil"/>
              <w:bottom w:val="nil"/>
              <w:right w:val="nil"/>
            </w:tcBorders>
          </w:tcPr>
          <w:p w:rsidR="000B4A1E" w:rsidRPr="006D326C" w:rsidRDefault="000B4A1E" w:rsidP="00517E51">
            <w:pPr>
              <w:pStyle w:val="Tabletext"/>
              <w:rPr>
                <w:rFonts w:eastAsiaTheme="minorEastAsia"/>
                <w:b/>
                <w:bCs/>
                <w:lang w:eastAsia="en-AU"/>
              </w:rPr>
            </w:pPr>
            <w:r w:rsidRPr="006D326C">
              <w:rPr>
                <w:rFonts w:eastAsiaTheme="minorEastAsia"/>
                <w:b/>
                <w:bCs/>
                <w:lang w:eastAsia="en-AU"/>
              </w:rPr>
              <w:t>Net debt plus superannuation liabilities</w:t>
            </w:r>
          </w:p>
        </w:tc>
        <w:tc>
          <w:tcPr>
            <w:tcW w:w="1170" w:type="dxa"/>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59 810.2</w:t>
            </w:r>
          </w:p>
        </w:tc>
        <w:tc>
          <w:tcPr>
            <w:tcW w:w="1080" w:type="dxa"/>
            <w:tcBorders>
              <w:top w:val="single" w:sz="6" w:space="0" w:color="auto"/>
              <w:left w:val="nil"/>
              <w:bottom w:val="nil"/>
              <w:right w:val="nil"/>
            </w:tcBorders>
          </w:tcPr>
          <w:p w:rsidR="000B4A1E" w:rsidRPr="006D326C" w:rsidRDefault="000B4A1E" w:rsidP="00517E51">
            <w:pPr>
              <w:pStyle w:val="TableofFigures"/>
              <w:rPr>
                <w:rFonts w:eastAsiaTheme="minorEastAsia" w:cs="Calibri"/>
                <w:color w:val="0000FF"/>
                <w:szCs w:val="22"/>
                <w:lang w:eastAsia="en-AU"/>
              </w:rPr>
            </w:pPr>
            <w:r w:rsidRPr="006D326C">
              <w:rPr>
                <w:rFonts w:eastAsiaTheme="minorEastAsia"/>
                <w:b/>
                <w:lang w:eastAsia="en-AU"/>
              </w:rPr>
              <w:t>(4 327.8)</w:t>
            </w:r>
          </w:p>
        </w:tc>
        <w:tc>
          <w:tcPr>
            <w:tcW w:w="1226" w:type="dxa"/>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64 138.1</w:t>
            </w:r>
          </w:p>
        </w:tc>
        <w:tc>
          <w:tcPr>
            <w:tcW w:w="1189" w:type="dxa"/>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2 438.3</w:t>
            </w:r>
          </w:p>
        </w:tc>
        <w:tc>
          <w:tcPr>
            <w:tcW w:w="1189" w:type="dxa"/>
            <w:gridSpan w:val="5"/>
            <w:tcBorders>
              <w:top w:val="single" w:sz="6" w:space="0" w:color="auto"/>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57 371.9</w:t>
            </w:r>
          </w:p>
        </w:tc>
      </w:tr>
      <w:tr w:rsidR="000B4A1E" w:rsidRPr="006D326C" w:rsidTr="00517E51">
        <w:tc>
          <w:tcPr>
            <w:tcW w:w="3794" w:type="dxa"/>
            <w:gridSpan w:val="2"/>
            <w:tcBorders>
              <w:top w:val="nil"/>
              <w:left w:val="nil"/>
              <w:bottom w:val="nil"/>
              <w:right w:val="nil"/>
            </w:tcBorders>
          </w:tcPr>
          <w:p w:rsidR="000B4A1E" w:rsidRPr="006D326C" w:rsidRDefault="000B4A1E" w:rsidP="00517E51">
            <w:pPr>
              <w:pStyle w:val="Tabletext"/>
              <w:rPr>
                <w:rFonts w:eastAsiaTheme="minorEastAsia"/>
                <w:vertAlign w:val="superscript"/>
                <w:lang w:eastAsia="en-AU"/>
              </w:rPr>
            </w:pPr>
            <w:r w:rsidRPr="006D326C">
              <w:rPr>
                <w:rFonts w:eastAsiaTheme="minorEastAsia"/>
                <w:lang w:eastAsia="en-AU"/>
              </w:rPr>
              <w:t xml:space="preserve">Other liabilities (net) </w:t>
            </w:r>
            <w:r w:rsidRPr="006D326C">
              <w:rPr>
                <w:rFonts w:eastAsiaTheme="minorEastAsia"/>
                <w:vertAlign w:val="superscript"/>
                <w:lang w:eastAsia="en-AU"/>
              </w:rPr>
              <w:t>(a)</w:t>
            </w:r>
          </w:p>
        </w:tc>
        <w:tc>
          <w:tcPr>
            <w:tcW w:w="1170" w:type="dxa"/>
            <w:tcBorders>
              <w:top w:val="nil"/>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6 593.3</w:t>
            </w:r>
          </w:p>
        </w:tc>
        <w:tc>
          <w:tcPr>
            <w:tcW w:w="1080" w:type="dxa"/>
            <w:tcBorders>
              <w:top w:val="nil"/>
              <w:left w:val="nil"/>
              <w:bottom w:val="single" w:sz="6" w:space="0" w:color="auto"/>
              <w:right w:val="nil"/>
            </w:tcBorders>
          </w:tcPr>
          <w:p w:rsidR="000B4A1E" w:rsidRPr="006D326C" w:rsidRDefault="000B4A1E" w:rsidP="00517E51">
            <w:pPr>
              <w:pStyle w:val="TableofFigures"/>
              <w:rPr>
                <w:rFonts w:eastAsiaTheme="minorEastAsia" w:cs="Calibri"/>
                <w:color w:val="000000"/>
                <w:szCs w:val="22"/>
                <w:lang w:eastAsia="en-AU"/>
              </w:rPr>
            </w:pPr>
            <w:r w:rsidRPr="006D326C">
              <w:rPr>
                <w:rFonts w:eastAsiaTheme="minorEastAsia"/>
                <w:lang w:eastAsia="en-AU"/>
              </w:rPr>
              <w:t>( 19.3</w:t>
            </w:r>
            <w:r w:rsidRPr="006D326C">
              <w:rPr>
                <w:rFonts w:eastAsiaTheme="minorEastAsia" w:cs="Calibri"/>
                <w:color w:val="000000"/>
                <w:szCs w:val="22"/>
                <w:lang w:eastAsia="en-AU"/>
              </w:rPr>
              <w:t>)</w:t>
            </w:r>
          </w:p>
        </w:tc>
        <w:tc>
          <w:tcPr>
            <w:tcW w:w="1226" w:type="dxa"/>
            <w:tcBorders>
              <w:top w:val="nil"/>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6 612.6</w:t>
            </w:r>
          </w:p>
        </w:tc>
        <w:tc>
          <w:tcPr>
            <w:tcW w:w="1189" w:type="dxa"/>
            <w:tcBorders>
              <w:top w:val="nil"/>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 xml:space="preserve"> 2.4</w:t>
            </w:r>
          </w:p>
        </w:tc>
        <w:tc>
          <w:tcPr>
            <w:tcW w:w="1189" w:type="dxa"/>
            <w:gridSpan w:val="5"/>
            <w:tcBorders>
              <w:top w:val="nil"/>
              <w:left w:val="nil"/>
              <w:bottom w:val="single" w:sz="6" w:space="0" w:color="auto"/>
              <w:right w:val="nil"/>
            </w:tcBorders>
          </w:tcPr>
          <w:p w:rsidR="000B4A1E" w:rsidRPr="006D326C" w:rsidRDefault="000B4A1E" w:rsidP="00517E51">
            <w:pPr>
              <w:pStyle w:val="TableofFigures"/>
              <w:rPr>
                <w:rFonts w:eastAsiaTheme="minorEastAsia"/>
                <w:lang w:eastAsia="en-AU"/>
              </w:rPr>
            </w:pPr>
            <w:r w:rsidRPr="006D326C">
              <w:rPr>
                <w:rFonts w:eastAsiaTheme="minorEastAsia"/>
                <w:lang w:eastAsia="en-AU"/>
              </w:rPr>
              <w:t>6 590.9</w:t>
            </w:r>
          </w:p>
        </w:tc>
      </w:tr>
      <w:tr w:rsidR="000B4A1E" w:rsidRPr="006D326C" w:rsidTr="00517E51">
        <w:tc>
          <w:tcPr>
            <w:tcW w:w="3794" w:type="dxa"/>
            <w:gridSpan w:val="2"/>
            <w:tcBorders>
              <w:top w:val="single" w:sz="6" w:space="0" w:color="auto"/>
              <w:left w:val="nil"/>
              <w:bottom w:val="single" w:sz="12" w:space="0" w:color="auto"/>
              <w:right w:val="nil"/>
            </w:tcBorders>
          </w:tcPr>
          <w:p w:rsidR="000B4A1E" w:rsidRPr="006D326C" w:rsidRDefault="000B4A1E" w:rsidP="00517E51">
            <w:pPr>
              <w:pStyle w:val="Tabletext"/>
              <w:rPr>
                <w:rFonts w:eastAsiaTheme="minorEastAsia"/>
                <w:b/>
                <w:bCs/>
                <w:lang w:eastAsia="en-AU"/>
              </w:rPr>
            </w:pPr>
            <w:r w:rsidRPr="006D326C">
              <w:rPr>
                <w:rFonts w:eastAsiaTheme="minorEastAsia"/>
                <w:b/>
                <w:bCs/>
                <w:lang w:eastAsia="en-AU"/>
              </w:rPr>
              <w:t>Net financial liabilities</w:t>
            </w:r>
          </w:p>
        </w:tc>
        <w:tc>
          <w:tcPr>
            <w:tcW w:w="1170" w:type="dxa"/>
            <w:tcBorders>
              <w:top w:val="single" w:sz="6" w:space="0" w:color="auto"/>
              <w:left w:val="nil"/>
              <w:bottom w:val="single" w:sz="12" w:space="0" w:color="auto"/>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66 403.5</w:t>
            </w:r>
          </w:p>
        </w:tc>
        <w:tc>
          <w:tcPr>
            <w:tcW w:w="1080" w:type="dxa"/>
            <w:tcBorders>
              <w:top w:val="single" w:sz="6" w:space="0" w:color="auto"/>
              <w:left w:val="nil"/>
              <w:bottom w:val="single" w:sz="12" w:space="0" w:color="auto"/>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(4 347.2)</w:t>
            </w:r>
          </w:p>
        </w:tc>
        <w:tc>
          <w:tcPr>
            <w:tcW w:w="1226" w:type="dxa"/>
            <w:tcBorders>
              <w:top w:val="single" w:sz="6" w:space="0" w:color="auto"/>
              <w:left w:val="nil"/>
              <w:bottom w:val="single" w:sz="12" w:space="0" w:color="auto"/>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70 750.7</w:t>
            </w:r>
          </w:p>
        </w:tc>
        <w:tc>
          <w:tcPr>
            <w:tcW w:w="1189" w:type="dxa"/>
            <w:tcBorders>
              <w:top w:val="single" w:sz="6" w:space="0" w:color="auto"/>
              <w:left w:val="nil"/>
              <w:bottom w:val="single" w:sz="12" w:space="0" w:color="auto"/>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2 440.7</w:t>
            </w:r>
          </w:p>
        </w:tc>
        <w:tc>
          <w:tcPr>
            <w:tcW w:w="1189" w:type="dxa"/>
            <w:gridSpan w:val="5"/>
            <w:tcBorders>
              <w:top w:val="single" w:sz="6" w:space="0" w:color="auto"/>
              <w:left w:val="nil"/>
              <w:bottom w:val="single" w:sz="12" w:space="0" w:color="auto"/>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63 962.8</w:t>
            </w:r>
          </w:p>
        </w:tc>
      </w:tr>
      <w:tr w:rsidR="000B4A1E" w:rsidRPr="006D326C" w:rsidTr="00517E51">
        <w:tc>
          <w:tcPr>
            <w:tcW w:w="1094" w:type="dxa"/>
            <w:tcBorders>
              <w:top w:val="nil"/>
              <w:left w:val="nil"/>
              <w:bottom w:val="nil"/>
              <w:right w:val="nil"/>
            </w:tcBorders>
          </w:tcPr>
          <w:p w:rsidR="000B4A1E" w:rsidRPr="006D326C" w:rsidRDefault="000B4A1E" w:rsidP="00517E51">
            <w:pPr>
              <w:pStyle w:val="million"/>
              <w:rPr>
                <w:rFonts w:eastAsiaTheme="minorEastAsia"/>
                <w:lang w:eastAsia="en-AU"/>
              </w:rPr>
            </w:pPr>
          </w:p>
        </w:tc>
        <w:tc>
          <w:tcPr>
            <w:tcW w:w="7481" w:type="dxa"/>
            <w:gridSpan w:val="6"/>
            <w:tcBorders>
              <w:top w:val="single" w:sz="12" w:space="0" w:color="auto"/>
              <w:left w:val="nil"/>
              <w:bottom w:val="nil"/>
              <w:right w:val="nil"/>
            </w:tcBorders>
          </w:tcPr>
          <w:p w:rsidR="000B4A1E" w:rsidRPr="006D326C" w:rsidRDefault="000B4A1E" w:rsidP="00517E51">
            <w:pPr>
              <w:pStyle w:val="million"/>
              <w:rPr>
                <w:rFonts w:eastAsiaTheme="minorEastAsia"/>
                <w:lang w:eastAsia="en-AU"/>
              </w:rPr>
            </w:pPr>
            <w:r w:rsidRPr="006D326C">
              <w:rPr>
                <w:rFonts w:eastAsiaTheme="minorEastAsia"/>
                <w:lang w:eastAsia="en-AU"/>
              </w:rPr>
              <w:t>(per cent)</w:t>
            </w:r>
          </w:p>
        </w:tc>
        <w:tc>
          <w:tcPr>
            <w:tcW w:w="267" w:type="dxa"/>
            <w:tcBorders>
              <w:top w:val="single" w:sz="12" w:space="0" w:color="auto"/>
              <w:left w:val="nil"/>
              <w:bottom w:val="nil"/>
              <w:right w:val="nil"/>
            </w:tcBorders>
          </w:tcPr>
          <w:p w:rsidR="000B4A1E" w:rsidRPr="006D326C" w:rsidRDefault="000B4A1E" w:rsidP="00517E51">
            <w:pPr>
              <w:pStyle w:val="million"/>
              <w:rPr>
                <w:rFonts w:eastAsiaTheme="minorEastAsia"/>
                <w:lang w:eastAsia="en-AU"/>
              </w:rPr>
            </w:pPr>
          </w:p>
        </w:tc>
        <w:tc>
          <w:tcPr>
            <w:tcW w:w="267" w:type="dxa"/>
            <w:tcBorders>
              <w:top w:val="single" w:sz="12" w:space="0" w:color="auto"/>
              <w:left w:val="nil"/>
              <w:bottom w:val="nil"/>
              <w:right w:val="nil"/>
            </w:tcBorders>
          </w:tcPr>
          <w:p w:rsidR="000B4A1E" w:rsidRPr="006D326C" w:rsidRDefault="000B4A1E" w:rsidP="00517E51">
            <w:pPr>
              <w:pStyle w:val="million"/>
              <w:rPr>
                <w:rFonts w:eastAsiaTheme="minorEastAsia"/>
                <w:lang w:eastAsia="en-AU"/>
              </w:rPr>
            </w:pPr>
          </w:p>
        </w:tc>
        <w:tc>
          <w:tcPr>
            <w:tcW w:w="267" w:type="dxa"/>
            <w:tcBorders>
              <w:top w:val="single" w:sz="12" w:space="0" w:color="auto"/>
              <w:left w:val="nil"/>
              <w:bottom w:val="nil"/>
              <w:right w:val="nil"/>
            </w:tcBorders>
          </w:tcPr>
          <w:p w:rsidR="000B4A1E" w:rsidRPr="006D326C" w:rsidRDefault="000B4A1E" w:rsidP="00517E51">
            <w:pPr>
              <w:pStyle w:val="million"/>
              <w:rPr>
                <w:rFonts w:eastAsiaTheme="minorEastAsia"/>
                <w:lang w:eastAsia="en-AU"/>
              </w:rPr>
            </w:pPr>
          </w:p>
        </w:tc>
        <w:tc>
          <w:tcPr>
            <w:tcW w:w="272" w:type="dxa"/>
            <w:tcBorders>
              <w:top w:val="single" w:sz="12" w:space="0" w:color="auto"/>
              <w:left w:val="nil"/>
              <w:bottom w:val="nil"/>
              <w:right w:val="nil"/>
            </w:tcBorders>
          </w:tcPr>
          <w:p w:rsidR="000B4A1E" w:rsidRPr="006D326C" w:rsidRDefault="000B4A1E" w:rsidP="00517E51">
            <w:pPr>
              <w:pStyle w:val="million"/>
              <w:rPr>
                <w:rFonts w:eastAsiaTheme="minorEastAsia"/>
                <w:lang w:eastAsia="en-AU"/>
              </w:rPr>
            </w:pPr>
          </w:p>
        </w:tc>
      </w:tr>
      <w:tr w:rsidR="000B4A1E" w:rsidRPr="006D326C" w:rsidTr="00517E51">
        <w:tc>
          <w:tcPr>
            <w:tcW w:w="3794" w:type="dxa"/>
            <w:gridSpan w:val="2"/>
            <w:tcBorders>
              <w:top w:val="nil"/>
              <w:left w:val="nil"/>
              <w:bottom w:val="nil"/>
              <w:right w:val="nil"/>
            </w:tcBorders>
          </w:tcPr>
          <w:p w:rsidR="000B4A1E" w:rsidRPr="006D326C" w:rsidRDefault="000B4A1E" w:rsidP="00517E51">
            <w:pPr>
              <w:pStyle w:val="Tabletext"/>
              <w:rPr>
                <w:rFonts w:eastAsiaTheme="minorEastAsia"/>
                <w:b/>
                <w:bCs/>
                <w:lang w:eastAsia="en-AU"/>
              </w:rPr>
            </w:pPr>
            <w:r w:rsidRPr="006D326C">
              <w:rPr>
                <w:rFonts w:eastAsiaTheme="minorEastAsia"/>
                <w:b/>
                <w:bCs/>
                <w:lang w:eastAsia="en-AU"/>
              </w:rPr>
              <w:t>Net debt to GSP</w:t>
            </w:r>
          </w:p>
        </w:tc>
        <w:tc>
          <w:tcPr>
            <w:tcW w:w="1170" w:type="dxa"/>
            <w:tcBorders>
              <w:top w:val="nil"/>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 xml:space="preserve"> 10.1</w:t>
            </w:r>
          </w:p>
        </w:tc>
        <w:tc>
          <w:tcPr>
            <w:tcW w:w="1080" w:type="dxa"/>
            <w:tcBorders>
              <w:top w:val="nil"/>
              <w:left w:val="nil"/>
              <w:bottom w:val="nil"/>
              <w:right w:val="nil"/>
            </w:tcBorders>
          </w:tcPr>
          <w:p w:rsidR="000B4A1E" w:rsidRPr="006D326C" w:rsidRDefault="000B4A1E" w:rsidP="00517E51">
            <w:pPr>
              <w:pStyle w:val="TableofFigures"/>
              <w:rPr>
                <w:rFonts w:eastAsiaTheme="minorEastAsia"/>
                <w:b/>
                <w:lang w:eastAsia="en-AU"/>
              </w:rPr>
            </w:pPr>
          </w:p>
        </w:tc>
        <w:tc>
          <w:tcPr>
            <w:tcW w:w="1226" w:type="dxa"/>
            <w:tcBorders>
              <w:top w:val="nil"/>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 xml:space="preserve"> 10.2</w:t>
            </w:r>
          </w:p>
        </w:tc>
        <w:tc>
          <w:tcPr>
            <w:tcW w:w="1189" w:type="dxa"/>
            <w:tcBorders>
              <w:top w:val="nil"/>
              <w:left w:val="nil"/>
              <w:bottom w:val="nil"/>
              <w:right w:val="nil"/>
            </w:tcBorders>
          </w:tcPr>
          <w:p w:rsidR="000B4A1E" w:rsidRPr="006D326C" w:rsidRDefault="000B4A1E" w:rsidP="00517E51">
            <w:pPr>
              <w:pStyle w:val="TableofFigures"/>
              <w:rPr>
                <w:rFonts w:eastAsiaTheme="minorEastAsia"/>
                <w:b/>
                <w:lang w:eastAsia="en-AU"/>
              </w:rPr>
            </w:pPr>
          </w:p>
        </w:tc>
        <w:tc>
          <w:tcPr>
            <w:tcW w:w="1189" w:type="dxa"/>
            <w:gridSpan w:val="5"/>
            <w:tcBorders>
              <w:top w:val="nil"/>
              <w:left w:val="nil"/>
              <w:bottom w:val="nil"/>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 xml:space="preserve"> 7.5</w:t>
            </w:r>
          </w:p>
        </w:tc>
      </w:tr>
      <w:tr w:rsidR="000B4A1E" w:rsidRPr="006D326C" w:rsidTr="00517E51">
        <w:tc>
          <w:tcPr>
            <w:tcW w:w="3794" w:type="dxa"/>
            <w:gridSpan w:val="2"/>
            <w:tcBorders>
              <w:top w:val="single" w:sz="6" w:space="0" w:color="auto"/>
              <w:left w:val="nil"/>
              <w:bottom w:val="single" w:sz="6" w:space="0" w:color="auto"/>
              <w:right w:val="nil"/>
            </w:tcBorders>
          </w:tcPr>
          <w:p w:rsidR="000B4A1E" w:rsidRPr="006D326C" w:rsidRDefault="000B4A1E" w:rsidP="00517E51">
            <w:pPr>
              <w:pStyle w:val="Tabletext"/>
              <w:rPr>
                <w:rFonts w:eastAsiaTheme="minorEastAsia"/>
                <w:b/>
                <w:bCs/>
                <w:lang w:eastAsia="en-AU"/>
              </w:rPr>
            </w:pPr>
            <w:r w:rsidRPr="006D326C">
              <w:rPr>
                <w:rFonts w:eastAsiaTheme="minorEastAsia"/>
                <w:b/>
                <w:bCs/>
                <w:lang w:eastAsia="en-AU"/>
              </w:rPr>
              <w:t>Net debt plus superannuation liabilities to GSP</w:t>
            </w:r>
          </w:p>
        </w:tc>
        <w:tc>
          <w:tcPr>
            <w:tcW w:w="1170" w:type="dxa"/>
            <w:tcBorders>
              <w:top w:val="single" w:sz="6" w:space="0" w:color="auto"/>
              <w:left w:val="nil"/>
              <w:bottom w:val="single" w:sz="6" w:space="0" w:color="auto"/>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 xml:space="preserve"> 17.4</w:t>
            </w:r>
          </w:p>
        </w:tc>
        <w:tc>
          <w:tcPr>
            <w:tcW w:w="1080" w:type="dxa"/>
            <w:tcBorders>
              <w:top w:val="single" w:sz="6" w:space="0" w:color="auto"/>
              <w:left w:val="nil"/>
              <w:bottom w:val="single" w:sz="6" w:space="0" w:color="auto"/>
              <w:right w:val="nil"/>
            </w:tcBorders>
          </w:tcPr>
          <w:p w:rsidR="000B4A1E" w:rsidRPr="006D326C" w:rsidRDefault="000B4A1E" w:rsidP="00517E51">
            <w:pPr>
              <w:pStyle w:val="TableofFigures"/>
              <w:rPr>
                <w:rFonts w:eastAsiaTheme="minorEastAsia"/>
                <w:b/>
                <w:lang w:eastAsia="en-AU"/>
              </w:rPr>
            </w:pPr>
          </w:p>
        </w:tc>
        <w:tc>
          <w:tcPr>
            <w:tcW w:w="1226" w:type="dxa"/>
            <w:tcBorders>
              <w:top w:val="single" w:sz="6" w:space="0" w:color="auto"/>
              <w:left w:val="nil"/>
              <w:bottom w:val="single" w:sz="6" w:space="0" w:color="auto"/>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 xml:space="preserve"> 18.7</w:t>
            </w:r>
          </w:p>
        </w:tc>
        <w:tc>
          <w:tcPr>
            <w:tcW w:w="1189" w:type="dxa"/>
            <w:tcBorders>
              <w:top w:val="single" w:sz="6" w:space="0" w:color="auto"/>
              <w:left w:val="nil"/>
              <w:bottom w:val="single" w:sz="6" w:space="0" w:color="auto"/>
              <w:right w:val="nil"/>
            </w:tcBorders>
          </w:tcPr>
          <w:p w:rsidR="000B4A1E" w:rsidRPr="006D326C" w:rsidRDefault="000B4A1E" w:rsidP="00517E51">
            <w:pPr>
              <w:pStyle w:val="TableofFigures"/>
              <w:rPr>
                <w:rFonts w:eastAsiaTheme="minorEastAsia"/>
                <w:b/>
                <w:lang w:eastAsia="en-AU"/>
              </w:rPr>
            </w:pPr>
          </w:p>
        </w:tc>
        <w:tc>
          <w:tcPr>
            <w:tcW w:w="1189" w:type="dxa"/>
            <w:gridSpan w:val="5"/>
            <w:tcBorders>
              <w:top w:val="single" w:sz="6" w:space="0" w:color="auto"/>
              <w:left w:val="nil"/>
              <w:bottom w:val="single" w:sz="6" w:space="0" w:color="auto"/>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 xml:space="preserve"> 17.5</w:t>
            </w:r>
          </w:p>
        </w:tc>
      </w:tr>
      <w:tr w:rsidR="000B4A1E" w:rsidRPr="006D326C" w:rsidTr="00517E51">
        <w:tc>
          <w:tcPr>
            <w:tcW w:w="3794" w:type="dxa"/>
            <w:gridSpan w:val="2"/>
            <w:tcBorders>
              <w:top w:val="single" w:sz="6" w:space="0" w:color="auto"/>
              <w:left w:val="nil"/>
              <w:bottom w:val="single" w:sz="12" w:space="0" w:color="auto"/>
              <w:right w:val="nil"/>
            </w:tcBorders>
          </w:tcPr>
          <w:p w:rsidR="000B4A1E" w:rsidRPr="006D326C" w:rsidRDefault="000B4A1E" w:rsidP="00517E51">
            <w:pPr>
              <w:pStyle w:val="Tabletext"/>
              <w:rPr>
                <w:rFonts w:eastAsiaTheme="minorEastAsia"/>
                <w:b/>
                <w:bCs/>
                <w:lang w:eastAsia="en-AU"/>
              </w:rPr>
            </w:pPr>
            <w:r w:rsidRPr="006D326C">
              <w:rPr>
                <w:rFonts w:eastAsiaTheme="minorEastAsia"/>
                <w:b/>
                <w:bCs/>
                <w:lang w:eastAsia="en-AU"/>
              </w:rPr>
              <w:t>Net financial liabilities to GSP</w:t>
            </w:r>
          </w:p>
        </w:tc>
        <w:tc>
          <w:tcPr>
            <w:tcW w:w="1170" w:type="dxa"/>
            <w:tcBorders>
              <w:top w:val="single" w:sz="6" w:space="0" w:color="auto"/>
              <w:left w:val="nil"/>
              <w:bottom w:val="single" w:sz="12" w:space="0" w:color="auto"/>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 xml:space="preserve"> 19.3</w:t>
            </w:r>
          </w:p>
        </w:tc>
        <w:tc>
          <w:tcPr>
            <w:tcW w:w="1080" w:type="dxa"/>
            <w:tcBorders>
              <w:top w:val="single" w:sz="6" w:space="0" w:color="auto"/>
              <w:left w:val="nil"/>
              <w:bottom w:val="single" w:sz="12" w:space="0" w:color="auto"/>
              <w:right w:val="nil"/>
            </w:tcBorders>
          </w:tcPr>
          <w:p w:rsidR="000B4A1E" w:rsidRPr="006D326C" w:rsidRDefault="000B4A1E" w:rsidP="00517E51">
            <w:pPr>
              <w:pStyle w:val="TableofFigures"/>
              <w:rPr>
                <w:rFonts w:eastAsiaTheme="minorEastAsia"/>
                <w:b/>
                <w:lang w:eastAsia="en-AU"/>
              </w:rPr>
            </w:pPr>
          </w:p>
        </w:tc>
        <w:tc>
          <w:tcPr>
            <w:tcW w:w="1226" w:type="dxa"/>
            <w:tcBorders>
              <w:top w:val="single" w:sz="6" w:space="0" w:color="auto"/>
              <w:left w:val="nil"/>
              <w:bottom w:val="single" w:sz="12" w:space="0" w:color="auto"/>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 xml:space="preserve"> 20.6</w:t>
            </w:r>
          </w:p>
        </w:tc>
        <w:tc>
          <w:tcPr>
            <w:tcW w:w="1189" w:type="dxa"/>
            <w:tcBorders>
              <w:top w:val="single" w:sz="6" w:space="0" w:color="auto"/>
              <w:left w:val="nil"/>
              <w:bottom w:val="single" w:sz="12" w:space="0" w:color="auto"/>
              <w:right w:val="nil"/>
            </w:tcBorders>
          </w:tcPr>
          <w:p w:rsidR="000B4A1E" w:rsidRPr="006D326C" w:rsidRDefault="000B4A1E" w:rsidP="00517E51">
            <w:pPr>
              <w:pStyle w:val="TableofFigures"/>
              <w:rPr>
                <w:rFonts w:eastAsiaTheme="minorEastAsia"/>
                <w:b/>
                <w:lang w:eastAsia="en-AU"/>
              </w:rPr>
            </w:pPr>
          </w:p>
        </w:tc>
        <w:tc>
          <w:tcPr>
            <w:tcW w:w="1189" w:type="dxa"/>
            <w:gridSpan w:val="5"/>
            <w:tcBorders>
              <w:top w:val="single" w:sz="6" w:space="0" w:color="auto"/>
              <w:left w:val="nil"/>
              <w:bottom w:val="single" w:sz="12" w:space="0" w:color="auto"/>
              <w:right w:val="nil"/>
            </w:tcBorders>
          </w:tcPr>
          <w:p w:rsidR="000B4A1E" w:rsidRPr="006D326C" w:rsidRDefault="000B4A1E" w:rsidP="00517E51">
            <w:pPr>
              <w:pStyle w:val="TableofFigures"/>
              <w:rPr>
                <w:rFonts w:eastAsiaTheme="minorEastAsia"/>
                <w:b/>
                <w:lang w:eastAsia="en-AU"/>
              </w:rPr>
            </w:pPr>
            <w:r w:rsidRPr="006D326C">
              <w:rPr>
                <w:rFonts w:eastAsiaTheme="minorEastAsia"/>
                <w:b/>
                <w:lang w:eastAsia="en-AU"/>
              </w:rPr>
              <w:t xml:space="preserve"> 19.5</w:t>
            </w:r>
          </w:p>
        </w:tc>
      </w:tr>
    </w:tbl>
    <w:p w:rsidR="000B4A1E" w:rsidRPr="00552444" w:rsidRDefault="000B4A1E" w:rsidP="00517E51">
      <w:pPr>
        <w:pStyle w:val="Source"/>
      </w:pPr>
      <w:r w:rsidRPr="00552444">
        <w:t xml:space="preserve"> Source: Department of Treasury and Finance</w:t>
      </w:r>
    </w:p>
    <w:p w:rsidR="000B4A1E" w:rsidRPr="00552444" w:rsidRDefault="000B4A1E" w:rsidP="00517E51">
      <w:pPr>
        <w:pStyle w:val="Notes"/>
      </w:pPr>
      <w:r w:rsidRPr="00552444">
        <w:t>Note:</w:t>
      </w:r>
    </w:p>
    <w:p w:rsidR="000B4A1E" w:rsidRPr="00552444" w:rsidRDefault="000B4A1E" w:rsidP="00517E51">
      <w:pPr>
        <w:pStyle w:val="Notes"/>
      </w:pPr>
      <w:r w:rsidRPr="00552444">
        <w:t>(a)</w:t>
      </w:r>
      <w:r w:rsidRPr="00552444">
        <w:tab/>
        <w:t>Other net liabilities includes other employee entitlements, provisions and other no</w:t>
      </w:r>
      <w:r>
        <w:t>n</w:t>
      </w:r>
      <w:r>
        <w:noBreakHyphen/>
      </w:r>
      <w:r w:rsidRPr="00552444">
        <w:t>equity liabilities, less other non</w:t>
      </w:r>
      <w:r w:rsidRPr="00552444">
        <w:noBreakHyphen/>
        <w:t>equity assets.</w:t>
      </w:r>
    </w:p>
    <w:p w:rsidR="000B4A1E" w:rsidRPr="00552444" w:rsidRDefault="000B4A1E" w:rsidP="00517E51">
      <w:pPr>
        <w:pStyle w:val="Notes"/>
      </w:pPr>
    </w:p>
    <w:p w:rsidR="000B4A1E" w:rsidRPr="00552444" w:rsidRDefault="000B4A1E" w:rsidP="00517E51">
      <w:pPr>
        <w:pStyle w:val="Heading2"/>
      </w:pPr>
      <w:r w:rsidRPr="00552444">
        <w:t>Indicators of financial condition</w:t>
      </w:r>
      <w:r>
        <w:t xml:space="preserve"> </w:t>
      </w:r>
    </w:p>
    <w:p w:rsidR="000B4A1E" w:rsidRPr="00552444" w:rsidRDefault="000B4A1E" w:rsidP="00517E51">
      <w:r w:rsidRPr="00552444">
        <w:t>Table 3.4 shows some key financial indicators that the State monitors to ensure its finances continue to be managed in a sustainable manner. The financial sustainability ratios were relatively stable during 2012</w:t>
      </w:r>
      <w:r w:rsidRPr="00552444">
        <w:noBreakHyphen/>
        <w:t>13, as increases in borrowings were largely matched by strong growth in assets. Further, the decline in the superannuation liability partly offset the rise in borrowings. This has resulted in a reduc</w:t>
      </w:r>
      <w:r>
        <w:t>tion to</w:t>
      </w:r>
      <w:r w:rsidRPr="00552444">
        <w:t xml:space="preserve"> the ratio of NFPS net debt plus superannuation to GSP in 2012-13. </w:t>
      </w:r>
    </w:p>
    <w:p w:rsidR="000B4A1E" w:rsidRPr="00552444" w:rsidRDefault="000B4A1E">
      <w:pPr>
        <w:spacing w:after="0"/>
      </w:pPr>
      <w:r w:rsidRPr="00552444">
        <w:br w:type="page"/>
      </w:r>
    </w:p>
    <w:p w:rsidR="000B4A1E" w:rsidRPr="00552444" w:rsidRDefault="000B4A1E" w:rsidP="00517E51">
      <w:r w:rsidRPr="00552444">
        <w:lastRenderedPageBreak/>
        <w:t xml:space="preserve">Debt servicing costs have increased, with </w:t>
      </w:r>
      <w:r>
        <w:t>the State’s</w:t>
      </w:r>
      <w:r w:rsidRPr="00552444">
        <w:t xml:space="preserve"> borrowing costs rising to 4.</w:t>
      </w:r>
      <w:r>
        <w:t>7 per cent</w:t>
      </w:r>
      <w:r w:rsidRPr="00552444">
        <w:t xml:space="preserve"> of revenue in 2012</w:t>
      </w:r>
      <w:r w:rsidRPr="00552444">
        <w:noBreakHyphen/>
        <w:t>13. This reflects the underlying profile of debt levels, which ha</w:t>
      </w:r>
      <w:r>
        <w:t>s</w:t>
      </w:r>
      <w:r w:rsidRPr="00552444">
        <w:t xml:space="preserve"> increased due to the significant amount of infrastructure investment in the general government and PNFC sectors in recent years, and in particular following the recognition of the finance lease arrangement for the Victorian desalination plant</w:t>
      </w:r>
      <w:r>
        <w:t xml:space="preserve">. </w:t>
      </w:r>
      <w:r w:rsidRPr="00552444">
        <w:t xml:space="preserve">A range of savings and efficiency measures have already been implemented, which aim to restrict debt growth and control the interest burden on the State. </w:t>
      </w:r>
    </w:p>
    <w:p w:rsidR="000B4A1E" w:rsidRPr="00552444" w:rsidRDefault="000B4A1E" w:rsidP="00517E51">
      <w:pPr>
        <w:pStyle w:val="Tableheading"/>
        <w:rPr>
          <w:vertAlign w:val="superscript"/>
        </w:rPr>
      </w:pPr>
      <w:r w:rsidRPr="00552444">
        <w:t>Table 3.4:</w:t>
      </w:r>
      <w:r w:rsidRPr="00552444">
        <w:tab/>
        <w:t>Indicators of financial condition</w:t>
      </w:r>
      <w:r w:rsidRPr="00552444">
        <w:rPr>
          <w:vertAlign w:val="superscript"/>
        </w:rPr>
        <w:t>(a)</w:t>
      </w:r>
    </w:p>
    <w:p w:rsidR="000B4A1E" w:rsidRPr="00E0779C" w:rsidRDefault="000B4A1E" w:rsidP="00517E51">
      <w:pPr>
        <w:pStyle w:val="million"/>
      </w:pPr>
      <w:r w:rsidRPr="00552444">
        <w:t>(per cent)</w:t>
      </w:r>
    </w:p>
    <w:tbl>
      <w:tblPr>
        <w:tblW w:w="9648" w:type="dxa"/>
        <w:tblInd w:w="29" w:type="dxa"/>
        <w:tblLayout w:type="fixed"/>
        <w:tblCellMar>
          <w:left w:w="43" w:type="dxa"/>
          <w:right w:w="43" w:type="dxa"/>
        </w:tblCellMar>
        <w:tblLook w:val="0000" w:firstRow="0" w:lastRow="0" w:firstColumn="0" w:lastColumn="0" w:noHBand="0" w:noVBand="0"/>
      </w:tblPr>
      <w:tblGrid>
        <w:gridCol w:w="3524"/>
        <w:gridCol w:w="874"/>
        <w:gridCol w:w="875"/>
        <w:gridCol w:w="875"/>
        <w:gridCol w:w="875"/>
        <w:gridCol w:w="875"/>
        <w:gridCol w:w="875"/>
        <w:gridCol w:w="875"/>
      </w:tblGrid>
      <w:tr w:rsidR="000B4A1E" w:rsidRPr="00E0779C" w:rsidTr="00517E51">
        <w:tc>
          <w:tcPr>
            <w:tcW w:w="3524" w:type="dxa"/>
            <w:tcBorders>
              <w:top w:val="single" w:sz="4" w:space="0" w:color="auto"/>
              <w:left w:val="single" w:sz="4" w:space="0" w:color="auto"/>
              <w:bottom w:val="nil"/>
              <w:right w:val="nil"/>
            </w:tcBorders>
            <w:shd w:val="clear" w:color="auto" w:fill="000000"/>
          </w:tcPr>
          <w:p w:rsidR="000B4A1E" w:rsidRPr="00E0779C" w:rsidRDefault="000B4A1E" w:rsidP="00517E51">
            <w:pPr>
              <w:pStyle w:val="Tabletext"/>
              <w:rPr>
                <w:rFonts w:eastAsiaTheme="minorEastAsia"/>
                <w:lang w:eastAsia="en-AU"/>
              </w:rPr>
            </w:pPr>
          </w:p>
        </w:tc>
        <w:tc>
          <w:tcPr>
            <w:tcW w:w="874" w:type="dxa"/>
            <w:tcBorders>
              <w:top w:val="single" w:sz="4" w:space="0" w:color="auto"/>
              <w:left w:val="nil"/>
              <w:bottom w:val="nil"/>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2007</w:t>
            </w:r>
          </w:p>
        </w:tc>
        <w:tc>
          <w:tcPr>
            <w:tcW w:w="875" w:type="dxa"/>
            <w:tcBorders>
              <w:top w:val="single" w:sz="4" w:space="0" w:color="auto"/>
              <w:left w:val="nil"/>
              <w:bottom w:val="nil"/>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2008</w:t>
            </w:r>
          </w:p>
        </w:tc>
        <w:tc>
          <w:tcPr>
            <w:tcW w:w="875" w:type="dxa"/>
            <w:tcBorders>
              <w:top w:val="single" w:sz="4" w:space="0" w:color="auto"/>
              <w:left w:val="nil"/>
              <w:bottom w:val="nil"/>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2009</w:t>
            </w:r>
          </w:p>
        </w:tc>
        <w:tc>
          <w:tcPr>
            <w:tcW w:w="875" w:type="dxa"/>
            <w:tcBorders>
              <w:top w:val="single" w:sz="4" w:space="0" w:color="auto"/>
              <w:left w:val="nil"/>
              <w:bottom w:val="nil"/>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2010</w:t>
            </w:r>
          </w:p>
        </w:tc>
        <w:tc>
          <w:tcPr>
            <w:tcW w:w="875" w:type="dxa"/>
            <w:tcBorders>
              <w:top w:val="single" w:sz="4" w:space="0" w:color="auto"/>
              <w:left w:val="nil"/>
              <w:bottom w:val="nil"/>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2011</w:t>
            </w:r>
          </w:p>
        </w:tc>
        <w:tc>
          <w:tcPr>
            <w:tcW w:w="875" w:type="dxa"/>
            <w:tcBorders>
              <w:top w:val="single" w:sz="4" w:space="0" w:color="auto"/>
              <w:left w:val="nil"/>
              <w:bottom w:val="nil"/>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2012</w:t>
            </w:r>
          </w:p>
        </w:tc>
        <w:tc>
          <w:tcPr>
            <w:tcW w:w="875" w:type="dxa"/>
            <w:tcBorders>
              <w:top w:val="single" w:sz="4" w:space="0" w:color="auto"/>
              <w:left w:val="nil"/>
              <w:bottom w:val="nil"/>
              <w:right w:val="single" w:sz="4" w:space="0" w:color="auto"/>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2013</w:t>
            </w:r>
          </w:p>
        </w:tc>
      </w:tr>
      <w:tr w:rsidR="000B4A1E" w:rsidRPr="00E0779C" w:rsidTr="00517E51">
        <w:tc>
          <w:tcPr>
            <w:tcW w:w="3524" w:type="dxa"/>
            <w:tcBorders>
              <w:top w:val="nil"/>
              <w:left w:val="single" w:sz="4" w:space="0" w:color="auto"/>
              <w:bottom w:val="single" w:sz="4" w:space="0" w:color="auto"/>
              <w:right w:val="nil"/>
            </w:tcBorders>
            <w:shd w:val="clear" w:color="auto" w:fill="000000"/>
          </w:tcPr>
          <w:p w:rsidR="000B4A1E" w:rsidRPr="00E0779C" w:rsidRDefault="000B4A1E" w:rsidP="00517E51">
            <w:pPr>
              <w:pStyle w:val="Tabletext"/>
              <w:rPr>
                <w:rFonts w:eastAsiaTheme="minorEastAsia"/>
                <w:lang w:eastAsia="en-AU"/>
              </w:rPr>
            </w:pPr>
          </w:p>
        </w:tc>
        <w:tc>
          <w:tcPr>
            <w:tcW w:w="874" w:type="dxa"/>
            <w:tcBorders>
              <w:top w:val="nil"/>
              <w:left w:val="nil"/>
              <w:bottom w:val="single" w:sz="4" w:space="0" w:color="auto"/>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Actual</w:t>
            </w:r>
          </w:p>
        </w:tc>
        <w:tc>
          <w:tcPr>
            <w:tcW w:w="875" w:type="dxa"/>
            <w:tcBorders>
              <w:top w:val="nil"/>
              <w:left w:val="nil"/>
              <w:bottom w:val="single" w:sz="4" w:space="0" w:color="auto"/>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Actual</w:t>
            </w:r>
          </w:p>
        </w:tc>
        <w:tc>
          <w:tcPr>
            <w:tcW w:w="875" w:type="dxa"/>
            <w:tcBorders>
              <w:top w:val="nil"/>
              <w:left w:val="nil"/>
              <w:bottom w:val="single" w:sz="4" w:space="0" w:color="auto"/>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Actual</w:t>
            </w:r>
          </w:p>
        </w:tc>
        <w:tc>
          <w:tcPr>
            <w:tcW w:w="875" w:type="dxa"/>
            <w:tcBorders>
              <w:top w:val="nil"/>
              <w:left w:val="nil"/>
              <w:bottom w:val="single" w:sz="4" w:space="0" w:color="auto"/>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Actual</w:t>
            </w:r>
          </w:p>
        </w:tc>
        <w:tc>
          <w:tcPr>
            <w:tcW w:w="875" w:type="dxa"/>
            <w:tcBorders>
              <w:top w:val="nil"/>
              <w:left w:val="nil"/>
              <w:bottom w:val="single" w:sz="4" w:space="0" w:color="auto"/>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Actual</w:t>
            </w:r>
          </w:p>
        </w:tc>
        <w:tc>
          <w:tcPr>
            <w:tcW w:w="875" w:type="dxa"/>
            <w:tcBorders>
              <w:top w:val="nil"/>
              <w:left w:val="nil"/>
              <w:bottom w:val="single" w:sz="4" w:space="0" w:color="auto"/>
              <w:right w:val="nil"/>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Actual</w:t>
            </w:r>
          </w:p>
        </w:tc>
        <w:tc>
          <w:tcPr>
            <w:tcW w:w="875" w:type="dxa"/>
            <w:tcBorders>
              <w:top w:val="nil"/>
              <w:left w:val="nil"/>
              <w:bottom w:val="single" w:sz="4" w:space="0" w:color="auto"/>
              <w:right w:val="single" w:sz="4" w:space="0" w:color="auto"/>
            </w:tcBorders>
            <w:shd w:val="clear" w:color="auto" w:fill="000000"/>
          </w:tcPr>
          <w:p w:rsidR="000B4A1E" w:rsidRPr="00E0779C" w:rsidRDefault="000B4A1E" w:rsidP="00517E51">
            <w:pPr>
              <w:pStyle w:val="Tabletextheading"/>
              <w:rPr>
                <w:rFonts w:eastAsiaTheme="minorEastAsia"/>
                <w:lang w:eastAsia="en-AU"/>
              </w:rPr>
            </w:pPr>
            <w:r w:rsidRPr="00E0779C">
              <w:rPr>
                <w:rFonts w:eastAsiaTheme="minorEastAsia"/>
                <w:lang w:eastAsia="en-AU"/>
              </w:rPr>
              <w:t>Actual</w:t>
            </w:r>
          </w:p>
        </w:tc>
      </w:tr>
      <w:tr w:rsidR="000B4A1E" w:rsidRPr="00E0779C" w:rsidTr="00517E51">
        <w:tc>
          <w:tcPr>
            <w:tcW w:w="3524" w:type="dxa"/>
            <w:tcBorders>
              <w:top w:val="single" w:sz="4" w:space="0" w:color="auto"/>
              <w:left w:val="nil"/>
              <w:bottom w:val="nil"/>
              <w:right w:val="nil"/>
            </w:tcBorders>
          </w:tcPr>
          <w:p w:rsidR="000B4A1E" w:rsidRPr="00E0779C" w:rsidRDefault="000B4A1E" w:rsidP="00517E51">
            <w:pPr>
              <w:pStyle w:val="Tabletext"/>
              <w:rPr>
                <w:rFonts w:eastAsiaTheme="minorEastAsia"/>
                <w:b/>
                <w:bCs/>
                <w:lang w:eastAsia="en-AU"/>
              </w:rPr>
            </w:pPr>
            <w:r w:rsidRPr="00E0779C">
              <w:rPr>
                <w:rFonts w:eastAsiaTheme="minorEastAsia"/>
                <w:b/>
                <w:bCs/>
                <w:lang w:eastAsia="en-AU"/>
              </w:rPr>
              <w:t>Financial sustainability</w:t>
            </w:r>
          </w:p>
        </w:tc>
        <w:tc>
          <w:tcPr>
            <w:tcW w:w="874"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875"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875"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875"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875"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875"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c>
          <w:tcPr>
            <w:tcW w:w="875" w:type="dxa"/>
            <w:tcBorders>
              <w:top w:val="single" w:sz="4" w:space="0" w:color="auto"/>
              <w:left w:val="nil"/>
              <w:bottom w:val="nil"/>
              <w:right w:val="nil"/>
            </w:tcBorders>
          </w:tcPr>
          <w:p w:rsidR="000B4A1E" w:rsidRPr="00E0779C" w:rsidRDefault="000B4A1E" w:rsidP="00517E51">
            <w:pPr>
              <w:pStyle w:val="TableofFigures"/>
              <w:rPr>
                <w:rFonts w:eastAsiaTheme="minorEastAsia"/>
                <w:lang w:eastAsia="en-AU"/>
              </w:rPr>
            </w:pPr>
          </w:p>
        </w:tc>
      </w:tr>
      <w:tr w:rsidR="000B4A1E" w:rsidRPr="00E0779C" w:rsidTr="00517E51">
        <w:tc>
          <w:tcPr>
            <w:tcW w:w="3524" w:type="dxa"/>
            <w:tcBorders>
              <w:top w:val="nil"/>
              <w:left w:val="nil"/>
              <w:bottom w:val="nil"/>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Borrowing to net assets</w:t>
            </w:r>
          </w:p>
        </w:tc>
        <w:tc>
          <w:tcPr>
            <w:tcW w:w="874"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18.2</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19.7</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20.4</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23.9</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26.1</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36.0</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38.4</w:t>
            </w:r>
          </w:p>
        </w:tc>
      </w:tr>
      <w:tr w:rsidR="000B4A1E" w:rsidRPr="00E0779C" w:rsidTr="00517E51">
        <w:tc>
          <w:tcPr>
            <w:tcW w:w="3524" w:type="dxa"/>
            <w:tcBorders>
              <w:top w:val="nil"/>
              <w:left w:val="nil"/>
              <w:bottom w:val="nil"/>
              <w:right w:val="nil"/>
            </w:tcBorders>
          </w:tcPr>
          <w:p w:rsidR="000B4A1E" w:rsidRPr="00E0779C" w:rsidRDefault="000B4A1E" w:rsidP="00517E51">
            <w:pPr>
              <w:pStyle w:val="Tabletext"/>
              <w:rPr>
                <w:rFonts w:eastAsiaTheme="minorEastAsia" w:cs="Calibri"/>
                <w:color w:val="000000"/>
                <w:szCs w:val="22"/>
                <w:vertAlign w:val="superscript"/>
                <w:lang w:eastAsia="en-AU"/>
              </w:rPr>
            </w:pPr>
            <w:r w:rsidRPr="00E0779C">
              <w:rPr>
                <w:rFonts w:eastAsiaTheme="minorEastAsia"/>
                <w:lang w:eastAsia="en-AU"/>
              </w:rPr>
              <w:t xml:space="preserve">NFPS net debt plus superannuation liability to </w:t>
            </w:r>
            <w:r w:rsidRPr="00E0779C">
              <w:rPr>
                <w:rFonts w:eastAsiaTheme="minorEastAsia" w:cs="Calibri"/>
                <w:szCs w:val="22"/>
                <w:lang w:eastAsia="en-AU"/>
              </w:rPr>
              <w:t xml:space="preserve">revenue </w:t>
            </w:r>
            <w:r w:rsidRPr="00E0779C">
              <w:rPr>
                <w:rFonts w:eastAsiaTheme="minorEastAsia" w:cs="Calibri"/>
                <w:szCs w:val="22"/>
                <w:vertAlign w:val="superscript"/>
                <w:lang w:eastAsia="en-AU"/>
              </w:rPr>
              <w:t>(b</w:t>
            </w:r>
            <w:r w:rsidRPr="00E0779C">
              <w:rPr>
                <w:rFonts w:eastAsiaTheme="minorEastAsia" w:cs="Calibri"/>
                <w:color w:val="000000"/>
                <w:szCs w:val="22"/>
                <w:vertAlign w:val="superscript"/>
                <w:lang w:eastAsia="en-AU"/>
              </w:rPr>
              <w:t>)</w:t>
            </w:r>
          </w:p>
        </w:tc>
        <w:tc>
          <w:tcPr>
            <w:tcW w:w="874"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39.2</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43.7</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75.1</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78.8</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86.1</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113.2</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118.2</w:t>
            </w:r>
          </w:p>
        </w:tc>
      </w:tr>
      <w:tr w:rsidR="000B4A1E" w:rsidRPr="00E0779C" w:rsidTr="00517E51">
        <w:tc>
          <w:tcPr>
            <w:tcW w:w="3524" w:type="dxa"/>
            <w:tcBorders>
              <w:top w:val="nil"/>
              <w:left w:val="nil"/>
              <w:bottom w:val="nil"/>
              <w:right w:val="nil"/>
            </w:tcBorders>
          </w:tcPr>
          <w:p w:rsidR="000B4A1E" w:rsidRPr="00E0779C" w:rsidRDefault="000B4A1E" w:rsidP="00517E51">
            <w:pPr>
              <w:pStyle w:val="Tabletext"/>
              <w:rPr>
                <w:rFonts w:eastAsiaTheme="minorEastAsia" w:cs="Calibri"/>
                <w:color w:val="000000"/>
                <w:szCs w:val="22"/>
                <w:vertAlign w:val="superscript"/>
                <w:lang w:eastAsia="en-AU"/>
              </w:rPr>
            </w:pPr>
            <w:r w:rsidRPr="00E0779C">
              <w:rPr>
                <w:rFonts w:eastAsiaTheme="minorEastAsia"/>
                <w:lang w:eastAsia="en-AU"/>
              </w:rPr>
              <w:t xml:space="preserve">NFPS net debt plus superannuation liability to </w:t>
            </w:r>
            <w:r w:rsidRPr="00E0779C">
              <w:rPr>
                <w:rFonts w:eastAsiaTheme="minorEastAsia" w:cs="Calibri"/>
                <w:szCs w:val="22"/>
                <w:lang w:eastAsia="en-AU"/>
              </w:rPr>
              <w:t>GSP</w:t>
            </w:r>
            <w:r w:rsidRPr="00E0779C">
              <w:rPr>
                <w:rFonts w:eastAsiaTheme="minorEastAsia" w:cs="Calibri"/>
                <w:szCs w:val="22"/>
                <w:vertAlign w:val="superscript"/>
                <w:lang w:eastAsia="en-AU"/>
              </w:rPr>
              <w:t xml:space="preserve"> (b</w:t>
            </w:r>
            <w:r w:rsidRPr="00E0779C">
              <w:rPr>
                <w:rFonts w:eastAsiaTheme="minorEastAsia" w:cs="Calibri"/>
                <w:color w:val="000000"/>
                <w:szCs w:val="22"/>
                <w:vertAlign w:val="superscript"/>
                <w:lang w:eastAsia="en-AU"/>
              </w:rPr>
              <w:t>)</w:t>
            </w:r>
          </w:p>
        </w:tc>
        <w:tc>
          <w:tcPr>
            <w:tcW w:w="874"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5.8</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6.4</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11.2</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12.6</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13.5</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17.5</w:t>
            </w: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17.4</w:t>
            </w:r>
          </w:p>
        </w:tc>
      </w:tr>
      <w:tr w:rsidR="000B4A1E" w:rsidRPr="00E0779C" w:rsidTr="00517E51">
        <w:tc>
          <w:tcPr>
            <w:tcW w:w="3524" w:type="dxa"/>
            <w:tcBorders>
              <w:top w:val="nil"/>
              <w:left w:val="nil"/>
              <w:bottom w:val="nil"/>
              <w:right w:val="nil"/>
            </w:tcBorders>
          </w:tcPr>
          <w:p w:rsidR="000B4A1E" w:rsidRPr="00E0779C" w:rsidRDefault="000B4A1E" w:rsidP="00517E51">
            <w:pPr>
              <w:pStyle w:val="Tabletext"/>
              <w:rPr>
                <w:rFonts w:eastAsiaTheme="minorEastAsia"/>
                <w:b/>
                <w:bCs/>
                <w:lang w:eastAsia="en-AU"/>
              </w:rPr>
            </w:pPr>
            <w:r w:rsidRPr="00E0779C">
              <w:rPr>
                <w:rFonts w:eastAsiaTheme="minorEastAsia"/>
                <w:b/>
                <w:bCs/>
                <w:lang w:eastAsia="en-AU"/>
              </w:rPr>
              <w:t>Financial flexibility</w:t>
            </w:r>
          </w:p>
        </w:tc>
        <w:tc>
          <w:tcPr>
            <w:tcW w:w="874"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c>
          <w:tcPr>
            <w:tcW w:w="875" w:type="dxa"/>
            <w:tcBorders>
              <w:top w:val="nil"/>
              <w:left w:val="nil"/>
              <w:bottom w:val="nil"/>
              <w:right w:val="nil"/>
            </w:tcBorders>
          </w:tcPr>
          <w:p w:rsidR="000B4A1E" w:rsidRPr="00E0779C" w:rsidRDefault="000B4A1E" w:rsidP="00517E51">
            <w:pPr>
              <w:pStyle w:val="TableofFigures"/>
              <w:rPr>
                <w:rFonts w:eastAsiaTheme="minorEastAsia"/>
                <w:lang w:eastAsia="en-AU"/>
              </w:rPr>
            </w:pPr>
          </w:p>
        </w:tc>
      </w:tr>
      <w:tr w:rsidR="000B4A1E" w:rsidRPr="00E0779C" w:rsidTr="00517E51">
        <w:tc>
          <w:tcPr>
            <w:tcW w:w="3524" w:type="dxa"/>
            <w:tcBorders>
              <w:top w:val="nil"/>
              <w:left w:val="nil"/>
              <w:bottom w:val="single" w:sz="12" w:space="0" w:color="auto"/>
              <w:right w:val="nil"/>
            </w:tcBorders>
          </w:tcPr>
          <w:p w:rsidR="000B4A1E" w:rsidRPr="00E0779C" w:rsidRDefault="000B4A1E" w:rsidP="00517E51">
            <w:pPr>
              <w:pStyle w:val="Tabletext"/>
              <w:rPr>
                <w:rFonts w:eastAsiaTheme="minorEastAsia"/>
                <w:lang w:eastAsia="en-AU"/>
              </w:rPr>
            </w:pPr>
            <w:r w:rsidRPr="00E0779C">
              <w:rPr>
                <w:rFonts w:eastAsiaTheme="minorEastAsia"/>
                <w:lang w:eastAsia="en-AU"/>
              </w:rPr>
              <w:t>Borrowing costs to revenue</w:t>
            </w:r>
          </w:p>
        </w:tc>
        <w:tc>
          <w:tcPr>
            <w:tcW w:w="874" w:type="dxa"/>
            <w:tcBorders>
              <w:top w:val="nil"/>
              <w:left w:val="nil"/>
              <w:bottom w:val="single" w:sz="12" w:space="0" w:color="auto"/>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2.7</w:t>
            </w:r>
          </w:p>
        </w:tc>
        <w:tc>
          <w:tcPr>
            <w:tcW w:w="875" w:type="dxa"/>
            <w:tcBorders>
              <w:top w:val="nil"/>
              <w:left w:val="nil"/>
              <w:bottom w:val="single" w:sz="12" w:space="0" w:color="auto"/>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2.6</w:t>
            </w:r>
          </w:p>
        </w:tc>
        <w:tc>
          <w:tcPr>
            <w:tcW w:w="875" w:type="dxa"/>
            <w:tcBorders>
              <w:top w:val="nil"/>
              <w:left w:val="nil"/>
              <w:bottom w:val="single" w:sz="12" w:space="0" w:color="auto"/>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3.1</w:t>
            </w:r>
          </w:p>
        </w:tc>
        <w:tc>
          <w:tcPr>
            <w:tcW w:w="875" w:type="dxa"/>
            <w:tcBorders>
              <w:top w:val="nil"/>
              <w:left w:val="nil"/>
              <w:bottom w:val="single" w:sz="12" w:space="0" w:color="auto"/>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3.0</w:t>
            </w:r>
          </w:p>
        </w:tc>
        <w:tc>
          <w:tcPr>
            <w:tcW w:w="875" w:type="dxa"/>
            <w:tcBorders>
              <w:top w:val="nil"/>
              <w:left w:val="nil"/>
              <w:bottom w:val="single" w:sz="12" w:space="0" w:color="auto"/>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3.4</w:t>
            </w:r>
          </w:p>
        </w:tc>
        <w:tc>
          <w:tcPr>
            <w:tcW w:w="875" w:type="dxa"/>
            <w:tcBorders>
              <w:top w:val="nil"/>
              <w:left w:val="nil"/>
              <w:bottom w:val="single" w:sz="12" w:space="0" w:color="auto"/>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3.9</w:t>
            </w:r>
          </w:p>
        </w:tc>
        <w:tc>
          <w:tcPr>
            <w:tcW w:w="875" w:type="dxa"/>
            <w:tcBorders>
              <w:top w:val="nil"/>
              <w:left w:val="nil"/>
              <w:bottom w:val="single" w:sz="12" w:space="0" w:color="auto"/>
              <w:right w:val="nil"/>
            </w:tcBorders>
          </w:tcPr>
          <w:p w:rsidR="000B4A1E" w:rsidRPr="00E0779C" w:rsidRDefault="000B4A1E" w:rsidP="00517E51">
            <w:pPr>
              <w:pStyle w:val="TableofFigures"/>
              <w:rPr>
                <w:rFonts w:eastAsiaTheme="minorEastAsia"/>
                <w:lang w:eastAsia="en-AU"/>
              </w:rPr>
            </w:pPr>
            <w:r w:rsidRPr="00E0779C">
              <w:rPr>
                <w:rFonts w:eastAsiaTheme="minorEastAsia"/>
                <w:lang w:eastAsia="en-AU"/>
              </w:rPr>
              <w:t xml:space="preserve"> 4.7</w:t>
            </w:r>
          </w:p>
        </w:tc>
      </w:tr>
    </w:tbl>
    <w:p w:rsidR="000B4A1E" w:rsidRPr="00552444" w:rsidRDefault="000B4A1E" w:rsidP="00517E51">
      <w:pPr>
        <w:pStyle w:val="Source"/>
      </w:pPr>
      <w:r w:rsidRPr="00552444">
        <w:t>Source: Department of Treasury and Finance</w:t>
      </w:r>
    </w:p>
    <w:p w:rsidR="000B4A1E" w:rsidRPr="00552444" w:rsidRDefault="000B4A1E" w:rsidP="00517E51">
      <w:pPr>
        <w:pStyle w:val="Notes"/>
      </w:pPr>
      <w:r w:rsidRPr="00552444">
        <w:t>Notes:</w:t>
      </w:r>
    </w:p>
    <w:p w:rsidR="000B4A1E" w:rsidRPr="00552444" w:rsidRDefault="000B4A1E" w:rsidP="00517E51">
      <w:pPr>
        <w:pStyle w:val="Notes"/>
      </w:pPr>
      <w:r w:rsidRPr="00552444">
        <w:t>(a)</w:t>
      </w:r>
      <w:r w:rsidRPr="00552444">
        <w:tab/>
      </w:r>
      <w:r>
        <w:t xml:space="preserve">Ratios are for the State of Victoria, unless otherwise specified. </w:t>
      </w:r>
      <w:r w:rsidRPr="00552444">
        <w:t xml:space="preserve">From 2008, ratios are calculated under AASB 1049 </w:t>
      </w:r>
      <w:r w:rsidRPr="00C850D7">
        <w:rPr>
          <w:i w:val="0"/>
        </w:rPr>
        <w:t>Whole of Government and General Government Sector Financial Reporting</w:t>
      </w:r>
      <w:r w:rsidRPr="00552444">
        <w:t>.</w:t>
      </w:r>
    </w:p>
    <w:p w:rsidR="000B4A1E" w:rsidRPr="00552444" w:rsidRDefault="000B4A1E" w:rsidP="00517E51">
      <w:pPr>
        <w:pStyle w:val="Notes"/>
      </w:pPr>
      <w:r w:rsidRPr="00552444">
        <w:t xml:space="preserve">(b) </w:t>
      </w:r>
      <w:r w:rsidRPr="00552444">
        <w:tab/>
        <w:t>In line with Standard &amp; Poor’s methodology, NFPS advances paid are excluded from the calculation of net debt.</w:t>
      </w:r>
    </w:p>
    <w:p w:rsidR="000B4A1E" w:rsidRDefault="000B4A1E" w:rsidP="00517E51"/>
    <w:p w:rsidR="000B4A1E" w:rsidRPr="00552444" w:rsidRDefault="000B4A1E" w:rsidP="00517E51"/>
    <w:p w:rsidR="000B4A1E" w:rsidRDefault="000B4A1E" w:rsidP="00EC7BE0"/>
    <w:p w:rsidR="000B4A1E" w:rsidRDefault="000B4A1E" w:rsidP="00FE76C7">
      <w:pPr>
        <w:sectPr w:rsidR="000B4A1E" w:rsidSect="00740862">
          <w:footerReference w:type="even" r:id="rId20"/>
          <w:footerReference w:type="default" r:id="rId21"/>
          <w:type w:val="oddPage"/>
          <w:pgSz w:w="11906" w:h="16838" w:code="9"/>
          <w:pgMar w:top="1152" w:right="1152" w:bottom="1152" w:left="1152" w:header="720" w:footer="576" w:gutter="0"/>
          <w:cols w:space="708"/>
          <w:docGrid w:linePitch="360"/>
        </w:sectPr>
      </w:pPr>
    </w:p>
    <w:p w:rsidR="000B4A1E" w:rsidRPr="00D00665" w:rsidRDefault="000B4A1E" w:rsidP="00517E51">
      <w:pPr>
        <w:pStyle w:val="ChapterHeading"/>
      </w:pPr>
      <w:bookmarkStart w:id="12" w:name="_Toc367967894"/>
      <w:r w:rsidRPr="00D00665">
        <w:lastRenderedPageBreak/>
        <w:t>Chapter 4 – Annual Financial Report</w:t>
      </w:r>
      <w:bookmarkEnd w:id="12"/>
    </w:p>
    <w:p w:rsidR="000B4A1E" w:rsidRPr="00D00665" w:rsidRDefault="000B4A1E" w:rsidP="00517E51">
      <w:pPr>
        <w:pStyle w:val="Heading2"/>
      </w:pPr>
      <w:r w:rsidRPr="00D00665">
        <w:t>This chapter contains the audited 2012</w:t>
      </w:r>
      <w:r w:rsidRPr="00D00665">
        <w:noBreakHyphen/>
        <w:t>13 financial report for the State of Victoria and the Victorian general government sector.</w:t>
      </w:r>
    </w:p>
    <w:p w:rsidR="000B4A1E" w:rsidRPr="00D00665" w:rsidRDefault="000B4A1E" w:rsidP="00517E51">
      <w:r w:rsidRPr="00D00665">
        <w:t xml:space="preserve"> </w:t>
      </w:r>
    </w:p>
    <w:p w:rsidR="000B4A1E" w:rsidRPr="00D00665" w:rsidRDefault="000B4A1E" w:rsidP="00517E51">
      <w:pPr>
        <w:pStyle w:val="Heading1"/>
        <w:rPr>
          <w:caps w:val="0"/>
        </w:rPr>
      </w:pPr>
      <w:r w:rsidRPr="00D00665">
        <w:rPr>
          <w:caps w:val="0"/>
        </w:rPr>
        <w:br w:type="page"/>
      </w:r>
      <w:bookmarkStart w:id="13" w:name="_Toc367967895"/>
      <w:r w:rsidRPr="00D00665">
        <w:rPr>
          <w:caps w:val="0"/>
        </w:rPr>
        <w:lastRenderedPageBreak/>
        <w:t>Report of the Auditor General</w:t>
      </w:r>
      <w:bookmarkEnd w:id="13"/>
    </w:p>
    <w:p w:rsidR="000B4A1E" w:rsidRPr="00D00665" w:rsidRDefault="000B4A1E" w:rsidP="00517E51">
      <w:r>
        <w:rPr>
          <w:noProof/>
          <w:lang w:eastAsia="en-AU"/>
        </w:rPr>
        <w:drawing>
          <wp:inline distT="0" distB="0" distL="0" distR="0" wp14:anchorId="58FCBF58" wp14:editId="7345854E">
            <wp:extent cx="6097270" cy="8623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GO_AFR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7270" cy="8623935"/>
                    </a:xfrm>
                    <a:prstGeom prst="rect">
                      <a:avLst/>
                    </a:prstGeom>
                  </pic:spPr>
                </pic:pic>
              </a:graphicData>
            </a:graphic>
          </wp:inline>
        </w:drawing>
      </w:r>
    </w:p>
    <w:p w:rsidR="000B4A1E" w:rsidRPr="00D00665" w:rsidRDefault="000B4A1E" w:rsidP="00517E51">
      <w:pPr>
        <w:pStyle w:val="Heading1cont"/>
        <w:rPr>
          <w:i/>
          <w:caps/>
        </w:rPr>
      </w:pPr>
      <w:r w:rsidRPr="00D00665">
        <w:br w:type="page"/>
      </w:r>
      <w:r w:rsidRPr="00D00665">
        <w:lastRenderedPageBreak/>
        <w:t xml:space="preserve">Report of the Auditor General </w:t>
      </w:r>
      <w:r w:rsidRPr="00D00665">
        <w:rPr>
          <w:i/>
        </w:rPr>
        <w:t>(continued)</w:t>
      </w:r>
    </w:p>
    <w:p w:rsidR="000B4A1E" w:rsidRPr="00D00665" w:rsidRDefault="000B4A1E" w:rsidP="00517E51">
      <w:r>
        <w:rPr>
          <w:noProof/>
          <w:lang w:eastAsia="en-AU"/>
        </w:rPr>
        <w:drawing>
          <wp:inline distT="0" distB="0" distL="0" distR="0" wp14:anchorId="4D180895" wp14:editId="2E0E10B9">
            <wp:extent cx="6097270" cy="86239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GO_AFR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97270" cy="8623935"/>
                    </a:xfrm>
                    <a:prstGeom prst="rect">
                      <a:avLst/>
                    </a:prstGeom>
                  </pic:spPr>
                </pic:pic>
              </a:graphicData>
            </a:graphic>
          </wp:inline>
        </w:drawing>
      </w:r>
    </w:p>
    <w:p w:rsidR="000B4A1E" w:rsidRPr="00D00665" w:rsidRDefault="000B4A1E" w:rsidP="00517E51">
      <w:pPr>
        <w:pStyle w:val="Heading1"/>
      </w:pPr>
      <w:r w:rsidRPr="00D00665">
        <w:rPr>
          <w:caps w:val="0"/>
        </w:rPr>
        <w:br w:type="page"/>
      </w:r>
      <w:bookmarkStart w:id="14" w:name="_Toc367967896"/>
      <w:r w:rsidRPr="00D00665">
        <w:rPr>
          <w:caps w:val="0"/>
        </w:rPr>
        <w:lastRenderedPageBreak/>
        <w:t>Certification by the Department of Treasury and Finance</w:t>
      </w:r>
      <w:bookmarkEnd w:id="14"/>
    </w:p>
    <w:p w:rsidR="000B4A1E" w:rsidRPr="00D00665" w:rsidRDefault="000B4A1E" w:rsidP="00517E51">
      <w:r w:rsidRPr="00D00665">
        <w:t xml:space="preserve">The </w:t>
      </w:r>
      <w:r w:rsidRPr="00D00665">
        <w:rPr>
          <w:i/>
        </w:rPr>
        <w:t>Annual Financial Report</w:t>
      </w:r>
      <w:r w:rsidRPr="00D00665">
        <w:t xml:space="preserve"> has been prepared by the Department of Treasury and Finance through the consolidation of audited financial information provided by the Victorian public sector reporting entities listed herein.</w:t>
      </w:r>
    </w:p>
    <w:p w:rsidR="000B4A1E" w:rsidRPr="00D00665" w:rsidRDefault="000B4A1E" w:rsidP="00517E51">
      <w:r w:rsidRPr="00D00665">
        <w:t>In our opinion, the Annual Financial Report:</w:t>
      </w:r>
    </w:p>
    <w:p w:rsidR="000B4A1E" w:rsidRPr="00D00665" w:rsidRDefault="000B4A1E" w:rsidP="00517E51">
      <w:pPr>
        <w:ind w:left="720" w:hanging="720"/>
      </w:pPr>
      <w:r w:rsidRPr="00D00665">
        <w:t>(a)</w:t>
      </w:r>
      <w:r w:rsidRPr="00D00665">
        <w:tab/>
        <w:t>presents fairly the consolidated financial statements of the State and the Victorian general government sector as at 30 June 2013; and</w:t>
      </w:r>
    </w:p>
    <w:p w:rsidR="000B4A1E" w:rsidRPr="00D00665" w:rsidRDefault="000B4A1E" w:rsidP="00517E51">
      <w:pPr>
        <w:ind w:left="720" w:hanging="720"/>
      </w:pPr>
      <w:r w:rsidRPr="00D00665">
        <w:t>(b)</w:t>
      </w:r>
      <w:r w:rsidRPr="00D00665">
        <w:tab/>
        <w:t xml:space="preserve">has been prepared in accordance with Australian Accounting Standards and pronouncements, in particular AASB 1049 </w:t>
      </w:r>
      <w:r w:rsidRPr="00D00665">
        <w:rPr>
          <w:i/>
        </w:rPr>
        <w:t>Whole of Government and General Government Sector Financial Reporting</w:t>
      </w:r>
      <w:r w:rsidRPr="00D00665">
        <w:t xml:space="preserve"> and the financial reporting requirements contained in Part 5 of the </w:t>
      </w:r>
      <w:r w:rsidRPr="00D00665">
        <w:rPr>
          <w:i/>
        </w:rPr>
        <w:t>Financial Management Act 1994</w:t>
      </w:r>
      <w:r w:rsidRPr="00D00665">
        <w:t>.</w:t>
      </w:r>
    </w:p>
    <w:p w:rsidR="000B4A1E" w:rsidRPr="00D00665" w:rsidRDefault="000B4A1E" w:rsidP="00517E51">
      <w:r w:rsidRPr="00D00665">
        <w:t>At the time of signing, we are not aware of any circumstances which would render any particulars included in the Annual Financial Report to be misleading or inaccurate.</w:t>
      </w:r>
    </w:p>
    <w:p w:rsidR="000B4A1E" w:rsidRPr="00D00665" w:rsidRDefault="000B4A1E" w:rsidP="00517E51"/>
    <w:p w:rsidR="000B4A1E" w:rsidRPr="00D00665" w:rsidRDefault="000B4A1E" w:rsidP="00517E51"/>
    <w:p w:rsidR="000B4A1E" w:rsidRPr="00D00665" w:rsidRDefault="000B4A1E" w:rsidP="00517E51"/>
    <w:p w:rsidR="000B4A1E" w:rsidRPr="00D00665" w:rsidRDefault="000B4A1E" w:rsidP="00517E51"/>
    <w:p w:rsidR="000B4A1E" w:rsidRPr="00D00665" w:rsidRDefault="000B4A1E" w:rsidP="00517E51">
      <w:pPr>
        <w:rPr>
          <w:b/>
        </w:rPr>
      </w:pPr>
      <w:r w:rsidRPr="00D00665">
        <w:t>Steve Mitsas, FCPA</w:t>
      </w:r>
      <w:r w:rsidRPr="00D00665">
        <w:br/>
      </w:r>
      <w:r w:rsidRPr="00D00665">
        <w:rPr>
          <w:b/>
        </w:rPr>
        <w:t>Principal Accounting Officer</w:t>
      </w:r>
    </w:p>
    <w:p w:rsidR="000B4A1E" w:rsidRDefault="000B4A1E" w:rsidP="00517E51"/>
    <w:p w:rsidR="000B4A1E" w:rsidRPr="00D00665" w:rsidRDefault="000B4A1E" w:rsidP="00517E51"/>
    <w:p w:rsidR="000B4A1E" w:rsidRPr="00D00665" w:rsidRDefault="000B4A1E" w:rsidP="00517E51"/>
    <w:p w:rsidR="000B4A1E" w:rsidRPr="00D00665" w:rsidRDefault="000B4A1E" w:rsidP="00517E51">
      <w:pPr>
        <w:tabs>
          <w:tab w:val="left" w:pos="5040"/>
        </w:tabs>
      </w:pPr>
    </w:p>
    <w:p w:rsidR="000B4A1E" w:rsidRPr="00D00665" w:rsidRDefault="000B4A1E" w:rsidP="00517E51">
      <w:pPr>
        <w:tabs>
          <w:tab w:val="left" w:pos="5040"/>
        </w:tabs>
        <w:rPr>
          <w:b/>
        </w:rPr>
      </w:pPr>
      <w:r w:rsidRPr="00D00665">
        <w:t>Melissa Skilbeck</w:t>
      </w:r>
      <w:r w:rsidRPr="00D00665">
        <w:tab/>
        <w:t>David Webster</w:t>
      </w:r>
      <w:r w:rsidRPr="00D00665">
        <w:br/>
      </w:r>
      <w:r w:rsidRPr="00D00665">
        <w:rPr>
          <w:b/>
        </w:rPr>
        <w:t>Deputy Secretary</w:t>
      </w:r>
      <w:r w:rsidRPr="00D00665">
        <w:rPr>
          <w:b/>
        </w:rPr>
        <w:tab/>
        <w:t>Acting Secretary</w:t>
      </w:r>
      <w:r w:rsidRPr="00D00665">
        <w:rPr>
          <w:b/>
        </w:rPr>
        <w:br/>
        <w:t>Budget and Finance</w:t>
      </w:r>
    </w:p>
    <w:p w:rsidR="000B4A1E" w:rsidRPr="00D00665" w:rsidRDefault="000B4A1E" w:rsidP="00517E51"/>
    <w:p w:rsidR="000B4A1E" w:rsidRPr="00D00665" w:rsidRDefault="000B4A1E" w:rsidP="00517E51"/>
    <w:p w:rsidR="000B4A1E" w:rsidRPr="00D00665" w:rsidRDefault="000B4A1E" w:rsidP="00517E51">
      <w:r w:rsidRPr="00D00665">
        <w:t>Authorised for issue on:</w:t>
      </w:r>
    </w:p>
    <w:p w:rsidR="000B4A1E" w:rsidRPr="00D00665" w:rsidRDefault="000B4A1E" w:rsidP="00517E51">
      <w:r>
        <w:t>26</w:t>
      </w:r>
      <w:r w:rsidRPr="00D00665">
        <w:t xml:space="preserve"> September 2013</w:t>
      </w:r>
    </w:p>
    <w:p w:rsidR="000B4A1E" w:rsidRPr="00D00665" w:rsidRDefault="000B4A1E" w:rsidP="00517E51"/>
    <w:p w:rsidR="000B4A1E" w:rsidRPr="00D00665" w:rsidRDefault="000B4A1E" w:rsidP="00517E51">
      <w:pPr>
        <w:pStyle w:val="Tableheading"/>
      </w:pPr>
      <w:r w:rsidRPr="00D00665">
        <w:br w:type="page"/>
      </w:r>
      <w:r w:rsidRPr="00D00665">
        <w:lastRenderedPageBreak/>
        <w:t>Consolidated comprehensive operating statement for the financial year ending 30 June</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4424"/>
        <w:gridCol w:w="268"/>
        <w:gridCol w:w="464"/>
        <w:gridCol w:w="348"/>
        <w:gridCol w:w="180"/>
        <w:gridCol w:w="284"/>
        <w:gridCol w:w="311"/>
        <w:gridCol w:w="1123"/>
        <w:gridCol w:w="262"/>
        <w:gridCol w:w="861"/>
        <w:gridCol w:w="1123"/>
      </w:tblGrid>
      <w:tr w:rsidR="000B4A1E" w:rsidRPr="003E2DBE" w:rsidTr="00517E51">
        <w:trPr>
          <w:cantSplit/>
          <w:tblHeader/>
        </w:trPr>
        <w:tc>
          <w:tcPr>
            <w:tcW w:w="442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sz w:val="21"/>
                <w:szCs w:val="21"/>
                <w:lang w:eastAsia="en-AU"/>
              </w:rPr>
            </w:pPr>
            <w:r w:rsidRPr="003E2DBE">
              <w:rPr>
                <w:sz w:val="21"/>
                <w:szCs w:val="21"/>
                <w:lang w:eastAsia="en-AU"/>
              </w:rPr>
              <w:t xml:space="preserve"> </w:t>
            </w:r>
          </w:p>
        </w:tc>
        <w:tc>
          <w:tcPr>
            <w:tcW w:w="732"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348"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1898" w:type="dxa"/>
            <w:gridSpan w:val="4"/>
            <w:tcBorders>
              <w:top w:val="single" w:sz="4" w:space="0" w:color="auto"/>
              <w:left w:val="nil"/>
              <w:bottom w:val="nil"/>
              <w:right w:val="nil"/>
            </w:tcBorders>
            <w:shd w:val="clear" w:color="auto" w:fill="000000"/>
          </w:tcPr>
          <w:p w:rsidR="000B4A1E" w:rsidRPr="003E2DBE" w:rsidRDefault="000B4A1E" w:rsidP="00517E51">
            <w:pPr>
              <w:pStyle w:val="TabletextheadingCentred"/>
              <w:rPr>
                <w:sz w:val="21"/>
                <w:szCs w:val="21"/>
                <w:lang w:eastAsia="en-AU"/>
              </w:rPr>
            </w:pPr>
          </w:p>
          <w:p w:rsidR="000B4A1E" w:rsidRPr="003E2DBE" w:rsidRDefault="000B4A1E" w:rsidP="00517E51">
            <w:pPr>
              <w:pStyle w:val="TabletextheadingCentred"/>
              <w:rPr>
                <w:sz w:val="21"/>
                <w:szCs w:val="21"/>
                <w:lang w:eastAsia="en-AU"/>
              </w:rPr>
            </w:pPr>
            <w:r w:rsidRPr="003E2DBE">
              <w:rPr>
                <w:sz w:val="21"/>
                <w:szCs w:val="21"/>
                <w:lang w:eastAsia="en-AU"/>
              </w:rPr>
              <w:t>State of Victoria</w:t>
            </w:r>
          </w:p>
        </w:tc>
        <w:tc>
          <w:tcPr>
            <w:tcW w:w="26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1984"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General</w:t>
            </w:r>
          </w:p>
          <w:p w:rsidR="000B4A1E" w:rsidRPr="003E2DBE" w:rsidRDefault="000B4A1E" w:rsidP="00517E51">
            <w:pPr>
              <w:pStyle w:val="TabletextheadingCentred"/>
              <w:rPr>
                <w:sz w:val="21"/>
                <w:szCs w:val="21"/>
                <w:lang w:eastAsia="en-AU"/>
              </w:rPr>
            </w:pPr>
            <w:r w:rsidRPr="003E2DBE">
              <w:rPr>
                <w:sz w:val="21"/>
                <w:szCs w:val="21"/>
                <w:lang w:eastAsia="en-AU"/>
              </w:rPr>
              <w:t>government sector</w:t>
            </w:r>
          </w:p>
        </w:tc>
      </w:tr>
      <w:tr w:rsidR="000B4A1E" w:rsidRPr="003E2DBE" w:rsidTr="00517E51">
        <w:trPr>
          <w:cantSplit/>
          <w:tblHeader/>
        </w:trPr>
        <w:tc>
          <w:tcPr>
            <w:tcW w:w="4424"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sz w:val="21"/>
                <w:szCs w:val="21"/>
                <w:lang w:eastAsia="en-AU"/>
              </w:rPr>
            </w:pPr>
            <w:r w:rsidRPr="003E2DBE">
              <w:rPr>
                <w:sz w:val="21"/>
                <w:szCs w:val="21"/>
                <w:lang w:eastAsia="en-AU"/>
              </w:rPr>
              <w:t xml:space="preserve"> </w:t>
            </w:r>
          </w:p>
        </w:tc>
        <w:tc>
          <w:tcPr>
            <w:tcW w:w="732"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Notes</w:t>
            </w:r>
          </w:p>
        </w:tc>
        <w:tc>
          <w:tcPr>
            <w:tcW w:w="1123" w:type="dxa"/>
            <w:gridSpan w:val="4"/>
            <w:tcBorders>
              <w:top w:val="nil"/>
              <w:left w:val="nil"/>
              <w:bottom w:val="single" w:sz="4"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2012</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2012</w:t>
            </w:r>
          </w:p>
        </w:tc>
      </w:tr>
      <w:tr w:rsidR="000B4A1E" w:rsidRPr="003E2DBE" w:rsidTr="00517E51">
        <w:tc>
          <w:tcPr>
            <w:tcW w:w="4424" w:type="dxa"/>
            <w:tcBorders>
              <w:top w:val="single" w:sz="4" w:space="0" w:color="auto"/>
              <w:left w:val="nil"/>
              <w:bottom w:val="nil"/>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Revenue from transactions</w:t>
            </w:r>
          </w:p>
        </w:tc>
        <w:tc>
          <w:tcPr>
            <w:tcW w:w="732" w:type="dxa"/>
            <w:gridSpan w:val="2"/>
            <w:tcBorders>
              <w:top w:val="single" w:sz="4" w:space="0" w:color="auto"/>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 xml:space="preserve">  </w:t>
            </w:r>
          </w:p>
        </w:tc>
        <w:tc>
          <w:tcPr>
            <w:tcW w:w="1123" w:type="dxa"/>
            <w:gridSpan w:val="4"/>
            <w:tcBorders>
              <w:top w:val="single" w:sz="4" w:space="0" w:color="auto"/>
              <w:left w:val="nil"/>
              <w:bottom w:val="nil"/>
              <w:right w:val="nil"/>
            </w:tcBorders>
          </w:tcPr>
          <w:p w:rsidR="000B4A1E" w:rsidRPr="003E2DBE" w:rsidRDefault="000B4A1E" w:rsidP="00517E51">
            <w:pPr>
              <w:pStyle w:val="TableofFigures"/>
              <w:rPr>
                <w:sz w:val="21"/>
                <w:szCs w:val="21"/>
                <w:lang w:eastAsia="en-AU"/>
              </w:rPr>
            </w:pPr>
            <w:r w:rsidRPr="003E2DBE">
              <w:rPr>
                <w:sz w:val="21"/>
                <w:szCs w:val="21"/>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sz w:val="21"/>
                <w:szCs w:val="21"/>
                <w:lang w:eastAsia="en-AU"/>
              </w:rPr>
            </w:pPr>
            <w:r w:rsidRPr="003E2DBE">
              <w:rPr>
                <w:sz w:val="21"/>
                <w:szCs w:val="21"/>
                <w:lang w:eastAsia="en-AU"/>
              </w:rPr>
              <w:t xml:space="preserve">  </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sz w:val="21"/>
                <w:szCs w:val="21"/>
                <w:lang w:eastAsia="en-AU"/>
              </w:rPr>
            </w:pPr>
            <w:r w:rsidRPr="003E2DBE">
              <w:rPr>
                <w:sz w:val="21"/>
                <w:szCs w:val="21"/>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sz w:val="21"/>
                <w:szCs w:val="21"/>
                <w:lang w:eastAsia="en-AU"/>
              </w:rPr>
            </w:pPr>
            <w:r w:rsidRPr="003E2DBE">
              <w:rPr>
                <w:sz w:val="21"/>
                <w:szCs w:val="21"/>
                <w:lang w:eastAsia="en-AU"/>
              </w:rPr>
              <w:t xml:space="preserve">  </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Taxation revenue</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3</w:t>
            </w: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15 </w:t>
            </w:r>
            <w:r w:rsidRPr="003E2DBE">
              <w:rPr>
                <w:rFonts w:cs="Calibri"/>
                <w:sz w:val="21"/>
                <w:szCs w:val="21"/>
                <w:lang w:eastAsia="en-AU"/>
              </w:rPr>
              <w:t>184.7</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14 </w:t>
            </w:r>
            <w:r w:rsidRPr="003E2DBE">
              <w:rPr>
                <w:rFonts w:cs="Calibri"/>
                <w:sz w:val="21"/>
                <w:szCs w:val="21"/>
                <w:lang w:eastAsia="en-AU"/>
              </w:rPr>
              <w:t>775.9</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15 </w:t>
            </w:r>
            <w:r w:rsidRPr="003E2DBE">
              <w:rPr>
                <w:rFonts w:cs="Calibri"/>
                <w:sz w:val="21"/>
                <w:szCs w:val="21"/>
                <w:lang w:eastAsia="en-AU"/>
              </w:rPr>
              <w:t>530.7</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15 </w:t>
            </w:r>
            <w:r w:rsidRPr="003E2DBE">
              <w:rPr>
                <w:rFonts w:cs="Calibri"/>
                <w:sz w:val="21"/>
                <w:szCs w:val="21"/>
                <w:lang w:eastAsia="en-AU"/>
              </w:rPr>
              <w:t>026.9</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Interest revenue</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 xml:space="preserve">  </w:t>
            </w: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970.4</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1 </w:t>
            </w:r>
            <w:r w:rsidRPr="003E2DBE">
              <w:rPr>
                <w:rFonts w:cs="Calibri"/>
                <w:sz w:val="21"/>
                <w:szCs w:val="21"/>
                <w:lang w:eastAsia="en-AU"/>
              </w:rPr>
              <w:t>215.8</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700.7</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412.6</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vertAlign w:val="superscript"/>
                <w:lang w:eastAsia="en-AU"/>
              </w:rPr>
            </w:pPr>
            <w:r w:rsidRPr="003E2DBE">
              <w:rPr>
                <w:sz w:val="21"/>
                <w:szCs w:val="21"/>
                <w:lang w:eastAsia="en-AU"/>
              </w:rPr>
              <w:t>Dividends and income tax equivalent and rate equivalent revenue</w:t>
            </w:r>
            <w:r w:rsidRPr="003E2DBE">
              <w:rPr>
                <w:sz w:val="21"/>
                <w:szCs w:val="21"/>
                <w:vertAlign w:val="superscript"/>
                <w:lang w:eastAsia="en-AU"/>
              </w:rPr>
              <w:t xml:space="preserve"> </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4</w:t>
            </w: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610.9</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571.1</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1 </w:t>
            </w:r>
            <w:r w:rsidRPr="003E2DBE">
              <w:rPr>
                <w:rFonts w:cs="Calibri"/>
                <w:sz w:val="21"/>
                <w:szCs w:val="21"/>
                <w:lang w:eastAsia="en-AU"/>
              </w:rPr>
              <w:t>341.7</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939.1</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Sales of goods and services</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5</w:t>
            </w: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12 </w:t>
            </w:r>
            <w:r w:rsidRPr="003E2DBE">
              <w:rPr>
                <w:rFonts w:cs="Calibri"/>
                <w:sz w:val="21"/>
                <w:szCs w:val="21"/>
                <w:lang w:eastAsia="en-AU"/>
              </w:rPr>
              <w:t>896.9</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12 </w:t>
            </w:r>
            <w:r w:rsidRPr="003E2DBE">
              <w:rPr>
                <w:rFonts w:cs="Calibri"/>
                <w:sz w:val="21"/>
                <w:szCs w:val="21"/>
                <w:lang w:eastAsia="en-AU"/>
              </w:rPr>
              <w:t>609.6</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6 </w:t>
            </w:r>
            <w:r w:rsidRPr="003E2DBE">
              <w:rPr>
                <w:rFonts w:cs="Calibri"/>
                <w:sz w:val="21"/>
                <w:szCs w:val="21"/>
                <w:lang w:eastAsia="en-AU"/>
              </w:rPr>
              <w:t>869.3</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6 </w:t>
            </w:r>
            <w:r w:rsidRPr="003E2DBE">
              <w:rPr>
                <w:rFonts w:cs="Calibri"/>
                <w:sz w:val="21"/>
                <w:szCs w:val="21"/>
                <w:lang w:eastAsia="en-AU"/>
              </w:rPr>
              <w:t>267.2</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Grants</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6</w:t>
            </w: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21 </w:t>
            </w:r>
            <w:r w:rsidRPr="003E2DBE">
              <w:rPr>
                <w:rFonts w:cs="Calibri"/>
                <w:sz w:val="21"/>
                <w:szCs w:val="21"/>
                <w:lang w:eastAsia="en-AU"/>
              </w:rPr>
              <w:t>790.4</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22 </w:t>
            </w:r>
            <w:r w:rsidRPr="003E2DBE">
              <w:rPr>
                <w:rFonts w:cs="Calibri"/>
                <w:sz w:val="21"/>
                <w:szCs w:val="21"/>
                <w:lang w:eastAsia="en-AU"/>
              </w:rPr>
              <w:t>476.7</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21 </w:t>
            </w:r>
            <w:r w:rsidRPr="003E2DBE">
              <w:rPr>
                <w:rFonts w:cs="Calibri"/>
                <w:sz w:val="21"/>
                <w:szCs w:val="21"/>
                <w:lang w:eastAsia="en-AU"/>
              </w:rPr>
              <w:t>902.2</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22 </w:t>
            </w:r>
            <w:r w:rsidRPr="003E2DBE">
              <w:rPr>
                <w:rFonts w:cs="Calibri"/>
                <w:sz w:val="21"/>
                <w:szCs w:val="21"/>
                <w:lang w:eastAsia="en-AU"/>
              </w:rPr>
              <w:t>599.8</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Other revenue</w:t>
            </w:r>
          </w:p>
        </w:tc>
        <w:tc>
          <w:tcPr>
            <w:tcW w:w="732" w:type="dxa"/>
            <w:gridSpan w:val="2"/>
            <w:tcBorders>
              <w:top w:val="nil"/>
              <w:left w:val="nil"/>
              <w:bottom w:val="single" w:sz="6" w:space="0" w:color="auto"/>
              <w:right w:val="nil"/>
            </w:tcBorders>
          </w:tcPr>
          <w:p w:rsidR="000B4A1E" w:rsidRPr="003E2DBE" w:rsidRDefault="000B4A1E" w:rsidP="00517E51">
            <w:pPr>
              <w:pStyle w:val="TableTextCentred"/>
              <w:rPr>
                <w:sz w:val="21"/>
                <w:szCs w:val="21"/>
                <w:lang w:eastAsia="en-AU"/>
              </w:rPr>
            </w:pPr>
            <w:r w:rsidRPr="003E2DBE">
              <w:rPr>
                <w:sz w:val="21"/>
                <w:szCs w:val="21"/>
                <w:lang w:eastAsia="en-AU"/>
              </w:rPr>
              <w:t>7</w:t>
            </w:r>
          </w:p>
        </w:tc>
        <w:tc>
          <w:tcPr>
            <w:tcW w:w="1123" w:type="dxa"/>
            <w:gridSpan w:val="4"/>
            <w:tcBorders>
              <w:top w:val="nil"/>
              <w:left w:val="nil"/>
              <w:bottom w:val="single" w:sz="6" w:space="0" w:color="auto"/>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2 </w:t>
            </w:r>
            <w:r w:rsidRPr="003E2DBE">
              <w:rPr>
                <w:rFonts w:cs="Calibri"/>
                <w:sz w:val="21"/>
                <w:szCs w:val="21"/>
                <w:lang w:eastAsia="en-AU"/>
              </w:rPr>
              <w:t>749.6</w:t>
            </w:r>
          </w:p>
        </w:tc>
        <w:tc>
          <w:tcPr>
            <w:tcW w:w="1123" w:type="dxa"/>
            <w:tcBorders>
              <w:top w:val="nil"/>
              <w:left w:val="nil"/>
              <w:bottom w:val="single" w:sz="6" w:space="0" w:color="auto"/>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2 </w:t>
            </w:r>
            <w:r w:rsidRPr="003E2DBE">
              <w:rPr>
                <w:rFonts w:cs="Calibri"/>
                <w:sz w:val="21"/>
                <w:szCs w:val="21"/>
                <w:lang w:eastAsia="en-AU"/>
              </w:rPr>
              <w:t>808.6</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2 </w:t>
            </w:r>
            <w:r w:rsidRPr="003E2DBE">
              <w:rPr>
                <w:rFonts w:cs="Calibri"/>
                <w:sz w:val="21"/>
                <w:szCs w:val="21"/>
                <w:lang w:eastAsia="en-AU"/>
              </w:rPr>
              <w:t>268.3</w:t>
            </w:r>
          </w:p>
        </w:tc>
        <w:tc>
          <w:tcPr>
            <w:tcW w:w="1123" w:type="dxa"/>
            <w:tcBorders>
              <w:top w:val="nil"/>
              <w:left w:val="nil"/>
              <w:bottom w:val="single" w:sz="6" w:space="0" w:color="auto"/>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2 </w:t>
            </w:r>
            <w:r w:rsidRPr="003E2DBE">
              <w:rPr>
                <w:rFonts w:cs="Calibri"/>
                <w:sz w:val="21"/>
                <w:szCs w:val="21"/>
                <w:lang w:eastAsia="en-AU"/>
              </w:rPr>
              <w:t>636.7</w:t>
            </w:r>
          </w:p>
        </w:tc>
      </w:tr>
      <w:tr w:rsidR="000B4A1E" w:rsidRPr="003E2DBE" w:rsidTr="00517E51">
        <w:tc>
          <w:tcPr>
            <w:tcW w:w="4424" w:type="dxa"/>
            <w:tcBorders>
              <w:top w:val="single" w:sz="6" w:space="0" w:color="auto"/>
              <w:left w:val="nil"/>
              <w:bottom w:val="nil"/>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Total revenue from transactions</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 xml:space="preserve">  </w:t>
            </w:r>
          </w:p>
        </w:tc>
        <w:tc>
          <w:tcPr>
            <w:tcW w:w="1123" w:type="dxa"/>
            <w:gridSpan w:val="4"/>
            <w:tcBorders>
              <w:top w:val="nil"/>
              <w:left w:val="nil"/>
              <w:bottom w:val="nil"/>
              <w:right w:val="nil"/>
            </w:tcBorders>
          </w:tcPr>
          <w:p w:rsidR="000B4A1E" w:rsidRPr="003E2DBE" w:rsidRDefault="000B4A1E" w:rsidP="00517E51">
            <w:pPr>
              <w:pStyle w:val="TableofFigures"/>
              <w:rPr>
                <w:rFonts w:cs="Calibri"/>
                <w:b/>
                <w:bCs/>
                <w:sz w:val="21"/>
                <w:szCs w:val="21"/>
                <w:lang w:eastAsia="en-AU"/>
              </w:rPr>
            </w:pPr>
            <w:r w:rsidRPr="003E2DBE">
              <w:rPr>
                <w:b/>
                <w:sz w:val="21"/>
                <w:szCs w:val="21"/>
                <w:lang w:eastAsia="en-AU"/>
              </w:rPr>
              <w:t>54</w:t>
            </w:r>
            <w:r w:rsidRPr="003E2DBE">
              <w:rPr>
                <w:rFonts w:cs="Calibri"/>
                <w:b/>
                <w:bCs/>
                <w:sz w:val="21"/>
                <w:szCs w:val="21"/>
                <w:lang w:eastAsia="en-AU"/>
              </w:rPr>
              <w:t xml:space="preserve"> 203.0</w:t>
            </w:r>
          </w:p>
        </w:tc>
        <w:tc>
          <w:tcPr>
            <w:tcW w:w="1123" w:type="dxa"/>
            <w:tcBorders>
              <w:top w:val="nil"/>
              <w:left w:val="nil"/>
              <w:bottom w:val="nil"/>
              <w:right w:val="nil"/>
            </w:tcBorders>
          </w:tcPr>
          <w:p w:rsidR="000B4A1E" w:rsidRPr="003E2DBE" w:rsidRDefault="000B4A1E" w:rsidP="00517E51">
            <w:pPr>
              <w:pStyle w:val="TableofFigures"/>
              <w:rPr>
                <w:rFonts w:cs="Calibri"/>
                <w:b/>
                <w:bCs/>
                <w:sz w:val="21"/>
                <w:szCs w:val="21"/>
                <w:lang w:eastAsia="en-AU"/>
              </w:rPr>
            </w:pPr>
            <w:r w:rsidRPr="003E2DBE">
              <w:rPr>
                <w:b/>
                <w:sz w:val="21"/>
                <w:szCs w:val="21"/>
                <w:lang w:eastAsia="en-AU"/>
              </w:rPr>
              <w:t>54</w:t>
            </w:r>
            <w:r w:rsidRPr="003E2DBE">
              <w:rPr>
                <w:rFonts w:cs="Calibri"/>
                <w:b/>
                <w:bCs/>
                <w:sz w:val="21"/>
                <w:szCs w:val="21"/>
                <w:lang w:eastAsia="en-AU"/>
              </w:rPr>
              <w:t xml:space="preserve"> 457.8</w:t>
            </w:r>
          </w:p>
        </w:tc>
        <w:tc>
          <w:tcPr>
            <w:tcW w:w="1123" w:type="dxa"/>
            <w:gridSpan w:val="2"/>
            <w:tcBorders>
              <w:top w:val="nil"/>
              <w:left w:val="nil"/>
              <w:bottom w:val="nil"/>
              <w:right w:val="nil"/>
            </w:tcBorders>
          </w:tcPr>
          <w:p w:rsidR="000B4A1E" w:rsidRPr="003E2DBE" w:rsidRDefault="000B4A1E" w:rsidP="00517E51">
            <w:pPr>
              <w:pStyle w:val="TableofFigures"/>
              <w:rPr>
                <w:rFonts w:cs="Calibri"/>
                <w:b/>
                <w:bCs/>
                <w:sz w:val="21"/>
                <w:szCs w:val="21"/>
                <w:lang w:eastAsia="en-AU"/>
              </w:rPr>
            </w:pPr>
            <w:r w:rsidRPr="003E2DBE">
              <w:rPr>
                <w:b/>
                <w:sz w:val="21"/>
                <w:szCs w:val="21"/>
                <w:lang w:eastAsia="en-AU"/>
              </w:rPr>
              <w:t>48</w:t>
            </w:r>
            <w:r w:rsidRPr="003E2DBE">
              <w:rPr>
                <w:rFonts w:cs="Calibri"/>
                <w:b/>
                <w:bCs/>
                <w:sz w:val="21"/>
                <w:szCs w:val="21"/>
                <w:lang w:eastAsia="en-AU"/>
              </w:rPr>
              <w:t xml:space="preserve"> 612.9</w:t>
            </w:r>
          </w:p>
        </w:tc>
        <w:tc>
          <w:tcPr>
            <w:tcW w:w="1123" w:type="dxa"/>
            <w:tcBorders>
              <w:top w:val="nil"/>
              <w:left w:val="nil"/>
              <w:bottom w:val="nil"/>
              <w:right w:val="nil"/>
            </w:tcBorders>
          </w:tcPr>
          <w:p w:rsidR="000B4A1E" w:rsidRPr="003E2DBE" w:rsidRDefault="000B4A1E" w:rsidP="00517E51">
            <w:pPr>
              <w:pStyle w:val="TableofFigures"/>
              <w:rPr>
                <w:rFonts w:cs="Calibri"/>
                <w:b/>
                <w:bCs/>
                <w:sz w:val="21"/>
                <w:szCs w:val="21"/>
                <w:lang w:eastAsia="en-AU"/>
              </w:rPr>
            </w:pPr>
            <w:r w:rsidRPr="003E2DBE">
              <w:rPr>
                <w:b/>
                <w:sz w:val="21"/>
                <w:szCs w:val="21"/>
                <w:lang w:eastAsia="en-AU"/>
              </w:rPr>
              <w:t>47</w:t>
            </w:r>
            <w:r w:rsidRPr="003E2DBE">
              <w:rPr>
                <w:rFonts w:cs="Calibri"/>
                <w:b/>
                <w:bCs/>
                <w:sz w:val="21"/>
                <w:szCs w:val="21"/>
                <w:lang w:eastAsia="en-AU"/>
              </w:rPr>
              <w:t xml:space="preserve"> 882.3</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Expenses from transactions</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p>
        </w:tc>
        <w:tc>
          <w:tcPr>
            <w:tcW w:w="1123" w:type="dxa"/>
            <w:gridSpan w:val="4"/>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gridSpan w:val="2"/>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tcBorders>
              <w:top w:val="nil"/>
              <w:left w:val="nil"/>
              <w:bottom w:val="nil"/>
              <w:right w:val="nil"/>
            </w:tcBorders>
          </w:tcPr>
          <w:p w:rsidR="000B4A1E" w:rsidRPr="003E2DBE" w:rsidRDefault="000B4A1E" w:rsidP="00517E51">
            <w:pPr>
              <w:pStyle w:val="TableofFigures"/>
              <w:rPr>
                <w:sz w:val="21"/>
                <w:szCs w:val="21"/>
                <w:lang w:eastAsia="en-AU"/>
              </w:rPr>
            </w:pP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Employee expenses</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18</w:t>
            </w:r>
            <w:r w:rsidRPr="003E2DBE">
              <w:rPr>
                <w:rFonts w:cs="Calibri"/>
                <w:sz w:val="21"/>
                <w:szCs w:val="21"/>
                <w:lang w:eastAsia="en-AU"/>
              </w:rPr>
              <w:t xml:space="preserve"> 794.9</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18</w:t>
            </w:r>
            <w:r w:rsidRPr="003E2DBE">
              <w:rPr>
                <w:rFonts w:cs="Calibri"/>
                <w:sz w:val="21"/>
                <w:szCs w:val="21"/>
                <w:lang w:eastAsia="en-AU"/>
              </w:rPr>
              <w:t xml:space="preserve"> 057.2</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17</w:t>
            </w:r>
            <w:r w:rsidRPr="003E2DBE">
              <w:rPr>
                <w:rFonts w:cs="Calibri"/>
                <w:sz w:val="21"/>
                <w:szCs w:val="21"/>
                <w:lang w:eastAsia="en-AU"/>
              </w:rPr>
              <w:t xml:space="preserve"> 788.5</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17</w:t>
            </w:r>
            <w:r w:rsidRPr="003E2DBE">
              <w:rPr>
                <w:rFonts w:cs="Calibri"/>
                <w:sz w:val="21"/>
                <w:szCs w:val="21"/>
                <w:lang w:eastAsia="en-AU"/>
              </w:rPr>
              <w:t xml:space="preserve"> 120.1</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Superannuation interest expense</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8</w:t>
            </w: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443.8</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808.4</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446.3</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808.6</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Other superannuation</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8</w:t>
            </w: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2</w:t>
            </w:r>
            <w:r w:rsidRPr="003E2DBE">
              <w:rPr>
                <w:rFonts w:cs="Calibri"/>
                <w:sz w:val="21"/>
                <w:szCs w:val="21"/>
                <w:lang w:eastAsia="en-AU"/>
              </w:rPr>
              <w:t xml:space="preserve"> 040.1</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1</w:t>
            </w:r>
            <w:r w:rsidRPr="003E2DBE">
              <w:rPr>
                <w:rFonts w:cs="Calibri"/>
                <w:sz w:val="21"/>
                <w:szCs w:val="21"/>
                <w:lang w:eastAsia="en-AU"/>
              </w:rPr>
              <w:t xml:space="preserve"> 961.3</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1</w:t>
            </w:r>
            <w:r w:rsidRPr="003E2DBE">
              <w:rPr>
                <w:rFonts w:cs="Calibri"/>
                <w:sz w:val="21"/>
                <w:szCs w:val="21"/>
                <w:lang w:eastAsia="en-AU"/>
              </w:rPr>
              <w:t xml:space="preserve"> 924.0</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1</w:t>
            </w:r>
            <w:r w:rsidRPr="003E2DBE">
              <w:rPr>
                <w:rFonts w:cs="Calibri"/>
                <w:sz w:val="21"/>
                <w:szCs w:val="21"/>
                <w:lang w:eastAsia="en-AU"/>
              </w:rPr>
              <w:t xml:space="preserve"> 823.8</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Depreciation</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9</w:t>
            </w: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4</w:t>
            </w:r>
            <w:r w:rsidRPr="003E2DBE">
              <w:rPr>
                <w:rFonts w:cs="Calibri"/>
                <w:sz w:val="21"/>
                <w:szCs w:val="21"/>
                <w:lang w:eastAsia="en-AU"/>
              </w:rPr>
              <w:t xml:space="preserve"> 131.6</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3</w:t>
            </w:r>
            <w:r w:rsidRPr="003E2DBE">
              <w:rPr>
                <w:rFonts w:cs="Calibri"/>
                <w:sz w:val="21"/>
                <w:szCs w:val="21"/>
                <w:lang w:eastAsia="en-AU"/>
              </w:rPr>
              <w:t xml:space="preserve"> 880.4</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2</w:t>
            </w:r>
            <w:r w:rsidRPr="003E2DBE">
              <w:rPr>
                <w:rFonts w:cs="Calibri"/>
                <w:sz w:val="21"/>
                <w:szCs w:val="21"/>
                <w:lang w:eastAsia="en-AU"/>
              </w:rPr>
              <w:t xml:space="preserve"> 254.3</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2</w:t>
            </w:r>
            <w:r w:rsidRPr="003E2DBE">
              <w:rPr>
                <w:rFonts w:cs="Calibri"/>
                <w:sz w:val="21"/>
                <w:szCs w:val="21"/>
                <w:lang w:eastAsia="en-AU"/>
              </w:rPr>
              <w:t xml:space="preserve"> 126.5</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Interest expense</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10</w:t>
            </w: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2</w:t>
            </w:r>
            <w:r w:rsidRPr="003E2DBE">
              <w:rPr>
                <w:rFonts w:cs="Calibri"/>
                <w:sz w:val="21"/>
                <w:szCs w:val="21"/>
                <w:lang w:eastAsia="en-AU"/>
              </w:rPr>
              <w:t xml:space="preserve"> 538.6</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2</w:t>
            </w:r>
            <w:r w:rsidRPr="003E2DBE">
              <w:rPr>
                <w:rFonts w:cs="Calibri"/>
                <w:sz w:val="21"/>
                <w:szCs w:val="21"/>
                <w:lang w:eastAsia="en-AU"/>
              </w:rPr>
              <w:t xml:space="preserve"> 129.6</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1</w:t>
            </w:r>
            <w:r w:rsidRPr="003E2DBE">
              <w:rPr>
                <w:rFonts w:cs="Calibri"/>
                <w:sz w:val="21"/>
                <w:szCs w:val="21"/>
                <w:lang w:eastAsia="en-AU"/>
              </w:rPr>
              <w:t xml:space="preserve"> 775.3</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1</w:t>
            </w:r>
            <w:r w:rsidRPr="003E2DBE">
              <w:rPr>
                <w:rFonts w:cs="Calibri"/>
                <w:sz w:val="21"/>
                <w:szCs w:val="21"/>
                <w:lang w:eastAsia="en-AU"/>
              </w:rPr>
              <w:t xml:space="preserve"> 242.6</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Other operating expenses</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11</w:t>
            </w: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23</w:t>
            </w:r>
            <w:r w:rsidRPr="003E2DBE">
              <w:rPr>
                <w:rFonts w:cs="Calibri"/>
                <w:sz w:val="21"/>
                <w:szCs w:val="21"/>
                <w:lang w:eastAsia="en-AU"/>
              </w:rPr>
              <w:t xml:space="preserve"> 342.6</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23</w:t>
            </w:r>
            <w:r w:rsidRPr="003E2DBE">
              <w:rPr>
                <w:rFonts w:cs="Calibri"/>
                <w:sz w:val="21"/>
                <w:szCs w:val="21"/>
                <w:lang w:eastAsia="en-AU"/>
              </w:rPr>
              <w:t xml:space="preserve"> 233.0</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16</w:t>
            </w:r>
            <w:r w:rsidRPr="003E2DBE">
              <w:rPr>
                <w:rFonts w:cs="Calibri"/>
                <w:sz w:val="21"/>
                <w:szCs w:val="21"/>
                <w:lang w:eastAsia="en-AU"/>
              </w:rPr>
              <w:t xml:space="preserve"> 094.1</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15</w:t>
            </w:r>
            <w:r w:rsidRPr="003E2DBE">
              <w:rPr>
                <w:rFonts w:cs="Calibri"/>
                <w:sz w:val="21"/>
                <w:szCs w:val="21"/>
                <w:lang w:eastAsia="en-AU"/>
              </w:rPr>
              <w:t xml:space="preserve"> 955.6</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Grants and other transfers</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12</w:t>
            </w: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5</w:t>
            </w:r>
            <w:r w:rsidRPr="003E2DBE">
              <w:rPr>
                <w:rFonts w:cs="Calibri"/>
                <w:sz w:val="21"/>
                <w:szCs w:val="21"/>
                <w:lang w:eastAsia="en-AU"/>
              </w:rPr>
              <w:t xml:space="preserve"> 398.3</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5</w:t>
            </w:r>
            <w:r w:rsidRPr="003E2DBE">
              <w:rPr>
                <w:rFonts w:cs="Calibri"/>
                <w:sz w:val="21"/>
                <w:szCs w:val="21"/>
                <w:lang w:eastAsia="en-AU"/>
              </w:rPr>
              <w:t xml:space="preserve"> 635.4</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8</w:t>
            </w:r>
            <w:r w:rsidRPr="003E2DBE">
              <w:rPr>
                <w:rFonts w:cs="Calibri"/>
                <w:sz w:val="21"/>
                <w:szCs w:val="21"/>
                <w:lang w:eastAsia="en-AU"/>
              </w:rPr>
              <w:t xml:space="preserve"> 013.9</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8</w:t>
            </w:r>
            <w:r w:rsidRPr="003E2DBE">
              <w:rPr>
                <w:rFonts w:cs="Calibri"/>
                <w:sz w:val="21"/>
                <w:szCs w:val="21"/>
                <w:lang w:eastAsia="en-AU"/>
              </w:rPr>
              <w:t xml:space="preserve"> 233.8</w:t>
            </w:r>
          </w:p>
        </w:tc>
      </w:tr>
      <w:tr w:rsidR="000B4A1E" w:rsidRPr="003E2DBE" w:rsidTr="00517E51">
        <w:tc>
          <w:tcPr>
            <w:tcW w:w="4424" w:type="dxa"/>
            <w:tcBorders>
              <w:top w:val="single" w:sz="6" w:space="0" w:color="auto"/>
              <w:left w:val="nil"/>
              <w:bottom w:val="single" w:sz="6" w:space="0" w:color="auto"/>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Total expenses from transactions</w:t>
            </w:r>
          </w:p>
        </w:tc>
        <w:tc>
          <w:tcPr>
            <w:tcW w:w="732" w:type="dxa"/>
            <w:gridSpan w:val="2"/>
            <w:tcBorders>
              <w:top w:val="single" w:sz="6" w:space="0" w:color="auto"/>
              <w:left w:val="nil"/>
              <w:bottom w:val="single" w:sz="6" w:space="0" w:color="auto"/>
              <w:right w:val="nil"/>
            </w:tcBorders>
          </w:tcPr>
          <w:p w:rsidR="000B4A1E" w:rsidRPr="003E2DBE" w:rsidRDefault="000B4A1E" w:rsidP="00517E51">
            <w:pPr>
              <w:pStyle w:val="TableTextCentred"/>
              <w:rPr>
                <w:b/>
                <w:bCs/>
                <w:sz w:val="21"/>
                <w:szCs w:val="21"/>
                <w:lang w:eastAsia="en-AU"/>
              </w:rPr>
            </w:pPr>
          </w:p>
        </w:tc>
        <w:tc>
          <w:tcPr>
            <w:tcW w:w="1123" w:type="dxa"/>
            <w:gridSpan w:val="4"/>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56</w:t>
            </w:r>
            <w:r w:rsidRPr="003E2DBE">
              <w:rPr>
                <w:rFonts w:cs="Calibri"/>
                <w:b/>
                <w:bCs/>
                <w:sz w:val="21"/>
                <w:szCs w:val="21"/>
                <w:lang w:eastAsia="en-AU"/>
              </w:rPr>
              <w:t xml:space="preserve"> 689.8</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55</w:t>
            </w:r>
            <w:r w:rsidRPr="003E2DBE">
              <w:rPr>
                <w:rFonts w:cs="Calibri"/>
                <w:b/>
                <w:bCs/>
                <w:sz w:val="21"/>
                <w:szCs w:val="21"/>
                <w:lang w:eastAsia="en-AU"/>
              </w:rPr>
              <w:t xml:space="preserve"> 705.3</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48</w:t>
            </w:r>
            <w:r w:rsidRPr="003E2DBE">
              <w:rPr>
                <w:rFonts w:cs="Calibri"/>
                <w:b/>
                <w:bCs/>
                <w:sz w:val="21"/>
                <w:szCs w:val="21"/>
                <w:lang w:eastAsia="en-AU"/>
              </w:rPr>
              <w:t xml:space="preserve"> 296.4</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47</w:t>
            </w:r>
            <w:r w:rsidRPr="003E2DBE">
              <w:rPr>
                <w:rFonts w:cs="Calibri"/>
                <w:b/>
                <w:bCs/>
                <w:sz w:val="21"/>
                <w:szCs w:val="21"/>
                <w:lang w:eastAsia="en-AU"/>
              </w:rPr>
              <w:t xml:space="preserve"> 311.0</w:t>
            </w:r>
          </w:p>
        </w:tc>
      </w:tr>
      <w:tr w:rsidR="000B4A1E" w:rsidRPr="003E2DBE" w:rsidTr="00517E51">
        <w:tc>
          <w:tcPr>
            <w:tcW w:w="4424" w:type="dxa"/>
            <w:tcBorders>
              <w:top w:val="nil"/>
              <w:left w:val="nil"/>
              <w:bottom w:val="single" w:sz="12" w:space="0" w:color="auto"/>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Net result from transactions – net operating balance</w:t>
            </w:r>
          </w:p>
        </w:tc>
        <w:tc>
          <w:tcPr>
            <w:tcW w:w="732" w:type="dxa"/>
            <w:gridSpan w:val="2"/>
            <w:tcBorders>
              <w:top w:val="nil"/>
              <w:left w:val="nil"/>
              <w:bottom w:val="single" w:sz="12" w:space="0" w:color="auto"/>
              <w:right w:val="nil"/>
            </w:tcBorders>
          </w:tcPr>
          <w:p w:rsidR="000B4A1E" w:rsidRPr="003E2DBE" w:rsidRDefault="000B4A1E" w:rsidP="00517E51">
            <w:pPr>
              <w:pStyle w:val="TableTextCentred"/>
              <w:rPr>
                <w:b/>
                <w:bCs/>
                <w:sz w:val="21"/>
                <w:szCs w:val="21"/>
                <w:lang w:eastAsia="en-AU"/>
              </w:rPr>
            </w:pPr>
          </w:p>
        </w:tc>
        <w:tc>
          <w:tcPr>
            <w:tcW w:w="1123" w:type="dxa"/>
            <w:gridSpan w:val="4"/>
            <w:tcBorders>
              <w:top w:val="nil"/>
              <w:left w:val="nil"/>
              <w:bottom w:val="single" w:sz="12"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w:t>
            </w:r>
            <w:r w:rsidRPr="003E2DBE">
              <w:rPr>
                <w:rFonts w:cs="Calibri"/>
                <w:b/>
                <w:bCs/>
                <w:sz w:val="21"/>
                <w:szCs w:val="21"/>
                <w:lang w:eastAsia="en-AU"/>
              </w:rPr>
              <w:t>2 486.8)</w:t>
            </w:r>
          </w:p>
        </w:tc>
        <w:tc>
          <w:tcPr>
            <w:tcW w:w="1123" w:type="dxa"/>
            <w:tcBorders>
              <w:top w:val="nil"/>
              <w:left w:val="nil"/>
              <w:bottom w:val="single" w:sz="12"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w:t>
            </w:r>
            <w:r w:rsidRPr="003E2DBE">
              <w:rPr>
                <w:rFonts w:cs="Calibri"/>
                <w:b/>
                <w:bCs/>
                <w:sz w:val="21"/>
                <w:szCs w:val="21"/>
                <w:lang w:eastAsia="en-AU"/>
              </w:rPr>
              <w:t>1 247.6)</w:t>
            </w:r>
          </w:p>
        </w:tc>
        <w:tc>
          <w:tcPr>
            <w:tcW w:w="1123" w:type="dxa"/>
            <w:gridSpan w:val="2"/>
            <w:tcBorders>
              <w:top w:val="nil"/>
              <w:left w:val="nil"/>
              <w:bottom w:val="single" w:sz="12"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 xml:space="preserve"> </w:t>
            </w:r>
            <w:r w:rsidRPr="003E2DBE">
              <w:rPr>
                <w:rFonts w:cs="Calibri"/>
                <w:b/>
                <w:bCs/>
                <w:sz w:val="21"/>
                <w:szCs w:val="21"/>
                <w:lang w:eastAsia="en-AU"/>
              </w:rPr>
              <w:t>316.4</w:t>
            </w:r>
          </w:p>
        </w:tc>
        <w:tc>
          <w:tcPr>
            <w:tcW w:w="1123" w:type="dxa"/>
            <w:tcBorders>
              <w:top w:val="nil"/>
              <w:left w:val="nil"/>
              <w:bottom w:val="single" w:sz="12"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 xml:space="preserve"> </w:t>
            </w:r>
            <w:r w:rsidRPr="003E2DBE">
              <w:rPr>
                <w:rFonts w:cs="Calibri"/>
                <w:b/>
                <w:bCs/>
                <w:sz w:val="21"/>
                <w:szCs w:val="21"/>
                <w:lang w:eastAsia="en-AU"/>
              </w:rPr>
              <w:t>571.2</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Other economic flows included in net result</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p>
        </w:tc>
        <w:tc>
          <w:tcPr>
            <w:tcW w:w="1123" w:type="dxa"/>
            <w:gridSpan w:val="4"/>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gridSpan w:val="2"/>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tcBorders>
              <w:top w:val="nil"/>
              <w:left w:val="nil"/>
              <w:bottom w:val="nil"/>
              <w:right w:val="nil"/>
            </w:tcBorders>
          </w:tcPr>
          <w:p w:rsidR="000B4A1E" w:rsidRPr="003E2DBE" w:rsidRDefault="000B4A1E" w:rsidP="00517E51">
            <w:pPr>
              <w:pStyle w:val="TableofFigures"/>
              <w:rPr>
                <w:sz w:val="21"/>
                <w:szCs w:val="21"/>
                <w:lang w:eastAsia="en-AU"/>
              </w:rPr>
            </w:pP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Net gain/(loss) on disposal of non-financial assets</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14</w:t>
            </w: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21.0</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w:t>
            </w:r>
            <w:r w:rsidRPr="003E2DBE">
              <w:rPr>
                <w:rFonts w:cs="Calibri"/>
                <w:sz w:val="21"/>
                <w:szCs w:val="21"/>
                <w:lang w:eastAsia="en-AU"/>
              </w:rPr>
              <w:t xml:space="preserve"> 101.6)</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20.8</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w:t>
            </w:r>
            <w:r w:rsidRPr="003E2DBE">
              <w:rPr>
                <w:rFonts w:cs="Calibri"/>
                <w:sz w:val="21"/>
                <w:szCs w:val="21"/>
                <w:lang w:eastAsia="en-AU"/>
              </w:rPr>
              <w:t xml:space="preserve"> 106.0)</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Net gain/(loss) on financial assets or liabilities at fair value</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3</w:t>
            </w:r>
            <w:r w:rsidRPr="003E2DBE">
              <w:rPr>
                <w:rFonts w:cs="Calibri"/>
                <w:sz w:val="21"/>
                <w:szCs w:val="21"/>
                <w:lang w:eastAsia="en-AU"/>
              </w:rPr>
              <w:t xml:space="preserve"> 168.5</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w:t>
            </w:r>
            <w:r w:rsidRPr="003E2DBE">
              <w:rPr>
                <w:rFonts w:cs="Calibri"/>
                <w:sz w:val="21"/>
                <w:szCs w:val="21"/>
                <w:lang w:eastAsia="en-AU"/>
              </w:rPr>
              <w:t>3 249.7)</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19.3</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w:t>
            </w:r>
            <w:r w:rsidRPr="003E2DBE">
              <w:rPr>
                <w:rFonts w:cs="Calibri"/>
                <w:sz w:val="21"/>
                <w:szCs w:val="21"/>
                <w:lang w:eastAsia="en-AU"/>
              </w:rPr>
              <w:t xml:space="preserve"> 3.5)</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Net actuarial gain/(loss) of superannuation defined benefits plans</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7</w:t>
            </w:r>
            <w:r w:rsidRPr="003E2DBE">
              <w:rPr>
                <w:rFonts w:cs="Calibri"/>
                <w:sz w:val="21"/>
                <w:szCs w:val="21"/>
                <w:lang w:eastAsia="en-AU"/>
              </w:rPr>
              <w:t xml:space="preserve"> 356.8</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w:t>
            </w:r>
            <w:r w:rsidRPr="003E2DBE">
              <w:rPr>
                <w:rFonts w:cs="Calibri"/>
                <w:sz w:val="21"/>
                <w:szCs w:val="21"/>
                <w:lang w:eastAsia="en-AU"/>
              </w:rPr>
              <w:t>9 389.2)</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7</w:t>
            </w:r>
            <w:r w:rsidRPr="003E2DBE">
              <w:rPr>
                <w:rFonts w:cs="Calibri"/>
                <w:sz w:val="21"/>
                <w:szCs w:val="21"/>
                <w:lang w:eastAsia="en-AU"/>
              </w:rPr>
              <w:t xml:space="preserve"> 314.8</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w:t>
            </w:r>
            <w:r w:rsidRPr="003E2DBE">
              <w:rPr>
                <w:rFonts w:cs="Calibri"/>
                <w:sz w:val="21"/>
                <w:szCs w:val="21"/>
                <w:lang w:eastAsia="en-AU"/>
              </w:rPr>
              <w:t>9 327.0)</w:t>
            </w:r>
          </w:p>
        </w:tc>
      </w:tr>
      <w:tr w:rsidR="000B4A1E" w:rsidRPr="003E2DBE" w:rsidTr="00517E51">
        <w:tc>
          <w:tcPr>
            <w:tcW w:w="4424" w:type="dxa"/>
            <w:tcBorders>
              <w:top w:val="nil"/>
              <w:left w:val="nil"/>
              <w:right w:val="nil"/>
            </w:tcBorders>
          </w:tcPr>
          <w:p w:rsidR="000B4A1E" w:rsidRPr="003E2DBE" w:rsidRDefault="000B4A1E" w:rsidP="00517E51">
            <w:pPr>
              <w:pStyle w:val="Tabletext"/>
              <w:rPr>
                <w:rFonts w:cs="Calibri"/>
                <w:sz w:val="21"/>
                <w:szCs w:val="21"/>
                <w:lang w:eastAsia="en-AU"/>
              </w:rPr>
            </w:pPr>
            <w:r w:rsidRPr="003E2DBE">
              <w:rPr>
                <w:sz w:val="21"/>
                <w:szCs w:val="21"/>
                <w:lang w:eastAsia="en-AU"/>
              </w:rPr>
              <w:t>Share of net profit/(loss) from associates/</w:t>
            </w:r>
            <w:r w:rsidRPr="003E2DBE">
              <w:rPr>
                <w:rFonts w:cs="Calibri"/>
                <w:sz w:val="21"/>
                <w:szCs w:val="21"/>
                <w:lang w:eastAsia="en-AU"/>
              </w:rPr>
              <w:t>joint venture entities, excluding dividends</w:t>
            </w:r>
          </w:p>
        </w:tc>
        <w:tc>
          <w:tcPr>
            <w:tcW w:w="732" w:type="dxa"/>
            <w:gridSpan w:val="2"/>
            <w:tcBorders>
              <w:top w:val="nil"/>
              <w:left w:val="nil"/>
              <w:right w:val="nil"/>
            </w:tcBorders>
          </w:tcPr>
          <w:p w:rsidR="000B4A1E" w:rsidRPr="003E2DBE" w:rsidRDefault="000B4A1E" w:rsidP="00517E51">
            <w:pPr>
              <w:pStyle w:val="TableTextCentred"/>
              <w:rPr>
                <w:sz w:val="21"/>
                <w:szCs w:val="21"/>
                <w:lang w:eastAsia="en-AU"/>
              </w:rPr>
            </w:pPr>
          </w:p>
        </w:tc>
        <w:tc>
          <w:tcPr>
            <w:tcW w:w="1123" w:type="dxa"/>
            <w:gridSpan w:val="4"/>
            <w:tcBorders>
              <w:top w:val="nil"/>
              <w:left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szCs w:val="21"/>
                <w:lang w:eastAsia="en-AU"/>
              </w:rPr>
              <w:t>(</w:t>
            </w:r>
            <w:r w:rsidRPr="003E2DBE">
              <w:rPr>
                <w:rFonts w:cs="Calibri"/>
                <w:sz w:val="21"/>
                <w:szCs w:val="21"/>
                <w:lang w:eastAsia="en-AU"/>
              </w:rPr>
              <w:t xml:space="preserve"> 83.4</w:t>
            </w:r>
            <w:r w:rsidRPr="003E2DBE">
              <w:rPr>
                <w:rFonts w:eastAsiaTheme="minorEastAsia" w:cs="Calibri"/>
                <w:sz w:val="21"/>
                <w:szCs w:val="22"/>
                <w:lang w:eastAsia="en-AU"/>
              </w:rPr>
              <w:t>)</w:t>
            </w:r>
          </w:p>
        </w:tc>
        <w:tc>
          <w:tcPr>
            <w:tcW w:w="1123" w:type="dxa"/>
            <w:tcBorders>
              <w:top w:val="nil"/>
              <w:left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5.1</w:t>
            </w:r>
          </w:p>
        </w:tc>
        <w:tc>
          <w:tcPr>
            <w:tcW w:w="1123" w:type="dxa"/>
            <w:gridSpan w:val="2"/>
            <w:tcBorders>
              <w:top w:val="nil"/>
              <w:left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4.8</w:t>
            </w:r>
          </w:p>
        </w:tc>
        <w:tc>
          <w:tcPr>
            <w:tcW w:w="1123" w:type="dxa"/>
            <w:tcBorders>
              <w:top w:val="nil"/>
              <w:left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w:t>
            </w:r>
            <w:r w:rsidRPr="003E2DBE">
              <w:rPr>
                <w:rFonts w:cs="Calibri"/>
                <w:sz w:val="21"/>
                <w:szCs w:val="21"/>
                <w:lang w:eastAsia="en-AU"/>
              </w:rPr>
              <w:t xml:space="preserve"> 0.4)</w:t>
            </w:r>
          </w:p>
        </w:tc>
      </w:tr>
      <w:tr w:rsidR="000B4A1E" w:rsidRPr="003E2DBE" w:rsidTr="00517E51">
        <w:tc>
          <w:tcPr>
            <w:tcW w:w="4424" w:type="dxa"/>
            <w:tcBorders>
              <w:left w:val="nil"/>
              <w:bottom w:val="single" w:sz="6" w:space="0" w:color="auto"/>
              <w:right w:val="nil"/>
            </w:tcBorders>
          </w:tcPr>
          <w:p w:rsidR="000B4A1E" w:rsidRPr="003E2DBE" w:rsidRDefault="000B4A1E" w:rsidP="00517E51">
            <w:pPr>
              <w:pStyle w:val="Tabletext"/>
              <w:rPr>
                <w:rFonts w:eastAsiaTheme="minorEastAsia" w:cs="Calibri"/>
                <w:sz w:val="21"/>
                <w:szCs w:val="22"/>
                <w:vertAlign w:val="superscript"/>
                <w:lang w:eastAsia="en-AU"/>
              </w:rPr>
            </w:pPr>
            <w:r w:rsidRPr="003E2DBE">
              <w:rPr>
                <w:bCs/>
                <w:sz w:val="21"/>
                <w:szCs w:val="21"/>
                <w:lang w:eastAsia="en-AU"/>
              </w:rPr>
              <w:t xml:space="preserve">Other gains/(losses) from other economic flows </w:t>
            </w:r>
            <w:r w:rsidRPr="003E2DBE">
              <w:rPr>
                <w:rFonts w:eastAsiaTheme="minorEastAsia" w:cs="Calibri"/>
                <w:sz w:val="21"/>
                <w:szCs w:val="22"/>
                <w:vertAlign w:val="superscript"/>
                <w:lang w:eastAsia="en-AU"/>
              </w:rPr>
              <w:t>(</w:t>
            </w:r>
            <w:r>
              <w:rPr>
                <w:rFonts w:eastAsiaTheme="minorEastAsia" w:cs="Calibri"/>
                <w:sz w:val="21"/>
                <w:szCs w:val="22"/>
                <w:vertAlign w:val="superscript"/>
                <w:lang w:eastAsia="en-AU"/>
              </w:rPr>
              <w:t>a</w:t>
            </w:r>
            <w:r w:rsidRPr="003E2DBE">
              <w:rPr>
                <w:rFonts w:eastAsiaTheme="minorEastAsia" w:cs="Calibri"/>
                <w:sz w:val="21"/>
                <w:szCs w:val="22"/>
                <w:vertAlign w:val="superscript"/>
                <w:lang w:eastAsia="en-AU"/>
              </w:rPr>
              <w:t>)</w:t>
            </w:r>
          </w:p>
        </w:tc>
        <w:tc>
          <w:tcPr>
            <w:tcW w:w="732" w:type="dxa"/>
            <w:gridSpan w:val="2"/>
            <w:tcBorders>
              <w:left w:val="nil"/>
              <w:bottom w:val="single" w:sz="6" w:space="0" w:color="auto"/>
              <w:right w:val="nil"/>
            </w:tcBorders>
          </w:tcPr>
          <w:p w:rsidR="000B4A1E" w:rsidRPr="003E2DBE" w:rsidRDefault="000B4A1E" w:rsidP="00517E51">
            <w:pPr>
              <w:pStyle w:val="TableTextCentred"/>
              <w:rPr>
                <w:rFonts w:cs="Calibri"/>
                <w:sz w:val="21"/>
                <w:szCs w:val="21"/>
                <w:lang w:eastAsia="en-AU"/>
              </w:rPr>
            </w:pPr>
            <w:r w:rsidRPr="003E2DBE">
              <w:rPr>
                <w:bCs/>
                <w:sz w:val="21"/>
                <w:szCs w:val="21"/>
                <w:lang w:eastAsia="en-AU"/>
              </w:rPr>
              <w:t>15</w:t>
            </w:r>
          </w:p>
        </w:tc>
        <w:tc>
          <w:tcPr>
            <w:tcW w:w="1123" w:type="dxa"/>
            <w:gridSpan w:val="4"/>
            <w:tcBorders>
              <w:left w:val="nil"/>
              <w:bottom w:val="single" w:sz="6" w:space="0" w:color="auto"/>
              <w:right w:val="nil"/>
            </w:tcBorders>
          </w:tcPr>
          <w:p w:rsidR="000B4A1E" w:rsidRPr="003E2DBE" w:rsidRDefault="000B4A1E" w:rsidP="00517E51">
            <w:pPr>
              <w:pStyle w:val="TableofFigures"/>
              <w:rPr>
                <w:rFonts w:eastAsiaTheme="minorEastAsia" w:cs="Calibri"/>
                <w:sz w:val="21"/>
                <w:szCs w:val="22"/>
                <w:lang w:eastAsia="en-AU"/>
              </w:rPr>
            </w:pPr>
            <w:r w:rsidRPr="003E2DBE">
              <w:rPr>
                <w:bCs/>
                <w:sz w:val="21"/>
                <w:szCs w:val="21"/>
                <w:lang w:eastAsia="en-AU"/>
              </w:rPr>
              <w:t>1</w:t>
            </w:r>
            <w:r w:rsidRPr="003E2DBE">
              <w:rPr>
                <w:rFonts w:cs="Calibri"/>
                <w:sz w:val="21"/>
                <w:szCs w:val="21"/>
                <w:lang w:eastAsia="en-AU"/>
              </w:rPr>
              <w:t xml:space="preserve"> 549.7</w:t>
            </w:r>
          </w:p>
        </w:tc>
        <w:tc>
          <w:tcPr>
            <w:tcW w:w="1123" w:type="dxa"/>
            <w:tcBorders>
              <w:left w:val="nil"/>
              <w:bottom w:val="single" w:sz="6" w:space="0" w:color="auto"/>
              <w:right w:val="nil"/>
            </w:tcBorders>
          </w:tcPr>
          <w:p w:rsidR="000B4A1E" w:rsidRPr="003E2DBE" w:rsidRDefault="000B4A1E" w:rsidP="00517E51">
            <w:pPr>
              <w:pStyle w:val="TableofFigures"/>
              <w:rPr>
                <w:rFonts w:cs="Calibri"/>
                <w:sz w:val="21"/>
                <w:szCs w:val="21"/>
                <w:lang w:eastAsia="en-AU"/>
              </w:rPr>
            </w:pPr>
            <w:r w:rsidRPr="003E2DBE">
              <w:rPr>
                <w:bCs/>
                <w:sz w:val="21"/>
                <w:szCs w:val="21"/>
                <w:lang w:eastAsia="en-AU"/>
              </w:rPr>
              <w:t>(</w:t>
            </w:r>
            <w:r w:rsidRPr="003E2DBE">
              <w:rPr>
                <w:rFonts w:cs="Calibri"/>
                <w:sz w:val="21"/>
                <w:szCs w:val="21"/>
                <w:lang w:eastAsia="en-AU"/>
              </w:rPr>
              <w:t>1 979.0)</w:t>
            </w:r>
          </w:p>
        </w:tc>
        <w:tc>
          <w:tcPr>
            <w:tcW w:w="1123" w:type="dxa"/>
            <w:gridSpan w:val="2"/>
            <w:tcBorders>
              <w:left w:val="nil"/>
              <w:bottom w:val="single" w:sz="6" w:space="0" w:color="auto"/>
              <w:right w:val="nil"/>
            </w:tcBorders>
          </w:tcPr>
          <w:p w:rsidR="000B4A1E" w:rsidRPr="003E2DBE" w:rsidRDefault="000B4A1E" w:rsidP="00517E51">
            <w:pPr>
              <w:pStyle w:val="TableofFigures"/>
              <w:rPr>
                <w:rFonts w:cs="Calibri"/>
                <w:sz w:val="21"/>
                <w:szCs w:val="21"/>
                <w:lang w:eastAsia="en-AU"/>
              </w:rPr>
            </w:pPr>
            <w:r w:rsidRPr="003E2DBE">
              <w:rPr>
                <w:bCs/>
                <w:sz w:val="21"/>
                <w:szCs w:val="21"/>
                <w:lang w:eastAsia="en-AU"/>
              </w:rPr>
              <w:t>(</w:t>
            </w:r>
            <w:r w:rsidRPr="003E2DBE">
              <w:rPr>
                <w:rFonts w:cs="Calibri"/>
                <w:sz w:val="21"/>
                <w:szCs w:val="21"/>
                <w:lang w:eastAsia="en-AU"/>
              </w:rPr>
              <w:t xml:space="preserve"> 262.3)</w:t>
            </w:r>
          </w:p>
        </w:tc>
        <w:tc>
          <w:tcPr>
            <w:tcW w:w="1123" w:type="dxa"/>
            <w:tcBorders>
              <w:left w:val="nil"/>
              <w:bottom w:val="single" w:sz="6" w:space="0" w:color="auto"/>
              <w:right w:val="nil"/>
            </w:tcBorders>
          </w:tcPr>
          <w:p w:rsidR="000B4A1E" w:rsidRPr="003E2DBE" w:rsidRDefault="000B4A1E" w:rsidP="00517E51">
            <w:pPr>
              <w:pStyle w:val="TableofFigures"/>
              <w:rPr>
                <w:rFonts w:cs="Calibri"/>
                <w:sz w:val="21"/>
                <w:szCs w:val="21"/>
                <w:lang w:eastAsia="en-AU"/>
              </w:rPr>
            </w:pPr>
            <w:r w:rsidRPr="003E2DBE">
              <w:rPr>
                <w:bCs/>
                <w:sz w:val="21"/>
                <w:szCs w:val="21"/>
                <w:lang w:eastAsia="en-AU"/>
              </w:rPr>
              <w:t>(</w:t>
            </w:r>
            <w:r w:rsidRPr="003E2DBE">
              <w:rPr>
                <w:rFonts w:cs="Calibri"/>
                <w:sz w:val="21"/>
                <w:szCs w:val="21"/>
                <w:lang w:eastAsia="en-AU"/>
              </w:rPr>
              <w:t xml:space="preserve"> 787.2)</w:t>
            </w:r>
          </w:p>
        </w:tc>
      </w:tr>
      <w:tr w:rsidR="000B4A1E" w:rsidRPr="003E2DBE" w:rsidTr="00517E51">
        <w:tc>
          <w:tcPr>
            <w:tcW w:w="4424" w:type="dxa"/>
            <w:tcBorders>
              <w:top w:val="single" w:sz="6" w:space="0" w:color="auto"/>
              <w:left w:val="nil"/>
              <w:bottom w:val="single" w:sz="6" w:space="0" w:color="auto"/>
              <w:right w:val="nil"/>
            </w:tcBorders>
          </w:tcPr>
          <w:p w:rsidR="000B4A1E" w:rsidRPr="003E2DBE" w:rsidRDefault="000B4A1E" w:rsidP="00517E51">
            <w:pPr>
              <w:pStyle w:val="Tabletext"/>
              <w:rPr>
                <w:rFonts w:cs="Calibri"/>
                <w:b/>
                <w:bCs/>
                <w:sz w:val="21"/>
                <w:szCs w:val="21"/>
                <w:lang w:eastAsia="en-AU"/>
              </w:rPr>
            </w:pPr>
            <w:r w:rsidRPr="003E2DBE">
              <w:rPr>
                <w:b/>
                <w:bCs/>
                <w:sz w:val="21"/>
                <w:szCs w:val="21"/>
                <w:lang w:eastAsia="en-AU"/>
              </w:rPr>
              <w:t xml:space="preserve">Total other </w:t>
            </w:r>
            <w:r w:rsidRPr="003E2DBE">
              <w:rPr>
                <w:rFonts w:cs="Calibri"/>
                <w:b/>
                <w:bCs/>
                <w:sz w:val="21"/>
                <w:szCs w:val="21"/>
                <w:lang w:eastAsia="en-AU"/>
              </w:rPr>
              <w:t>economic flows included in net result</w:t>
            </w:r>
          </w:p>
        </w:tc>
        <w:tc>
          <w:tcPr>
            <w:tcW w:w="732" w:type="dxa"/>
            <w:gridSpan w:val="2"/>
            <w:tcBorders>
              <w:top w:val="single" w:sz="6" w:space="0" w:color="auto"/>
              <w:left w:val="nil"/>
              <w:bottom w:val="single" w:sz="6" w:space="0" w:color="auto"/>
              <w:right w:val="nil"/>
            </w:tcBorders>
          </w:tcPr>
          <w:p w:rsidR="000B4A1E" w:rsidRPr="003E2DBE" w:rsidRDefault="000B4A1E" w:rsidP="00517E51">
            <w:pPr>
              <w:pStyle w:val="TableTextCentred"/>
              <w:rPr>
                <w:b/>
                <w:bCs/>
                <w:sz w:val="21"/>
                <w:szCs w:val="21"/>
                <w:lang w:eastAsia="en-AU"/>
              </w:rPr>
            </w:pPr>
          </w:p>
        </w:tc>
        <w:tc>
          <w:tcPr>
            <w:tcW w:w="1123" w:type="dxa"/>
            <w:gridSpan w:val="4"/>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12</w:t>
            </w:r>
            <w:r w:rsidRPr="003E2DBE">
              <w:rPr>
                <w:rFonts w:cs="Calibri"/>
                <w:b/>
                <w:bCs/>
                <w:sz w:val="21"/>
                <w:szCs w:val="21"/>
                <w:lang w:eastAsia="en-AU"/>
              </w:rPr>
              <w:t xml:space="preserve"> 012.6</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w:t>
            </w:r>
            <w:r w:rsidRPr="003E2DBE">
              <w:rPr>
                <w:rFonts w:cs="Calibri"/>
                <w:b/>
                <w:bCs/>
                <w:sz w:val="21"/>
                <w:szCs w:val="21"/>
                <w:lang w:eastAsia="en-AU"/>
              </w:rPr>
              <w:t>14 714.3)</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7</w:t>
            </w:r>
            <w:r w:rsidRPr="003E2DBE">
              <w:rPr>
                <w:rFonts w:cs="Calibri"/>
                <w:b/>
                <w:bCs/>
                <w:sz w:val="21"/>
                <w:szCs w:val="21"/>
                <w:lang w:eastAsia="en-AU"/>
              </w:rPr>
              <w:t xml:space="preserve"> 097.4</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w:t>
            </w:r>
            <w:r w:rsidRPr="003E2DBE">
              <w:rPr>
                <w:rFonts w:cs="Calibri"/>
                <w:b/>
                <w:bCs/>
                <w:sz w:val="21"/>
                <w:szCs w:val="21"/>
                <w:lang w:eastAsia="en-AU"/>
              </w:rPr>
              <w:t>10 224.2)</w:t>
            </w:r>
          </w:p>
        </w:tc>
      </w:tr>
      <w:tr w:rsidR="000B4A1E" w:rsidRPr="003E2DBE" w:rsidTr="00517E51">
        <w:tc>
          <w:tcPr>
            <w:tcW w:w="4424" w:type="dxa"/>
            <w:tcBorders>
              <w:top w:val="single" w:sz="6" w:space="0" w:color="auto"/>
              <w:left w:val="nil"/>
              <w:bottom w:val="single" w:sz="6" w:space="0" w:color="auto"/>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Net result</w:t>
            </w:r>
          </w:p>
        </w:tc>
        <w:tc>
          <w:tcPr>
            <w:tcW w:w="732" w:type="dxa"/>
            <w:gridSpan w:val="2"/>
            <w:tcBorders>
              <w:top w:val="single" w:sz="6" w:space="0" w:color="auto"/>
              <w:left w:val="nil"/>
              <w:bottom w:val="single" w:sz="6" w:space="0" w:color="auto"/>
              <w:right w:val="nil"/>
            </w:tcBorders>
          </w:tcPr>
          <w:p w:rsidR="000B4A1E" w:rsidRPr="003E2DBE" w:rsidRDefault="000B4A1E" w:rsidP="00517E51">
            <w:pPr>
              <w:pStyle w:val="TableTextCentred"/>
              <w:rPr>
                <w:b/>
                <w:bCs/>
                <w:sz w:val="21"/>
                <w:szCs w:val="21"/>
                <w:lang w:eastAsia="en-AU"/>
              </w:rPr>
            </w:pPr>
          </w:p>
        </w:tc>
        <w:tc>
          <w:tcPr>
            <w:tcW w:w="1123" w:type="dxa"/>
            <w:gridSpan w:val="4"/>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9</w:t>
            </w:r>
            <w:r w:rsidRPr="003E2DBE">
              <w:rPr>
                <w:rFonts w:cs="Calibri"/>
                <w:b/>
                <w:bCs/>
                <w:sz w:val="21"/>
                <w:szCs w:val="21"/>
                <w:lang w:eastAsia="en-AU"/>
              </w:rPr>
              <w:t xml:space="preserve"> 525.8</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w:t>
            </w:r>
            <w:r w:rsidRPr="003E2DBE">
              <w:rPr>
                <w:rFonts w:cs="Calibri"/>
                <w:b/>
                <w:bCs/>
                <w:sz w:val="21"/>
                <w:szCs w:val="21"/>
                <w:lang w:eastAsia="en-AU"/>
              </w:rPr>
              <w:t>15 961.9)</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7</w:t>
            </w:r>
            <w:r w:rsidRPr="003E2DBE">
              <w:rPr>
                <w:rFonts w:cs="Calibri"/>
                <w:b/>
                <w:bCs/>
                <w:sz w:val="21"/>
                <w:szCs w:val="21"/>
                <w:lang w:eastAsia="en-AU"/>
              </w:rPr>
              <w:t xml:space="preserve"> 413.8</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w:t>
            </w:r>
            <w:r w:rsidRPr="003E2DBE">
              <w:rPr>
                <w:rFonts w:cs="Calibri"/>
                <w:b/>
                <w:bCs/>
                <w:sz w:val="21"/>
                <w:szCs w:val="21"/>
                <w:lang w:eastAsia="en-AU"/>
              </w:rPr>
              <w:t>9 652.9)</w:t>
            </w:r>
          </w:p>
        </w:tc>
      </w:tr>
      <w:tr w:rsidR="000B4A1E" w:rsidRPr="003E2DBE" w:rsidTr="00517E51">
        <w:tc>
          <w:tcPr>
            <w:tcW w:w="5684" w:type="dxa"/>
            <w:gridSpan w:val="5"/>
            <w:tcBorders>
              <w:top w:val="single" w:sz="6" w:space="0" w:color="auto"/>
              <w:left w:val="nil"/>
              <w:bottom w:val="nil"/>
              <w:right w:val="nil"/>
            </w:tcBorders>
          </w:tcPr>
          <w:p w:rsidR="000B4A1E" w:rsidRPr="003E2DBE" w:rsidRDefault="000B4A1E" w:rsidP="00517E51">
            <w:pPr>
              <w:pStyle w:val="Tabletext"/>
              <w:rPr>
                <w:rFonts w:eastAsiaTheme="minorEastAsia" w:cs="Calibri"/>
                <w:b/>
                <w:bCs/>
                <w:sz w:val="21"/>
                <w:szCs w:val="22"/>
                <w:vertAlign w:val="superscript"/>
                <w:lang w:eastAsia="en-AU"/>
              </w:rPr>
            </w:pPr>
            <w:r w:rsidRPr="003E2DBE">
              <w:rPr>
                <w:b/>
                <w:bCs/>
                <w:sz w:val="21"/>
                <w:szCs w:val="21"/>
                <w:lang w:eastAsia="en-AU"/>
              </w:rPr>
              <w:t xml:space="preserve">Other economic flows – other comprehensive income </w:t>
            </w:r>
            <w:r w:rsidRPr="003E2DBE">
              <w:rPr>
                <w:b/>
                <w:bCs/>
                <w:sz w:val="21"/>
                <w:szCs w:val="21"/>
                <w:vertAlign w:val="superscript"/>
                <w:lang w:eastAsia="en-AU"/>
              </w:rPr>
              <w:t>(a)</w:t>
            </w:r>
            <w:r w:rsidRPr="003E2DBE">
              <w:rPr>
                <w:rFonts w:eastAsiaTheme="minorEastAsia" w:cs="Calibri"/>
                <w:b/>
                <w:bCs/>
                <w:sz w:val="21"/>
                <w:szCs w:val="22"/>
                <w:vertAlign w:val="superscript"/>
                <w:lang w:eastAsia="en-AU"/>
              </w:rPr>
              <w:t>(b)</w:t>
            </w:r>
          </w:p>
        </w:tc>
        <w:tc>
          <w:tcPr>
            <w:tcW w:w="284" w:type="dxa"/>
            <w:tcBorders>
              <w:top w:val="single" w:sz="6" w:space="0" w:color="auto"/>
              <w:left w:val="nil"/>
              <w:bottom w:val="nil"/>
              <w:right w:val="nil"/>
            </w:tcBorders>
          </w:tcPr>
          <w:p w:rsidR="000B4A1E" w:rsidRPr="003E2DBE" w:rsidRDefault="000B4A1E" w:rsidP="00517E51">
            <w:pPr>
              <w:pStyle w:val="TableTextCentred"/>
              <w:rPr>
                <w:sz w:val="21"/>
                <w:szCs w:val="21"/>
                <w:lang w:eastAsia="en-AU"/>
              </w:rPr>
            </w:pPr>
          </w:p>
        </w:tc>
        <w:tc>
          <w:tcPr>
            <w:tcW w:w="311" w:type="dxa"/>
            <w:tcBorders>
              <w:top w:val="single" w:sz="6" w:space="0" w:color="auto"/>
              <w:left w:val="nil"/>
              <w:bottom w:val="nil"/>
              <w:right w:val="nil"/>
            </w:tcBorders>
          </w:tcPr>
          <w:p w:rsidR="000B4A1E" w:rsidRPr="003E2DBE" w:rsidRDefault="000B4A1E" w:rsidP="00517E51">
            <w:pPr>
              <w:pStyle w:val="TableofFigures"/>
              <w:rPr>
                <w:sz w:val="21"/>
                <w:szCs w:val="21"/>
                <w:lang w:eastAsia="en-AU"/>
              </w:rPr>
            </w:pPr>
          </w:p>
        </w:tc>
        <w:tc>
          <w:tcPr>
            <w:tcW w:w="1123" w:type="dxa"/>
            <w:tcBorders>
              <w:top w:val="single" w:sz="6" w:space="0" w:color="auto"/>
              <w:left w:val="nil"/>
              <w:bottom w:val="nil"/>
              <w:right w:val="nil"/>
            </w:tcBorders>
          </w:tcPr>
          <w:p w:rsidR="000B4A1E" w:rsidRPr="003E2DBE" w:rsidRDefault="000B4A1E" w:rsidP="00517E51">
            <w:pPr>
              <w:pStyle w:val="TableofFigures"/>
              <w:rPr>
                <w:sz w:val="21"/>
                <w:szCs w:val="21"/>
                <w:lang w:eastAsia="en-AU"/>
              </w:rPr>
            </w:pPr>
          </w:p>
        </w:tc>
        <w:tc>
          <w:tcPr>
            <w:tcW w:w="1123" w:type="dxa"/>
            <w:gridSpan w:val="2"/>
            <w:tcBorders>
              <w:top w:val="single" w:sz="6" w:space="0" w:color="auto"/>
              <w:left w:val="nil"/>
              <w:bottom w:val="nil"/>
              <w:right w:val="nil"/>
            </w:tcBorders>
          </w:tcPr>
          <w:p w:rsidR="000B4A1E" w:rsidRPr="003E2DBE" w:rsidRDefault="000B4A1E" w:rsidP="00517E51">
            <w:pPr>
              <w:pStyle w:val="TableofFigures"/>
              <w:rPr>
                <w:sz w:val="21"/>
                <w:szCs w:val="21"/>
                <w:lang w:eastAsia="en-AU"/>
              </w:rPr>
            </w:pPr>
          </w:p>
        </w:tc>
        <w:tc>
          <w:tcPr>
            <w:tcW w:w="1123" w:type="dxa"/>
            <w:tcBorders>
              <w:top w:val="single" w:sz="6" w:space="0" w:color="auto"/>
              <w:left w:val="nil"/>
              <w:bottom w:val="nil"/>
              <w:right w:val="nil"/>
            </w:tcBorders>
          </w:tcPr>
          <w:p w:rsidR="000B4A1E" w:rsidRPr="003E2DBE" w:rsidRDefault="000B4A1E" w:rsidP="00517E51">
            <w:pPr>
              <w:pStyle w:val="TableofFigures"/>
              <w:rPr>
                <w:sz w:val="21"/>
                <w:szCs w:val="21"/>
                <w:lang w:eastAsia="en-AU"/>
              </w:rPr>
            </w:pP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rFonts w:cs="Calibri"/>
                <w:b/>
                <w:bCs/>
                <w:sz w:val="21"/>
                <w:szCs w:val="21"/>
                <w:lang w:eastAsia="en-AU"/>
              </w:rPr>
            </w:pPr>
            <w:r w:rsidRPr="003E2DBE">
              <w:rPr>
                <w:b/>
                <w:sz w:val="21"/>
                <w:szCs w:val="21"/>
                <w:lang w:eastAsia="en-AU"/>
              </w:rPr>
              <w:t xml:space="preserve">Items that will not be reclassified </w:t>
            </w:r>
            <w:r w:rsidRPr="003E2DBE">
              <w:rPr>
                <w:rFonts w:cs="Calibri"/>
                <w:b/>
                <w:bCs/>
                <w:sz w:val="21"/>
                <w:szCs w:val="21"/>
                <w:lang w:eastAsia="en-AU"/>
              </w:rPr>
              <w:t>to net result</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p>
        </w:tc>
        <w:tc>
          <w:tcPr>
            <w:tcW w:w="1123" w:type="dxa"/>
            <w:gridSpan w:val="4"/>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gridSpan w:val="2"/>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tcBorders>
              <w:top w:val="nil"/>
              <w:left w:val="nil"/>
              <w:bottom w:val="nil"/>
              <w:right w:val="nil"/>
            </w:tcBorders>
          </w:tcPr>
          <w:p w:rsidR="000B4A1E" w:rsidRPr="003E2DBE" w:rsidRDefault="000B4A1E" w:rsidP="00517E51">
            <w:pPr>
              <w:pStyle w:val="TableofFigures"/>
              <w:rPr>
                <w:sz w:val="21"/>
                <w:szCs w:val="21"/>
                <w:lang w:eastAsia="en-AU"/>
              </w:rPr>
            </w:pPr>
          </w:p>
        </w:tc>
      </w:tr>
      <w:tr w:rsidR="000B4A1E" w:rsidRPr="003E2DBE" w:rsidTr="00517E51">
        <w:tc>
          <w:tcPr>
            <w:tcW w:w="4692" w:type="dxa"/>
            <w:gridSpan w:val="2"/>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Changes in non-financial assets revaluation surplus</w:t>
            </w:r>
          </w:p>
        </w:tc>
        <w:tc>
          <w:tcPr>
            <w:tcW w:w="464" w:type="dxa"/>
            <w:tcBorders>
              <w:top w:val="nil"/>
              <w:left w:val="nil"/>
              <w:bottom w:val="nil"/>
              <w:right w:val="nil"/>
            </w:tcBorders>
          </w:tcPr>
          <w:p w:rsidR="000B4A1E" w:rsidRPr="003E2DBE" w:rsidRDefault="000B4A1E" w:rsidP="00517E51">
            <w:pPr>
              <w:pStyle w:val="TableTextCentred"/>
              <w:rPr>
                <w:sz w:val="21"/>
                <w:szCs w:val="21"/>
                <w:lang w:eastAsia="en-AU"/>
              </w:rPr>
            </w:pP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795.4</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2</w:t>
            </w:r>
            <w:r w:rsidRPr="003E2DBE">
              <w:rPr>
                <w:rFonts w:cs="Calibri"/>
                <w:sz w:val="21"/>
                <w:szCs w:val="21"/>
                <w:lang w:eastAsia="en-AU"/>
              </w:rPr>
              <w:t xml:space="preserve"> 030.0</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700.5</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2</w:t>
            </w:r>
            <w:r w:rsidRPr="003E2DBE">
              <w:rPr>
                <w:rFonts w:cs="Calibri"/>
                <w:sz w:val="21"/>
                <w:szCs w:val="21"/>
                <w:lang w:eastAsia="en-AU"/>
              </w:rPr>
              <w:t xml:space="preserve"> 006.2</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Net gain/(loss) on equity investments in other sector entities at proportional share of the carrying amount of net assets</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r w:rsidRPr="003E2DBE">
              <w:rPr>
                <w:sz w:val="21"/>
                <w:szCs w:val="21"/>
                <w:lang w:eastAsia="en-AU"/>
              </w:rPr>
              <w:t xml:space="preserve"> </w:t>
            </w: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szCs w:val="21"/>
                <w:lang w:eastAsia="en-AU"/>
              </w:rPr>
              <w:t xml:space="preserve">( </w:t>
            </w:r>
            <w:r w:rsidRPr="003E2DBE">
              <w:rPr>
                <w:rFonts w:cs="Calibri"/>
                <w:sz w:val="21"/>
                <w:szCs w:val="21"/>
                <w:lang w:eastAsia="en-AU"/>
              </w:rPr>
              <w:t>810.3</w:t>
            </w:r>
            <w:r w:rsidRPr="003E2DBE">
              <w:rPr>
                <w:rFonts w:eastAsiaTheme="minorEastAsia" w:cs="Calibri"/>
                <w:sz w:val="21"/>
                <w:szCs w:val="22"/>
                <w:lang w:eastAsia="en-AU"/>
              </w:rPr>
              <w:t>)</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700.5)</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Other movements in equity</w:t>
            </w:r>
          </w:p>
        </w:tc>
        <w:tc>
          <w:tcPr>
            <w:tcW w:w="732" w:type="dxa"/>
            <w:gridSpan w:val="2"/>
            <w:tcBorders>
              <w:top w:val="nil"/>
              <w:left w:val="nil"/>
              <w:bottom w:val="nil"/>
              <w:right w:val="nil"/>
            </w:tcBorders>
          </w:tcPr>
          <w:p w:rsidR="000B4A1E" w:rsidRPr="003E2DBE" w:rsidRDefault="000B4A1E" w:rsidP="00517E51">
            <w:pPr>
              <w:pStyle w:val="TableTextCentred"/>
              <w:rPr>
                <w:sz w:val="21"/>
                <w:szCs w:val="21"/>
                <w:lang w:eastAsia="en-AU"/>
              </w:rPr>
            </w:pP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369.3</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211.7</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869.4</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sz w:val="21"/>
                <w:szCs w:val="21"/>
                <w:lang w:eastAsia="en-AU"/>
              </w:rPr>
              <w:t xml:space="preserve"> </w:t>
            </w:r>
            <w:r w:rsidRPr="003E2DBE">
              <w:rPr>
                <w:rFonts w:cs="Calibri"/>
                <w:sz w:val="21"/>
                <w:szCs w:val="21"/>
                <w:lang w:eastAsia="en-AU"/>
              </w:rPr>
              <w:t>401.9</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Items that may be reclassified subsequently to net result</w:t>
            </w:r>
          </w:p>
        </w:tc>
        <w:tc>
          <w:tcPr>
            <w:tcW w:w="732" w:type="dxa"/>
            <w:gridSpan w:val="2"/>
            <w:tcBorders>
              <w:top w:val="nil"/>
              <w:left w:val="nil"/>
              <w:bottom w:val="nil"/>
              <w:right w:val="nil"/>
            </w:tcBorders>
          </w:tcPr>
          <w:p w:rsidR="000B4A1E" w:rsidRPr="003E2DBE" w:rsidRDefault="000B4A1E" w:rsidP="00517E51">
            <w:pPr>
              <w:pStyle w:val="TableTextCentred"/>
              <w:rPr>
                <w:b/>
                <w:bCs/>
                <w:sz w:val="21"/>
                <w:szCs w:val="21"/>
                <w:lang w:eastAsia="en-AU"/>
              </w:rPr>
            </w:pPr>
          </w:p>
        </w:tc>
        <w:tc>
          <w:tcPr>
            <w:tcW w:w="1123" w:type="dxa"/>
            <w:gridSpan w:val="4"/>
            <w:tcBorders>
              <w:top w:val="nil"/>
              <w:left w:val="nil"/>
              <w:bottom w:val="nil"/>
              <w:right w:val="nil"/>
            </w:tcBorders>
          </w:tcPr>
          <w:p w:rsidR="000B4A1E" w:rsidRPr="003E2DBE" w:rsidRDefault="000B4A1E" w:rsidP="00517E51">
            <w:pPr>
              <w:pStyle w:val="TableofFigures"/>
              <w:rPr>
                <w:b/>
                <w:bCs/>
                <w:sz w:val="21"/>
                <w:szCs w:val="21"/>
                <w:lang w:eastAsia="en-AU"/>
              </w:rPr>
            </w:pPr>
          </w:p>
        </w:tc>
        <w:tc>
          <w:tcPr>
            <w:tcW w:w="1123" w:type="dxa"/>
            <w:tcBorders>
              <w:top w:val="nil"/>
              <w:left w:val="nil"/>
              <w:bottom w:val="nil"/>
              <w:right w:val="nil"/>
            </w:tcBorders>
          </w:tcPr>
          <w:p w:rsidR="000B4A1E" w:rsidRPr="003E2DBE" w:rsidRDefault="000B4A1E" w:rsidP="00517E51">
            <w:pPr>
              <w:pStyle w:val="TableofFigures"/>
              <w:rPr>
                <w:b/>
                <w:bCs/>
                <w:sz w:val="21"/>
                <w:szCs w:val="21"/>
                <w:lang w:eastAsia="en-AU"/>
              </w:rPr>
            </w:pPr>
          </w:p>
        </w:tc>
        <w:tc>
          <w:tcPr>
            <w:tcW w:w="1123" w:type="dxa"/>
            <w:gridSpan w:val="2"/>
            <w:tcBorders>
              <w:top w:val="nil"/>
              <w:left w:val="nil"/>
              <w:bottom w:val="nil"/>
              <w:right w:val="nil"/>
            </w:tcBorders>
          </w:tcPr>
          <w:p w:rsidR="000B4A1E" w:rsidRPr="003E2DBE" w:rsidRDefault="000B4A1E" w:rsidP="00517E51">
            <w:pPr>
              <w:pStyle w:val="TableofFigures"/>
              <w:rPr>
                <w:b/>
                <w:bCs/>
                <w:sz w:val="21"/>
                <w:szCs w:val="21"/>
                <w:lang w:eastAsia="en-AU"/>
              </w:rPr>
            </w:pPr>
          </w:p>
        </w:tc>
        <w:tc>
          <w:tcPr>
            <w:tcW w:w="1123" w:type="dxa"/>
            <w:tcBorders>
              <w:top w:val="nil"/>
              <w:left w:val="nil"/>
              <w:bottom w:val="nil"/>
              <w:right w:val="nil"/>
            </w:tcBorders>
          </w:tcPr>
          <w:p w:rsidR="000B4A1E" w:rsidRPr="003E2DBE" w:rsidRDefault="000B4A1E" w:rsidP="00517E51">
            <w:pPr>
              <w:pStyle w:val="TableofFigures"/>
              <w:rPr>
                <w:b/>
                <w:bCs/>
                <w:sz w:val="21"/>
                <w:szCs w:val="21"/>
                <w:lang w:eastAsia="en-AU"/>
              </w:rPr>
            </w:pP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Net gain/(loss) on financial assets at fair value</w:t>
            </w:r>
          </w:p>
        </w:tc>
        <w:tc>
          <w:tcPr>
            <w:tcW w:w="732" w:type="dxa"/>
            <w:gridSpan w:val="2"/>
            <w:tcBorders>
              <w:top w:val="nil"/>
              <w:left w:val="nil"/>
              <w:bottom w:val="nil"/>
              <w:right w:val="nil"/>
            </w:tcBorders>
          </w:tcPr>
          <w:p w:rsidR="000B4A1E" w:rsidRPr="003E2DBE" w:rsidRDefault="000B4A1E" w:rsidP="00517E51">
            <w:pPr>
              <w:pStyle w:val="TableTextCentred"/>
              <w:rPr>
                <w:b/>
                <w:bCs/>
                <w:sz w:val="21"/>
                <w:szCs w:val="21"/>
                <w:lang w:eastAsia="en-AU"/>
              </w:rPr>
            </w:pPr>
          </w:p>
        </w:tc>
        <w:tc>
          <w:tcPr>
            <w:tcW w:w="1123" w:type="dxa"/>
            <w:gridSpan w:val="4"/>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b/>
                <w:bCs/>
                <w:sz w:val="21"/>
                <w:szCs w:val="21"/>
                <w:lang w:eastAsia="en-AU"/>
              </w:rPr>
              <w:t xml:space="preserve"> </w:t>
            </w:r>
            <w:r w:rsidRPr="003E2DBE">
              <w:rPr>
                <w:rFonts w:cs="Calibri"/>
                <w:sz w:val="21"/>
                <w:szCs w:val="21"/>
                <w:lang w:eastAsia="en-AU"/>
              </w:rPr>
              <w:t>84.0</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bCs/>
                <w:sz w:val="21"/>
                <w:szCs w:val="21"/>
                <w:lang w:eastAsia="en-AU"/>
              </w:rPr>
              <w:t>(</w:t>
            </w:r>
            <w:r w:rsidRPr="003E2DBE">
              <w:rPr>
                <w:rFonts w:cs="Calibri"/>
                <w:sz w:val="21"/>
                <w:szCs w:val="21"/>
                <w:lang w:eastAsia="en-AU"/>
              </w:rPr>
              <w:t xml:space="preserve"> 22.2)</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b/>
                <w:bCs/>
                <w:sz w:val="21"/>
                <w:szCs w:val="21"/>
                <w:lang w:eastAsia="en-AU"/>
              </w:rPr>
              <w:t xml:space="preserve"> </w:t>
            </w:r>
            <w:r w:rsidRPr="003E2DBE">
              <w:rPr>
                <w:rFonts w:cs="Calibri"/>
                <w:sz w:val="21"/>
                <w:szCs w:val="21"/>
                <w:lang w:eastAsia="en-AU"/>
              </w:rPr>
              <w:t>20.1</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bCs/>
                <w:sz w:val="21"/>
                <w:szCs w:val="21"/>
                <w:lang w:eastAsia="en-AU"/>
              </w:rPr>
              <w:t>(</w:t>
            </w:r>
            <w:r w:rsidRPr="003E2DBE">
              <w:rPr>
                <w:rFonts w:cs="Calibri"/>
                <w:sz w:val="21"/>
                <w:szCs w:val="21"/>
                <w:lang w:eastAsia="en-AU"/>
              </w:rPr>
              <w:t xml:space="preserve"> 15.3)</w:t>
            </w:r>
          </w:p>
        </w:tc>
      </w:tr>
      <w:tr w:rsidR="000B4A1E" w:rsidRPr="003E2DBE" w:rsidTr="00517E51">
        <w:tc>
          <w:tcPr>
            <w:tcW w:w="4424" w:type="dxa"/>
            <w:tcBorders>
              <w:top w:val="single" w:sz="6" w:space="0" w:color="auto"/>
              <w:left w:val="nil"/>
              <w:bottom w:val="single" w:sz="6" w:space="0" w:color="auto"/>
              <w:right w:val="nil"/>
            </w:tcBorders>
          </w:tcPr>
          <w:p w:rsidR="000B4A1E" w:rsidRPr="003E2DBE" w:rsidRDefault="000B4A1E" w:rsidP="00517E51">
            <w:pPr>
              <w:pStyle w:val="Tabletext"/>
              <w:ind w:left="187" w:hanging="187"/>
              <w:rPr>
                <w:b/>
                <w:bCs/>
                <w:sz w:val="21"/>
                <w:szCs w:val="21"/>
                <w:lang w:eastAsia="en-AU"/>
              </w:rPr>
            </w:pPr>
            <w:r w:rsidRPr="003E2DBE">
              <w:rPr>
                <w:b/>
                <w:bCs/>
                <w:sz w:val="21"/>
                <w:szCs w:val="21"/>
                <w:lang w:eastAsia="en-AU"/>
              </w:rPr>
              <w:t>Total other economic flows – other comprehensive income</w:t>
            </w:r>
          </w:p>
        </w:tc>
        <w:tc>
          <w:tcPr>
            <w:tcW w:w="732" w:type="dxa"/>
            <w:gridSpan w:val="2"/>
            <w:tcBorders>
              <w:top w:val="single" w:sz="6" w:space="0" w:color="auto"/>
              <w:left w:val="nil"/>
              <w:bottom w:val="single" w:sz="6" w:space="0" w:color="auto"/>
              <w:right w:val="nil"/>
            </w:tcBorders>
          </w:tcPr>
          <w:p w:rsidR="000B4A1E" w:rsidRPr="003E2DBE" w:rsidRDefault="000B4A1E" w:rsidP="00517E51">
            <w:pPr>
              <w:pStyle w:val="TableTextCentred"/>
              <w:rPr>
                <w:b/>
                <w:bCs/>
                <w:sz w:val="21"/>
                <w:szCs w:val="21"/>
                <w:lang w:eastAsia="en-AU"/>
              </w:rPr>
            </w:pPr>
          </w:p>
        </w:tc>
        <w:tc>
          <w:tcPr>
            <w:tcW w:w="1123" w:type="dxa"/>
            <w:gridSpan w:val="4"/>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szCs w:val="21"/>
                <w:lang w:eastAsia="en-AU"/>
              </w:rPr>
              <w:t>1</w:t>
            </w:r>
            <w:r w:rsidRPr="003E2DBE">
              <w:rPr>
                <w:rFonts w:cs="Calibri"/>
                <w:b/>
                <w:bCs/>
                <w:sz w:val="21"/>
                <w:szCs w:val="21"/>
                <w:lang w:eastAsia="en-AU"/>
              </w:rPr>
              <w:t xml:space="preserve"> 248.7</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2</w:t>
            </w:r>
            <w:r w:rsidRPr="003E2DBE">
              <w:rPr>
                <w:rFonts w:cs="Calibri"/>
                <w:b/>
                <w:bCs/>
                <w:sz w:val="21"/>
                <w:szCs w:val="21"/>
                <w:lang w:eastAsia="en-AU"/>
              </w:rPr>
              <w:t xml:space="preserve"> 219.5</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 xml:space="preserve"> </w:t>
            </w:r>
            <w:r w:rsidRPr="003E2DBE">
              <w:rPr>
                <w:rFonts w:cs="Calibri"/>
                <w:b/>
                <w:bCs/>
                <w:sz w:val="21"/>
                <w:szCs w:val="21"/>
                <w:lang w:eastAsia="en-AU"/>
              </w:rPr>
              <w:t>779.7</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1</w:t>
            </w:r>
            <w:r w:rsidRPr="003E2DBE">
              <w:rPr>
                <w:rFonts w:cs="Calibri"/>
                <w:b/>
                <w:bCs/>
                <w:sz w:val="21"/>
                <w:szCs w:val="21"/>
                <w:lang w:eastAsia="en-AU"/>
              </w:rPr>
              <w:t xml:space="preserve"> 692.3</w:t>
            </w:r>
          </w:p>
        </w:tc>
      </w:tr>
      <w:tr w:rsidR="000B4A1E" w:rsidRPr="003E2DBE" w:rsidTr="00517E51">
        <w:tc>
          <w:tcPr>
            <w:tcW w:w="4424" w:type="dxa"/>
            <w:tcBorders>
              <w:top w:val="single" w:sz="6" w:space="0" w:color="auto"/>
              <w:left w:val="nil"/>
              <w:bottom w:val="single" w:sz="12" w:space="0" w:color="auto"/>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Comprehensive result – total change in net worth</w:t>
            </w:r>
          </w:p>
        </w:tc>
        <w:tc>
          <w:tcPr>
            <w:tcW w:w="732" w:type="dxa"/>
            <w:gridSpan w:val="2"/>
            <w:tcBorders>
              <w:top w:val="single" w:sz="6" w:space="0" w:color="auto"/>
              <w:left w:val="nil"/>
              <w:bottom w:val="single" w:sz="12" w:space="0" w:color="auto"/>
              <w:right w:val="nil"/>
            </w:tcBorders>
          </w:tcPr>
          <w:p w:rsidR="000B4A1E" w:rsidRPr="003E2DBE" w:rsidRDefault="000B4A1E" w:rsidP="00517E51">
            <w:pPr>
              <w:pStyle w:val="TableTextCentred"/>
              <w:rPr>
                <w:b/>
                <w:bCs/>
                <w:sz w:val="21"/>
                <w:szCs w:val="21"/>
                <w:lang w:eastAsia="en-AU"/>
              </w:rPr>
            </w:pPr>
          </w:p>
        </w:tc>
        <w:tc>
          <w:tcPr>
            <w:tcW w:w="1123" w:type="dxa"/>
            <w:gridSpan w:val="4"/>
            <w:tcBorders>
              <w:top w:val="single" w:sz="6" w:space="0" w:color="auto"/>
              <w:left w:val="nil"/>
              <w:bottom w:val="single" w:sz="12"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10</w:t>
            </w:r>
            <w:r w:rsidRPr="003E2DBE">
              <w:rPr>
                <w:rFonts w:cs="Calibri"/>
                <w:b/>
                <w:bCs/>
                <w:sz w:val="21"/>
                <w:szCs w:val="21"/>
                <w:lang w:eastAsia="en-AU"/>
              </w:rPr>
              <w:t xml:space="preserve"> 774.5</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w:t>
            </w:r>
            <w:r w:rsidRPr="003E2DBE">
              <w:rPr>
                <w:rFonts w:cs="Calibri"/>
                <w:b/>
                <w:bCs/>
                <w:sz w:val="21"/>
                <w:szCs w:val="21"/>
                <w:lang w:eastAsia="en-AU"/>
              </w:rPr>
              <w:t>13 742.4)</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8</w:t>
            </w:r>
            <w:r w:rsidRPr="003E2DBE">
              <w:rPr>
                <w:rFonts w:cs="Calibri"/>
                <w:b/>
                <w:bCs/>
                <w:sz w:val="21"/>
                <w:szCs w:val="21"/>
                <w:lang w:eastAsia="en-AU"/>
              </w:rPr>
              <w:t xml:space="preserve"> 193.5</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cs="Calibri"/>
                <w:b/>
                <w:bCs/>
                <w:sz w:val="21"/>
                <w:szCs w:val="21"/>
                <w:lang w:eastAsia="en-AU"/>
              </w:rPr>
            </w:pPr>
            <w:r w:rsidRPr="003E2DBE">
              <w:rPr>
                <w:b/>
                <w:bCs/>
                <w:sz w:val="21"/>
                <w:szCs w:val="21"/>
                <w:lang w:eastAsia="en-AU"/>
              </w:rPr>
              <w:t>(</w:t>
            </w:r>
            <w:r w:rsidRPr="003E2DBE">
              <w:rPr>
                <w:rFonts w:cs="Calibri"/>
                <w:b/>
                <w:bCs/>
                <w:sz w:val="21"/>
                <w:szCs w:val="21"/>
                <w:lang w:eastAsia="en-AU"/>
              </w:rPr>
              <w:t>7 960.6)</w:t>
            </w:r>
          </w:p>
        </w:tc>
      </w:tr>
    </w:tbl>
    <w:p w:rsidR="000B4A1E" w:rsidRDefault="000B4A1E">
      <w:r>
        <w:br w:type="page"/>
      </w:r>
    </w:p>
    <w:p w:rsidR="000B4A1E" w:rsidRPr="009F74B3" w:rsidRDefault="000B4A1E" w:rsidP="00517E51">
      <w:pPr>
        <w:pStyle w:val="Tableheading"/>
        <w:ind w:left="0" w:firstLine="0"/>
        <w:rPr>
          <w:i/>
        </w:rPr>
      </w:pPr>
      <w:r w:rsidRPr="00D00665">
        <w:lastRenderedPageBreak/>
        <w:t>Consolidated comprehensive operating statement for the financial year ending 30 June</w:t>
      </w:r>
      <w:r>
        <w:t xml:space="preserve"> </w:t>
      </w:r>
      <w:r>
        <w:rPr>
          <w:i/>
        </w:rPr>
        <w:t>(continued)</w:t>
      </w:r>
    </w:p>
    <w:p w:rsidR="000B4A1E" w:rsidRDefault="000B4A1E" w:rsidP="00517E51">
      <w:pPr>
        <w:pStyle w:val="million"/>
      </w:pPr>
      <w:r>
        <w:t xml:space="preserve">($ million) </w:t>
      </w:r>
    </w:p>
    <w:tbl>
      <w:tblPr>
        <w:tblW w:w="9648" w:type="dxa"/>
        <w:tblInd w:w="29" w:type="dxa"/>
        <w:tblLayout w:type="fixed"/>
        <w:tblCellMar>
          <w:left w:w="43" w:type="dxa"/>
          <w:right w:w="43" w:type="dxa"/>
        </w:tblCellMar>
        <w:tblLook w:val="0000" w:firstRow="0" w:lastRow="0" w:firstColumn="0" w:lastColumn="0" w:noHBand="0" w:noVBand="0"/>
      </w:tblPr>
      <w:tblGrid>
        <w:gridCol w:w="4424"/>
        <w:gridCol w:w="732"/>
        <w:gridCol w:w="348"/>
        <w:gridCol w:w="775"/>
        <w:gridCol w:w="1123"/>
        <w:gridCol w:w="262"/>
        <w:gridCol w:w="861"/>
        <w:gridCol w:w="1123"/>
      </w:tblGrid>
      <w:tr w:rsidR="000B4A1E" w:rsidRPr="003E2DBE" w:rsidTr="00517E51">
        <w:trPr>
          <w:cantSplit/>
          <w:tblHeader/>
        </w:trPr>
        <w:tc>
          <w:tcPr>
            <w:tcW w:w="442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sz w:val="21"/>
                <w:szCs w:val="21"/>
                <w:lang w:eastAsia="en-AU"/>
              </w:rPr>
            </w:pPr>
          </w:p>
        </w:tc>
        <w:tc>
          <w:tcPr>
            <w:tcW w:w="73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348"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1898"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sz w:val="21"/>
                <w:szCs w:val="21"/>
                <w:lang w:eastAsia="en-AU"/>
              </w:rPr>
            </w:pPr>
          </w:p>
          <w:p w:rsidR="000B4A1E" w:rsidRPr="003E2DBE" w:rsidRDefault="000B4A1E" w:rsidP="00517E51">
            <w:pPr>
              <w:pStyle w:val="TabletextheadingCentred"/>
              <w:rPr>
                <w:sz w:val="21"/>
                <w:szCs w:val="21"/>
                <w:lang w:eastAsia="en-AU"/>
              </w:rPr>
            </w:pPr>
            <w:r w:rsidRPr="003E2DBE">
              <w:rPr>
                <w:sz w:val="21"/>
                <w:szCs w:val="21"/>
                <w:lang w:eastAsia="en-AU"/>
              </w:rPr>
              <w:t>State of Victoria</w:t>
            </w:r>
          </w:p>
        </w:tc>
        <w:tc>
          <w:tcPr>
            <w:tcW w:w="26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1984"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General</w:t>
            </w:r>
          </w:p>
          <w:p w:rsidR="000B4A1E" w:rsidRPr="003E2DBE" w:rsidRDefault="000B4A1E" w:rsidP="00517E51">
            <w:pPr>
              <w:pStyle w:val="TabletextheadingCentred"/>
              <w:rPr>
                <w:sz w:val="21"/>
                <w:szCs w:val="21"/>
                <w:lang w:eastAsia="en-AU"/>
              </w:rPr>
            </w:pPr>
            <w:r w:rsidRPr="003E2DBE">
              <w:rPr>
                <w:sz w:val="21"/>
                <w:szCs w:val="21"/>
                <w:lang w:eastAsia="en-AU"/>
              </w:rPr>
              <w:t>government sector</w:t>
            </w:r>
          </w:p>
        </w:tc>
      </w:tr>
      <w:tr w:rsidR="000B4A1E" w:rsidRPr="003E2DBE" w:rsidTr="00517E51">
        <w:trPr>
          <w:cantSplit/>
          <w:tblHeader/>
        </w:trPr>
        <w:tc>
          <w:tcPr>
            <w:tcW w:w="4424"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sz w:val="21"/>
                <w:szCs w:val="21"/>
                <w:lang w:eastAsia="en-AU"/>
              </w:rPr>
            </w:pPr>
            <w:r w:rsidRPr="003E2DBE">
              <w:rPr>
                <w:sz w:val="21"/>
                <w:szCs w:val="21"/>
                <w:lang w:eastAsia="en-AU"/>
              </w:rPr>
              <w:t xml:space="preserve"> </w:t>
            </w:r>
          </w:p>
        </w:tc>
        <w:tc>
          <w:tcPr>
            <w:tcW w:w="732" w:type="dxa"/>
            <w:tcBorders>
              <w:top w:val="nil"/>
              <w:left w:val="nil"/>
              <w:bottom w:val="single" w:sz="4"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Notes</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2012</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2012</w:t>
            </w:r>
          </w:p>
        </w:tc>
      </w:tr>
      <w:tr w:rsidR="000B4A1E" w:rsidRPr="003E2DBE" w:rsidTr="00517E51">
        <w:trPr>
          <w:cantSplit/>
          <w:trHeight w:hRule="exact" w:val="80"/>
        </w:trPr>
        <w:tc>
          <w:tcPr>
            <w:tcW w:w="4424" w:type="dxa"/>
            <w:tcBorders>
              <w:top w:val="nil"/>
              <w:left w:val="nil"/>
              <w:bottom w:val="nil"/>
              <w:right w:val="nil"/>
            </w:tcBorders>
          </w:tcPr>
          <w:p w:rsidR="000B4A1E" w:rsidRPr="003E2DBE" w:rsidRDefault="000B4A1E" w:rsidP="00517E51">
            <w:pPr>
              <w:pStyle w:val="Tabletext"/>
              <w:ind w:left="187" w:hanging="187"/>
              <w:rPr>
                <w:b/>
                <w:bCs/>
                <w:sz w:val="21"/>
                <w:szCs w:val="21"/>
                <w:lang w:eastAsia="en-AU"/>
              </w:rPr>
            </w:pPr>
          </w:p>
        </w:tc>
        <w:tc>
          <w:tcPr>
            <w:tcW w:w="732" w:type="dxa"/>
            <w:tcBorders>
              <w:top w:val="nil"/>
              <w:left w:val="nil"/>
              <w:bottom w:val="nil"/>
              <w:right w:val="nil"/>
            </w:tcBorders>
          </w:tcPr>
          <w:p w:rsidR="000B4A1E" w:rsidRPr="003E2DBE" w:rsidRDefault="000B4A1E" w:rsidP="00517E51">
            <w:pPr>
              <w:pStyle w:val="TableTextCentred"/>
              <w:rPr>
                <w:sz w:val="21"/>
                <w:szCs w:val="21"/>
                <w:lang w:eastAsia="en-AU"/>
              </w:rPr>
            </w:pPr>
          </w:p>
        </w:tc>
        <w:tc>
          <w:tcPr>
            <w:tcW w:w="1123" w:type="dxa"/>
            <w:gridSpan w:val="2"/>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gridSpan w:val="2"/>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tcBorders>
              <w:top w:val="nil"/>
              <w:left w:val="nil"/>
              <w:bottom w:val="nil"/>
              <w:right w:val="nil"/>
            </w:tcBorders>
          </w:tcPr>
          <w:p w:rsidR="000B4A1E" w:rsidRPr="003E2DBE" w:rsidRDefault="000B4A1E" w:rsidP="00517E51">
            <w:pPr>
              <w:pStyle w:val="TableofFigures"/>
              <w:rPr>
                <w:sz w:val="21"/>
                <w:szCs w:val="21"/>
                <w:lang w:eastAsia="en-AU"/>
              </w:rPr>
            </w:pP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ind w:left="187" w:hanging="187"/>
              <w:rPr>
                <w:b/>
                <w:bCs/>
                <w:sz w:val="21"/>
                <w:szCs w:val="21"/>
                <w:lang w:eastAsia="en-AU"/>
              </w:rPr>
            </w:pPr>
            <w:r w:rsidRPr="003E2DBE">
              <w:rPr>
                <w:b/>
                <w:bCs/>
                <w:sz w:val="21"/>
                <w:szCs w:val="21"/>
                <w:lang w:eastAsia="en-AU"/>
              </w:rPr>
              <w:t>KEY FISCAL AGGREGATES</w:t>
            </w:r>
          </w:p>
        </w:tc>
        <w:tc>
          <w:tcPr>
            <w:tcW w:w="732" w:type="dxa"/>
            <w:tcBorders>
              <w:top w:val="nil"/>
              <w:left w:val="nil"/>
              <w:bottom w:val="nil"/>
              <w:right w:val="nil"/>
            </w:tcBorders>
          </w:tcPr>
          <w:p w:rsidR="000B4A1E" w:rsidRPr="003E2DBE" w:rsidRDefault="000B4A1E" w:rsidP="00517E51">
            <w:pPr>
              <w:pStyle w:val="TableTextCentred"/>
              <w:rPr>
                <w:sz w:val="21"/>
                <w:szCs w:val="21"/>
                <w:lang w:eastAsia="en-AU"/>
              </w:rPr>
            </w:pPr>
          </w:p>
        </w:tc>
        <w:tc>
          <w:tcPr>
            <w:tcW w:w="1123" w:type="dxa"/>
            <w:gridSpan w:val="2"/>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gridSpan w:val="2"/>
            <w:tcBorders>
              <w:top w:val="nil"/>
              <w:left w:val="nil"/>
              <w:bottom w:val="nil"/>
              <w:right w:val="nil"/>
            </w:tcBorders>
          </w:tcPr>
          <w:p w:rsidR="000B4A1E" w:rsidRPr="003E2DBE" w:rsidRDefault="000B4A1E" w:rsidP="00517E51">
            <w:pPr>
              <w:pStyle w:val="TableofFigures"/>
              <w:rPr>
                <w:sz w:val="21"/>
                <w:szCs w:val="21"/>
                <w:lang w:eastAsia="en-AU"/>
              </w:rPr>
            </w:pPr>
          </w:p>
        </w:tc>
        <w:tc>
          <w:tcPr>
            <w:tcW w:w="1123" w:type="dxa"/>
            <w:tcBorders>
              <w:top w:val="nil"/>
              <w:left w:val="nil"/>
              <w:bottom w:val="nil"/>
              <w:right w:val="nil"/>
            </w:tcBorders>
          </w:tcPr>
          <w:p w:rsidR="000B4A1E" w:rsidRPr="003E2DBE" w:rsidRDefault="000B4A1E" w:rsidP="00517E51">
            <w:pPr>
              <w:pStyle w:val="TableofFigures"/>
              <w:rPr>
                <w:sz w:val="21"/>
                <w:szCs w:val="21"/>
                <w:lang w:eastAsia="en-AU"/>
              </w:rPr>
            </w:pP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Net operating balance</w:t>
            </w:r>
          </w:p>
        </w:tc>
        <w:tc>
          <w:tcPr>
            <w:tcW w:w="732" w:type="dxa"/>
            <w:tcBorders>
              <w:top w:val="nil"/>
              <w:left w:val="nil"/>
              <w:bottom w:val="nil"/>
              <w:right w:val="nil"/>
            </w:tcBorders>
          </w:tcPr>
          <w:p w:rsidR="000B4A1E" w:rsidRPr="003E2DBE" w:rsidRDefault="000B4A1E" w:rsidP="00517E51">
            <w:pPr>
              <w:pStyle w:val="TableTextCentred"/>
              <w:rPr>
                <w:sz w:val="21"/>
                <w:szCs w:val="21"/>
                <w:lang w:eastAsia="en-AU"/>
              </w:rPr>
            </w:pPr>
          </w:p>
        </w:tc>
        <w:tc>
          <w:tcPr>
            <w:tcW w:w="1123" w:type="dxa"/>
            <w:gridSpan w:val="2"/>
            <w:tcBorders>
              <w:top w:val="nil"/>
              <w:left w:val="nil"/>
              <w:bottom w:val="nil"/>
              <w:right w:val="nil"/>
            </w:tcBorders>
          </w:tcPr>
          <w:p w:rsidR="000B4A1E" w:rsidRPr="003E2DBE" w:rsidRDefault="000B4A1E" w:rsidP="00517E51">
            <w:pPr>
              <w:pStyle w:val="TableofFigures"/>
              <w:rPr>
                <w:rFonts w:cs="Calibri"/>
                <w:b/>
                <w:bCs/>
                <w:sz w:val="21"/>
                <w:szCs w:val="21"/>
                <w:lang w:eastAsia="en-AU"/>
              </w:rPr>
            </w:pPr>
            <w:r w:rsidRPr="003E2DBE">
              <w:rPr>
                <w:sz w:val="21"/>
                <w:szCs w:val="21"/>
                <w:lang w:eastAsia="en-AU"/>
              </w:rPr>
              <w:t>(</w:t>
            </w:r>
            <w:r w:rsidRPr="003E2DBE">
              <w:rPr>
                <w:rFonts w:cs="Calibri"/>
                <w:b/>
                <w:bCs/>
                <w:sz w:val="21"/>
                <w:szCs w:val="21"/>
                <w:lang w:eastAsia="en-AU"/>
              </w:rPr>
              <w:t>2 486.8)</w:t>
            </w:r>
          </w:p>
        </w:tc>
        <w:tc>
          <w:tcPr>
            <w:tcW w:w="1123" w:type="dxa"/>
            <w:tcBorders>
              <w:top w:val="nil"/>
              <w:left w:val="nil"/>
              <w:bottom w:val="nil"/>
              <w:right w:val="nil"/>
            </w:tcBorders>
          </w:tcPr>
          <w:p w:rsidR="000B4A1E" w:rsidRPr="003E2DBE" w:rsidRDefault="000B4A1E" w:rsidP="00517E51">
            <w:pPr>
              <w:pStyle w:val="TableofFigures"/>
              <w:rPr>
                <w:rFonts w:cs="Calibri"/>
                <w:b/>
                <w:bCs/>
                <w:sz w:val="21"/>
                <w:szCs w:val="21"/>
                <w:lang w:eastAsia="en-AU"/>
              </w:rPr>
            </w:pPr>
            <w:r w:rsidRPr="003E2DBE">
              <w:rPr>
                <w:sz w:val="21"/>
                <w:szCs w:val="21"/>
                <w:lang w:eastAsia="en-AU"/>
              </w:rPr>
              <w:t>(</w:t>
            </w:r>
            <w:r w:rsidRPr="003E2DBE">
              <w:rPr>
                <w:rFonts w:cs="Calibri"/>
                <w:b/>
                <w:bCs/>
                <w:sz w:val="21"/>
                <w:szCs w:val="21"/>
                <w:lang w:eastAsia="en-AU"/>
              </w:rPr>
              <w:t>1 247.6)</w:t>
            </w:r>
          </w:p>
        </w:tc>
        <w:tc>
          <w:tcPr>
            <w:tcW w:w="1123" w:type="dxa"/>
            <w:gridSpan w:val="2"/>
            <w:tcBorders>
              <w:top w:val="nil"/>
              <w:left w:val="nil"/>
              <w:bottom w:val="nil"/>
              <w:right w:val="nil"/>
            </w:tcBorders>
          </w:tcPr>
          <w:p w:rsidR="000B4A1E" w:rsidRPr="003E2DBE" w:rsidRDefault="000B4A1E" w:rsidP="00517E51">
            <w:pPr>
              <w:pStyle w:val="TableofFigures"/>
              <w:rPr>
                <w:rFonts w:cs="Calibri"/>
                <w:b/>
                <w:bCs/>
                <w:sz w:val="21"/>
                <w:szCs w:val="21"/>
                <w:lang w:eastAsia="en-AU"/>
              </w:rPr>
            </w:pPr>
            <w:r w:rsidRPr="003E2DBE">
              <w:rPr>
                <w:sz w:val="21"/>
                <w:szCs w:val="21"/>
                <w:lang w:eastAsia="en-AU"/>
              </w:rPr>
              <w:t xml:space="preserve"> </w:t>
            </w:r>
            <w:r w:rsidRPr="003E2DBE">
              <w:rPr>
                <w:rFonts w:cs="Calibri"/>
                <w:b/>
                <w:bCs/>
                <w:sz w:val="21"/>
                <w:szCs w:val="21"/>
                <w:lang w:eastAsia="en-AU"/>
              </w:rPr>
              <w:t>316.4</w:t>
            </w:r>
          </w:p>
        </w:tc>
        <w:tc>
          <w:tcPr>
            <w:tcW w:w="1123" w:type="dxa"/>
            <w:tcBorders>
              <w:top w:val="nil"/>
              <w:left w:val="nil"/>
              <w:bottom w:val="nil"/>
              <w:right w:val="nil"/>
            </w:tcBorders>
          </w:tcPr>
          <w:p w:rsidR="000B4A1E" w:rsidRPr="003E2DBE" w:rsidRDefault="000B4A1E" w:rsidP="00517E51">
            <w:pPr>
              <w:pStyle w:val="TableofFigures"/>
              <w:rPr>
                <w:rFonts w:cs="Calibri"/>
                <w:b/>
                <w:bCs/>
                <w:sz w:val="21"/>
                <w:szCs w:val="21"/>
                <w:lang w:eastAsia="en-AU"/>
              </w:rPr>
            </w:pPr>
            <w:r w:rsidRPr="003E2DBE">
              <w:rPr>
                <w:sz w:val="21"/>
                <w:szCs w:val="21"/>
                <w:lang w:eastAsia="en-AU"/>
              </w:rPr>
              <w:t xml:space="preserve"> </w:t>
            </w:r>
            <w:r w:rsidRPr="003E2DBE">
              <w:rPr>
                <w:rFonts w:cs="Calibri"/>
                <w:b/>
                <w:bCs/>
                <w:sz w:val="21"/>
                <w:szCs w:val="21"/>
                <w:lang w:eastAsia="en-AU"/>
              </w:rPr>
              <w:t>571.2</w:t>
            </w:r>
          </w:p>
        </w:tc>
      </w:tr>
      <w:tr w:rsidR="000B4A1E" w:rsidRPr="003E2DBE" w:rsidTr="00517E51">
        <w:tc>
          <w:tcPr>
            <w:tcW w:w="4424" w:type="dxa"/>
            <w:tcBorders>
              <w:top w:val="nil"/>
              <w:left w:val="nil"/>
              <w:bottom w:val="nil"/>
              <w:right w:val="nil"/>
            </w:tcBorders>
          </w:tcPr>
          <w:p w:rsidR="000B4A1E" w:rsidRPr="003E2DBE" w:rsidRDefault="000B4A1E" w:rsidP="00517E51">
            <w:pPr>
              <w:pStyle w:val="Tabletext"/>
              <w:rPr>
                <w:rFonts w:eastAsiaTheme="minorEastAsia" w:cs="Calibri"/>
                <w:color w:val="000000"/>
                <w:sz w:val="21"/>
                <w:szCs w:val="22"/>
                <w:lang w:eastAsia="en-AU"/>
              </w:rPr>
            </w:pPr>
            <w:r w:rsidRPr="003E2DBE">
              <w:rPr>
                <w:sz w:val="21"/>
                <w:szCs w:val="21"/>
                <w:lang w:eastAsia="en-AU"/>
              </w:rPr>
              <w:t xml:space="preserve">Less: Net acquisition of non-financial assets from </w:t>
            </w:r>
            <w:r w:rsidRPr="003E2DBE">
              <w:rPr>
                <w:rFonts w:eastAsiaTheme="minorEastAsia" w:cs="Calibri"/>
                <w:color w:val="000000"/>
                <w:sz w:val="21"/>
                <w:szCs w:val="22"/>
                <w:lang w:eastAsia="en-AU"/>
              </w:rPr>
              <w:t>transactions</w:t>
            </w:r>
          </w:p>
        </w:tc>
        <w:tc>
          <w:tcPr>
            <w:tcW w:w="732" w:type="dxa"/>
            <w:tcBorders>
              <w:top w:val="nil"/>
              <w:left w:val="nil"/>
              <w:bottom w:val="nil"/>
              <w:right w:val="nil"/>
            </w:tcBorders>
          </w:tcPr>
          <w:p w:rsidR="000B4A1E" w:rsidRPr="003E2DBE" w:rsidRDefault="000B4A1E" w:rsidP="00517E51">
            <w:pPr>
              <w:pStyle w:val="TableTextCentred"/>
              <w:rPr>
                <w:rFonts w:eastAsiaTheme="minorEastAsia" w:cs="Calibri"/>
                <w:sz w:val="21"/>
                <w:lang w:eastAsia="en-AU"/>
              </w:rPr>
            </w:pPr>
            <w:r w:rsidRPr="003E2DBE">
              <w:rPr>
                <w:bCs/>
                <w:sz w:val="21"/>
                <w:szCs w:val="21"/>
                <w:lang w:eastAsia="en-AU"/>
              </w:rPr>
              <w:t>2</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bCs/>
                <w:sz w:val="21"/>
                <w:szCs w:val="21"/>
                <w:lang w:eastAsia="en-AU"/>
              </w:rPr>
              <w:t>8</w:t>
            </w:r>
            <w:r w:rsidRPr="003E2DBE">
              <w:rPr>
                <w:rFonts w:cs="Calibri"/>
                <w:sz w:val="21"/>
                <w:szCs w:val="21"/>
                <w:lang w:eastAsia="en-AU"/>
              </w:rPr>
              <w:t xml:space="preserve"> 586.3</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bCs/>
                <w:sz w:val="21"/>
                <w:szCs w:val="21"/>
                <w:lang w:eastAsia="en-AU"/>
              </w:rPr>
              <w:t>4</w:t>
            </w:r>
            <w:r w:rsidRPr="003E2DBE">
              <w:rPr>
                <w:rFonts w:cs="Calibri"/>
                <w:sz w:val="21"/>
                <w:szCs w:val="21"/>
                <w:lang w:eastAsia="en-AU"/>
              </w:rPr>
              <w:t xml:space="preserve"> 664.1</w:t>
            </w:r>
          </w:p>
        </w:tc>
        <w:tc>
          <w:tcPr>
            <w:tcW w:w="1123" w:type="dxa"/>
            <w:gridSpan w:val="2"/>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bCs/>
                <w:sz w:val="21"/>
                <w:szCs w:val="21"/>
                <w:lang w:eastAsia="en-AU"/>
              </w:rPr>
              <w:t>2</w:t>
            </w:r>
            <w:r w:rsidRPr="003E2DBE">
              <w:rPr>
                <w:rFonts w:cs="Calibri"/>
                <w:sz w:val="21"/>
                <w:szCs w:val="21"/>
                <w:lang w:eastAsia="en-AU"/>
              </w:rPr>
              <w:t xml:space="preserve"> 684.0</w:t>
            </w:r>
          </w:p>
        </w:tc>
        <w:tc>
          <w:tcPr>
            <w:tcW w:w="1123" w:type="dxa"/>
            <w:tcBorders>
              <w:top w:val="nil"/>
              <w:left w:val="nil"/>
              <w:bottom w:val="nil"/>
              <w:right w:val="nil"/>
            </w:tcBorders>
          </w:tcPr>
          <w:p w:rsidR="000B4A1E" w:rsidRPr="003E2DBE" w:rsidRDefault="000B4A1E" w:rsidP="00517E51">
            <w:pPr>
              <w:pStyle w:val="TableofFigures"/>
              <w:rPr>
                <w:rFonts w:cs="Calibri"/>
                <w:sz w:val="21"/>
                <w:szCs w:val="21"/>
                <w:lang w:eastAsia="en-AU"/>
              </w:rPr>
            </w:pPr>
            <w:r w:rsidRPr="003E2DBE">
              <w:rPr>
                <w:bCs/>
                <w:sz w:val="21"/>
                <w:szCs w:val="21"/>
                <w:lang w:eastAsia="en-AU"/>
              </w:rPr>
              <w:t>2</w:t>
            </w:r>
            <w:r w:rsidRPr="003E2DBE">
              <w:rPr>
                <w:rFonts w:cs="Calibri"/>
                <w:sz w:val="21"/>
                <w:szCs w:val="21"/>
                <w:lang w:eastAsia="en-AU"/>
              </w:rPr>
              <w:t xml:space="preserve"> 281.7</w:t>
            </w:r>
          </w:p>
        </w:tc>
      </w:tr>
      <w:tr w:rsidR="000B4A1E" w:rsidRPr="003E2DBE" w:rsidTr="00517E51">
        <w:tc>
          <w:tcPr>
            <w:tcW w:w="4424" w:type="dxa"/>
            <w:tcBorders>
              <w:top w:val="single" w:sz="6" w:space="0" w:color="auto"/>
              <w:left w:val="nil"/>
              <w:bottom w:val="single" w:sz="12" w:space="0" w:color="auto"/>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Net lending/(borrowing)</w:t>
            </w:r>
          </w:p>
        </w:tc>
        <w:tc>
          <w:tcPr>
            <w:tcW w:w="732" w:type="dxa"/>
            <w:tcBorders>
              <w:top w:val="single" w:sz="6" w:space="0" w:color="auto"/>
              <w:left w:val="nil"/>
              <w:bottom w:val="single" w:sz="12" w:space="0" w:color="auto"/>
              <w:right w:val="nil"/>
            </w:tcBorders>
          </w:tcPr>
          <w:p w:rsidR="000B4A1E" w:rsidRPr="003E2DBE" w:rsidRDefault="000B4A1E" w:rsidP="00517E51">
            <w:pPr>
              <w:pStyle w:val="TableTextCentred"/>
              <w:rPr>
                <w:b/>
                <w:bCs/>
                <w:sz w:val="21"/>
                <w:szCs w:val="21"/>
                <w:lang w:eastAsia="en-AU"/>
              </w:rPr>
            </w:pP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szCs w:val="21"/>
                <w:lang w:eastAsia="en-AU"/>
              </w:rPr>
              <w:t>(</w:t>
            </w:r>
            <w:r w:rsidRPr="003E2DBE">
              <w:rPr>
                <w:rFonts w:cs="Calibri"/>
                <w:b/>
                <w:bCs/>
                <w:sz w:val="21"/>
                <w:szCs w:val="21"/>
                <w:lang w:eastAsia="en-AU"/>
              </w:rPr>
              <w:t>11 073.1</w:t>
            </w:r>
            <w:r w:rsidRPr="003E2DBE">
              <w:rPr>
                <w:rFonts w:eastAsiaTheme="minorEastAsia" w:cs="Calibri"/>
                <w:b/>
                <w:bCs/>
                <w:sz w:val="21"/>
                <w:szCs w:val="22"/>
                <w:lang w:eastAsia="en-AU"/>
              </w:rPr>
              <w:t>)</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szCs w:val="21"/>
                <w:lang w:eastAsia="en-AU"/>
              </w:rPr>
              <w:t>(</w:t>
            </w:r>
            <w:r w:rsidRPr="003E2DBE">
              <w:rPr>
                <w:rFonts w:cs="Calibri"/>
                <w:b/>
                <w:bCs/>
                <w:sz w:val="21"/>
                <w:szCs w:val="21"/>
                <w:lang w:eastAsia="en-AU"/>
              </w:rPr>
              <w:t>5 911.7</w:t>
            </w:r>
            <w:r w:rsidRPr="003E2DBE">
              <w:rPr>
                <w:rFonts w:eastAsiaTheme="minorEastAsia" w:cs="Calibri"/>
                <w:b/>
                <w:bCs/>
                <w:sz w:val="21"/>
                <w:szCs w:val="22"/>
                <w:lang w:eastAsia="en-AU"/>
              </w:rPr>
              <w:t>)</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szCs w:val="21"/>
                <w:lang w:eastAsia="en-AU"/>
              </w:rPr>
              <w:t>(</w:t>
            </w:r>
            <w:r w:rsidRPr="003E2DBE">
              <w:rPr>
                <w:rFonts w:cs="Calibri"/>
                <w:b/>
                <w:bCs/>
                <w:sz w:val="21"/>
                <w:szCs w:val="21"/>
                <w:lang w:eastAsia="en-AU"/>
              </w:rPr>
              <w:t>2 367.6</w:t>
            </w:r>
            <w:r w:rsidRPr="003E2DBE">
              <w:rPr>
                <w:rFonts w:eastAsiaTheme="minorEastAsia" w:cs="Calibri"/>
                <w:b/>
                <w:bCs/>
                <w:sz w:val="21"/>
                <w:szCs w:val="22"/>
                <w:lang w:eastAsia="en-AU"/>
              </w:rPr>
              <w:t>)</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szCs w:val="21"/>
                <w:lang w:eastAsia="en-AU"/>
              </w:rPr>
              <w:t>(</w:t>
            </w:r>
            <w:r w:rsidRPr="003E2DBE">
              <w:rPr>
                <w:rFonts w:cs="Calibri"/>
                <w:b/>
                <w:bCs/>
                <w:sz w:val="21"/>
                <w:szCs w:val="21"/>
                <w:lang w:eastAsia="en-AU"/>
              </w:rPr>
              <w:t>1 710.5</w:t>
            </w:r>
            <w:r w:rsidRPr="003E2DBE">
              <w:rPr>
                <w:rFonts w:eastAsiaTheme="minorEastAsia" w:cs="Calibri"/>
                <w:b/>
                <w:bCs/>
                <w:sz w:val="21"/>
                <w:szCs w:val="22"/>
                <w:lang w:eastAsia="en-AU"/>
              </w:rPr>
              <w:t>)</w:t>
            </w:r>
          </w:p>
        </w:tc>
      </w:tr>
    </w:tbl>
    <w:p w:rsidR="000B4A1E" w:rsidRPr="00D00665" w:rsidRDefault="000B4A1E" w:rsidP="00517E51">
      <w:pPr>
        <w:pStyle w:val="Source"/>
      </w:pPr>
      <w:r w:rsidRPr="00D00665">
        <w:t>The accompanying notes form part of these financial statements.</w:t>
      </w:r>
    </w:p>
    <w:p w:rsidR="000B4A1E" w:rsidRPr="00D00665" w:rsidRDefault="000B4A1E" w:rsidP="00517E51">
      <w:pPr>
        <w:pStyle w:val="Notes"/>
      </w:pPr>
      <w:r w:rsidRPr="00D00665">
        <w:t>Notes:</w:t>
      </w:r>
    </w:p>
    <w:p w:rsidR="000B4A1E" w:rsidRPr="00D00665" w:rsidRDefault="000B4A1E" w:rsidP="00517E51">
      <w:pPr>
        <w:pStyle w:val="Notes"/>
      </w:pPr>
      <w:r w:rsidRPr="00D00665">
        <w:t>(</w:t>
      </w:r>
      <w:r>
        <w:t>a</w:t>
      </w:r>
      <w:r w:rsidRPr="00D00665">
        <w:t>)</w:t>
      </w:r>
      <w:r w:rsidRPr="00D00665">
        <w:tab/>
        <w:t>Restated balances at 30 June 2012. Refer to Note 36 of the financial statements.</w:t>
      </w:r>
    </w:p>
    <w:p w:rsidR="000B4A1E" w:rsidRPr="00D00665" w:rsidRDefault="000B4A1E" w:rsidP="00517E51">
      <w:pPr>
        <w:pStyle w:val="Notes"/>
      </w:pPr>
      <w:r w:rsidRPr="00D00665">
        <w:t>(</w:t>
      </w:r>
      <w:r>
        <w:t>b</w:t>
      </w:r>
      <w:r w:rsidRPr="00D00665">
        <w:t xml:space="preserve">) </w:t>
      </w:r>
      <w:r w:rsidRPr="00D00665">
        <w:tab/>
        <w:t xml:space="preserve">The changed item description </w:t>
      </w:r>
      <w:r>
        <w:t>‘</w:t>
      </w:r>
      <w:r w:rsidRPr="00D00665">
        <w:t>other economic flows – other comprehensive income</w:t>
      </w:r>
      <w:r>
        <w:t>’</w:t>
      </w:r>
      <w:r w:rsidRPr="00D00665">
        <w:t xml:space="preserve"> and related inclusion of sub</w:t>
      </w:r>
      <w:r w:rsidRPr="00D00665">
        <w:noBreakHyphen/>
        <w:t xml:space="preserve">headings are due to the new requirements of AASB 101 </w:t>
      </w:r>
      <w:r w:rsidRPr="00D00665">
        <w:rPr>
          <w:i w:val="0"/>
        </w:rPr>
        <w:t>Presentation of Financial Statements</w:t>
      </w:r>
      <w:r w:rsidRPr="00D00665">
        <w:t xml:space="preserve"> and AASB 1049 </w:t>
      </w:r>
      <w:r w:rsidRPr="00D00665">
        <w:rPr>
          <w:i w:val="0"/>
        </w:rPr>
        <w:t>Whole of Government and General Government Sector Financial Reporting</w:t>
      </w:r>
      <w:r w:rsidRPr="00D00665">
        <w:t>.</w:t>
      </w:r>
    </w:p>
    <w:p w:rsidR="000B4A1E" w:rsidRDefault="000B4A1E" w:rsidP="00517E51">
      <w:pPr>
        <w:pStyle w:val="Notes"/>
      </w:pPr>
    </w:p>
    <w:p w:rsidR="000B4A1E" w:rsidRDefault="000B4A1E" w:rsidP="00517E51">
      <w:pPr>
        <w:pStyle w:val="Notes"/>
      </w:pPr>
    </w:p>
    <w:p w:rsidR="000B4A1E" w:rsidRPr="00D00665" w:rsidRDefault="000B4A1E" w:rsidP="00517E51">
      <w:pPr>
        <w:pStyle w:val="Notes"/>
      </w:pPr>
    </w:p>
    <w:p w:rsidR="000B4A1E" w:rsidRPr="00D00665" w:rsidRDefault="000B4A1E" w:rsidP="00517E51">
      <w:pPr>
        <w:pStyle w:val="Tableheading"/>
        <w:spacing w:before="0"/>
      </w:pPr>
      <w:r w:rsidRPr="00D00665">
        <w:br w:type="page"/>
      </w:r>
      <w:r w:rsidRPr="00D00665">
        <w:lastRenderedPageBreak/>
        <w:t>Consolidated balance sheet for the financial year ending 30 June</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3164"/>
        <w:gridCol w:w="720"/>
        <w:gridCol w:w="270"/>
        <w:gridCol w:w="690"/>
        <w:gridCol w:w="961"/>
        <w:gridCol w:w="689"/>
        <w:gridCol w:w="272"/>
        <w:gridCol w:w="268"/>
        <w:gridCol w:w="692"/>
        <w:gridCol w:w="961"/>
        <w:gridCol w:w="687"/>
        <w:gridCol w:w="274"/>
      </w:tblGrid>
      <w:tr w:rsidR="000B4A1E" w:rsidRPr="003E2DBE" w:rsidTr="00517E51">
        <w:tc>
          <w:tcPr>
            <w:tcW w:w="316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 xml:space="preserve"> </w:t>
            </w:r>
          </w:p>
        </w:tc>
        <w:tc>
          <w:tcPr>
            <w:tcW w:w="720"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cs="Calibri"/>
                <w:iCs/>
                <w:sz w:val="18"/>
                <w:szCs w:val="22"/>
                <w:lang w:eastAsia="en-AU"/>
              </w:rPr>
            </w:pPr>
            <w:r w:rsidRPr="003E2DBE">
              <w:rPr>
                <w:rFonts w:eastAsiaTheme="minorEastAsia"/>
                <w:sz w:val="18"/>
                <w:lang w:eastAsia="en-AU"/>
              </w:rPr>
              <w:t xml:space="preserve">  </w:t>
            </w:r>
          </w:p>
        </w:tc>
        <w:tc>
          <w:tcPr>
            <w:tcW w:w="270"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18"/>
                <w:lang w:eastAsia="en-AU"/>
              </w:rPr>
            </w:pPr>
            <w:r w:rsidRPr="003E2DBE">
              <w:rPr>
                <w:rFonts w:eastAsiaTheme="minorEastAsia"/>
                <w:sz w:val="18"/>
                <w:lang w:eastAsia="en-AU"/>
              </w:rPr>
              <w:t xml:space="preserve"> </w:t>
            </w:r>
          </w:p>
        </w:tc>
        <w:tc>
          <w:tcPr>
            <w:tcW w:w="2340" w:type="dxa"/>
            <w:gridSpan w:val="3"/>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18"/>
                <w:lang w:eastAsia="en-AU"/>
              </w:rPr>
            </w:pPr>
          </w:p>
          <w:p w:rsidR="000B4A1E" w:rsidRPr="003E2DBE" w:rsidRDefault="000B4A1E" w:rsidP="00517E51">
            <w:pPr>
              <w:pStyle w:val="TabletextheadingCentred"/>
              <w:rPr>
                <w:rFonts w:eastAsiaTheme="minorEastAsia"/>
                <w:sz w:val="18"/>
                <w:lang w:eastAsia="en-AU"/>
              </w:rPr>
            </w:pPr>
            <w:r w:rsidRPr="003E2DBE">
              <w:rPr>
                <w:rFonts w:eastAsiaTheme="minorEastAsia"/>
                <w:sz w:val="18"/>
                <w:lang w:eastAsia="en-AU"/>
              </w:rPr>
              <w:t>State of Victoria</w:t>
            </w:r>
          </w:p>
        </w:tc>
        <w:tc>
          <w:tcPr>
            <w:tcW w:w="27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cs="Calibri"/>
                <w:iCs/>
                <w:sz w:val="18"/>
                <w:szCs w:val="22"/>
                <w:lang w:eastAsia="en-AU"/>
              </w:rPr>
            </w:pPr>
            <w:r w:rsidRPr="003E2DBE">
              <w:rPr>
                <w:rFonts w:eastAsiaTheme="minorEastAsia"/>
                <w:sz w:val="18"/>
                <w:lang w:eastAsia="en-AU"/>
              </w:rPr>
              <w:t xml:space="preserve"> </w:t>
            </w:r>
          </w:p>
        </w:tc>
        <w:tc>
          <w:tcPr>
            <w:tcW w:w="268"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18"/>
                <w:lang w:eastAsia="en-AU"/>
              </w:rPr>
            </w:pPr>
            <w:r w:rsidRPr="003E2DBE">
              <w:rPr>
                <w:rFonts w:eastAsiaTheme="minorEastAsia"/>
                <w:sz w:val="18"/>
                <w:lang w:eastAsia="en-AU"/>
              </w:rPr>
              <w:t xml:space="preserve"> </w:t>
            </w:r>
          </w:p>
        </w:tc>
        <w:tc>
          <w:tcPr>
            <w:tcW w:w="2340" w:type="dxa"/>
            <w:gridSpan w:val="3"/>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18"/>
                <w:lang w:eastAsia="en-AU"/>
              </w:rPr>
            </w:pPr>
            <w:r w:rsidRPr="003E2DBE">
              <w:rPr>
                <w:rFonts w:eastAsiaTheme="minorEastAsia"/>
                <w:sz w:val="18"/>
                <w:lang w:eastAsia="en-AU"/>
              </w:rPr>
              <w:t xml:space="preserve">General </w:t>
            </w:r>
          </w:p>
          <w:p w:rsidR="000B4A1E" w:rsidRPr="003E2DBE" w:rsidRDefault="000B4A1E" w:rsidP="00517E51">
            <w:pPr>
              <w:pStyle w:val="TabletextheadingCentred"/>
              <w:rPr>
                <w:rFonts w:eastAsiaTheme="minorEastAsia"/>
                <w:sz w:val="18"/>
                <w:lang w:eastAsia="en-AU"/>
              </w:rPr>
            </w:pPr>
            <w:r w:rsidRPr="003E2DBE">
              <w:rPr>
                <w:rFonts w:eastAsiaTheme="minorEastAsia"/>
                <w:sz w:val="18"/>
                <w:lang w:eastAsia="en-AU"/>
              </w:rPr>
              <w:t>government sector</w:t>
            </w:r>
          </w:p>
        </w:tc>
        <w:tc>
          <w:tcPr>
            <w:tcW w:w="274"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cs="Calibri"/>
                <w:iCs/>
                <w:sz w:val="18"/>
                <w:szCs w:val="22"/>
                <w:lang w:eastAsia="en-AU"/>
              </w:rPr>
            </w:pPr>
            <w:r w:rsidRPr="003E2DBE">
              <w:rPr>
                <w:rFonts w:eastAsiaTheme="minorEastAsia"/>
                <w:sz w:val="18"/>
                <w:lang w:eastAsia="en-AU"/>
              </w:rPr>
              <w:t xml:space="preserve"> </w:t>
            </w:r>
          </w:p>
        </w:tc>
      </w:tr>
      <w:tr w:rsidR="000B4A1E" w:rsidRPr="003E2DBE" w:rsidTr="00517E51">
        <w:tc>
          <w:tcPr>
            <w:tcW w:w="3164"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 xml:space="preserve"> </w:t>
            </w:r>
          </w:p>
        </w:tc>
        <w:tc>
          <w:tcPr>
            <w:tcW w:w="720" w:type="dxa"/>
            <w:tcBorders>
              <w:top w:val="nil"/>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sz w:val="18"/>
                <w:lang w:eastAsia="en-AU"/>
              </w:rPr>
            </w:pPr>
            <w:r w:rsidRPr="003E2DBE">
              <w:rPr>
                <w:rFonts w:eastAsiaTheme="minorEastAsia"/>
                <w:sz w:val="18"/>
                <w:lang w:eastAsia="en-AU"/>
              </w:rPr>
              <w:t>Notes</w:t>
            </w:r>
          </w:p>
        </w:tc>
        <w:tc>
          <w:tcPr>
            <w:tcW w:w="960"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18"/>
                <w:lang w:eastAsia="en-AU"/>
              </w:rPr>
            </w:pPr>
            <w:r w:rsidRPr="003E2DBE">
              <w:rPr>
                <w:sz w:val="18"/>
              </w:rPr>
              <w:t>2013</w:t>
            </w:r>
          </w:p>
        </w:tc>
        <w:tc>
          <w:tcPr>
            <w:tcW w:w="961"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18"/>
                <w:vertAlign w:val="superscript"/>
                <w:lang w:eastAsia="en-AU"/>
              </w:rPr>
            </w:pPr>
            <w:r w:rsidRPr="003E2DBE">
              <w:rPr>
                <w:rFonts w:eastAsiaTheme="minorEastAsia"/>
                <w:sz w:val="18"/>
                <w:lang w:eastAsia="en-AU"/>
              </w:rPr>
              <w:t>2012</w:t>
            </w:r>
            <w:r>
              <w:rPr>
                <w:rFonts w:eastAsiaTheme="minorEastAsia"/>
                <w:sz w:val="18"/>
                <w:lang w:eastAsia="en-AU"/>
              </w:rPr>
              <w:t xml:space="preserve"> </w:t>
            </w:r>
            <w:r w:rsidRPr="003E2DBE">
              <w:rPr>
                <w:rFonts w:eastAsiaTheme="minorEastAsia"/>
                <w:sz w:val="18"/>
                <w:vertAlign w:val="superscript"/>
                <w:lang w:eastAsia="en-AU"/>
              </w:rPr>
              <w:t>(a)</w:t>
            </w:r>
          </w:p>
        </w:tc>
        <w:tc>
          <w:tcPr>
            <w:tcW w:w="961"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18"/>
                <w:vertAlign w:val="superscript"/>
                <w:lang w:eastAsia="en-AU"/>
              </w:rPr>
            </w:pPr>
            <w:r w:rsidRPr="003E2DBE">
              <w:rPr>
                <w:rFonts w:eastAsiaTheme="minorEastAsia"/>
                <w:sz w:val="18"/>
                <w:lang w:eastAsia="en-AU"/>
              </w:rPr>
              <w:t>2011</w:t>
            </w:r>
            <w:r>
              <w:rPr>
                <w:rFonts w:eastAsiaTheme="minorEastAsia"/>
                <w:sz w:val="18"/>
                <w:lang w:eastAsia="en-AU"/>
              </w:rPr>
              <w:t xml:space="preserve"> </w:t>
            </w:r>
            <w:r w:rsidRPr="003E2DBE">
              <w:rPr>
                <w:rFonts w:eastAsiaTheme="minorEastAsia"/>
                <w:sz w:val="18"/>
                <w:vertAlign w:val="superscript"/>
                <w:lang w:eastAsia="en-AU"/>
              </w:rPr>
              <w:t>(a)</w:t>
            </w:r>
          </w:p>
        </w:tc>
        <w:tc>
          <w:tcPr>
            <w:tcW w:w="960"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18"/>
                <w:lang w:eastAsia="en-AU"/>
              </w:rPr>
            </w:pPr>
            <w:r w:rsidRPr="003E2DBE">
              <w:rPr>
                <w:rFonts w:eastAsiaTheme="minorEastAsia"/>
                <w:sz w:val="18"/>
                <w:lang w:eastAsia="en-AU"/>
              </w:rPr>
              <w:t>2013</w:t>
            </w:r>
          </w:p>
        </w:tc>
        <w:tc>
          <w:tcPr>
            <w:tcW w:w="961"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18"/>
                <w:vertAlign w:val="superscript"/>
                <w:lang w:eastAsia="en-AU"/>
              </w:rPr>
            </w:pPr>
            <w:r w:rsidRPr="003E2DBE">
              <w:rPr>
                <w:rFonts w:eastAsiaTheme="minorEastAsia"/>
                <w:sz w:val="18"/>
                <w:lang w:eastAsia="en-AU"/>
              </w:rPr>
              <w:t>2012</w:t>
            </w:r>
            <w:r>
              <w:rPr>
                <w:rFonts w:eastAsiaTheme="minorEastAsia"/>
                <w:sz w:val="18"/>
                <w:lang w:eastAsia="en-AU"/>
              </w:rPr>
              <w:t xml:space="preserve"> </w:t>
            </w:r>
            <w:r w:rsidRPr="003E2DBE">
              <w:rPr>
                <w:rFonts w:eastAsiaTheme="minorEastAsia"/>
                <w:sz w:val="18"/>
                <w:vertAlign w:val="superscript"/>
                <w:lang w:eastAsia="en-AU"/>
              </w:rPr>
              <w:t>(a)</w:t>
            </w:r>
          </w:p>
        </w:tc>
        <w:tc>
          <w:tcPr>
            <w:tcW w:w="961" w:type="dxa"/>
            <w:gridSpan w:val="2"/>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sz w:val="18"/>
                <w:vertAlign w:val="superscript"/>
                <w:lang w:eastAsia="en-AU"/>
              </w:rPr>
            </w:pPr>
            <w:r w:rsidRPr="003E2DBE">
              <w:rPr>
                <w:rFonts w:eastAsiaTheme="minorEastAsia"/>
                <w:sz w:val="18"/>
                <w:lang w:eastAsia="en-AU"/>
              </w:rPr>
              <w:t>2011</w:t>
            </w:r>
            <w:r>
              <w:rPr>
                <w:rFonts w:eastAsiaTheme="minorEastAsia"/>
                <w:sz w:val="18"/>
                <w:lang w:eastAsia="en-AU"/>
              </w:rPr>
              <w:t xml:space="preserve"> </w:t>
            </w:r>
            <w:r w:rsidRPr="003E2DBE">
              <w:rPr>
                <w:rFonts w:eastAsiaTheme="minorEastAsia"/>
                <w:sz w:val="18"/>
                <w:vertAlign w:val="superscript"/>
                <w:lang w:eastAsia="en-AU"/>
              </w:rPr>
              <w:t>(a)</w:t>
            </w:r>
          </w:p>
        </w:tc>
      </w:tr>
      <w:tr w:rsidR="000B4A1E" w:rsidRPr="003E2DBE" w:rsidTr="00517E51">
        <w:tc>
          <w:tcPr>
            <w:tcW w:w="3164" w:type="dxa"/>
            <w:tcBorders>
              <w:top w:val="single" w:sz="4" w:space="0" w:color="auto"/>
              <w:left w:val="nil"/>
              <w:bottom w:val="nil"/>
              <w:right w:val="nil"/>
            </w:tcBorders>
          </w:tcPr>
          <w:p w:rsidR="000B4A1E" w:rsidRPr="003E2DBE" w:rsidRDefault="000B4A1E" w:rsidP="00517E51">
            <w:pPr>
              <w:pStyle w:val="Tabletext"/>
              <w:rPr>
                <w:rFonts w:eastAsiaTheme="minorEastAsia"/>
                <w:b/>
                <w:bCs/>
                <w:sz w:val="18"/>
                <w:lang w:eastAsia="en-AU"/>
              </w:rPr>
            </w:pPr>
            <w:r w:rsidRPr="003E2DBE">
              <w:rPr>
                <w:rFonts w:eastAsiaTheme="minorEastAsia"/>
                <w:b/>
                <w:bCs/>
                <w:sz w:val="18"/>
                <w:lang w:eastAsia="en-AU"/>
              </w:rPr>
              <w:t>Assets</w:t>
            </w:r>
          </w:p>
        </w:tc>
        <w:tc>
          <w:tcPr>
            <w:tcW w:w="720" w:type="dxa"/>
            <w:tcBorders>
              <w:top w:val="single" w:sz="4" w:space="0" w:color="auto"/>
              <w:left w:val="nil"/>
              <w:bottom w:val="nil"/>
              <w:right w:val="nil"/>
            </w:tcBorders>
          </w:tcPr>
          <w:p w:rsidR="000B4A1E" w:rsidRPr="003E2DBE" w:rsidRDefault="000B4A1E" w:rsidP="00517E51">
            <w:pPr>
              <w:pStyle w:val="TableTextCentred"/>
              <w:rPr>
                <w:rFonts w:eastAsiaTheme="minorEastAsia" w:cs="Calibri"/>
                <w:sz w:val="18"/>
                <w:szCs w:val="22"/>
                <w:lang w:eastAsia="en-AU"/>
              </w:rPr>
            </w:pPr>
            <w:r w:rsidRPr="003E2DBE">
              <w:rPr>
                <w:rFonts w:eastAsiaTheme="minorEastAsia"/>
                <w:sz w:val="18"/>
                <w:lang w:eastAsia="en-AU"/>
              </w:rPr>
              <w:t xml:space="preserve"> </w:t>
            </w:r>
          </w:p>
        </w:tc>
        <w:tc>
          <w:tcPr>
            <w:tcW w:w="960"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tcBorders>
              <w:top w:val="single" w:sz="4" w:space="0" w:color="auto"/>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0"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tcBorders>
              <w:top w:val="single" w:sz="4" w:space="0" w:color="auto"/>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b/>
                <w:bCs/>
                <w:sz w:val="18"/>
                <w:lang w:eastAsia="en-AU"/>
              </w:rPr>
            </w:pPr>
            <w:r w:rsidRPr="003E2DBE">
              <w:rPr>
                <w:rFonts w:eastAsiaTheme="minorEastAsia"/>
                <w:b/>
                <w:bCs/>
                <w:sz w:val="18"/>
                <w:lang w:eastAsia="en-AU"/>
              </w:rPr>
              <w:t>Financial assets</w:t>
            </w:r>
          </w:p>
        </w:tc>
        <w:tc>
          <w:tcPr>
            <w:tcW w:w="720" w:type="dxa"/>
            <w:tcBorders>
              <w:top w:val="nil"/>
              <w:left w:val="nil"/>
              <w:bottom w:val="nil"/>
              <w:right w:val="nil"/>
            </w:tcBorders>
          </w:tcPr>
          <w:p w:rsidR="000B4A1E" w:rsidRPr="003E2DBE" w:rsidRDefault="000B4A1E" w:rsidP="00517E51">
            <w:pPr>
              <w:pStyle w:val="TableTextCentred"/>
              <w:rPr>
                <w:rFonts w:eastAsiaTheme="minorEastAsia" w:cs="Calibri"/>
                <w:sz w:val="18"/>
                <w:szCs w:val="22"/>
                <w:lang w:eastAsia="en-AU"/>
              </w:rPr>
            </w:pPr>
            <w:r w:rsidRPr="003E2DBE">
              <w:rPr>
                <w:rFonts w:eastAsiaTheme="minorEastAsia"/>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cs="Calibri"/>
                <w:color w:val="000000"/>
                <w:sz w:val="18"/>
                <w:vertAlign w:val="superscript"/>
                <w:lang w:eastAsia="en-AU"/>
              </w:rPr>
            </w:pPr>
            <w:r w:rsidRPr="003E2DBE">
              <w:rPr>
                <w:rFonts w:eastAsiaTheme="minorEastAsia"/>
                <w:sz w:val="18"/>
                <w:lang w:eastAsia="en-AU"/>
              </w:rPr>
              <w:t xml:space="preserve">Cash and deposits </w:t>
            </w:r>
            <w:r w:rsidRPr="003E2DBE">
              <w:rPr>
                <w:rFonts w:eastAsiaTheme="minorEastAsia" w:cs="Calibri"/>
                <w:color w:val="000000"/>
                <w:sz w:val="18"/>
                <w:vertAlign w:val="superscript"/>
                <w:lang w:eastAsia="en-AU"/>
              </w:rPr>
              <w:t>(b)</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29</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6 252.9</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6 055.6</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5 165.1</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3 962.0</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5 001.3</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3 667.6</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Advances paid</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16</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1 727.3</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1 619.5</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1 537.6</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4 626.8</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301.0</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289.5</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Receivables</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17</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7 871.9</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5 460.2</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5 918.6</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5 061.0</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3 833.5</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3 616.0</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cs="Calibri"/>
                <w:color w:val="000000"/>
                <w:sz w:val="18"/>
                <w:vertAlign w:val="superscript"/>
                <w:lang w:eastAsia="en-AU"/>
              </w:rPr>
            </w:pPr>
            <w:r w:rsidRPr="003E2DBE">
              <w:rPr>
                <w:rFonts w:eastAsiaTheme="minorEastAsia"/>
                <w:sz w:val="18"/>
                <w:lang w:eastAsia="en-AU"/>
              </w:rPr>
              <w:t xml:space="preserve">Investments, loans and placements </w:t>
            </w:r>
            <w:r w:rsidRPr="003E2DBE">
              <w:rPr>
                <w:rFonts w:eastAsiaTheme="minorEastAsia" w:cs="Calibri"/>
                <w:color w:val="000000"/>
                <w:sz w:val="18"/>
                <w:vertAlign w:val="superscript"/>
                <w:lang w:eastAsia="en-AU"/>
              </w:rPr>
              <w:t>(b)</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16</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25 968.4</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25 125.3</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25 502.1</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3 383.4</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2 220.8</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2 367.8</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Investments accounted for using the equity method</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18</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1 666.1</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1 664.7</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1 401.3</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49.4</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44.3</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35.1</w:t>
            </w:r>
          </w:p>
        </w:tc>
      </w:tr>
      <w:tr w:rsidR="000B4A1E" w:rsidRPr="003E2DBE" w:rsidTr="00517E51">
        <w:tc>
          <w:tcPr>
            <w:tcW w:w="3164" w:type="dxa"/>
            <w:tcBorders>
              <w:top w:val="nil"/>
              <w:left w:val="nil"/>
              <w:bottom w:val="single" w:sz="6" w:space="0" w:color="auto"/>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Investments in other sector entities</w:t>
            </w:r>
          </w:p>
        </w:tc>
        <w:tc>
          <w:tcPr>
            <w:tcW w:w="720" w:type="dxa"/>
            <w:tcBorders>
              <w:top w:val="nil"/>
              <w:left w:val="nil"/>
              <w:bottom w:val="single" w:sz="6" w:space="0" w:color="auto"/>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19</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cs="Calibri"/>
                <w:color w:val="0000FF"/>
                <w:sz w:val="18"/>
                <w:lang w:eastAsia="en-AU"/>
              </w:rPr>
            </w:pPr>
            <w:r w:rsidRPr="003E2DBE">
              <w:rPr>
                <w:rFonts w:eastAsiaTheme="minorEastAsia"/>
                <w:sz w:val="18"/>
                <w:lang w:eastAsia="en-AU"/>
              </w:rPr>
              <w:t>..</w:t>
            </w:r>
          </w:p>
        </w:tc>
        <w:tc>
          <w:tcPr>
            <w:tcW w:w="961" w:type="dxa"/>
            <w:tcBorders>
              <w:top w:val="nil"/>
              <w:left w:val="nil"/>
              <w:bottom w:val="nil"/>
              <w:right w:val="nil"/>
            </w:tcBorders>
          </w:tcPr>
          <w:p w:rsidR="000B4A1E" w:rsidRPr="003E2DBE" w:rsidRDefault="000B4A1E" w:rsidP="00517E51">
            <w:pPr>
              <w:pStyle w:val="TableofFigures"/>
              <w:rPr>
                <w:rFonts w:eastAsiaTheme="minorEastAsia" w:cs="Calibri"/>
                <w:color w:val="0000FF"/>
                <w:sz w:val="18"/>
                <w:lang w:eastAsia="en-AU"/>
              </w:rPr>
            </w:pPr>
            <w:r w:rsidRPr="003E2DBE">
              <w:rPr>
                <w:rFonts w:eastAsiaTheme="minorEastAsia"/>
                <w:sz w:val="18"/>
                <w:lang w:eastAsia="en-AU"/>
              </w:rPr>
              <w:t>..</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cs="Calibri"/>
                <w:color w:val="0000FF"/>
                <w:sz w:val="18"/>
                <w:lang w:eastAsia="en-AU"/>
              </w:rPr>
            </w:pPr>
            <w:r w:rsidRPr="003E2DBE">
              <w:rPr>
                <w:rFonts w:eastAsiaTheme="minorEastAsia"/>
                <w:sz w:val="18"/>
                <w:lang w:eastAsia="en-AU"/>
              </w:rPr>
              <w:t>..</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69 489.5</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67 513.8</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65 763.5</w:t>
            </w:r>
          </w:p>
        </w:tc>
      </w:tr>
      <w:tr w:rsidR="000B4A1E" w:rsidRPr="003E2DBE" w:rsidTr="00517E51">
        <w:tc>
          <w:tcPr>
            <w:tcW w:w="3164" w:type="dxa"/>
            <w:tcBorders>
              <w:top w:val="single" w:sz="6" w:space="0" w:color="auto"/>
              <w:left w:val="nil"/>
              <w:bottom w:val="nil"/>
              <w:right w:val="nil"/>
            </w:tcBorders>
          </w:tcPr>
          <w:p w:rsidR="000B4A1E" w:rsidRPr="003E2DBE" w:rsidRDefault="000B4A1E" w:rsidP="00517E51">
            <w:pPr>
              <w:pStyle w:val="Tabletext"/>
              <w:rPr>
                <w:rFonts w:eastAsiaTheme="minorEastAsia"/>
                <w:b/>
                <w:bCs/>
                <w:sz w:val="18"/>
                <w:lang w:eastAsia="en-AU"/>
              </w:rPr>
            </w:pPr>
            <w:r w:rsidRPr="003E2DBE">
              <w:rPr>
                <w:rFonts w:eastAsiaTheme="minorEastAsia"/>
                <w:b/>
                <w:bCs/>
                <w:sz w:val="18"/>
                <w:lang w:eastAsia="en-AU"/>
              </w:rPr>
              <w:t>Total financial assets</w:t>
            </w:r>
          </w:p>
        </w:tc>
        <w:tc>
          <w:tcPr>
            <w:tcW w:w="720" w:type="dxa"/>
            <w:tcBorders>
              <w:top w:val="single" w:sz="6" w:space="0" w:color="auto"/>
              <w:left w:val="nil"/>
              <w:bottom w:val="nil"/>
              <w:right w:val="nil"/>
            </w:tcBorders>
          </w:tcPr>
          <w:p w:rsidR="000B4A1E" w:rsidRPr="003E2DBE" w:rsidRDefault="000B4A1E" w:rsidP="00517E51">
            <w:pPr>
              <w:pStyle w:val="TableTextCentred"/>
              <w:rPr>
                <w:rFonts w:eastAsiaTheme="minorEastAsia" w:cs="Calibri"/>
                <w:b/>
                <w:bCs/>
                <w:sz w:val="18"/>
                <w:szCs w:val="22"/>
                <w:lang w:eastAsia="en-AU"/>
              </w:rPr>
            </w:pPr>
            <w:r w:rsidRPr="003E2DBE">
              <w:rPr>
                <w:rFonts w:eastAsiaTheme="minorEastAsia"/>
                <w:b/>
                <w:bCs/>
                <w:sz w:val="18"/>
                <w:lang w:eastAsia="en-AU"/>
              </w:rPr>
              <w:t xml:space="preserve">  </w:t>
            </w:r>
          </w:p>
        </w:tc>
        <w:tc>
          <w:tcPr>
            <w:tcW w:w="960" w:type="dxa"/>
            <w:gridSpan w:val="2"/>
            <w:tcBorders>
              <w:top w:val="single" w:sz="6" w:space="0" w:color="auto"/>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43 486.5</w:t>
            </w:r>
          </w:p>
        </w:tc>
        <w:tc>
          <w:tcPr>
            <w:tcW w:w="961" w:type="dxa"/>
            <w:tcBorders>
              <w:top w:val="single" w:sz="6" w:space="0" w:color="auto"/>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39 925.3</w:t>
            </w:r>
          </w:p>
        </w:tc>
        <w:tc>
          <w:tcPr>
            <w:tcW w:w="961" w:type="dxa"/>
            <w:gridSpan w:val="2"/>
            <w:tcBorders>
              <w:top w:val="single" w:sz="6" w:space="0" w:color="auto"/>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39 524.8</w:t>
            </w:r>
          </w:p>
        </w:tc>
        <w:tc>
          <w:tcPr>
            <w:tcW w:w="960" w:type="dxa"/>
            <w:gridSpan w:val="2"/>
            <w:tcBorders>
              <w:top w:val="single" w:sz="6" w:space="0" w:color="auto"/>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86 572.1</w:t>
            </w:r>
          </w:p>
        </w:tc>
        <w:tc>
          <w:tcPr>
            <w:tcW w:w="961" w:type="dxa"/>
            <w:tcBorders>
              <w:top w:val="single" w:sz="6" w:space="0" w:color="auto"/>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78 914.7</w:t>
            </w:r>
          </w:p>
        </w:tc>
        <w:tc>
          <w:tcPr>
            <w:tcW w:w="961" w:type="dxa"/>
            <w:gridSpan w:val="2"/>
            <w:tcBorders>
              <w:top w:val="single" w:sz="6" w:space="0" w:color="auto"/>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75 739.5</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b/>
                <w:bCs/>
                <w:sz w:val="18"/>
                <w:lang w:eastAsia="en-AU"/>
              </w:rPr>
            </w:pPr>
            <w:r w:rsidRPr="003E2DBE">
              <w:rPr>
                <w:rFonts w:eastAsiaTheme="minorEastAsia"/>
                <w:b/>
                <w:bCs/>
                <w:sz w:val="18"/>
                <w:lang w:eastAsia="en-AU"/>
              </w:rPr>
              <w:t>Non-financial assets</w:t>
            </w:r>
          </w:p>
        </w:tc>
        <w:tc>
          <w:tcPr>
            <w:tcW w:w="720" w:type="dxa"/>
            <w:tcBorders>
              <w:top w:val="nil"/>
              <w:left w:val="nil"/>
              <w:bottom w:val="nil"/>
              <w:right w:val="nil"/>
            </w:tcBorders>
          </w:tcPr>
          <w:p w:rsidR="000B4A1E" w:rsidRPr="003E2DBE" w:rsidRDefault="000B4A1E" w:rsidP="00517E51">
            <w:pPr>
              <w:pStyle w:val="TableTextCentred"/>
              <w:rPr>
                <w:rFonts w:eastAsiaTheme="minorEastAsia" w:cs="Calibri"/>
                <w:sz w:val="18"/>
                <w:szCs w:val="22"/>
                <w:lang w:eastAsia="en-AU"/>
              </w:rPr>
            </w:pPr>
            <w:r w:rsidRPr="003E2DBE">
              <w:rPr>
                <w:rFonts w:eastAsiaTheme="minorEastAsia"/>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Inventories</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20</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871.0</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1 000.6</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1 041.8</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192.1</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296.2</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273.4</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Non-financial assets held for sale</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21</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173.0</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170.3</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77.7</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142.1</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149.2</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73.2</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 xml:space="preserve">Land, buildings, infrastructure, plant </w:t>
            </w:r>
          </w:p>
          <w:p w:rsidR="000B4A1E" w:rsidRPr="003E2DBE" w:rsidRDefault="000B4A1E" w:rsidP="00517E51">
            <w:pPr>
              <w:pStyle w:val="Tabletext"/>
              <w:rPr>
                <w:rFonts w:eastAsiaTheme="minorEastAsia" w:cs="Calibri"/>
                <w:sz w:val="18"/>
                <w:lang w:eastAsia="en-AU"/>
              </w:rPr>
            </w:pPr>
            <w:r w:rsidRPr="003E2DBE">
              <w:rPr>
                <w:rFonts w:eastAsiaTheme="minorEastAsia"/>
                <w:sz w:val="18"/>
                <w:lang w:eastAsia="en-AU"/>
              </w:rPr>
              <w:t xml:space="preserve">   and equipment</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22</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189 473.0</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179 970.6</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173 681.6</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100 804.0</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97 796.6</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93 935.9</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Other non-financial assets</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23</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2 053.1</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1 855.0</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1 824.3</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954.3</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744.0</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796.8</w:t>
            </w:r>
          </w:p>
        </w:tc>
      </w:tr>
      <w:tr w:rsidR="000B4A1E" w:rsidRPr="003E2DBE" w:rsidTr="00517E51">
        <w:tc>
          <w:tcPr>
            <w:tcW w:w="316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18"/>
                <w:lang w:eastAsia="en-AU"/>
              </w:rPr>
            </w:pPr>
            <w:r w:rsidRPr="003E2DBE">
              <w:rPr>
                <w:rFonts w:eastAsiaTheme="minorEastAsia"/>
                <w:b/>
                <w:bCs/>
                <w:sz w:val="18"/>
                <w:lang w:eastAsia="en-AU"/>
              </w:rPr>
              <w:t>Total non-financial assets</w:t>
            </w:r>
          </w:p>
        </w:tc>
        <w:tc>
          <w:tcPr>
            <w:tcW w:w="720" w:type="dxa"/>
            <w:tcBorders>
              <w:top w:val="single" w:sz="6" w:space="0" w:color="auto"/>
              <w:left w:val="nil"/>
              <w:bottom w:val="single" w:sz="6" w:space="0" w:color="auto"/>
              <w:right w:val="nil"/>
            </w:tcBorders>
          </w:tcPr>
          <w:p w:rsidR="000B4A1E" w:rsidRPr="003E2DBE" w:rsidRDefault="000B4A1E" w:rsidP="00517E51">
            <w:pPr>
              <w:pStyle w:val="TableTextCentred"/>
              <w:rPr>
                <w:rFonts w:eastAsiaTheme="minorEastAsia" w:cs="Calibri"/>
                <w:b/>
                <w:bCs/>
                <w:sz w:val="18"/>
                <w:szCs w:val="22"/>
                <w:lang w:eastAsia="en-AU"/>
              </w:rPr>
            </w:pPr>
            <w:r w:rsidRPr="003E2DBE">
              <w:rPr>
                <w:rFonts w:eastAsiaTheme="minorEastAsia"/>
                <w:b/>
                <w:bCs/>
                <w:sz w:val="18"/>
                <w:lang w:eastAsia="en-AU"/>
              </w:rPr>
              <w:t xml:space="preserve">  </w:t>
            </w:r>
          </w:p>
        </w:tc>
        <w:tc>
          <w:tcPr>
            <w:tcW w:w="96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192 570.0</w:t>
            </w:r>
          </w:p>
        </w:tc>
        <w:tc>
          <w:tcPr>
            <w:tcW w:w="961"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182 996.5</w:t>
            </w:r>
          </w:p>
        </w:tc>
        <w:tc>
          <w:tcPr>
            <w:tcW w:w="961"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176 625.3</w:t>
            </w:r>
          </w:p>
        </w:tc>
        <w:tc>
          <w:tcPr>
            <w:tcW w:w="96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102 092.5</w:t>
            </w:r>
          </w:p>
        </w:tc>
        <w:tc>
          <w:tcPr>
            <w:tcW w:w="961"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98 986.0</w:t>
            </w:r>
          </w:p>
        </w:tc>
        <w:tc>
          <w:tcPr>
            <w:tcW w:w="961"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95 079.2</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b/>
                <w:bCs/>
                <w:sz w:val="18"/>
                <w:lang w:eastAsia="en-AU"/>
              </w:rPr>
            </w:pPr>
            <w:r w:rsidRPr="003E2DBE">
              <w:rPr>
                <w:rFonts w:eastAsiaTheme="minorEastAsia"/>
                <w:b/>
                <w:bCs/>
                <w:sz w:val="18"/>
                <w:lang w:eastAsia="en-AU"/>
              </w:rPr>
              <w:t>Total assets</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24</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236 056.6</w:t>
            </w:r>
          </w:p>
        </w:tc>
        <w:tc>
          <w:tcPr>
            <w:tcW w:w="961" w:type="dxa"/>
            <w:tcBorders>
              <w:top w:val="nil"/>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222 921.8</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216 150.1</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188 664.6</w:t>
            </w:r>
          </w:p>
        </w:tc>
        <w:tc>
          <w:tcPr>
            <w:tcW w:w="961" w:type="dxa"/>
            <w:tcBorders>
              <w:top w:val="nil"/>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177 900.7</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170 818.7</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b/>
                <w:bCs/>
                <w:sz w:val="18"/>
                <w:lang w:eastAsia="en-AU"/>
              </w:rPr>
            </w:pPr>
            <w:r w:rsidRPr="003E2DBE">
              <w:rPr>
                <w:rFonts w:eastAsiaTheme="minorEastAsia"/>
                <w:b/>
                <w:bCs/>
                <w:sz w:val="18"/>
                <w:lang w:eastAsia="en-AU"/>
              </w:rPr>
              <w:t>Liabilities</w:t>
            </w:r>
          </w:p>
        </w:tc>
        <w:tc>
          <w:tcPr>
            <w:tcW w:w="720" w:type="dxa"/>
            <w:tcBorders>
              <w:top w:val="nil"/>
              <w:left w:val="nil"/>
              <w:bottom w:val="nil"/>
              <w:right w:val="nil"/>
            </w:tcBorders>
          </w:tcPr>
          <w:p w:rsidR="000B4A1E" w:rsidRPr="003E2DBE" w:rsidRDefault="000B4A1E" w:rsidP="00517E51">
            <w:pPr>
              <w:pStyle w:val="TableTextCentred"/>
              <w:rPr>
                <w:rFonts w:eastAsiaTheme="minorEastAsia" w:cs="Calibri"/>
                <w:sz w:val="18"/>
                <w:szCs w:val="22"/>
                <w:lang w:eastAsia="en-AU"/>
              </w:rPr>
            </w:pPr>
            <w:r w:rsidRPr="003E2DBE">
              <w:rPr>
                <w:rFonts w:eastAsiaTheme="minorEastAsia"/>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cs="Calibri"/>
                <w:sz w:val="18"/>
                <w:szCs w:val="22"/>
                <w:lang w:eastAsia="en-AU"/>
              </w:rPr>
            </w:pPr>
            <w:r w:rsidRPr="003E2DBE">
              <w:rPr>
                <w:rFonts w:eastAsiaTheme="minorEastAsia"/>
                <w:sz w:val="18"/>
                <w:lang w:eastAsia="en-AU"/>
              </w:rPr>
              <w:t xml:space="preserve">Deposits held </w:t>
            </w:r>
            <w:r w:rsidRPr="003E2DBE">
              <w:rPr>
                <w:rFonts w:eastAsiaTheme="minorEastAsia" w:cs="Calibri"/>
                <w:sz w:val="18"/>
                <w:szCs w:val="22"/>
                <w:lang w:eastAsia="en-AU"/>
              </w:rPr>
              <w:t>and advances received</w:t>
            </w:r>
          </w:p>
        </w:tc>
        <w:tc>
          <w:tcPr>
            <w:tcW w:w="720" w:type="dxa"/>
            <w:tcBorders>
              <w:top w:val="nil"/>
              <w:left w:val="nil"/>
              <w:bottom w:val="nil"/>
              <w:right w:val="nil"/>
            </w:tcBorders>
          </w:tcPr>
          <w:p w:rsidR="000B4A1E" w:rsidRPr="003E2DBE" w:rsidRDefault="000B4A1E" w:rsidP="00517E51">
            <w:pPr>
              <w:pStyle w:val="TableTextCentred"/>
              <w:rPr>
                <w:rFonts w:eastAsiaTheme="minorEastAsia" w:cs="Calibri"/>
                <w:sz w:val="18"/>
                <w:szCs w:val="22"/>
                <w:lang w:eastAsia="en-AU"/>
              </w:rPr>
            </w:pPr>
            <w:r w:rsidRPr="003E2DBE">
              <w:rPr>
                <w:rFonts w:eastAsiaTheme="minorEastAsia"/>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2 088.9</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1 020.3</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1 240.3</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449.0</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366.2</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427.4</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Payables</w:t>
            </w:r>
          </w:p>
        </w:tc>
        <w:tc>
          <w:tcPr>
            <w:tcW w:w="720" w:type="dxa"/>
            <w:tcBorders>
              <w:top w:val="nil"/>
              <w:left w:val="nil"/>
              <w:bottom w:val="nil"/>
              <w:right w:val="nil"/>
            </w:tcBorders>
          </w:tcPr>
          <w:p w:rsidR="000B4A1E" w:rsidRPr="003E2DBE" w:rsidRDefault="000B4A1E" w:rsidP="00517E51">
            <w:pPr>
              <w:pStyle w:val="TableTextCentred"/>
              <w:rPr>
                <w:rFonts w:eastAsiaTheme="minorEastAsia" w:cs="Calibri"/>
                <w:sz w:val="18"/>
                <w:szCs w:val="22"/>
                <w:lang w:eastAsia="en-AU"/>
              </w:rPr>
            </w:pPr>
            <w:r w:rsidRPr="003E2DBE">
              <w:rPr>
                <w:rFonts w:eastAsiaTheme="minorEastAsia"/>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8 506.0</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6 294.7</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7 082.2</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5 958.4</w:t>
            </w:r>
          </w:p>
        </w:tc>
        <w:tc>
          <w:tcPr>
            <w:tcW w:w="961" w:type="dxa"/>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5 100.8</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4 929.2</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Borrowings</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25</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47 437.0</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40 637.7</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32 791.2</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31 345.3</w:t>
            </w:r>
          </w:p>
        </w:tc>
        <w:tc>
          <w:tcPr>
            <w:tcW w:w="961" w:type="dxa"/>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22 393.9</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17 734.4</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Employee benefits</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26</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5 624.7</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5 442.4</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4 874.8</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5 208.8</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5 043.2</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4 519.9</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Superannuation</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8</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25 225.4</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32 750.8</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22 843.2</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25 142.5</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32 597.5</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22 780.3</w:t>
            </w:r>
          </w:p>
        </w:tc>
      </w:tr>
      <w:tr w:rsidR="000B4A1E" w:rsidRPr="003E2DBE" w:rsidTr="00517E51">
        <w:tc>
          <w:tcPr>
            <w:tcW w:w="3164" w:type="dxa"/>
            <w:tcBorders>
              <w:top w:val="nil"/>
              <w:left w:val="nil"/>
              <w:bottom w:val="single" w:sz="6" w:space="0" w:color="auto"/>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Other provisions</w:t>
            </w:r>
          </w:p>
        </w:tc>
        <w:tc>
          <w:tcPr>
            <w:tcW w:w="720" w:type="dxa"/>
            <w:tcBorders>
              <w:top w:val="nil"/>
              <w:left w:val="nil"/>
              <w:bottom w:val="single" w:sz="6" w:space="0" w:color="auto"/>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27</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23 542.4</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23 918.3</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20 719.8</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603.3</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635.5</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704.7</w:t>
            </w:r>
          </w:p>
        </w:tc>
      </w:tr>
      <w:tr w:rsidR="000B4A1E" w:rsidRPr="003E2DBE" w:rsidTr="00517E51">
        <w:tc>
          <w:tcPr>
            <w:tcW w:w="316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 w:val="18"/>
                <w:szCs w:val="22"/>
                <w:lang w:eastAsia="en-AU"/>
              </w:rPr>
            </w:pPr>
            <w:r w:rsidRPr="003E2DBE">
              <w:rPr>
                <w:rFonts w:eastAsiaTheme="minorEastAsia"/>
                <w:b/>
                <w:bCs/>
                <w:sz w:val="18"/>
                <w:lang w:eastAsia="en-AU"/>
              </w:rPr>
              <w:t xml:space="preserve">Total </w:t>
            </w:r>
            <w:r w:rsidRPr="003E2DBE">
              <w:rPr>
                <w:rFonts w:eastAsiaTheme="minorEastAsia" w:cs="Calibri"/>
                <w:b/>
                <w:bCs/>
                <w:sz w:val="18"/>
                <w:szCs w:val="22"/>
                <w:lang w:eastAsia="en-AU"/>
              </w:rPr>
              <w:t>liabilities</w:t>
            </w:r>
          </w:p>
        </w:tc>
        <w:tc>
          <w:tcPr>
            <w:tcW w:w="720" w:type="dxa"/>
            <w:tcBorders>
              <w:top w:val="single" w:sz="6" w:space="0" w:color="auto"/>
              <w:left w:val="nil"/>
              <w:bottom w:val="single" w:sz="6" w:space="0" w:color="auto"/>
              <w:right w:val="nil"/>
            </w:tcBorders>
          </w:tcPr>
          <w:p w:rsidR="000B4A1E" w:rsidRPr="003E2DBE" w:rsidRDefault="000B4A1E" w:rsidP="00517E51">
            <w:pPr>
              <w:pStyle w:val="TableTextCentred"/>
              <w:rPr>
                <w:rFonts w:eastAsiaTheme="minorEastAsia" w:cs="Calibri"/>
                <w:b/>
                <w:bCs/>
                <w:sz w:val="18"/>
                <w:szCs w:val="22"/>
                <w:lang w:eastAsia="en-AU"/>
              </w:rPr>
            </w:pPr>
            <w:r w:rsidRPr="003E2DBE">
              <w:rPr>
                <w:rFonts w:eastAsiaTheme="minorEastAsia"/>
                <w:b/>
                <w:bCs/>
                <w:sz w:val="18"/>
                <w:lang w:eastAsia="en-AU"/>
              </w:rPr>
              <w:t xml:space="preserve">  </w:t>
            </w:r>
          </w:p>
        </w:tc>
        <w:tc>
          <w:tcPr>
            <w:tcW w:w="96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112 424.5</w:t>
            </w:r>
          </w:p>
        </w:tc>
        <w:tc>
          <w:tcPr>
            <w:tcW w:w="961"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110 064.2</w:t>
            </w:r>
          </w:p>
        </w:tc>
        <w:tc>
          <w:tcPr>
            <w:tcW w:w="961"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89 551.6</w:t>
            </w:r>
          </w:p>
        </w:tc>
        <w:tc>
          <w:tcPr>
            <w:tcW w:w="96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68 707.4</w:t>
            </w:r>
          </w:p>
        </w:tc>
        <w:tc>
          <w:tcPr>
            <w:tcW w:w="961"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66 137.0</w:t>
            </w:r>
          </w:p>
        </w:tc>
        <w:tc>
          <w:tcPr>
            <w:tcW w:w="961"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51 095.9</w:t>
            </w:r>
          </w:p>
        </w:tc>
      </w:tr>
      <w:tr w:rsidR="000B4A1E" w:rsidRPr="003E2DBE" w:rsidTr="00517E51">
        <w:tc>
          <w:tcPr>
            <w:tcW w:w="316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sz w:val="18"/>
                <w:lang w:eastAsia="en-AU"/>
              </w:rPr>
            </w:pPr>
            <w:r w:rsidRPr="003E2DBE">
              <w:rPr>
                <w:rFonts w:eastAsiaTheme="minorEastAsia"/>
                <w:b/>
                <w:bCs/>
                <w:sz w:val="18"/>
                <w:lang w:eastAsia="en-AU"/>
              </w:rPr>
              <w:t>Net assets</w:t>
            </w:r>
          </w:p>
        </w:tc>
        <w:tc>
          <w:tcPr>
            <w:tcW w:w="720" w:type="dxa"/>
            <w:tcBorders>
              <w:top w:val="single" w:sz="6" w:space="0" w:color="auto"/>
              <w:left w:val="nil"/>
              <w:bottom w:val="single" w:sz="12" w:space="0" w:color="auto"/>
              <w:right w:val="nil"/>
            </w:tcBorders>
          </w:tcPr>
          <w:p w:rsidR="000B4A1E" w:rsidRPr="003E2DBE" w:rsidRDefault="000B4A1E" w:rsidP="00517E51">
            <w:pPr>
              <w:pStyle w:val="TableTextCentred"/>
              <w:rPr>
                <w:rFonts w:eastAsiaTheme="minorEastAsia" w:cs="Calibri"/>
                <w:b/>
                <w:bCs/>
                <w:sz w:val="18"/>
                <w:szCs w:val="22"/>
                <w:lang w:eastAsia="en-AU"/>
              </w:rPr>
            </w:pPr>
            <w:r w:rsidRPr="003E2DBE">
              <w:rPr>
                <w:rFonts w:eastAsiaTheme="minorEastAsia"/>
                <w:b/>
                <w:bCs/>
                <w:sz w:val="18"/>
                <w:lang w:eastAsia="en-AU"/>
              </w:rPr>
              <w:t xml:space="preserve">  </w:t>
            </w:r>
          </w:p>
        </w:tc>
        <w:tc>
          <w:tcPr>
            <w:tcW w:w="96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123 632.1</w:t>
            </w:r>
          </w:p>
        </w:tc>
        <w:tc>
          <w:tcPr>
            <w:tcW w:w="961"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112 857.6</w:t>
            </w:r>
          </w:p>
        </w:tc>
        <w:tc>
          <w:tcPr>
            <w:tcW w:w="961"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126 598.5</w:t>
            </w:r>
          </w:p>
        </w:tc>
        <w:tc>
          <w:tcPr>
            <w:tcW w:w="96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8"/>
                <w:szCs w:val="22"/>
                <w:lang w:eastAsia="en-AU"/>
              </w:rPr>
            </w:pPr>
            <w:r w:rsidRPr="003E2DBE">
              <w:rPr>
                <w:rFonts w:eastAsiaTheme="minorEastAsia"/>
                <w:b/>
                <w:bCs/>
                <w:sz w:val="18"/>
                <w:lang w:eastAsia="en-AU"/>
              </w:rPr>
              <w:t>119 957.2</w:t>
            </w:r>
          </w:p>
        </w:tc>
        <w:tc>
          <w:tcPr>
            <w:tcW w:w="961"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8"/>
                <w:szCs w:val="22"/>
                <w:lang w:eastAsia="en-AU"/>
              </w:rPr>
            </w:pPr>
            <w:r w:rsidRPr="003E2DBE">
              <w:rPr>
                <w:rFonts w:eastAsiaTheme="minorEastAsia"/>
                <w:b/>
                <w:bCs/>
                <w:sz w:val="18"/>
                <w:lang w:eastAsia="en-AU"/>
              </w:rPr>
              <w:t>111 763.7</w:t>
            </w:r>
          </w:p>
        </w:tc>
        <w:tc>
          <w:tcPr>
            <w:tcW w:w="961"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8"/>
                <w:szCs w:val="22"/>
                <w:lang w:eastAsia="en-AU"/>
              </w:rPr>
            </w:pPr>
            <w:r w:rsidRPr="003E2DBE">
              <w:rPr>
                <w:rFonts w:eastAsiaTheme="minorEastAsia"/>
                <w:b/>
                <w:bCs/>
                <w:sz w:val="18"/>
                <w:lang w:eastAsia="en-AU"/>
              </w:rPr>
              <w:t>119 722.8</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cs="Calibri"/>
                <w:sz w:val="18"/>
                <w:szCs w:val="22"/>
                <w:lang w:eastAsia="en-AU"/>
              </w:rPr>
            </w:pPr>
            <w:r w:rsidRPr="003E2DBE">
              <w:rPr>
                <w:rFonts w:eastAsiaTheme="minorEastAsia"/>
                <w:sz w:val="18"/>
                <w:lang w:eastAsia="en-AU"/>
              </w:rPr>
              <w:t>Accumulated surplus/</w:t>
            </w:r>
            <w:r w:rsidRPr="003E2DBE">
              <w:rPr>
                <w:rFonts w:eastAsiaTheme="minorEastAsia" w:cs="Calibri"/>
                <w:sz w:val="18"/>
                <w:szCs w:val="22"/>
                <w:lang w:eastAsia="en-AU"/>
              </w:rPr>
              <w:t>(deficit)</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28</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45 353.0</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34 612.0</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50 364.5</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43 174.7</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34 808.2</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44 048.9</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Reserves</w:t>
            </w:r>
          </w:p>
        </w:tc>
        <w:tc>
          <w:tcPr>
            <w:tcW w:w="720" w:type="dxa"/>
            <w:tcBorders>
              <w:top w:val="nil"/>
              <w:left w:val="nil"/>
              <w:bottom w:val="nil"/>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28</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78 229.1</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78 195.6</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76 185.5</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76 732.5</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76 905.5</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75 625.4</w:t>
            </w:r>
          </w:p>
        </w:tc>
      </w:tr>
      <w:tr w:rsidR="000B4A1E" w:rsidRPr="003E2DBE" w:rsidTr="00517E51">
        <w:tc>
          <w:tcPr>
            <w:tcW w:w="3164" w:type="dxa"/>
            <w:tcBorders>
              <w:top w:val="nil"/>
              <w:left w:val="nil"/>
              <w:bottom w:val="single" w:sz="6" w:space="0" w:color="auto"/>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Non-controlling interest</w:t>
            </w:r>
          </w:p>
        </w:tc>
        <w:tc>
          <w:tcPr>
            <w:tcW w:w="720" w:type="dxa"/>
            <w:tcBorders>
              <w:top w:val="nil"/>
              <w:left w:val="nil"/>
              <w:bottom w:val="single" w:sz="6" w:space="0" w:color="auto"/>
              <w:right w:val="nil"/>
            </w:tcBorders>
          </w:tcPr>
          <w:p w:rsidR="000B4A1E" w:rsidRPr="003E2DBE" w:rsidRDefault="000B4A1E" w:rsidP="00517E51">
            <w:pPr>
              <w:pStyle w:val="TableTextCentred"/>
              <w:rPr>
                <w:rFonts w:eastAsiaTheme="minorEastAsia"/>
                <w:sz w:val="18"/>
                <w:lang w:eastAsia="en-AU"/>
              </w:rPr>
            </w:pPr>
            <w:r w:rsidRPr="003E2DBE">
              <w:rPr>
                <w:rFonts w:eastAsiaTheme="minorEastAsia"/>
                <w:sz w:val="18"/>
                <w:lang w:eastAsia="en-AU"/>
              </w:rPr>
              <w:t>28</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50.0</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50.0</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48.5</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50.0</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50.0</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48.5</w:t>
            </w:r>
          </w:p>
        </w:tc>
      </w:tr>
      <w:tr w:rsidR="000B4A1E" w:rsidRPr="003E2DBE" w:rsidTr="00517E51">
        <w:tc>
          <w:tcPr>
            <w:tcW w:w="316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 w:val="18"/>
                <w:szCs w:val="22"/>
                <w:lang w:eastAsia="en-AU"/>
              </w:rPr>
            </w:pPr>
            <w:r w:rsidRPr="003E2DBE">
              <w:rPr>
                <w:rFonts w:eastAsiaTheme="minorEastAsia"/>
                <w:b/>
                <w:bCs/>
                <w:sz w:val="18"/>
                <w:lang w:eastAsia="en-AU"/>
              </w:rPr>
              <w:t xml:space="preserve">Net </w:t>
            </w:r>
            <w:r w:rsidRPr="003E2DBE">
              <w:rPr>
                <w:rFonts w:eastAsiaTheme="minorEastAsia" w:cs="Calibri"/>
                <w:b/>
                <w:bCs/>
                <w:sz w:val="18"/>
                <w:szCs w:val="22"/>
                <w:lang w:eastAsia="en-AU"/>
              </w:rPr>
              <w:t>worth</w:t>
            </w:r>
          </w:p>
        </w:tc>
        <w:tc>
          <w:tcPr>
            <w:tcW w:w="720" w:type="dxa"/>
            <w:tcBorders>
              <w:top w:val="single" w:sz="6" w:space="0" w:color="auto"/>
              <w:left w:val="nil"/>
              <w:bottom w:val="single" w:sz="12" w:space="0" w:color="auto"/>
              <w:right w:val="nil"/>
            </w:tcBorders>
          </w:tcPr>
          <w:p w:rsidR="000B4A1E" w:rsidRPr="003E2DBE" w:rsidRDefault="000B4A1E" w:rsidP="00517E51">
            <w:pPr>
              <w:pStyle w:val="TableTextCentred"/>
              <w:rPr>
                <w:rFonts w:eastAsiaTheme="minorEastAsia" w:cs="Calibri"/>
                <w:b/>
                <w:bCs/>
                <w:sz w:val="18"/>
                <w:szCs w:val="22"/>
                <w:lang w:eastAsia="en-AU"/>
              </w:rPr>
            </w:pPr>
            <w:r w:rsidRPr="003E2DBE">
              <w:rPr>
                <w:rFonts w:eastAsiaTheme="minorEastAsia"/>
                <w:b/>
                <w:bCs/>
                <w:sz w:val="18"/>
                <w:lang w:eastAsia="en-AU"/>
              </w:rPr>
              <w:t xml:space="preserve">  </w:t>
            </w:r>
          </w:p>
        </w:tc>
        <w:tc>
          <w:tcPr>
            <w:tcW w:w="96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123 632.1</w:t>
            </w:r>
          </w:p>
        </w:tc>
        <w:tc>
          <w:tcPr>
            <w:tcW w:w="961"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112 857.6</w:t>
            </w:r>
          </w:p>
        </w:tc>
        <w:tc>
          <w:tcPr>
            <w:tcW w:w="961"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126 598.5</w:t>
            </w:r>
          </w:p>
        </w:tc>
        <w:tc>
          <w:tcPr>
            <w:tcW w:w="96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119 957.2</w:t>
            </w:r>
          </w:p>
        </w:tc>
        <w:tc>
          <w:tcPr>
            <w:tcW w:w="961"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111 763.7</w:t>
            </w:r>
          </w:p>
        </w:tc>
        <w:tc>
          <w:tcPr>
            <w:tcW w:w="961"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119 722.8</w:t>
            </w:r>
          </w:p>
        </w:tc>
      </w:tr>
      <w:tr w:rsidR="000B4A1E" w:rsidRPr="003E2DBE" w:rsidTr="00517E51">
        <w:trPr>
          <w:trHeight w:hRule="exact" w:val="120"/>
        </w:trPr>
        <w:tc>
          <w:tcPr>
            <w:tcW w:w="3164" w:type="dxa"/>
            <w:tcBorders>
              <w:top w:val="nil"/>
              <w:left w:val="nil"/>
              <w:bottom w:val="nil"/>
              <w:right w:val="nil"/>
            </w:tcBorders>
          </w:tcPr>
          <w:p w:rsidR="000B4A1E" w:rsidRPr="003E2DBE" w:rsidRDefault="000B4A1E" w:rsidP="00517E51">
            <w:pPr>
              <w:pStyle w:val="Tabletext"/>
              <w:rPr>
                <w:rFonts w:eastAsiaTheme="minorEastAsia"/>
                <w:b/>
                <w:bCs/>
                <w:sz w:val="18"/>
                <w:lang w:eastAsia="en-AU"/>
              </w:rPr>
            </w:pPr>
            <w:r w:rsidRPr="003E2DBE">
              <w:rPr>
                <w:rFonts w:eastAsiaTheme="minorEastAsia"/>
                <w:b/>
                <w:bCs/>
                <w:sz w:val="18"/>
                <w:lang w:eastAsia="en-AU"/>
              </w:rPr>
              <w:t xml:space="preserve"> </w:t>
            </w:r>
          </w:p>
        </w:tc>
        <w:tc>
          <w:tcPr>
            <w:tcW w:w="720" w:type="dxa"/>
            <w:tcBorders>
              <w:top w:val="nil"/>
              <w:left w:val="nil"/>
              <w:bottom w:val="nil"/>
              <w:right w:val="nil"/>
            </w:tcBorders>
          </w:tcPr>
          <w:p w:rsidR="000B4A1E" w:rsidRPr="003E2DBE" w:rsidRDefault="000B4A1E" w:rsidP="00517E51">
            <w:pPr>
              <w:pStyle w:val="TableTextCentred"/>
              <w:rPr>
                <w:rFonts w:eastAsiaTheme="minorEastAsia" w:cs="Calibri"/>
                <w:b/>
                <w:bCs/>
                <w:sz w:val="18"/>
                <w:szCs w:val="22"/>
                <w:lang w:eastAsia="en-AU"/>
              </w:rPr>
            </w:pPr>
            <w:r w:rsidRPr="003E2DBE">
              <w:rPr>
                <w:rFonts w:eastAsiaTheme="minorEastAsia"/>
                <w:b/>
                <w:bCs/>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 xml:space="preserve">  </w:t>
            </w:r>
          </w:p>
        </w:tc>
        <w:tc>
          <w:tcPr>
            <w:tcW w:w="961" w:type="dxa"/>
            <w:tcBorders>
              <w:top w:val="nil"/>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 xml:space="preserve">  </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 xml:space="preserve">  </w:t>
            </w:r>
          </w:p>
        </w:tc>
        <w:tc>
          <w:tcPr>
            <w:tcW w:w="961" w:type="dxa"/>
            <w:tcBorders>
              <w:top w:val="nil"/>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 xml:space="preserve">  </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b/>
                <w:bCs/>
                <w:sz w:val="18"/>
                <w:lang w:eastAsia="en-AU"/>
              </w:rPr>
            </w:pPr>
            <w:r w:rsidRPr="003E2DBE">
              <w:rPr>
                <w:rFonts w:eastAsiaTheme="minorEastAsia"/>
                <w:b/>
                <w:bCs/>
                <w:sz w:val="18"/>
                <w:lang w:eastAsia="en-AU"/>
              </w:rPr>
              <w:t xml:space="preserve">  </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b/>
                <w:bCs/>
                <w:sz w:val="18"/>
                <w:lang w:eastAsia="en-AU"/>
              </w:rPr>
            </w:pPr>
            <w:r w:rsidRPr="003E2DBE">
              <w:rPr>
                <w:rFonts w:eastAsiaTheme="minorEastAsia"/>
                <w:b/>
                <w:bCs/>
                <w:sz w:val="18"/>
                <w:lang w:eastAsia="en-AU"/>
              </w:rPr>
              <w:t>FISCAL AGGREGATES</w:t>
            </w:r>
          </w:p>
        </w:tc>
        <w:tc>
          <w:tcPr>
            <w:tcW w:w="720" w:type="dxa"/>
            <w:tcBorders>
              <w:top w:val="nil"/>
              <w:left w:val="nil"/>
              <w:bottom w:val="nil"/>
              <w:right w:val="nil"/>
            </w:tcBorders>
          </w:tcPr>
          <w:p w:rsidR="000B4A1E" w:rsidRPr="003E2DBE" w:rsidRDefault="000B4A1E" w:rsidP="00517E51">
            <w:pPr>
              <w:pStyle w:val="TableTextCentred"/>
              <w:rPr>
                <w:rFonts w:eastAsiaTheme="minorEastAsia" w:cs="Calibri"/>
                <w:sz w:val="18"/>
                <w:szCs w:val="22"/>
                <w:lang w:eastAsia="en-AU"/>
              </w:rPr>
            </w:pPr>
            <w:r w:rsidRPr="003E2DBE">
              <w:rPr>
                <w:rFonts w:eastAsiaTheme="minorEastAsia"/>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cs="Calibri"/>
                <w:sz w:val="18"/>
                <w:szCs w:val="22"/>
                <w:lang w:eastAsia="en-AU"/>
              </w:rPr>
            </w:pPr>
            <w:r w:rsidRPr="003E2DBE">
              <w:rPr>
                <w:rFonts w:eastAsiaTheme="minorEastAsia"/>
                <w:sz w:val="18"/>
                <w:lang w:eastAsia="en-AU"/>
              </w:rPr>
              <w:t xml:space="preserve">Net </w:t>
            </w:r>
            <w:r w:rsidRPr="003E2DBE">
              <w:rPr>
                <w:rFonts w:eastAsiaTheme="minorEastAsia" w:cs="Calibri"/>
                <w:sz w:val="18"/>
                <w:szCs w:val="22"/>
                <w:lang w:eastAsia="en-AU"/>
              </w:rPr>
              <w:t xml:space="preserve">financial worth </w:t>
            </w:r>
          </w:p>
        </w:tc>
        <w:tc>
          <w:tcPr>
            <w:tcW w:w="720" w:type="dxa"/>
            <w:tcBorders>
              <w:top w:val="nil"/>
              <w:left w:val="nil"/>
              <w:bottom w:val="nil"/>
              <w:right w:val="nil"/>
            </w:tcBorders>
          </w:tcPr>
          <w:p w:rsidR="000B4A1E" w:rsidRPr="003E2DBE" w:rsidRDefault="000B4A1E" w:rsidP="00517E51">
            <w:pPr>
              <w:pStyle w:val="TableTextCentred"/>
              <w:rPr>
                <w:rFonts w:eastAsiaTheme="minorEastAsia" w:cs="Calibri"/>
                <w:sz w:val="18"/>
                <w:szCs w:val="22"/>
                <w:lang w:eastAsia="en-AU"/>
              </w:rPr>
            </w:pPr>
            <w:r w:rsidRPr="003E2DBE">
              <w:rPr>
                <w:rFonts w:eastAsiaTheme="minorEastAsia"/>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(68</w:t>
            </w:r>
            <w:r w:rsidRPr="003E2DBE">
              <w:rPr>
                <w:rFonts w:eastAsiaTheme="minorEastAsia" w:cs="Calibri"/>
                <w:sz w:val="18"/>
                <w:szCs w:val="22"/>
                <w:lang w:eastAsia="en-AU"/>
              </w:rPr>
              <w:t xml:space="preserve"> 937.9)</w:t>
            </w:r>
          </w:p>
        </w:tc>
        <w:tc>
          <w:tcPr>
            <w:tcW w:w="961" w:type="dxa"/>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(70</w:t>
            </w:r>
            <w:r w:rsidRPr="003E2DBE">
              <w:rPr>
                <w:rFonts w:eastAsiaTheme="minorEastAsia" w:cs="Calibri"/>
                <w:sz w:val="18"/>
                <w:szCs w:val="22"/>
                <w:lang w:eastAsia="en-AU"/>
              </w:rPr>
              <w:t xml:space="preserve"> 138.9)</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(50</w:t>
            </w:r>
            <w:r w:rsidRPr="003E2DBE">
              <w:rPr>
                <w:rFonts w:eastAsiaTheme="minorEastAsia" w:cs="Calibri"/>
                <w:sz w:val="18"/>
                <w:szCs w:val="22"/>
                <w:lang w:eastAsia="en-AU"/>
              </w:rPr>
              <w:t xml:space="preserve"> 026.8)</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 xml:space="preserve">17 </w:t>
            </w:r>
            <w:r w:rsidRPr="003E2DBE">
              <w:rPr>
                <w:rFonts w:eastAsiaTheme="minorEastAsia" w:cs="Calibri"/>
                <w:sz w:val="18"/>
                <w:szCs w:val="22"/>
                <w:lang w:eastAsia="en-AU"/>
              </w:rPr>
              <w:t>864.7</w:t>
            </w:r>
          </w:p>
        </w:tc>
        <w:tc>
          <w:tcPr>
            <w:tcW w:w="961" w:type="dxa"/>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 xml:space="preserve">12 </w:t>
            </w:r>
            <w:r w:rsidRPr="003E2DBE">
              <w:rPr>
                <w:rFonts w:eastAsiaTheme="minorEastAsia" w:cs="Calibri"/>
                <w:sz w:val="18"/>
                <w:szCs w:val="22"/>
                <w:lang w:eastAsia="en-AU"/>
              </w:rPr>
              <w:t>777.7</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 xml:space="preserve">24 </w:t>
            </w:r>
            <w:r w:rsidRPr="003E2DBE">
              <w:rPr>
                <w:rFonts w:eastAsiaTheme="minorEastAsia" w:cs="Calibri"/>
                <w:sz w:val="18"/>
                <w:szCs w:val="22"/>
                <w:lang w:eastAsia="en-AU"/>
              </w:rPr>
              <w:t>643.6</w:t>
            </w:r>
          </w:p>
        </w:tc>
      </w:tr>
      <w:tr w:rsidR="000B4A1E" w:rsidRPr="003E2DBE" w:rsidTr="00517E51">
        <w:tc>
          <w:tcPr>
            <w:tcW w:w="3164" w:type="dxa"/>
            <w:tcBorders>
              <w:top w:val="nil"/>
              <w:left w:val="nil"/>
              <w:bottom w:val="nil"/>
              <w:right w:val="nil"/>
            </w:tcBorders>
          </w:tcPr>
          <w:p w:rsidR="000B4A1E" w:rsidRPr="003E2DBE" w:rsidRDefault="000B4A1E" w:rsidP="00517E51">
            <w:pPr>
              <w:pStyle w:val="Tabletext"/>
              <w:rPr>
                <w:rFonts w:eastAsiaTheme="minorEastAsia" w:cs="Calibri"/>
                <w:sz w:val="18"/>
                <w:szCs w:val="22"/>
                <w:lang w:eastAsia="en-AU"/>
              </w:rPr>
            </w:pPr>
            <w:r w:rsidRPr="003E2DBE">
              <w:rPr>
                <w:rFonts w:eastAsiaTheme="minorEastAsia"/>
                <w:sz w:val="18"/>
                <w:lang w:eastAsia="en-AU"/>
              </w:rPr>
              <w:t xml:space="preserve">Net financial </w:t>
            </w:r>
            <w:r w:rsidRPr="003E2DBE">
              <w:rPr>
                <w:rFonts w:eastAsiaTheme="minorEastAsia" w:cs="Calibri"/>
                <w:sz w:val="18"/>
                <w:szCs w:val="22"/>
                <w:lang w:eastAsia="en-AU"/>
              </w:rPr>
              <w:t>liabilities</w:t>
            </w:r>
          </w:p>
        </w:tc>
        <w:tc>
          <w:tcPr>
            <w:tcW w:w="720" w:type="dxa"/>
            <w:tcBorders>
              <w:top w:val="nil"/>
              <w:left w:val="nil"/>
              <w:bottom w:val="nil"/>
              <w:right w:val="nil"/>
            </w:tcBorders>
          </w:tcPr>
          <w:p w:rsidR="000B4A1E" w:rsidRPr="003E2DBE" w:rsidRDefault="000B4A1E" w:rsidP="00517E51">
            <w:pPr>
              <w:pStyle w:val="TableTextCentred"/>
              <w:rPr>
                <w:rFonts w:eastAsiaTheme="minorEastAsia" w:cs="Calibri"/>
                <w:sz w:val="18"/>
                <w:szCs w:val="22"/>
                <w:lang w:eastAsia="en-AU"/>
              </w:rPr>
            </w:pPr>
            <w:r w:rsidRPr="003E2DBE">
              <w:rPr>
                <w:rFonts w:eastAsiaTheme="minorEastAsia"/>
                <w:sz w:val="18"/>
                <w:lang w:eastAsia="en-AU"/>
              </w:rPr>
              <w:t xml:space="preserve"> </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 xml:space="preserve">68 </w:t>
            </w:r>
            <w:r w:rsidRPr="003E2DBE">
              <w:rPr>
                <w:rFonts w:eastAsiaTheme="minorEastAsia" w:cs="Calibri"/>
                <w:sz w:val="18"/>
                <w:szCs w:val="22"/>
                <w:lang w:eastAsia="en-AU"/>
              </w:rPr>
              <w:t>937.9</w:t>
            </w:r>
          </w:p>
        </w:tc>
        <w:tc>
          <w:tcPr>
            <w:tcW w:w="961" w:type="dxa"/>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 xml:space="preserve">70 </w:t>
            </w:r>
            <w:r w:rsidRPr="003E2DBE">
              <w:rPr>
                <w:rFonts w:eastAsiaTheme="minorEastAsia" w:cs="Calibri"/>
                <w:sz w:val="18"/>
                <w:szCs w:val="22"/>
                <w:lang w:eastAsia="en-AU"/>
              </w:rPr>
              <w:t>138.9</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 xml:space="preserve">50 </w:t>
            </w:r>
            <w:r w:rsidRPr="003E2DBE">
              <w:rPr>
                <w:rFonts w:eastAsiaTheme="minorEastAsia" w:cs="Calibri"/>
                <w:sz w:val="18"/>
                <w:szCs w:val="22"/>
                <w:lang w:eastAsia="en-AU"/>
              </w:rPr>
              <w:t>026.8</w:t>
            </w:r>
          </w:p>
        </w:tc>
        <w:tc>
          <w:tcPr>
            <w:tcW w:w="960" w:type="dxa"/>
            <w:gridSpan w:val="2"/>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 xml:space="preserve">51 </w:t>
            </w:r>
            <w:r w:rsidRPr="003E2DBE">
              <w:rPr>
                <w:rFonts w:eastAsiaTheme="minorEastAsia" w:cs="Calibri"/>
                <w:sz w:val="18"/>
                <w:szCs w:val="22"/>
                <w:lang w:eastAsia="en-AU"/>
              </w:rPr>
              <w:t>624.7</w:t>
            </w:r>
          </w:p>
        </w:tc>
        <w:tc>
          <w:tcPr>
            <w:tcW w:w="961" w:type="dxa"/>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 xml:space="preserve">54 </w:t>
            </w:r>
            <w:r w:rsidRPr="003E2DBE">
              <w:rPr>
                <w:rFonts w:eastAsiaTheme="minorEastAsia" w:cs="Calibri"/>
                <w:sz w:val="18"/>
                <w:szCs w:val="22"/>
                <w:lang w:eastAsia="en-AU"/>
              </w:rPr>
              <w:t>736.1</w:t>
            </w:r>
          </w:p>
        </w:tc>
        <w:tc>
          <w:tcPr>
            <w:tcW w:w="961" w:type="dxa"/>
            <w:gridSpan w:val="2"/>
            <w:tcBorders>
              <w:top w:val="nil"/>
              <w:left w:val="nil"/>
              <w:bottom w:val="nil"/>
              <w:right w:val="nil"/>
            </w:tcBorders>
          </w:tcPr>
          <w:p w:rsidR="000B4A1E" w:rsidRPr="003E2DBE" w:rsidRDefault="000B4A1E" w:rsidP="00517E51">
            <w:pPr>
              <w:pStyle w:val="TableofFigures"/>
              <w:rPr>
                <w:rFonts w:eastAsiaTheme="minorEastAsia" w:cs="Calibri"/>
                <w:sz w:val="18"/>
                <w:szCs w:val="22"/>
                <w:lang w:eastAsia="en-AU"/>
              </w:rPr>
            </w:pPr>
            <w:r w:rsidRPr="003E2DBE">
              <w:rPr>
                <w:rFonts w:eastAsiaTheme="minorEastAsia"/>
                <w:sz w:val="18"/>
                <w:lang w:eastAsia="en-AU"/>
              </w:rPr>
              <w:t xml:space="preserve">41 </w:t>
            </w:r>
            <w:r w:rsidRPr="003E2DBE">
              <w:rPr>
                <w:rFonts w:eastAsiaTheme="minorEastAsia" w:cs="Calibri"/>
                <w:sz w:val="18"/>
                <w:szCs w:val="22"/>
                <w:lang w:eastAsia="en-AU"/>
              </w:rPr>
              <w:t>119.9</w:t>
            </w:r>
          </w:p>
        </w:tc>
      </w:tr>
      <w:tr w:rsidR="000B4A1E" w:rsidRPr="003E2DBE" w:rsidTr="00517E51">
        <w:tc>
          <w:tcPr>
            <w:tcW w:w="3164" w:type="dxa"/>
            <w:tcBorders>
              <w:top w:val="nil"/>
              <w:left w:val="nil"/>
              <w:bottom w:val="single" w:sz="12" w:space="0" w:color="auto"/>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Net debt</w:t>
            </w:r>
          </w:p>
        </w:tc>
        <w:tc>
          <w:tcPr>
            <w:tcW w:w="720" w:type="dxa"/>
            <w:tcBorders>
              <w:top w:val="nil"/>
              <w:left w:val="nil"/>
              <w:bottom w:val="single" w:sz="12" w:space="0" w:color="auto"/>
              <w:right w:val="nil"/>
            </w:tcBorders>
          </w:tcPr>
          <w:p w:rsidR="000B4A1E" w:rsidRPr="003E2DBE" w:rsidRDefault="000B4A1E" w:rsidP="00517E51">
            <w:pPr>
              <w:pStyle w:val="TableTextCentred"/>
              <w:rPr>
                <w:rFonts w:eastAsiaTheme="minorEastAsia" w:cs="Calibri"/>
                <w:sz w:val="18"/>
                <w:szCs w:val="22"/>
                <w:lang w:eastAsia="en-AU"/>
              </w:rPr>
            </w:pPr>
            <w:r w:rsidRPr="003E2DBE">
              <w:rPr>
                <w:rFonts w:eastAsiaTheme="minorEastAsia"/>
                <w:sz w:val="18"/>
                <w:lang w:eastAsia="en-AU"/>
              </w:rPr>
              <w:t xml:space="preserve"> </w:t>
            </w:r>
          </w:p>
        </w:tc>
        <w:tc>
          <w:tcPr>
            <w:tcW w:w="960"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15 577.3</w:t>
            </w:r>
          </w:p>
        </w:tc>
        <w:tc>
          <w:tcPr>
            <w:tcW w:w="961" w:type="dxa"/>
            <w:tcBorders>
              <w:top w:val="nil"/>
              <w:left w:val="nil"/>
              <w:bottom w:val="single" w:sz="12" w:space="0" w:color="auto"/>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8 857.6</w:t>
            </w:r>
          </w:p>
        </w:tc>
        <w:tc>
          <w:tcPr>
            <w:tcW w:w="961"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1 826.7</w:t>
            </w:r>
          </w:p>
        </w:tc>
        <w:tc>
          <w:tcPr>
            <w:tcW w:w="960"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19 822.1</w:t>
            </w:r>
          </w:p>
        </w:tc>
        <w:tc>
          <w:tcPr>
            <w:tcW w:w="961" w:type="dxa"/>
            <w:tcBorders>
              <w:top w:val="nil"/>
              <w:left w:val="nil"/>
              <w:bottom w:val="single" w:sz="12" w:space="0" w:color="auto"/>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15 236.9</w:t>
            </w:r>
          </w:p>
        </w:tc>
        <w:tc>
          <w:tcPr>
            <w:tcW w:w="961"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11 836.8</w:t>
            </w:r>
          </w:p>
        </w:tc>
      </w:tr>
    </w:tbl>
    <w:p w:rsidR="000B4A1E" w:rsidRPr="00D00665" w:rsidRDefault="000B4A1E" w:rsidP="00517E51">
      <w:pPr>
        <w:pStyle w:val="Source"/>
      </w:pPr>
      <w:r w:rsidRPr="00D00665">
        <w:t>The accompanying notes form part of these financial statements.</w:t>
      </w:r>
    </w:p>
    <w:p w:rsidR="000B4A1E" w:rsidRPr="00D00665" w:rsidRDefault="000B4A1E" w:rsidP="00517E51">
      <w:pPr>
        <w:pStyle w:val="Notes"/>
      </w:pPr>
      <w:r w:rsidRPr="00D00665">
        <w:t>Note</w:t>
      </w:r>
      <w:r>
        <w:t>s</w:t>
      </w:r>
      <w:r w:rsidRPr="00D00665">
        <w:t>:</w:t>
      </w:r>
    </w:p>
    <w:p w:rsidR="000B4A1E" w:rsidRDefault="000B4A1E" w:rsidP="00517E51">
      <w:pPr>
        <w:pStyle w:val="Notes"/>
      </w:pPr>
      <w:r w:rsidRPr="00D00665">
        <w:t>(a)</w:t>
      </w:r>
      <w:r w:rsidRPr="00D00665">
        <w:tab/>
        <w:t>Restated balances at 30 June 2012 and 1 July 2011. Refer to Note 36 of the financial statements.</w:t>
      </w:r>
    </w:p>
    <w:p w:rsidR="000B4A1E" w:rsidRPr="00D00665" w:rsidRDefault="000B4A1E" w:rsidP="00517E51">
      <w:pPr>
        <w:pStyle w:val="Notes"/>
      </w:pPr>
      <w:r w:rsidRPr="00D00665">
        <w:t>(</w:t>
      </w:r>
      <w:r>
        <w:t>b</w:t>
      </w:r>
      <w:r w:rsidRPr="00D00665">
        <w:t>)</w:t>
      </w:r>
      <w:r w:rsidRPr="00D00665">
        <w:tab/>
        <w:t>Review of Cash Investments in 2012-13 has reclassified some Australian Dollar Term Deposits held in 2011-12 to Cash and Deposits.</w:t>
      </w:r>
    </w:p>
    <w:p w:rsidR="000B4A1E" w:rsidRPr="00D00665" w:rsidRDefault="000B4A1E" w:rsidP="00517E51">
      <w:pPr>
        <w:pStyle w:val="Notes"/>
      </w:pPr>
    </w:p>
    <w:p w:rsidR="000B4A1E" w:rsidRPr="00D00665" w:rsidRDefault="000B4A1E" w:rsidP="00517E51">
      <w:pPr>
        <w:pStyle w:val="Tableheading"/>
      </w:pPr>
      <w:r w:rsidRPr="00D00665">
        <w:br w:type="page"/>
      </w:r>
      <w:r w:rsidRPr="00D00665">
        <w:lastRenderedPageBreak/>
        <w:t>Consolidated cash flow statement for the financial year ended 30 June</w:t>
      </w:r>
    </w:p>
    <w:p w:rsidR="000B4A1E" w:rsidRPr="003D7EE9"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4244"/>
        <w:gridCol w:w="724"/>
        <w:gridCol w:w="266"/>
        <w:gridCol w:w="904"/>
        <w:gridCol w:w="1170"/>
        <w:gridCol w:w="266"/>
        <w:gridCol w:w="904"/>
        <w:gridCol w:w="1170"/>
      </w:tblGrid>
      <w:tr w:rsidR="000B4A1E" w:rsidRPr="003D7EE9" w:rsidTr="00517E51">
        <w:trPr>
          <w:cantSplit/>
          <w:tblHeader/>
        </w:trPr>
        <w:tc>
          <w:tcPr>
            <w:tcW w:w="4244" w:type="dxa"/>
            <w:tcBorders>
              <w:top w:val="single" w:sz="4" w:space="0" w:color="auto"/>
              <w:left w:val="single" w:sz="4" w:space="0" w:color="auto"/>
              <w:bottom w:val="nil"/>
              <w:right w:val="nil"/>
            </w:tcBorders>
            <w:shd w:val="clear" w:color="auto" w:fill="000000"/>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 xml:space="preserve"> </w:t>
            </w:r>
          </w:p>
        </w:tc>
        <w:tc>
          <w:tcPr>
            <w:tcW w:w="724" w:type="dxa"/>
            <w:tcBorders>
              <w:top w:val="single" w:sz="4" w:space="0" w:color="auto"/>
              <w:left w:val="nil"/>
              <w:bottom w:val="nil"/>
              <w:right w:val="nil"/>
            </w:tcBorders>
            <w:shd w:val="clear" w:color="auto" w:fill="000000"/>
          </w:tcPr>
          <w:p w:rsidR="000B4A1E" w:rsidRPr="003D7EE9" w:rsidRDefault="000B4A1E" w:rsidP="00517E51">
            <w:pPr>
              <w:pStyle w:val="Tabletextheading"/>
              <w:rPr>
                <w:rFonts w:eastAsiaTheme="minorEastAsia"/>
                <w:sz w:val="21"/>
                <w:lang w:eastAsia="en-AU"/>
              </w:rPr>
            </w:pPr>
            <w:r w:rsidRPr="003D7EE9">
              <w:rPr>
                <w:rFonts w:eastAsiaTheme="minorEastAsia"/>
                <w:sz w:val="21"/>
                <w:lang w:eastAsia="en-AU"/>
              </w:rPr>
              <w:t xml:space="preserve"> </w:t>
            </w:r>
          </w:p>
        </w:tc>
        <w:tc>
          <w:tcPr>
            <w:tcW w:w="266" w:type="dxa"/>
            <w:tcBorders>
              <w:top w:val="single" w:sz="4" w:space="0" w:color="auto"/>
              <w:left w:val="nil"/>
              <w:bottom w:val="nil"/>
              <w:right w:val="nil"/>
            </w:tcBorders>
            <w:shd w:val="clear" w:color="auto" w:fill="000000"/>
          </w:tcPr>
          <w:p w:rsidR="000B4A1E" w:rsidRPr="003D7EE9" w:rsidRDefault="000B4A1E" w:rsidP="00517E51">
            <w:pPr>
              <w:pStyle w:val="TabletextheadingCentred"/>
              <w:rPr>
                <w:rFonts w:eastAsiaTheme="minorEastAsia"/>
                <w:sz w:val="21"/>
                <w:lang w:eastAsia="en-AU"/>
              </w:rPr>
            </w:pPr>
            <w:r w:rsidRPr="003D7EE9">
              <w:rPr>
                <w:rFonts w:eastAsiaTheme="minorEastAsia"/>
                <w:sz w:val="21"/>
                <w:lang w:eastAsia="en-AU"/>
              </w:rPr>
              <w:t xml:space="preserve"> </w:t>
            </w:r>
          </w:p>
        </w:tc>
        <w:tc>
          <w:tcPr>
            <w:tcW w:w="2074" w:type="dxa"/>
            <w:gridSpan w:val="2"/>
            <w:tcBorders>
              <w:top w:val="single" w:sz="4" w:space="0" w:color="auto"/>
              <w:left w:val="nil"/>
              <w:bottom w:val="nil"/>
              <w:right w:val="nil"/>
            </w:tcBorders>
            <w:shd w:val="clear" w:color="auto" w:fill="000000"/>
          </w:tcPr>
          <w:p w:rsidR="000B4A1E" w:rsidRPr="003D7EE9" w:rsidRDefault="000B4A1E" w:rsidP="00517E51">
            <w:pPr>
              <w:pStyle w:val="TabletextheadingCentred"/>
              <w:rPr>
                <w:rFonts w:eastAsiaTheme="minorEastAsia"/>
                <w:sz w:val="21"/>
                <w:lang w:eastAsia="en-AU"/>
              </w:rPr>
            </w:pPr>
          </w:p>
          <w:p w:rsidR="000B4A1E" w:rsidRPr="003D7EE9" w:rsidRDefault="000B4A1E" w:rsidP="00517E51">
            <w:pPr>
              <w:pStyle w:val="TabletextheadingCentred"/>
              <w:rPr>
                <w:rFonts w:eastAsiaTheme="minorEastAsia"/>
                <w:sz w:val="21"/>
                <w:lang w:eastAsia="en-AU"/>
              </w:rPr>
            </w:pPr>
            <w:r w:rsidRPr="003D7EE9">
              <w:rPr>
                <w:rFonts w:eastAsiaTheme="minorEastAsia"/>
                <w:sz w:val="21"/>
                <w:lang w:eastAsia="en-AU"/>
              </w:rPr>
              <w:t>State of Victoria</w:t>
            </w:r>
          </w:p>
        </w:tc>
        <w:tc>
          <w:tcPr>
            <w:tcW w:w="266" w:type="dxa"/>
            <w:tcBorders>
              <w:top w:val="single" w:sz="4" w:space="0" w:color="auto"/>
              <w:left w:val="nil"/>
              <w:bottom w:val="nil"/>
              <w:right w:val="nil"/>
            </w:tcBorders>
            <w:shd w:val="clear" w:color="auto" w:fill="000000"/>
          </w:tcPr>
          <w:p w:rsidR="000B4A1E" w:rsidRPr="003D7EE9" w:rsidRDefault="000B4A1E" w:rsidP="00517E51">
            <w:pPr>
              <w:pStyle w:val="TabletextheadingCentred"/>
              <w:rPr>
                <w:rFonts w:eastAsiaTheme="minorEastAsia"/>
                <w:sz w:val="21"/>
                <w:lang w:eastAsia="en-AU"/>
              </w:rPr>
            </w:pPr>
            <w:r w:rsidRPr="003D7EE9">
              <w:rPr>
                <w:rFonts w:eastAsiaTheme="minorEastAsia"/>
                <w:sz w:val="21"/>
                <w:lang w:eastAsia="en-AU"/>
              </w:rPr>
              <w:t xml:space="preserve"> </w:t>
            </w:r>
          </w:p>
        </w:tc>
        <w:tc>
          <w:tcPr>
            <w:tcW w:w="2074" w:type="dxa"/>
            <w:gridSpan w:val="2"/>
            <w:tcBorders>
              <w:top w:val="single" w:sz="4" w:space="0" w:color="auto"/>
              <w:left w:val="nil"/>
              <w:bottom w:val="nil"/>
              <w:right w:val="single" w:sz="4" w:space="0" w:color="auto"/>
            </w:tcBorders>
            <w:shd w:val="clear" w:color="auto" w:fill="000000"/>
          </w:tcPr>
          <w:p w:rsidR="000B4A1E" w:rsidRPr="003D7EE9" w:rsidRDefault="000B4A1E" w:rsidP="00517E51">
            <w:pPr>
              <w:pStyle w:val="TabletextheadingCentred"/>
              <w:rPr>
                <w:rFonts w:eastAsiaTheme="minorEastAsia"/>
                <w:sz w:val="21"/>
                <w:lang w:eastAsia="en-AU"/>
              </w:rPr>
            </w:pPr>
            <w:r w:rsidRPr="003D7EE9">
              <w:rPr>
                <w:rFonts w:eastAsiaTheme="minorEastAsia"/>
                <w:sz w:val="21"/>
                <w:lang w:eastAsia="en-AU"/>
              </w:rPr>
              <w:t xml:space="preserve">General </w:t>
            </w:r>
          </w:p>
          <w:p w:rsidR="000B4A1E" w:rsidRPr="003D7EE9" w:rsidRDefault="000B4A1E" w:rsidP="00517E51">
            <w:pPr>
              <w:pStyle w:val="TabletextheadingCentred"/>
              <w:rPr>
                <w:rFonts w:eastAsiaTheme="minorEastAsia"/>
                <w:sz w:val="21"/>
                <w:lang w:eastAsia="en-AU"/>
              </w:rPr>
            </w:pPr>
            <w:r w:rsidRPr="003D7EE9">
              <w:rPr>
                <w:rFonts w:eastAsiaTheme="minorEastAsia"/>
                <w:sz w:val="21"/>
                <w:lang w:eastAsia="en-AU"/>
              </w:rPr>
              <w:t>government sector</w:t>
            </w:r>
          </w:p>
        </w:tc>
      </w:tr>
      <w:tr w:rsidR="000B4A1E" w:rsidRPr="003D7EE9" w:rsidTr="00517E51">
        <w:trPr>
          <w:cantSplit/>
          <w:tblHeader/>
        </w:trPr>
        <w:tc>
          <w:tcPr>
            <w:tcW w:w="4244" w:type="dxa"/>
            <w:tcBorders>
              <w:top w:val="nil"/>
              <w:left w:val="single" w:sz="4" w:space="0" w:color="auto"/>
              <w:bottom w:val="single" w:sz="4" w:space="0" w:color="auto"/>
              <w:right w:val="nil"/>
            </w:tcBorders>
            <w:shd w:val="clear" w:color="auto" w:fill="000000"/>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 xml:space="preserve"> </w:t>
            </w:r>
          </w:p>
        </w:tc>
        <w:tc>
          <w:tcPr>
            <w:tcW w:w="724" w:type="dxa"/>
            <w:tcBorders>
              <w:top w:val="nil"/>
              <w:left w:val="nil"/>
              <w:bottom w:val="single" w:sz="4" w:space="0" w:color="auto"/>
              <w:right w:val="nil"/>
            </w:tcBorders>
            <w:shd w:val="clear" w:color="auto" w:fill="000000"/>
          </w:tcPr>
          <w:p w:rsidR="000B4A1E" w:rsidRPr="003D7EE9" w:rsidRDefault="000B4A1E" w:rsidP="00517E51">
            <w:pPr>
              <w:pStyle w:val="Tabletextheading"/>
              <w:rPr>
                <w:rFonts w:eastAsiaTheme="minorEastAsia"/>
                <w:sz w:val="21"/>
                <w:lang w:eastAsia="en-AU"/>
              </w:rPr>
            </w:pPr>
            <w:r w:rsidRPr="003D7EE9">
              <w:rPr>
                <w:rFonts w:eastAsiaTheme="minorEastAsia"/>
                <w:sz w:val="21"/>
                <w:lang w:eastAsia="en-AU"/>
              </w:rPr>
              <w:t>Notes</w:t>
            </w:r>
          </w:p>
        </w:tc>
        <w:tc>
          <w:tcPr>
            <w:tcW w:w="1170" w:type="dxa"/>
            <w:gridSpan w:val="2"/>
            <w:tcBorders>
              <w:top w:val="nil"/>
              <w:left w:val="nil"/>
              <w:bottom w:val="single" w:sz="4" w:space="0" w:color="auto"/>
              <w:right w:val="nil"/>
            </w:tcBorders>
            <w:shd w:val="clear" w:color="auto" w:fill="000000"/>
          </w:tcPr>
          <w:p w:rsidR="000B4A1E" w:rsidRPr="003D7EE9" w:rsidRDefault="000B4A1E" w:rsidP="00517E51">
            <w:pPr>
              <w:pStyle w:val="Tabletextheading"/>
              <w:rPr>
                <w:rFonts w:eastAsiaTheme="minorEastAsia"/>
                <w:sz w:val="21"/>
                <w:lang w:eastAsia="en-AU"/>
              </w:rPr>
            </w:pPr>
            <w:r w:rsidRPr="003D7EE9">
              <w:rPr>
                <w:rFonts w:eastAsiaTheme="minorEastAsia"/>
                <w:sz w:val="21"/>
                <w:lang w:eastAsia="en-AU"/>
              </w:rPr>
              <w:t>2013</w:t>
            </w:r>
          </w:p>
        </w:tc>
        <w:tc>
          <w:tcPr>
            <w:tcW w:w="1170" w:type="dxa"/>
            <w:tcBorders>
              <w:top w:val="nil"/>
              <w:left w:val="nil"/>
              <w:bottom w:val="single" w:sz="4" w:space="0" w:color="auto"/>
              <w:right w:val="nil"/>
            </w:tcBorders>
            <w:shd w:val="clear" w:color="auto" w:fill="000000"/>
          </w:tcPr>
          <w:p w:rsidR="000B4A1E" w:rsidRPr="003D7EE9" w:rsidRDefault="000B4A1E" w:rsidP="00517E51">
            <w:pPr>
              <w:pStyle w:val="Tabletextheading"/>
              <w:rPr>
                <w:rFonts w:eastAsiaTheme="minorEastAsia"/>
                <w:sz w:val="21"/>
                <w:lang w:eastAsia="en-AU"/>
              </w:rPr>
            </w:pPr>
            <w:r w:rsidRPr="003D7EE9">
              <w:rPr>
                <w:rFonts w:eastAsiaTheme="minorEastAsia"/>
                <w:sz w:val="21"/>
                <w:lang w:eastAsia="en-AU"/>
              </w:rPr>
              <w:t>2012</w:t>
            </w:r>
          </w:p>
        </w:tc>
        <w:tc>
          <w:tcPr>
            <w:tcW w:w="1170" w:type="dxa"/>
            <w:gridSpan w:val="2"/>
            <w:tcBorders>
              <w:top w:val="nil"/>
              <w:left w:val="nil"/>
              <w:bottom w:val="single" w:sz="4" w:space="0" w:color="auto"/>
              <w:right w:val="nil"/>
            </w:tcBorders>
            <w:shd w:val="clear" w:color="auto" w:fill="000000"/>
          </w:tcPr>
          <w:p w:rsidR="000B4A1E" w:rsidRPr="003D7EE9" w:rsidRDefault="000B4A1E" w:rsidP="00517E51">
            <w:pPr>
              <w:pStyle w:val="Tabletextheading"/>
              <w:rPr>
                <w:rFonts w:eastAsiaTheme="minorEastAsia"/>
                <w:sz w:val="21"/>
                <w:lang w:eastAsia="en-AU"/>
              </w:rPr>
            </w:pPr>
            <w:r w:rsidRPr="003D7EE9">
              <w:rPr>
                <w:rFonts w:eastAsiaTheme="minorEastAsia"/>
                <w:sz w:val="21"/>
                <w:lang w:eastAsia="en-AU"/>
              </w:rPr>
              <w:t>2013</w:t>
            </w:r>
          </w:p>
        </w:tc>
        <w:tc>
          <w:tcPr>
            <w:tcW w:w="1170" w:type="dxa"/>
            <w:tcBorders>
              <w:top w:val="nil"/>
              <w:left w:val="nil"/>
              <w:bottom w:val="single" w:sz="4" w:space="0" w:color="auto"/>
              <w:right w:val="single" w:sz="4" w:space="0" w:color="auto"/>
            </w:tcBorders>
            <w:shd w:val="clear" w:color="auto" w:fill="000000"/>
          </w:tcPr>
          <w:p w:rsidR="000B4A1E" w:rsidRPr="003D7EE9" w:rsidRDefault="000B4A1E" w:rsidP="00517E51">
            <w:pPr>
              <w:pStyle w:val="Tabletextheading"/>
              <w:rPr>
                <w:rFonts w:eastAsiaTheme="minorEastAsia"/>
                <w:sz w:val="21"/>
                <w:lang w:eastAsia="en-AU"/>
              </w:rPr>
            </w:pPr>
            <w:r w:rsidRPr="003D7EE9">
              <w:rPr>
                <w:rFonts w:eastAsiaTheme="minorEastAsia"/>
                <w:sz w:val="21"/>
                <w:lang w:eastAsia="en-AU"/>
              </w:rPr>
              <w:t>2012</w:t>
            </w:r>
          </w:p>
        </w:tc>
      </w:tr>
      <w:tr w:rsidR="000B4A1E" w:rsidRPr="003D7EE9" w:rsidTr="00517E51">
        <w:tc>
          <w:tcPr>
            <w:tcW w:w="4244" w:type="dxa"/>
            <w:tcBorders>
              <w:top w:val="single" w:sz="4" w:space="0" w:color="auto"/>
              <w:left w:val="nil"/>
              <w:bottom w:val="nil"/>
              <w:right w:val="nil"/>
            </w:tcBorders>
          </w:tcPr>
          <w:p w:rsidR="000B4A1E" w:rsidRPr="003D7EE9" w:rsidRDefault="000B4A1E" w:rsidP="00517E51">
            <w:pPr>
              <w:pStyle w:val="Tabletext"/>
              <w:rPr>
                <w:rFonts w:eastAsiaTheme="minorEastAsia"/>
                <w:b/>
                <w:bCs/>
                <w:sz w:val="21"/>
                <w:lang w:eastAsia="en-AU"/>
              </w:rPr>
            </w:pPr>
            <w:r w:rsidRPr="003D7EE9">
              <w:rPr>
                <w:rFonts w:eastAsiaTheme="minorEastAsia"/>
                <w:b/>
                <w:bCs/>
                <w:sz w:val="21"/>
                <w:lang w:eastAsia="en-AU"/>
              </w:rPr>
              <w:t>Cash flows from operating activities</w:t>
            </w:r>
          </w:p>
        </w:tc>
        <w:tc>
          <w:tcPr>
            <w:tcW w:w="724" w:type="dxa"/>
            <w:tcBorders>
              <w:top w:val="single" w:sz="4" w:space="0" w:color="auto"/>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single" w:sz="4" w:space="0" w:color="auto"/>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single" w:sz="4" w:space="0" w:color="auto"/>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single" w:sz="4" w:space="0" w:color="auto"/>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single" w:sz="4" w:space="0" w:color="auto"/>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b/>
                <w:bCs/>
                <w:sz w:val="21"/>
                <w:lang w:eastAsia="en-AU"/>
              </w:rPr>
            </w:pPr>
            <w:r w:rsidRPr="003D7EE9">
              <w:rPr>
                <w:rFonts w:eastAsiaTheme="minorEastAsia"/>
                <w:b/>
                <w:bCs/>
                <w:sz w:val="21"/>
                <w:lang w:eastAsia="en-AU"/>
              </w:rPr>
              <w:t>Receipts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Taxes received</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14 872.0</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15 358.8</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15 231.9</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15 609.7</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Grants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21 899.6</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22 735.6</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21 991.9</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22 588.8</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cs="Calibri"/>
                <w:color w:val="000000"/>
                <w:szCs w:val="22"/>
                <w:vertAlign w:val="superscript"/>
                <w:lang w:eastAsia="en-AU"/>
              </w:rPr>
            </w:pPr>
            <w:r w:rsidRPr="003D7EE9">
              <w:rPr>
                <w:rFonts w:eastAsiaTheme="minorEastAsia"/>
                <w:sz w:val="21"/>
                <w:lang w:eastAsia="en-AU"/>
              </w:rPr>
              <w:t xml:space="preserve">Sales of goods and services </w:t>
            </w:r>
            <w:r w:rsidRPr="009F74B3">
              <w:rPr>
                <w:rFonts w:eastAsiaTheme="minorEastAsia"/>
                <w:sz w:val="21"/>
                <w:vertAlign w:val="superscript"/>
                <w:lang w:eastAsia="en-AU"/>
              </w:rPr>
              <w:t>(a)(</w:t>
            </w:r>
            <w:r w:rsidRPr="009F74B3">
              <w:rPr>
                <w:rFonts w:eastAsiaTheme="minorEastAsia" w:cs="Calibri"/>
                <w:color w:val="000000"/>
                <w:szCs w:val="22"/>
                <w:vertAlign w:val="superscript"/>
                <w:lang w:eastAsia="en-AU"/>
              </w:rPr>
              <w:t>b)</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13 548.2</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14 139.0</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7 132.3</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7 033.0</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Interest received</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1 203.0</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708.8</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674.8</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418.5</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Dividends and income tax equivalent and rate equivalent receipts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450.6</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571.3</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1 198.9</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919.2</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cs="Calibri"/>
                <w:color w:val="000000"/>
                <w:szCs w:val="22"/>
                <w:vertAlign w:val="superscript"/>
                <w:lang w:eastAsia="en-AU"/>
              </w:rPr>
            </w:pPr>
            <w:r w:rsidRPr="003D7EE9">
              <w:rPr>
                <w:rFonts w:eastAsiaTheme="minorEastAsia"/>
                <w:sz w:val="21"/>
                <w:lang w:eastAsia="en-AU"/>
              </w:rPr>
              <w:t xml:space="preserve">Other receipts </w:t>
            </w:r>
            <w:r w:rsidRPr="003D7EE9">
              <w:rPr>
                <w:rFonts w:eastAsiaTheme="minorEastAsia" w:cs="Calibri"/>
                <w:color w:val="000000"/>
                <w:szCs w:val="22"/>
                <w:vertAlign w:val="superscript"/>
                <w:lang w:eastAsia="en-AU"/>
              </w:rPr>
              <w:t>(b)</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1 882.2</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2 422.9</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1 728.8</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1 480.1</w:t>
            </w:r>
          </w:p>
        </w:tc>
      </w:tr>
      <w:tr w:rsidR="000B4A1E" w:rsidRPr="003D7EE9" w:rsidTr="00517E51">
        <w:tc>
          <w:tcPr>
            <w:tcW w:w="4244" w:type="dxa"/>
            <w:tcBorders>
              <w:top w:val="single" w:sz="6" w:space="0" w:color="auto"/>
              <w:left w:val="nil"/>
              <w:bottom w:val="nil"/>
              <w:right w:val="nil"/>
            </w:tcBorders>
          </w:tcPr>
          <w:p w:rsidR="000B4A1E" w:rsidRPr="003D7EE9" w:rsidRDefault="000B4A1E" w:rsidP="00517E51">
            <w:pPr>
              <w:pStyle w:val="Tabletext"/>
              <w:rPr>
                <w:rFonts w:eastAsiaTheme="minorEastAsia"/>
                <w:b/>
                <w:bCs/>
                <w:sz w:val="21"/>
                <w:lang w:eastAsia="en-AU"/>
              </w:rPr>
            </w:pPr>
            <w:r w:rsidRPr="003D7EE9">
              <w:rPr>
                <w:rFonts w:eastAsiaTheme="minorEastAsia"/>
                <w:b/>
                <w:bCs/>
                <w:sz w:val="21"/>
                <w:lang w:eastAsia="en-AU"/>
              </w:rPr>
              <w:t>Total receipts</w:t>
            </w:r>
          </w:p>
        </w:tc>
        <w:tc>
          <w:tcPr>
            <w:tcW w:w="724" w:type="dxa"/>
            <w:tcBorders>
              <w:top w:val="single" w:sz="6" w:space="0" w:color="auto"/>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single" w:sz="6" w:space="0" w:color="auto"/>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53 855.6</w:t>
            </w:r>
          </w:p>
        </w:tc>
        <w:tc>
          <w:tcPr>
            <w:tcW w:w="1170" w:type="dxa"/>
            <w:tcBorders>
              <w:top w:val="single" w:sz="6" w:space="0" w:color="auto"/>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55 936.3</w:t>
            </w:r>
          </w:p>
        </w:tc>
        <w:tc>
          <w:tcPr>
            <w:tcW w:w="1170" w:type="dxa"/>
            <w:gridSpan w:val="2"/>
            <w:tcBorders>
              <w:top w:val="single" w:sz="6" w:space="0" w:color="auto"/>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47 958.7</w:t>
            </w:r>
          </w:p>
        </w:tc>
        <w:tc>
          <w:tcPr>
            <w:tcW w:w="1170" w:type="dxa"/>
            <w:tcBorders>
              <w:top w:val="single" w:sz="6" w:space="0" w:color="auto"/>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48 049.3</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b/>
                <w:bCs/>
                <w:sz w:val="21"/>
                <w:lang w:eastAsia="en-AU"/>
              </w:rPr>
            </w:pPr>
            <w:r w:rsidRPr="003D7EE9">
              <w:rPr>
                <w:rFonts w:eastAsiaTheme="minorEastAsia"/>
                <w:b/>
                <w:bCs/>
                <w:sz w:val="21"/>
                <w:lang w:eastAsia="en-AU"/>
              </w:rPr>
              <w:t>Payments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Payments for employees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(18 551.6)</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(17 690.3)</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(17 563.6)</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(16 790.4)</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Superannuation</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(2 652.5)</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(2 251.4)</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(2 510.5)</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(2 142.4)</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Interest paid</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(2 384.2)</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(2 102.5)</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(1 702.6)</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(1 182.0)</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cs="Calibri"/>
                <w:color w:val="000000"/>
                <w:szCs w:val="22"/>
                <w:vertAlign w:val="superscript"/>
                <w:lang w:eastAsia="en-AU"/>
              </w:rPr>
            </w:pPr>
            <w:r w:rsidRPr="003D7EE9">
              <w:rPr>
                <w:rFonts w:eastAsiaTheme="minorEastAsia"/>
                <w:sz w:val="21"/>
                <w:lang w:eastAsia="en-AU"/>
              </w:rPr>
              <w:t xml:space="preserve">Grants and subsidies </w:t>
            </w:r>
            <w:r w:rsidRPr="003D7EE9">
              <w:rPr>
                <w:rFonts w:eastAsiaTheme="minorEastAsia" w:cs="Calibri"/>
                <w:color w:val="000000"/>
                <w:szCs w:val="22"/>
                <w:vertAlign w:val="superscript"/>
                <w:lang w:eastAsia="en-AU"/>
              </w:rPr>
              <w:t>(b)</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(5 619.5)</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(5 800.4)</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(8 196.5)</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(8 125.6)</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vertAlign w:val="superscript"/>
                <w:lang w:eastAsia="en-AU"/>
              </w:rPr>
            </w:pPr>
            <w:r w:rsidRPr="003D7EE9">
              <w:rPr>
                <w:rFonts w:eastAsiaTheme="minorEastAsia"/>
                <w:sz w:val="21"/>
                <w:lang w:eastAsia="en-AU"/>
              </w:rPr>
              <w:t xml:space="preserve">Goods and services </w:t>
            </w:r>
            <w:r w:rsidRPr="003D7EE9">
              <w:rPr>
                <w:rFonts w:eastAsiaTheme="minorEastAsia"/>
                <w:sz w:val="21"/>
                <w:vertAlign w:val="superscript"/>
                <w:lang w:eastAsia="en-AU"/>
              </w:rPr>
              <w:t>(a)</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(21 399.7)</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(23 505.4)</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(15 692.1)</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(16 549.9)</w:t>
            </w:r>
          </w:p>
        </w:tc>
      </w:tr>
      <w:tr w:rsidR="000B4A1E" w:rsidRPr="003D7EE9" w:rsidTr="00517E51">
        <w:tc>
          <w:tcPr>
            <w:tcW w:w="4244" w:type="dxa"/>
            <w:tcBorders>
              <w:top w:val="nil"/>
              <w:left w:val="nil"/>
              <w:bottom w:val="single" w:sz="6" w:space="0" w:color="auto"/>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Other payments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( 596.0)</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( 581.0)</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( 601.2)</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( 501.5)</w:t>
            </w:r>
          </w:p>
        </w:tc>
      </w:tr>
      <w:tr w:rsidR="000B4A1E" w:rsidRPr="003D7EE9" w:rsidTr="00517E51">
        <w:tc>
          <w:tcPr>
            <w:tcW w:w="4244" w:type="dxa"/>
            <w:tcBorders>
              <w:top w:val="nil"/>
              <w:left w:val="nil"/>
              <w:bottom w:val="single" w:sz="6" w:space="0" w:color="auto"/>
              <w:right w:val="nil"/>
            </w:tcBorders>
          </w:tcPr>
          <w:p w:rsidR="000B4A1E" w:rsidRPr="003D7EE9" w:rsidRDefault="000B4A1E" w:rsidP="00517E51">
            <w:pPr>
              <w:pStyle w:val="Tabletext"/>
              <w:rPr>
                <w:rFonts w:eastAsiaTheme="minorEastAsia"/>
                <w:b/>
                <w:bCs/>
                <w:sz w:val="21"/>
                <w:lang w:eastAsia="en-AU"/>
              </w:rPr>
            </w:pPr>
            <w:r w:rsidRPr="003D7EE9">
              <w:rPr>
                <w:rFonts w:eastAsiaTheme="minorEastAsia"/>
                <w:b/>
                <w:bCs/>
                <w:sz w:val="21"/>
                <w:lang w:eastAsia="en-AU"/>
              </w:rPr>
              <w:t>Total payments</w:t>
            </w:r>
          </w:p>
        </w:tc>
        <w:tc>
          <w:tcPr>
            <w:tcW w:w="724" w:type="dxa"/>
            <w:tcBorders>
              <w:top w:val="single" w:sz="6" w:space="0" w:color="auto"/>
              <w:left w:val="nil"/>
              <w:bottom w:val="single" w:sz="6" w:space="0" w:color="auto"/>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single" w:sz="6" w:space="0" w:color="auto"/>
              <w:left w:val="nil"/>
              <w:bottom w:val="single" w:sz="6"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(51 203.4)</w:t>
            </w:r>
          </w:p>
        </w:tc>
        <w:tc>
          <w:tcPr>
            <w:tcW w:w="1170" w:type="dxa"/>
            <w:tcBorders>
              <w:top w:val="single" w:sz="6" w:space="0" w:color="auto"/>
              <w:left w:val="nil"/>
              <w:bottom w:val="single" w:sz="6"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(51 931.0)</w:t>
            </w:r>
          </w:p>
        </w:tc>
        <w:tc>
          <w:tcPr>
            <w:tcW w:w="1170" w:type="dxa"/>
            <w:gridSpan w:val="2"/>
            <w:tcBorders>
              <w:top w:val="single" w:sz="6" w:space="0" w:color="auto"/>
              <w:left w:val="nil"/>
              <w:bottom w:val="single" w:sz="6"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(46 266.4)</w:t>
            </w:r>
          </w:p>
        </w:tc>
        <w:tc>
          <w:tcPr>
            <w:tcW w:w="1170" w:type="dxa"/>
            <w:tcBorders>
              <w:top w:val="single" w:sz="6" w:space="0" w:color="auto"/>
              <w:left w:val="nil"/>
              <w:bottom w:val="single" w:sz="6"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(45 291.8)</w:t>
            </w:r>
          </w:p>
        </w:tc>
      </w:tr>
      <w:tr w:rsidR="000B4A1E" w:rsidRPr="003D7EE9" w:rsidTr="00517E51">
        <w:tc>
          <w:tcPr>
            <w:tcW w:w="4244" w:type="dxa"/>
            <w:tcBorders>
              <w:top w:val="single" w:sz="6" w:space="0" w:color="auto"/>
              <w:left w:val="nil"/>
              <w:bottom w:val="nil"/>
              <w:right w:val="nil"/>
            </w:tcBorders>
          </w:tcPr>
          <w:p w:rsidR="000B4A1E" w:rsidRPr="003D7EE9" w:rsidRDefault="000B4A1E" w:rsidP="00517E51">
            <w:pPr>
              <w:pStyle w:val="Tabletext"/>
              <w:rPr>
                <w:rFonts w:eastAsiaTheme="minorEastAsia"/>
                <w:b/>
                <w:bCs/>
                <w:sz w:val="21"/>
                <w:lang w:eastAsia="en-AU"/>
              </w:rPr>
            </w:pPr>
            <w:r w:rsidRPr="003D7EE9">
              <w:rPr>
                <w:rFonts w:eastAsiaTheme="minorEastAsia"/>
                <w:b/>
                <w:bCs/>
                <w:sz w:val="21"/>
                <w:lang w:eastAsia="en-AU"/>
              </w:rPr>
              <w:t xml:space="preserve">Net cash flows from operating activities </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29(b)</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2 652.2</w:t>
            </w:r>
          </w:p>
        </w:tc>
        <w:tc>
          <w:tcPr>
            <w:tcW w:w="1170" w:type="dxa"/>
            <w:tcBorders>
              <w:top w:val="nil"/>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4 005.3</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1 692.3</w:t>
            </w:r>
          </w:p>
        </w:tc>
        <w:tc>
          <w:tcPr>
            <w:tcW w:w="1170" w:type="dxa"/>
            <w:tcBorders>
              <w:top w:val="nil"/>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2 757.5</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b/>
                <w:bCs/>
                <w:sz w:val="21"/>
                <w:lang w:eastAsia="en-AU"/>
              </w:rPr>
            </w:pPr>
            <w:r w:rsidRPr="003D7EE9">
              <w:rPr>
                <w:rFonts w:eastAsiaTheme="minorEastAsia"/>
                <w:b/>
                <w:bCs/>
                <w:sz w:val="21"/>
                <w:lang w:eastAsia="en-AU"/>
              </w:rPr>
              <w:t>Cash flows from investing activities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r>
      <w:tr w:rsidR="000B4A1E" w:rsidRPr="003D7EE9" w:rsidTr="00517E51">
        <w:tc>
          <w:tcPr>
            <w:tcW w:w="4244" w:type="dxa"/>
            <w:tcBorders>
              <w:top w:val="nil"/>
              <w:left w:val="nil"/>
              <w:bottom w:val="nil"/>
              <w:right w:val="nil"/>
            </w:tcBorders>
          </w:tcPr>
          <w:p w:rsidR="000B4A1E" w:rsidRPr="000B4A1E" w:rsidRDefault="000B4A1E" w:rsidP="00517E51">
            <w:pPr>
              <w:pStyle w:val="Tabletext"/>
              <w:rPr>
                <w:rFonts w:eastAsiaTheme="minorEastAsia"/>
                <w:b/>
                <w:sz w:val="21"/>
                <w:lang w:eastAsia="en-AU"/>
              </w:rPr>
            </w:pPr>
            <w:r w:rsidRPr="000B4A1E">
              <w:rPr>
                <w:rFonts w:eastAsiaTheme="minorEastAsia"/>
                <w:b/>
                <w:sz w:val="21"/>
                <w:lang w:eastAsia="en-AU"/>
              </w:rPr>
              <w:t>Cash flows from investments in non-financial assets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Purchases of non-financial assets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(7 597.8)</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(7 514.0)</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(4 133.2)</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(3 564.9)</w:t>
            </w:r>
          </w:p>
        </w:tc>
      </w:tr>
      <w:tr w:rsidR="000B4A1E" w:rsidRPr="003D7EE9" w:rsidTr="00517E51">
        <w:tc>
          <w:tcPr>
            <w:tcW w:w="4244" w:type="dxa"/>
            <w:tcBorders>
              <w:top w:val="nil"/>
              <w:left w:val="nil"/>
              <w:bottom w:val="single" w:sz="6" w:space="0" w:color="auto"/>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Sales of non-financial assets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406.3</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291.9</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248.0</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167.1</w:t>
            </w:r>
          </w:p>
        </w:tc>
      </w:tr>
      <w:tr w:rsidR="000B4A1E" w:rsidRPr="00AD4A20" w:rsidTr="00517E51">
        <w:tc>
          <w:tcPr>
            <w:tcW w:w="4244" w:type="dxa"/>
            <w:tcBorders>
              <w:top w:val="nil"/>
              <w:left w:val="nil"/>
              <w:bottom w:val="nil"/>
              <w:right w:val="nil"/>
            </w:tcBorders>
          </w:tcPr>
          <w:p w:rsidR="000B4A1E" w:rsidRPr="00AD4A20" w:rsidRDefault="000B4A1E" w:rsidP="00517E51">
            <w:pPr>
              <w:pStyle w:val="Tabletext"/>
              <w:rPr>
                <w:rFonts w:eastAsiaTheme="minorEastAsia"/>
                <w:b/>
                <w:sz w:val="21"/>
                <w:lang w:eastAsia="en-AU"/>
              </w:rPr>
            </w:pPr>
            <w:r w:rsidRPr="00AD4A20">
              <w:rPr>
                <w:rFonts w:eastAsiaTheme="minorEastAsia"/>
                <w:b/>
                <w:sz w:val="21"/>
                <w:lang w:eastAsia="en-AU"/>
              </w:rPr>
              <w:t>Net cash flows from investments in non</w:t>
            </w:r>
            <w:r w:rsidRPr="00AD4A20">
              <w:rPr>
                <w:rFonts w:eastAsiaTheme="minorEastAsia"/>
                <w:b/>
                <w:sz w:val="21"/>
                <w:lang w:eastAsia="en-AU"/>
              </w:rPr>
              <w:noBreakHyphen/>
              <w:t>financial assets</w:t>
            </w:r>
          </w:p>
        </w:tc>
        <w:tc>
          <w:tcPr>
            <w:tcW w:w="724" w:type="dxa"/>
            <w:tcBorders>
              <w:top w:val="single" w:sz="6" w:space="0" w:color="auto"/>
              <w:left w:val="nil"/>
              <w:bottom w:val="nil"/>
              <w:right w:val="nil"/>
            </w:tcBorders>
          </w:tcPr>
          <w:p w:rsidR="000B4A1E" w:rsidRPr="00AD4A20" w:rsidRDefault="000B4A1E" w:rsidP="00517E51">
            <w:pPr>
              <w:pStyle w:val="TableTextCentred"/>
              <w:rPr>
                <w:rFonts w:eastAsiaTheme="minorEastAsia"/>
                <w:b/>
                <w:sz w:val="21"/>
                <w:lang w:eastAsia="en-AU"/>
              </w:rPr>
            </w:pPr>
            <w:r w:rsidRPr="00AD4A20">
              <w:rPr>
                <w:rFonts w:eastAsiaTheme="minorEastAsia"/>
                <w:b/>
                <w:sz w:val="21"/>
                <w:lang w:eastAsia="en-AU"/>
              </w:rPr>
              <w:t xml:space="preserve"> </w:t>
            </w:r>
          </w:p>
        </w:tc>
        <w:tc>
          <w:tcPr>
            <w:tcW w:w="1170" w:type="dxa"/>
            <w:gridSpan w:val="2"/>
            <w:tcBorders>
              <w:top w:val="nil"/>
              <w:left w:val="nil"/>
              <w:bottom w:val="nil"/>
              <w:right w:val="nil"/>
            </w:tcBorders>
          </w:tcPr>
          <w:p w:rsidR="000B4A1E" w:rsidRPr="00AD4A20" w:rsidRDefault="000B4A1E" w:rsidP="00517E51">
            <w:pPr>
              <w:pStyle w:val="TableofFigures"/>
              <w:rPr>
                <w:rFonts w:eastAsiaTheme="minorEastAsia"/>
                <w:b/>
                <w:sz w:val="21"/>
                <w:lang w:eastAsia="en-AU"/>
              </w:rPr>
            </w:pPr>
            <w:r w:rsidRPr="00AD4A20">
              <w:rPr>
                <w:rFonts w:eastAsiaTheme="minorEastAsia"/>
                <w:b/>
                <w:sz w:val="21"/>
                <w:lang w:eastAsia="en-AU"/>
              </w:rPr>
              <w:t>(7 191.5)</w:t>
            </w:r>
          </w:p>
        </w:tc>
        <w:tc>
          <w:tcPr>
            <w:tcW w:w="1170" w:type="dxa"/>
            <w:tcBorders>
              <w:top w:val="nil"/>
              <w:left w:val="nil"/>
              <w:bottom w:val="nil"/>
              <w:right w:val="nil"/>
            </w:tcBorders>
          </w:tcPr>
          <w:p w:rsidR="000B4A1E" w:rsidRPr="00AD4A20" w:rsidRDefault="000B4A1E" w:rsidP="00517E51">
            <w:pPr>
              <w:pStyle w:val="TableofFigures"/>
              <w:rPr>
                <w:rFonts w:eastAsiaTheme="minorEastAsia"/>
                <w:b/>
                <w:sz w:val="21"/>
                <w:lang w:eastAsia="en-AU"/>
              </w:rPr>
            </w:pPr>
            <w:r w:rsidRPr="00AD4A20">
              <w:rPr>
                <w:rFonts w:eastAsiaTheme="minorEastAsia"/>
                <w:b/>
                <w:sz w:val="21"/>
                <w:lang w:eastAsia="en-AU"/>
              </w:rPr>
              <w:t>(7 222.0)</w:t>
            </w:r>
          </w:p>
        </w:tc>
        <w:tc>
          <w:tcPr>
            <w:tcW w:w="1170" w:type="dxa"/>
            <w:gridSpan w:val="2"/>
            <w:tcBorders>
              <w:top w:val="nil"/>
              <w:left w:val="nil"/>
              <w:bottom w:val="nil"/>
              <w:right w:val="nil"/>
            </w:tcBorders>
          </w:tcPr>
          <w:p w:rsidR="000B4A1E" w:rsidRPr="00AD4A20" w:rsidRDefault="000B4A1E" w:rsidP="00517E51">
            <w:pPr>
              <w:pStyle w:val="TableofFigures"/>
              <w:rPr>
                <w:rFonts w:eastAsiaTheme="minorEastAsia"/>
                <w:b/>
                <w:sz w:val="21"/>
                <w:lang w:eastAsia="en-AU"/>
              </w:rPr>
            </w:pPr>
            <w:r w:rsidRPr="00AD4A20">
              <w:rPr>
                <w:rFonts w:eastAsiaTheme="minorEastAsia"/>
                <w:b/>
                <w:sz w:val="21"/>
                <w:lang w:eastAsia="en-AU"/>
              </w:rPr>
              <w:t>(3 885.2)</w:t>
            </w:r>
          </w:p>
        </w:tc>
        <w:tc>
          <w:tcPr>
            <w:tcW w:w="1170" w:type="dxa"/>
            <w:tcBorders>
              <w:top w:val="nil"/>
              <w:left w:val="nil"/>
              <w:bottom w:val="nil"/>
              <w:right w:val="nil"/>
            </w:tcBorders>
          </w:tcPr>
          <w:p w:rsidR="000B4A1E" w:rsidRPr="00AD4A20" w:rsidRDefault="000B4A1E" w:rsidP="00517E51">
            <w:pPr>
              <w:pStyle w:val="TableofFigures"/>
              <w:rPr>
                <w:rFonts w:eastAsiaTheme="minorEastAsia"/>
                <w:b/>
                <w:sz w:val="21"/>
                <w:lang w:eastAsia="en-AU"/>
              </w:rPr>
            </w:pPr>
            <w:r w:rsidRPr="00AD4A20">
              <w:rPr>
                <w:rFonts w:eastAsiaTheme="minorEastAsia"/>
                <w:b/>
                <w:sz w:val="21"/>
                <w:lang w:eastAsia="en-AU"/>
              </w:rPr>
              <w:t>(3 397.9)</w:t>
            </w:r>
          </w:p>
        </w:tc>
      </w:tr>
      <w:tr w:rsidR="000B4A1E" w:rsidRPr="003D7EE9" w:rsidTr="00517E51">
        <w:tc>
          <w:tcPr>
            <w:tcW w:w="4244" w:type="dxa"/>
            <w:tcBorders>
              <w:top w:val="nil"/>
              <w:left w:val="nil"/>
              <w:bottom w:val="nil"/>
              <w:right w:val="nil"/>
            </w:tcBorders>
            <w:shd w:val="solid" w:color="FFFFFF" w:fill="auto"/>
          </w:tcPr>
          <w:p w:rsidR="000B4A1E" w:rsidRPr="000B4A1E" w:rsidRDefault="000B4A1E" w:rsidP="00517E51">
            <w:pPr>
              <w:pStyle w:val="Tabletext"/>
              <w:rPr>
                <w:rFonts w:eastAsiaTheme="minorEastAsia"/>
                <w:b/>
                <w:sz w:val="21"/>
                <w:lang w:eastAsia="en-AU"/>
              </w:rPr>
            </w:pPr>
            <w:r w:rsidRPr="000B4A1E">
              <w:rPr>
                <w:rFonts w:eastAsiaTheme="minorEastAsia"/>
                <w:b/>
                <w:sz w:val="21"/>
                <w:lang w:eastAsia="en-AU"/>
              </w:rPr>
              <w:t>Cash flows from investments in financial assets for policy purposes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Cash outflows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w:t>
            </w:r>
            <w:r w:rsidRPr="003D7EE9">
              <w:rPr>
                <w:rFonts w:eastAsiaTheme="minorEastAsia" w:cs="Calibri"/>
                <w:sz w:val="21"/>
                <w:szCs w:val="22"/>
                <w:lang w:eastAsia="en-AU"/>
              </w:rPr>
              <w:t>793.8)</w:t>
            </w:r>
          </w:p>
        </w:tc>
        <w:tc>
          <w:tcPr>
            <w:tcW w:w="1170" w:type="dxa"/>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(1</w:t>
            </w:r>
            <w:r w:rsidRPr="003D7EE9">
              <w:rPr>
                <w:rFonts w:eastAsiaTheme="minorEastAsia" w:cs="Calibri"/>
                <w:sz w:val="21"/>
                <w:szCs w:val="22"/>
                <w:lang w:eastAsia="en-AU"/>
              </w:rPr>
              <w:t xml:space="preserve"> 413.1)</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(1</w:t>
            </w:r>
            <w:r w:rsidRPr="003D7EE9">
              <w:rPr>
                <w:rFonts w:eastAsiaTheme="minorEastAsia" w:cs="Calibri"/>
                <w:sz w:val="21"/>
                <w:szCs w:val="22"/>
                <w:lang w:eastAsia="en-AU"/>
              </w:rPr>
              <w:t xml:space="preserve"> 779.7)</w:t>
            </w:r>
          </w:p>
        </w:tc>
        <w:tc>
          <w:tcPr>
            <w:tcW w:w="1170" w:type="dxa"/>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(2</w:t>
            </w:r>
            <w:r w:rsidRPr="003D7EE9">
              <w:rPr>
                <w:rFonts w:eastAsiaTheme="minorEastAsia" w:cs="Calibri"/>
                <w:sz w:val="21"/>
                <w:szCs w:val="22"/>
                <w:lang w:eastAsia="en-AU"/>
              </w:rPr>
              <w:t xml:space="preserve"> 456.1)</w:t>
            </w:r>
          </w:p>
        </w:tc>
      </w:tr>
      <w:tr w:rsidR="000B4A1E" w:rsidRPr="003D7EE9" w:rsidTr="00517E51">
        <w:tc>
          <w:tcPr>
            <w:tcW w:w="4244" w:type="dxa"/>
            <w:tcBorders>
              <w:top w:val="nil"/>
              <w:left w:val="nil"/>
              <w:bottom w:val="single" w:sz="6" w:space="0" w:color="auto"/>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Cash inflows</w:t>
            </w:r>
          </w:p>
        </w:tc>
        <w:tc>
          <w:tcPr>
            <w:tcW w:w="724" w:type="dxa"/>
            <w:tcBorders>
              <w:top w:val="nil"/>
              <w:left w:val="nil"/>
              <w:bottom w:val="single" w:sz="6" w:space="0" w:color="auto"/>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1 </w:t>
            </w:r>
            <w:r w:rsidRPr="003D7EE9">
              <w:rPr>
                <w:rFonts w:eastAsiaTheme="minorEastAsia" w:cs="Calibri"/>
                <w:sz w:val="21"/>
                <w:szCs w:val="22"/>
                <w:lang w:eastAsia="en-AU"/>
              </w:rPr>
              <w:t>056.4</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1 </w:t>
            </w:r>
            <w:r w:rsidRPr="003D7EE9">
              <w:rPr>
                <w:rFonts w:eastAsiaTheme="minorEastAsia" w:cs="Calibri"/>
                <w:sz w:val="21"/>
                <w:szCs w:val="22"/>
                <w:lang w:eastAsia="en-AU"/>
              </w:rPr>
              <w:t>449.4</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463.0</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625.0</w:t>
            </w:r>
          </w:p>
        </w:tc>
      </w:tr>
      <w:tr w:rsidR="000B4A1E" w:rsidRPr="00AD4A20" w:rsidTr="00517E51">
        <w:tc>
          <w:tcPr>
            <w:tcW w:w="4244" w:type="dxa"/>
            <w:tcBorders>
              <w:top w:val="nil"/>
              <w:left w:val="nil"/>
              <w:bottom w:val="nil"/>
              <w:right w:val="nil"/>
            </w:tcBorders>
            <w:shd w:val="solid" w:color="FFFFFF" w:fill="auto"/>
          </w:tcPr>
          <w:p w:rsidR="000B4A1E" w:rsidRPr="00AD4A20" w:rsidRDefault="000B4A1E" w:rsidP="00517E51">
            <w:pPr>
              <w:pStyle w:val="Tabletext"/>
              <w:rPr>
                <w:rFonts w:eastAsiaTheme="minorEastAsia"/>
                <w:b/>
                <w:sz w:val="21"/>
                <w:lang w:eastAsia="en-AU"/>
              </w:rPr>
            </w:pPr>
            <w:r w:rsidRPr="00AD4A20">
              <w:rPr>
                <w:rFonts w:eastAsiaTheme="minorEastAsia"/>
                <w:b/>
                <w:sz w:val="21"/>
                <w:lang w:eastAsia="en-AU"/>
              </w:rPr>
              <w:t>Net cash flows from investments in financial assets for policy purposes</w:t>
            </w:r>
          </w:p>
        </w:tc>
        <w:tc>
          <w:tcPr>
            <w:tcW w:w="724" w:type="dxa"/>
            <w:tcBorders>
              <w:top w:val="nil"/>
              <w:left w:val="nil"/>
              <w:bottom w:val="nil"/>
              <w:right w:val="nil"/>
            </w:tcBorders>
            <w:shd w:val="solid" w:color="FFFFFF" w:fill="auto"/>
          </w:tcPr>
          <w:p w:rsidR="000B4A1E" w:rsidRPr="00AD4A20" w:rsidRDefault="000B4A1E" w:rsidP="00517E51">
            <w:pPr>
              <w:pStyle w:val="TableTextCentred"/>
              <w:rPr>
                <w:rFonts w:eastAsiaTheme="minorEastAsia"/>
                <w:b/>
                <w:sz w:val="21"/>
                <w:lang w:eastAsia="en-AU"/>
              </w:rPr>
            </w:pPr>
            <w:r w:rsidRPr="00AD4A20">
              <w:rPr>
                <w:rFonts w:eastAsiaTheme="minorEastAsia"/>
                <w:b/>
                <w:sz w:val="21"/>
                <w:lang w:eastAsia="en-AU"/>
              </w:rPr>
              <w:t xml:space="preserve"> </w:t>
            </w:r>
          </w:p>
        </w:tc>
        <w:tc>
          <w:tcPr>
            <w:tcW w:w="1170" w:type="dxa"/>
            <w:gridSpan w:val="2"/>
            <w:tcBorders>
              <w:top w:val="nil"/>
              <w:left w:val="nil"/>
              <w:bottom w:val="nil"/>
              <w:right w:val="nil"/>
            </w:tcBorders>
            <w:shd w:val="solid" w:color="FFFFFF" w:fill="auto"/>
          </w:tcPr>
          <w:p w:rsidR="000B4A1E" w:rsidRPr="00AD4A20" w:rsidRDefault="000B4A1E" w:rsidP="00517E51">
            <w:pPr>
              <w:pStyle w:val="TableofFigures"/>
              <w:rPr>
                <w:rFonts w:eastAsiaTheme="minorEastAsia"/>
                <w:b/>
                <w:sz w:val="21"/>
                <w:lang w:eastAsia="en-AU"/>
              </w:rPr>
            </w:pPr>
            <w:r w:rsidRPr="00AD4A20">
              <w:rPr>
                <w:rFonts w:eastAsiaTheme="minorEastAsia"/>
                <w:b/>
                <w:sz w:val="21"/>
                <w:lang w:eastAsia="en-AU"/>
              </w:rPr>
              <w:t xml:space="preserve"> 262.6</w:t>
            </w:r>
          </w:p>
        </w:tc>
        <w:tc>
          <w:tcPr>
            <w:tcW w:w="1170" w:type="dxa"/>
            <w:tcBorders>
              <w:top w:val="nil"/>
              <w:left w:val="nil"/>
              <w:bottom w:val="nil"/>
              <w:right w:val="nil"/>
            </w:tcBorders>
            <w:shd w:val="solid" w:color="FFFFFF" w:fill="auto"/>
          </w:tcPr>
          <w:p w:rsidR="000B4A1E" w:rsidRPr="00AD4A20" w:rsidRDefault="000B4A1E" w:rsidP="00517E51">
            <w:pPr>
              <w:pStyle w:val="TableofFigures"/>
              <w:rPr>
                <w:rFonts w:eastAsiaTheme="minorEastAsia"/>
                <w:b/>
                <w:sz w:val="21"/>
                <w:lang w:eastAsia="en-AU"/>
              </w:rPr>
            </w:pPr>
            <w:r w:rsidRPr="00AD4A20">
              <w:rPr>
                <w:rFonts w:eastAsiaTheme="minorEastAsia"/>
                <w:b/>
                <w:sz w:val="21"/>
                <w:lang w:eastAsia="en-AU"/>
              </w:rPr>
              <w:t xml:space="preserve"> 36.4</w:t>
            </w:r>
          </w:p>
        </w:tc>
        <w:tc>
          <w:tcPr>
            <w:tcW w:w="1170" w:type="dxa"/>
            <w:gridSpan w:val="2"/>
            <w:tcBorders>
              <w:top w:val="nil"/>
              <w:left w:val="nil"/>
              <w:bottom w:val="nil"/>
              <w:right w:val="nil"/>
            </w:tcBorders>
            <w:shd w:val="solid" w:color="FFFFFF" w:fill="auto"/>
          </w:tcPr>
          <w:p w:rsidR="000B4A1E" w:rsidRPr="00AD4A20" w:rsidRDefault="000B4A1E" w:rsidP="00517E51">
            <w:pPr>
              <w:pStyle w:val="TableofFigures"/>
              <w:rPr>
                <w:rFonts w:eastAsiaTheme="minorEastAsia"/>
                <w:b/>
                <w:sz w:val="21"/>
                <w:lang w:eastAsia="en-AU"/>
              </w:rPr>
            </w:pPr>
            <w:r w:rsidRPr="00AD4A20">
              <w:rPr>
                <w:rFonts w:eastAsiaTheme="minorEastAsia"/>
                <w:b/>
                <w:sz w:val="21"/>
                <w:lang w:eastAsia="en-AU"/>
              </w:rPr>
              <w:t>(1 316.8)</w:t>
            </w:r>
          </w:p>
        </w:tc>
        <w:tc>
          <w:tcPr>
            <w:tcW w:w="1170" w:type="dxa"/>
            <w:tcBorders>
              <w:top w:val="nil"/>
              <w:left w:val="nil"/>
              <w:bottom w:val="nil"/>
              <w:right w:val="nil"/>
            </w:tcBorders>
            <w:shd w:val="solid" w:color="FFFFFF" w:fill="auto"/>
          </w:tcPr>
          <w:p w:rsidR="000B4A1E" w:rsidRPr="00AD4A20" w:rsidRDefault="000B4A1E" w:rsidP="00517E51">
            <w:pPr>
              <w:pStyle w:val="TableofFigures"/>
              <w:rPr>
                <w:rFonts w:eastAsiaTheme="minorEastAsia"/>
                <w:b/>
                <w:sz w:val="21"/>
                <w:lang w:eastAsia="en-AU"/>
              </w:rPr>
            </w:pPr>
            <w:r w:rsidRPr="00AD4A20">
              <w:rPr>
                <w:rFonts w:eastAsiaTheme="minorEastAsia"/>
                <w:b/>
                <w:sz w:val="21"/>
                <w:lang w:eastAsia="en-AU"/>
              </w:rPr>
              <w:t>(1 831.1)</w:t>
            </w:r>
          </w:p>
        </w:tc>
      </w:tr>
      <w:tr w:rsidR="000B4A1E" w:rsidRPr="003D7EE9" w:rsidTr="00517E51">
        <w:tc>
          <w:tcPr>
            <w:tcW w:w="4244" w:type="dxa"/>
            <w:tcBorders>
              <w:top w:val="nil"/>
              <w:left w:val="nil"/>
              <w:bottom w:val="single" w:sz="6" w:space="0" w:color="auto"/>
              <w:right w:val="nil"/>
            </w:tcBorders>
          </w:tcPr>
          <w:p w:rsidR="000B4A1E" w:rsidRPr="003D7EE9" w:rsidRDefault="000B4A1E" w:rsidP="00517E51">
            <w:pPr>
              <w:pStyle w:val="Tabletext"/>
              <w:rPr>
                <w:rFonts w:eastAsiaTheme="minorEastAsia" w:cs="Calibri"/>
                <w:sz w:val="21"/>
                <w:szCs w:val="22"/>
                <w:vertAlign w:val="superscript"/>
                <w:lang w:eastAsia="en-AU"/>
              </w:rPr>
            </w:pPr>
            <w:r w:rsidRPr="003D7EE9">
              <w:rPr>
                <w:rFonts w:eastAsiaTheme="minorEastAsia"/>
                <w:sz w:val="21"/>
                <w:lang w:eastAsia="en-AU"/>
              </w:rPr>
              <w:t xml:space="preserve">Net cash flows from investments in financial assets for liquidity management purposes </w:t>
            </w:r>
            <w:r w:rsidRPr="003D7EE9">
              <w:rPr>
                <w:rFonts w:eastAsiaTheme="minorEastAsia"/>
                <w:sz w:val="21"/>
                <w:vertAlign w:val="superscript"/>
                <w:lang w:eastAsia="en-AU"/>
              </w:rPr>
              <w:t>(c)(</w:t>
            </w:r>
            <w:r w:rsidRPr="003D7EE9">
              <w:rPr>
                <w:rFonts w:eastAsiaTheme="minorEastAsia" w:cs="Calibri"/>
                <w:sz w:val="21"/>
                <w:szCs w:val="22"/>
                <w:vertAlign w:val="superscript"/>
                <w:lang w:eastAsia="en-AU"/>
              </w:rPr>
              <w:t>d)</w:t>
            </w:r>
          </w:p>
        </w:tc>
        <w:tc>
          <w:tcPr>
            <w:tcW w:w="724" w:type="dxa"/>
            <w:tcBorders>
              <w:top w:val="nil"/>
              <w:left w:val="nil"/>
              <w:bottom w:val="single" w:sz="6" w:space="0" w:color="auto"/>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520.5</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191.7</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(1 174.0)</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126.8</w:t>
            </w:r>
          </w:p>
        </w:tc>
      </w:tr>
      <w:tr w:rsidR="000B4A1E" w:rsidRPr="003D7EE9" w:rsidTr="00517E51">
        <w:tc>
          <w:tcPr>
            <w:tcW w:w="4244" w:type="dxa"/>
            <w:tcBorders>
              <w:top w:val="single" w:sz="6" w:space="0" w:color="auto"/>
              <w:left w:val="nil"/>
              <w:bottom w:val="nil"/>
              <w:right w:val="nil"/>
            </w:tcBorders>
          </w:tcPr>
          <w:p w:rsidR="000B4A1E" w:rsidRPr="003D7EE9" w:rsidRDefault="000B4A1E" w:rsidP="00517E51">
            <w:pPr>
              <w:pStyle w:val="Tabletext"/>
              <w:rPr>
                <w:rFonts w:eastAsiaTheme="minorEastAsia"/>
                <w:b/>
                <w:bCs/>
                <w:sz w:val="21"/>
                <w:lang w:eastAsia="en-AU"/>
              </w:rPr>
            </w:pPr>
            <w:r w:rsidRPr="003D7EE9">
              <w:rPr>
                <w:rFonts w:eastAsiaTheme="minorEastAsia"/>
                <w:b/>
                <w:bCs/>
                <w:sz w:val="21"/>
                <w:lang w:eastAsia="en-AU"/>
              </w:rPr>
              <w:t>Net cash flows from investing activities</w:t>
            </w:r>
          </w:p>
        </w:tc>
        <w:tc>
          <w:tcPr>
            <w:tcW w:w="724" w:type="dxa"/>
            <w:tcBorders>
              <w:top w:val="single" w:sz="6" w:space="0" w:color="auto"/>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single" w:sz="6" w:space="0" w:color="auto"/>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(6 408.4)</w:t>
            </w:r>
          </w:p>
        </w:tc>
        <w:tc>
          <w:tcPr>
            <w:tcW w:w="1170" w:type="dxa"/>
            <w:tcBorders>
              <w:top w:val="single" w:sz="6" w:space="0" w:color="auto"/>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(6 994.0)</w:t>
            </w:r>
          </w:p>
        </w:tc>
        <w:tc>
          <w:tcPr>
            <w:tcW w:w="1170" w:type="dxa"/>
            <w:gridSpan w:val="2"/>
            <w:tcBorders>
              <w:top w:val="single" w:sz="6" w:space="0" w:color="auto"/>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(6 375.9)</w:t>
            </w:r>
          </w:p>
        </w:tc>
        <w:tc>
          <w:tcPr>
            <w:tcW w:w="1170" w:type="dxa"/>
            <w:tcBorders>
              <w:top w:val="single" w:sz="6" w:space="0" w:color="auto"/>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(5 102.1)</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b/>
                <w:bCs/>
                <w:sz w:val="21"/>
                <w:lang w:eastAsia="en-AU"/>
              </w:rPr>
            </w:pPr>
            <w:r w:rsidRPr="003D7EE9">
              <w:rPr>
                <w:rFonts w:eastAsiaTheme="minorEastAsia"/>
                <w:b/>
                <w:bCs/>
                <w:sz w:val="21"/>
                <w:lang w:eastAsia="en-AU"/>
              </w:rPr>
              <w:t>Cash flows from financing activities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Advances received</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304.5</w:t>
            </w:r>
          </w:p>
        </w:tc>
        <w:tc>
          <w:tcPr>
            <w:tcW w:w="1170" w:type="dxa"/>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2.9</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Pr>
                <w:rFonts w:eastAsiaTheme="minorEastAsia"/>
                <w:sz w:val="21"/>
                <w:lang w:eastAsia="en-AU"/>
              </w:rPr>
              <w:t>..</w:t>
            </w:r>
          </w:p>
        </w:tc>
        <w:tc>
          <w:tcPr>
            <w:tcW w:w="1170" w:type="dxa"/>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Pr>
                <w:rFonts w:eastAsiaTheme="minorEastAsia"/>
                <w:sz w:val="21"/>
                <w:lang w:eastAsia="en-AU"/>
              </w:rPr>
              <w:t>..</w:t>
            </w:r>
          </w:p>
        </w:tc>
      </w:tr>
      <w:tr w:rsidR="000B4A1E" w:rsidRPr="003D7EE9" w:rsidTr="00517E51">
        <w:tc>
          <w:tcPr>
            <w:tcW w:w="4244" w:type="dxa"/>
            <w:tcBorders>
              <w:top w:val="nil"/>
              <w:left w:val="nil"/>
              <w:bottom w:val="single" w:sz="6" w:space="0" w:color="auto"/>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Advances repaid</w:t>
            </w:r>
          </w:p>
        </w:tc>
        <w:tc>
          <w:tcPr>
            <w:tcW w:w="724" w:type="dxa"/>
            <w:tcBorders>
              <w:top w:val="nil"/>
              <w:left w:val="nil"/>
              <w:bottom w:val="single" w:sz="6" w:space="0" w:color="auto"/>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w:t>
            </w:r>
            <w:r w:rsidRPr="003D7EE9">
              <w:rPr>
                <w:rFonts w:eastAsiaTheme="minorEastAsia" w:cs="Calibri"/>
                <w:sz w:val="21"/>
                <w:szCs w:val="22"/>
                <w:lang w:eastAsia="en-AU"/>
              </w:rPr>
              <w:t>9.7)</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w:t>
            </w:r>
            <w:r w:rsidRPr="003D7EE9">
              <w:rPr>
                <w:rFonts w:eastAsiaTheme="minorEastAsia" w:cs="Calibri"/>
                <w:sz w:val="21"/>
                <w:szCs w:val="22"/>
                <w:lang w:eastAsia="en-AU"/>
              </w:rPr>
              <w:t>856.6)</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w:t>
            </w:r>
            <w:r w:rsidRPr="003D7EE9">
              <w:rPr>
                <w:rFonts w:eastAsiaTheme="minorEastAsia" w:cs="Calibri"/>
                <w:sz w:val="21"/>
                <w:szCs w:val="22"/>
                <w:lang w:eastAsia="en-AU"/>
              </w:rPr>
              <w:t>0.2)</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w:t>
            </w:r>
            <w:r w:rsidRPr="003D7EE9">
              <w:rPr>
                <w:rFonts w:eastAsiaTheme="minorEastAsia" w:cs="Calibri"/>
                <w:sz w:val="21"/>
                <w:szCs w:val="22"/>
                <w:lang w:eastAsia="en-AU"/>
              </w:rPr>
              <w:t>0.5)</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Advances received (net)</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294.8</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( 853.7)</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( 0.2)</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( 0.5)</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Borrowings received</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12 </w:t>
            </w:r>
            <w:r w:rsidRPr="003D7EE9">
              <w:rPr>
                <w:rFonts w:eastAsiaTheme="minorEastAsia" w:cs="Calibri"/>
                <w:sz w:val="21"/>
                <w:szCs w:val="22"/>
                <w:lang w:eastAsia="en-AU"/>
              </w:rPr>
              <w:t>483.6</w:t>
            </w:r>
          </w:p>
        </w:tc>
        <w:tc>
          <w:tcPr>
            <w:tcW w:w="1170" w:type="dxa"/>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12 </w:t>
            </w:r>
            <w:r w:rsidRPr="003D7EE9">
              <w:rPr>
                <w:rFonts w:eastAsiaTheme="minorEastAsia" w:cs="Calibri"/>
                <w:sz w:val="21"/>
                <w:szCs w:val="22"/>
                <w:lang w:eastAsia="en-AU"/>
              </w:rPr>
              <w:t>595.7</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3 </w:t>
            </w:r>
            <w:r w:rsidRPr="003D7EE9">
              <w:rPr>
                <w:rFonts w:eastAsiaTheme="minorEastAsia" w:cs="Calibri"/>
                <w:sz w:val="21"/>
                <w:szCs w:val="22"/>
                <w:lang w:eastAsia="en-AU"/>
              </w:rPr>
              <w:t>672.1</w:t>
            </w:r>
          </w:p>
        </w:tc>
        <w:tc>
          <w:tcPr>
            <w:tcW w:w="1170" w:type="dxa"/>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3 </w:t>
            </w:r>
            <w:r w:rsidRPr="003D7EE9">
              <w:rPr>
                <w:rFonts w:eastAsiaTheme="minorEastAsia" w:cs="Calibri"/>
                <w:sz w:val="21"/>
                <w:szCs w:val="22"/>
                <w:lang w:eastAsia="en-AU"/>
              </w:rPr>
              <w:t>837.0</w:t>
            </w:r>
          </w:p>
        </w:tc>
      </w:tr>
      <w:tr w:rsidR="000B4A1E" w:rsidRPr="003D7EE9" w:rsidTr="00517E51">
        <w:tc>
          <w:tcPr>
            <w:tcW w:w="4244" w:type="dxa"/>
            <w:tcBorders>
              <w:top w:val="nil"/>
              <w:left w:val="nil"/>
              <w:bottom w:val="single" w:sz="6" w:space="0" w:color="auto"/>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Borrowings repaid</w:t>
            </w:r>
          </w:p>
        </w:tc>
        <w:tc>
          <w:tcPr>
            <w:tcW w:w="724" w:type="dxa"/>
            <w:tcBorders>
              <w:top w:val="nil"/>
              <w:left w:val="nil"/>
              <w:bottom w:val="single" w:sz="6" w:space="0" w:color="auto"/>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(9</w:t>
            </w:r>
            <w:r w:rsidRPr="003D7EE9">
              <w:rPr>
                <w:rFonts w:eastAsiaTheme="minorEastAsia" w:cs="Calibri"/>
                <w:sz w:val="21"/>
                <w:szCs w:val="22"/>
                <w:lang w:eastAsia="en-AU"/>
              </w:rPr>
              <w:t xml:space="preserve"> 501.8)</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(7</w:t>
            </w:r>
            <w:r w:rsidRPr="003D7EE9">
              <w:rPr>
                <w:rFonts w:eastAsiaTheme="minorEastAsia" w:cs="Calibri"/>
                <w:sz w:val="21"/>
                <w:szCs w:val="22"/>
                <w:lang w:eastAsia="en-AU"/>
              </w:rPr>
              <w:t xml:space="preserve"> 759.2)</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w:t>
            </w:r>
            <w:r w:rsidRPr="003D7EE9">
              <w:rPr>
                <w:rFonts w:eastAsiaTheme="minorEastAsia" w:cs="Calibri"/>
                <w:sz w:val="21"/>
                <w:szCs w:val="22"/>
                <w:lang w:eastAsia="en-AU"/>
              </w:rPr>
              <w:t>110.6)</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w:t>
            </w:r>
            <w:r w:rsidRPr="003D7EE9">
              <w:rPr>
                <w:rFonts w:eastAsiaTheme="minorEastAsia" w:cs="Calibri"/>
                <w:sz w:val="21"/>
                <w:szCs w:val="22"/>
                <w:lang w:eastAsia="en-AU"/>
              </w:rPr>
              <w:t>97.5)</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Net borrowings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2 981.8</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4 836.5</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3 561.5</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3 739.5</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Deposits received</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508.9</w:t>
            </w:r>
          </w:p>
        </w:tc>
        <w:tc>
          <w:tcPr>
            <w:tcW w:w="1170" w:type="dxa"/>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720.8</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301.5</w:t>
            </w:r>
          </w:p>
        </w:tc>
        <w:tc>
          <w:tcPr>
            <w:tcW w:w="1170" w:type="dxa"/>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417.5</w:t>
            </w:r>
          </w:p>
        </w:tc>
      </w:tr>
      <w:tr w:rsidR="000B4A1E" w:rsidRPr="003D7EE9" w:rsidTr="00517E51">
        <w:tc>
          <w:tcPr>
            <w:tcW w:w="4244" w:type="dxa"/>
            <w:tcBorders>
              <w:top w:val="nil"/>
              <w:left w:val="nil"/>
              <w:bottom w:val="single" w:sz="6" w:space="0" w:color="auto"/>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Deposits repaid</w:t>
            </w:r>
          </w:p>
        </w:tc>
        <w:tc>
          <w:tcPr>
            <w:tcW w:w="724" w:type="dxa"/>
            <w:tcBorders>
              <w:top w:val="nil"/>
              <w:left w:val="nil"/>
              <w:bottom w:val="single" w:sz="6" w:space="0" w:color="auto"/>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167.9</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w:t>
            </w:r>
            <w:r w:rsidRPr="003D7EE9">
              <w:rPr>
                <w:rFonts w:eastAsiaTheme="minorEastAsia" w:cs="Calibri"/>
                <w:sz w:val="21"/>
                <w:szCs w:val="22"/>
                <w:lang w:eastAsia="en-AU"/>
              </w:rPr>
              <w:t>826.2)</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w:t>
            </w:r>
            <w:r w:rsidRPr="003D7EE9">
              <w:rPr>
                <w:rFonts w:eastAsiaTheme="minorEastAsia" w:cs="Calibri"/>
                <w:sz w:val="21"/>
                <w:szCs w:val="22"/>
                <w:lang w:eastAsia="en-AU"/>
              </w:rPr>
              <w:t>218.5)</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w:t>
            </w:r>
            <w:r w:rsidRPr="003D7EE9">
              <w:rPr>
                <w:rFonts w:eastAsiaTheme="minorEastAsia" w:cs="Calibri"/>
                <w:sz w:val="21"/>
                <w:szCs w:val="22"/>
                <w:lang w:eastAsia="en-AU"/>
              </w:rPr>
              <w:t>478.2)</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pageBreakBefore/>
              <w:ind w:left="187" w:hanging="187"/>
              <w:rPr>
                <w:rFonts w:eastAsiaTheme="minorEastAsia"/>
                <w:sz w:val="21"/>
                <w:lang w:eastAsia="en-AU"/>
              </w:rPr>
            </w:pPr>
            <w:r w:rsidRPr="003D7EE9">
              <w:rPr>
                <w:rFonts w:eastAsiaTheme="minorEastAsia"/>
                <w:sz w:val="21"/>
                <w:lang w:eastAsia="en-AU"/>
              </w:rPr>
              <w:lastRenderedPageBreak/>
              <w:t>Deposits received (net)</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676.8</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( 105.4)</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82.9</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( 60.7)</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Other financing inflows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w:t>
            </w:r>
          </w:p>
        </w:tc>
        <w:tc>
          <w:tcPr>
            <w:tcW w:w="1170" w:type="dxa"/>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w:t>
            </w:r>
          </w:p>
        </w:tc>
        <w:tc>
          <w:tcPr>
            <w:tcW w:w="1170" w:type="dxa"/>
            <w:tcBorders>
              <w:top w:val="nil"/>
              <w:left w:val="nil"/>
              <w:bottom w:val="nil"/>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w:t>
            </w:r>
          </w:p>
        </w:tc>
      </w:tr>
      <w:tr w:rsidR="000B4A1E" w:rsidRPr="003D7EE9" w:rsidTr="00517E51">
        <w:tc>
          <w:tcPr>
            <w:tcW w:w="4244" w:type="dxa"/>
            <w:tcBorders>
              <w:top w:val="nil"/>
              <w:left w:val="nil"/>
              <w:bottom w:val="single" w:sz="6" w:space="0" w:color="auto"/>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Other financing outflows</w:t>
            </w:r>
          </w:p>
        </w:tc>
        <w:tc>
          <w:tcPr>
            <w:tcW w:w="724" w:type="dxa"/>
            <w:tcBorders>
              <w:top w:val="nil"/>
              <w:left w:val="nil"/>
              <w:bottom w:val="single" w:sz="6" w:space="0" w:color="auto"/>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 xml:space="preserve"> 1.7</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cs="Calibri"/>
                <w:sz w:val="21"/>
                <w:szCs w:val="22"/>
                <w:lang w:eastAsia="en-AU"/>
              </w:rPr>
            </w:pPr>
            <w:r w:rsidRPr="003D7EE9">
              <w:rPr>
                <w:rFonts w:eastAsiaTheme="minorEastAsia"/>
                <w:sz w:val="21"/>
                <w:lang w:eastAsia="en-AU"/>
              </w:rPr>
              <w:t>..</w:t>
            </w:r>
          </w:p>
        </w:tc>
      </w:tr>
      <w:tr w:rsidR="000B4A1E" w:rsidRPr="003D7EE9" w:rsidTr="00517E51">
        <w:tc>
          <w:tcPr>
            <w:tcW w:w="4244" w:type="dxa"/>
            <w:tcBorders>
              <w:top w:val="nil"/>
              <w:left w:val="nil"/>
              <w:bottom w:val="nil"/>
              <w:right w:val="nil"/>
            </w:tcBorders>
            <w:shd w:val="solid" w:color="FFFFFF" w:fill="auto"/>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Other financing (net)</w:t>
            </w:r>
          </w:p>
        </w:tc>
        <w:tc>
          <w:tcPr>
            <w:tcW w:w="724" w:type="dxa"/>
            <w:tcBorders>
              <w:top w:val="nil"/>
              <w:left w:val="nil"/>
              <w:bottom w:val="nil"/>
              <w:right w:val="nil"/>
            </w:tcBorders>
            <w:shd w:val="solid" w:color="FFFFFF" w:fill="auto"/>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shd w:val="solid" w:color="FFFFFF" w:fill="auto"/>
          </w:tcPr>
          <w:p w:rsidR="000B4A1E" w:rsidRPr="003D7EE9" w:rsidRDefault="000B4A1E" w:rsidP="00517E51">
            <w:pPr>
              <w:pStyle w:val="TableofFigures"/>
              <w:rPr>
                <w:rFonts w:eastAsiaTheme="minorEastAsia"/>
                <w:sz w:val="21"/>
                <w:lang w:eastAsia="en-AU"/>
              </w:rPr>
            </w:pPr>
            <w:r>
              <w:rPr>
                <w:rFonts w:eastAsiaTheme="minorEastAsia"/>
                <w:sz w:val="21"/>
                <w:lang w:eastAsia="en-AU"/>
              </w:rPr>
              <w:t>..</w:t>
            </w:r>
          </w:p>
        </w:tc>
        <w:tc>
          <w:tcPr>
            <w:tcW w:w="1170" w:type="dxa"/>
            <w:tcBorders>
              <w:top w:val="nil"/>
              <w:left w:val="nil"/>
              <w:bottom w:val="nil"/>
              <w:right w:val="nil"/>
            </w:tcBorders>
            <w:shd w:val="solid" w:color="FFFFFF" w:fill="auto"/>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 xml:space="preserve"> 1.7</w:t>
            </w:r>
          </w:p>
        </w:tc>
        <w:tc>
          <w:tcPr>
            <w:tcW w:w="1170" w:type="dxa"/>
            <w:gridSpan w:val="2"/>
            <w:tcBorders>
              <w:top w:val="nil"/>
              <w:left w:val="nil"/>
              <w:bottom w:val="nil"/>
              <w:right w:val="nil"/>
            </w:tcBorders>
            <w:shd w:val="solid" w:color="FFFFFF" w:fill="auto"/>
          </w:tcPr>
          <w:p w:rsidR="000B4A1E" w:rsidRPr="003D7EE9" w:rsidRDefault="000B4A1E" w:rsidP="00517E51">
            <w:pPr>
              <w:pStyle w:val="TableofFigures"/>
              <w:rPr>
                <w:rFonts w:eastAsiaTheme="minorEastAsia"/>
                <w:sz w:val="21"/>
                <w:lang w:eastAsia="en-AU"/>
              </w:rPr>
            </w:pPr>
            <w:r>
              <w:rPr>
                <w:rFonts w:eastAsiaTheme="minorEastAsia"/>
                <w:sz w:val="21"/>
                <w:lang w:eastAsia="en-AU"/>
              </w:rPr>
              <w:t>..</w:t>
            </w:r>
          </w:p>
        </w:tc>
        <w:tc>
          <w:tcPr>
            <w:tcW w:w="1170" w:type="dxa"/>
            <w:tcBorders>
              <w:top w:val="nil"/>
              <w:left w:val="nil"/>
              <w:bottom w:val="nil"/>
              <w:right w:val="nil"/>
            </w:tcBorders>
            <w:shd w:val="solid" w:color="FFFFFF" w:fill="auto"/>
          </w:tcPr>
          <w:p w:rsidR="000B4A1E" w:rsidRPr="003D7EE9" w:rsidRDefault="000B4A1E" w:rsidP="00517E51">
            <w:pPr>
              <w:pStyle w:val="TableofFigures"/>
              <w:rPr>
                <w:rFonts w:eastAsiaTheme="minorEastAsia" w:cs="Calibri"/>
                <w:color w:val="0000FF"/>
                <w:szCs w:val="22"/>
                <w:lang w:eastAsia="en-AU"/>
              </w:rPr>
            </w:pPr>
            <w:r>
              <w:rPr>
                <w:rFonts w:eastAsiaTheme="minorEastAsia"/>
                <w:sz w:val="21"/>
                <w:lang w:eastAsia="en-AU"/>
              </w:rPr>
              <w:t>..</w:t>
            </w:r>
          </w:p>
        </w:tc>
      </w:tr>
      <w:tr w:rsidR="000B4A1E" w:rsidRPr="003D7EE9" w:rsidTr="00517E51">
        <w:tc>
          <w:tcPr>
            <w:tcW w:w="4244" w:type="dxa"/>
            <w:tcBorders>
              <w:top w:val="single" w:sz="6" w:space="0" w:color="auto"/>
              <w:left w:val="nil"/>
              <w:bottom w:val="single" w:sz="6" w:space="0" w:color="auto"/>
              <w:right w:val="nil"/>
            </w:tcBorders>
          </w:tcPr>
          <w:p w:rsidR="000B4A1E" w:rsidRPr="003D7EE9" w:rsidRDefault="000B4A1E" w:rsidP="00517E51">
            <w:pPr>
              <w:pStyle w:val="Tabletext"/>
              <w:rPr>
                <w:rFonts w:eastAsiaTheme="minorEastAsia"/>
                <w:b/>
                <w:bCs/>
                <w:sz w:val="21"/>
                <w:lang w:eastAsia="en-AU"/>
              </w:rPr>
            </w:pPr>
            <w:r w:rsidRPr="003D7EE9">
              <w:rPr>
                <w:rFonts w:eastAsiaTheme="minorEastAsia"/>
                <w:b/>
                <w:bCs/>
                <w:sz w:val="21"/>
                <w:lang w:eastAsia="en-AU"/>
              </w:rPr>
              <w:t>Net cash flows from financing activities</w:t>
            </w:r>
          </w:p>
        </w:tc>
        <w:tc>
          <w:tcPr>
            <w:tcW w:w="724" w:type="dxa"/>
            <w:tcBorders>
              <w:top w:val="single" w:sz="6" w:space="0" w:color="auto"/>
              <w:left w:val="nil"/>
              <w:bottom w:val="single" w:sz="6" w:space="0" w:color="auto"/>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single" w:sz="6" w:space="0" w:color="auto"/>
              <w:left w:val="nil"/>
              <w:bottom w:val="single" w:sz="6"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3 953.4</w:t>
            </w:r>
          </w:p>
        </w:tc>
        <w:tc>
          <w:tcPr>
            <w:tcW w:w="1170" w:type="dxa"/>
            <w:tcBorders>
              <w:top w:val="single" w:sz="6" w:space="0" w:color="auto"/>
              <w:left w:val="nil"/>
              <w:bottom w:val="single" w:sz="6"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3 879.1</w:t>
            </w:r>
          </w:p>
        </w:tc>
        <w:tc>
          <w:tcPr>
            <w:tcW w:w="1170" w:type="dxa"/>
            <w:gridSpan w:val="2"/>
            <w:tcBorders>
              <w:top w:val="single" w:sz="6" w:space="0" w:color="auto"/>
              <w:left w:val="nil"/>
              <w:bottom w:val="single" w:sz="6"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3 644.2</w:t>
            </w:r>
          </w:p>
        </w:tc>
        <w:tc>
          <w:tcPr>
            <w:tcW w:w="1170" w:type="dxa"/>
            <w:tcBorders>
              <w:top w:val="single" w:sz="6" w:space="0" w:color="auto"/>
              <w:left w:val="nil"/>
              <w:bottom w:val="single" w:sz="6"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3 678.3</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b/>
                <w:bCs/>
                <w:sz w:val="21"/>
                <w:lang w:eastAsia="en-AU"/>
              </w:rPr>
            </w:pPr>
            <w:r w:rsidRPr="003D7EE9">
              <w:rPr>
                <w:rFonts w:eastAsiaTheme="minorEastAsia"/>
                <w:b/>
                <w:bCs/>
                <w:sz w:val="21"/>
                <w:lang w:eastAsia="en-AU"/>
              </w:rPr>
              <w:t>Net increase/(decrease) in cash and cash equivalents</w:t>
            </w:r>
          </w:p>
        </w:tc>
        <w:tc>
          <w:tcPr>
            <w:tcW w:w="724" w:type="dxa"/>
            <w:tcBorders>
              <w:top w:val="single" w:sz="6" w:space="0" w:color="auto"/>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 xml:space="preserve"> 197.2</w:t>
            </w:r>
          </w:p>
        </w:tc>
        <w:tc>
          <w:tcPr>
            <w:tcW w:w="1170" w:type="dxa"/>
            <w:tcBorders>
              <w:top w:val="nil"/>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 xml:space="preserve"> 890.5</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cs="Calibri"/>
                <w:b/>
                <w:bCs/>
                <w:sz w:val="21"/>
                <w:szCs w:val="22"/>
                <w:lang w:eastAsia="en-AU"/>
              </w:rPr>
            </w:pPr>
            <w:r w:rsidRPr="003D7EE9">
              <w:rPr>
                <w:rFonts w:eastAsiaTheme="minorEastAsia"/>
                <w:b/>
                <w:bCs/>
                <w:sz w:val="21"/>
                <w:lang w:eastAsia="en-AU"/>
              </w:rPr>
              <w:t>(1 039.4)</w:t>
            </w:r>
          </w:p>
        </w:tc>
        <w:tc>
          <w:tcPr>
            <w:tcW w:w="1170" w:type="dxa"/>
            <w:tcBorders>
              <w:top w:val="nil"/>
              <w:left w:val="nil"/>
              <w:bottom w:val="nil"/>
              <w:right w:val="nil"/>
            </w:tcBorders>
          </w:tcPr>
          <w:p w:rsidR="000B4A1E" w:rsidRPr="003D7EE9" w:rsidRDefault="000B4A1E" w:rsidP="00517E51">
            <w:pPr>
              <w:pStyle w:val="TableofFigures"/>
              <w:rPr>
                <w:rFonts w:eastAsiaTheme="minorEastAsia" w:cs="Calibri"/>
                <w:b/>
                <w:bCs/>
                <w:sz w:val="21"/>
                <w:szCs w:val="22"/>
                <w:lang w:eastAsia="en-AU"/>
              </w:rPr>
            </w:pPr>
            <w:r w:rsidRPr="003D7EE9">
              <w:rPr>
                <w:rFonts w:eastAsiaTheme="minorEastAsia"/>
                <w:b/>
                <w:bCs/>
                <w:sz w:val="21"/>
                <w:lang w:eastAsia="en-AU"/>
              </w:rPr>
              <w:t>1 333.7</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Cash and cash equivalents at beginning of the financial year</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6 055.6</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5 165.1</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5 001.3</w:t>
            </w:r>
          </w:p>
        </w:tc>
        <w:tc>
          <w:tcPr>
            <w:tcW w:w="1170" w:type="dxa"/>
            <w:tcBorders>
              <w:top w:val="nil"/>
              <w:left w:val="nil"/>
              <w:bottom w:val="nil"/>
              <w:right w:val="nil"/>
            </w:tcBorders>
          </w:tcPr>
          <w:p w:rsidR="000B4A1E" w:rsidRPr="003D7EE9" w:rsidRDefault="000B4A1E" w:rsidP="00517E51">
            <w:pPr>
              <w:pStyle w:val="TableofFigures"/>
              <w:rPr>
                <w:rFonts w:eastAsiaTheme="minorEastAsia"/>
                <w:sz w:val="21"/>
                <w:lang w:eastAsia="en-AU"/>
              </w:rPr>
            </w:pPr>
            <w:r w:rsidRPr="003D7EE9">
              <w:rPr>
                <w:rFonts w:eastAsiaTheme="minorEastAsia"/>
                <w:sz w:val="21"/>
                <w:lang w:eastAsia="en-AU"/>
              </w:rPr>
              <w:t>3 667.6</w:t>
            </w:r>
          </w:p>
        </w:tc>
      </w:tr>
      <w:tr w:rsidR="000B4A1E" w:rsidRPr="003D7EE9" w:rsidTr="00517E51">
        <w:tc>
          <w:tcPr>
            <w:tcW w:w="4244" w:type="dxa"/>
            <w:tcBorders>
              <w:top w:val="single" w:sz="6" w:space="0" w:color="auto"/>
              <w:left w:val="nil"/>
              <w:bottom w:val="single" w:sz="12" w:space="0" w:color="auto"/>
              <w:right w:val="nil"/>
            </w:tcBorders>
          </w:tcPr>
          <w:p w:rsidR="000B4A1E" w:rsidRPr="003D7EE9" w:rsidRDefault="000B4A1E" w:rsidP="00517E51">
            <w:pPr>
              <w:pStyle w:val="Tabletext"/>
              <w:rPr>
                <w:rFonts w:eastAsiaTheme="minorEastAsia" w:cs="Calibri"/>
                <w:b/>
                <w:bCs/>
                <w:sz w:val="21"/>
                <w:szCs w:val="22"/>
                <w:vertAlign w:val="superscript"/>
                <w:lang w:eastAsia="en-AU"/>
              </w:rPr>
            </w:pPr>
            <w:r w:rsidRPr="003D7EE9">
              <w:rPr>
                <w:rFonts w:eastAsiaTheme="minorEastAsia"/>
                <w:b/>
                <w:bCs/>
                <w:sz w:val="21"/>
                <w:lang w:eastAsia="en-AU"/>
              </w:rPr>
              <w:t xml:space="preserve">Cash and cash equivalents at end of the financial year </w:t>
            </w:r>
            <w:r w:rsidRPr="003D7EE9">
              <w:rPr>
                <w:rFonts w:eastAsiaTheme="minorEastAsia" w:cs="Calibri"/>
                <w:b/>
                <w:bCs/>
                <w:sz w:val="21"/>
                <w:szCs w:val="22"/>
                <w:vertAlign w:val="superscript"/>
                <w:lang w:eastAsia="en-AU"/>
              </w:rPr>
              <w:t>(d)</w:t>
            </w:r>
          </w:p>
        </w:tc>
        <w:tc>
          <w:tcPr>
            <w:tcW w:w="724" w:type="dxa"/>
            <w:tcBorders>
              <w:top w:val="single" w:sz="6" w:space="0" w:color="auto"/>
              <w:left w:val="nil"/>
              <w:bottom w:val="single" w:sz="12" w:space="0" w:color="auto"/>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29(a)</w:t>
            </w:r>
          </w:p>
        </w:tc>
        <w:tc>
          <w:tcPr>
            <w:tcW w:w="1170" w:type="dxa"/>
            <w:gridSpan w:val="2"/>
            <w:tcBorders>
              <w:top w:val="single" w:sz="6" w:space="0" w:color="auto"/>
              <w:left w:val="nil"/>
              <w:bottom w:val="single" w:sz="12"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6 252.9</w:t>
            </w:r>
          </w:p>
        </w:tc>
        <w:tc>
          <w:tcPr>
            <w:tcW w:w="1170" w:type="dxa"/>
            <w:tcBorders>
              <w:top w:val="single" w:sz="6" w:space="0" w:color="auto"/>
              <w:left w:val="nil"/>
              <w:bottom w:val="single" w:sz="12"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6 055.6</w:t>
            </w:r>
          </w:p>
        </w:tc>
        <w:tc>
          <w:tcPr>
            <w:tcW w:w="1170" w:type="dxa"/>
            <w:gridSpan w:val="2"/>
            <w:tcBorders>
              <w:top w:val="single" w:sz="6" w:space="0" w:color="auto"/>
              <w:left w:val="nil"/>
              <w:bottom w:val="single" w:sz="12"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3 962.0</w:t>
            </w:r>
          </w:p>
        </w:tc>
        <w:tc>
          <w:tcPr>
            <w:tcW w:w="1170" w:type="dxa"/>
            <w:tcBorders>
              <w:top w:val="single" w:sz="6" w:space="0" w:color="auto"/>
              <w:left w:val="nil"/>
              <w:bottom w:val="single" w:sz="12"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5 001.3</w:t>
            </w:r>
          </w:p>
        </w:tc>
      </w:tr>
      <w:tr w:rsidR="000B4A1E" w:rsidRPr="003D7EE9" w:rsidTr="00517E51">
        <w:tc>
          <w:tcPr>
            <w:tcW w:w="4244" w:type="dxa"/>
            <w:tcBorders>
              <w:top w:val="nil"/>
              <w:left w:val="nil"/>
              <w:bottom w:val="nil"/>
              <w:right w:val="nil"/>
            </w:tcBorders>
            <w:shd w:val="solid" w:color="FFFFFF" w:fill="auto"/>
          </w:tcPr>
          <w:p w:rsidR="000B4A1E" w:rsidRPr="003D7EE9" w:rsidRDefault="000B4A1E" w:rsidP="00517E51">
            <w:pPr>
              <w:pStyle w:val="Tabletext"/>
              <w:rPr>
                <w:rFonts w:eastAsiaTheme="minorEastAsia"/>
                <w:b/>
                <w:bCs/>
                <w:sz w:val="21"/>
                <w:lang w:eastAsia="en-AU"/>
              </w:rPr>
            </w:pPr>
            <w:r w:rsidRPr="003D7EE9">
              <w:rPr>
                <w:rFonts w:eastAsiaTheme="minorEastAsia"/>
                <w:b/>
                <w:bCs/>
                <w:sz w:val="21"/>
                <w:lang w:eastAsia="en-AU"/>
              </w:rPr>
              <w:t>FISCAL AGGREGATES</w:t>
            </w:r>
          </w:p>
        </w:tc>
        <w:tc>
          <w:tcPr>
            <w:tcW w:w="724" w:type="dxa"/>
            <w:tcBorders>
              <w:top w:val="nil"/>
              <w:left w:val="nil"/>
              <w:bottom w:val="nil"/>
              <w:right w:val="nil"/>
            </w:tcBorders>
            <w:shd w:val="solid" w:color="FFFFFF" w:fill="auto"/>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shd w:val="solid" w:color="FFFFFF" w:fill="auto"/>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 xml:space="preserve">  </w:t>
            </w:r>
          </w:p>
        </w:tc>
        <w:tc>
          <w:tcPr>
            <w:tcW w:w="1170" w:type="dxa"/>
            <w:tcBorders>
              <w:top w:val="nil"/>
              <w:left w:val="nil"/>
              <w:bottom w:val="nil"/>
              <w:right w:val="nil"/>
            </w:tcBorders>
            <w:shd w:val="solid" w:color="FFFFFF" w:fill="auto"/>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 xml:space="preserve">  </w:t>
            </w:r>
          </w:p>
        </w:tc>
        <w:tc>
          <w:tcPr>
            <w:tcW w:w="1170" w:type="dxa"/>
            <w:gridSpan w:val="2"/>
            <w:tcBorders>
              <w:top w:val="nil"/>
              <w:left w:val="nil"/>
              <w:bottom w:val="nil"/>
              <w:right w:val="nil"/>
            </w:tcBorders>
            <w:shd w:val="solid" w:color="FFFFFF" w:fill="auto"/>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 xml:space="preserve">  </w:t>
            </w:r>
          </w:p>
        </w:tc>
        <w:tc>
          <w:tcPr>
            <w:tcW w:w="1170" w:type="dxa"/>
            <w:tcBorders>
              <w:top w:val="nil"/>
              <w:left w:val="nil"/>
              <w:bottom w:val="nil"/>
              <w:right w:val="nil"/>
            </w:tcBorders>
            <w:shd w:val="solid" w:color="FFFFFF" w:fill="auto"/>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 xml:space="preserve">  </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Net cash flows from operating activities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2 652.2</w:t>
            </w:r>
          </w:p>
        </w:tc>
        <w:tc>
          <w:tcPr>
            <w:tcW w:w="1170" w:type="dxa"/>
            <w:tcBorders>
              <w:top w:val="nil"/>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4 005.3</w:t>
            </w:r>
          </w:p>
        </w:tc>
        <w:tc>
          <w:tcPr>
            <w:tcW w:w="1170" w:type="dxa"/>
            <w:gridSpan w:val="2"/>
            <w:tcBorders>
              <w:top w:val="nil"/>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1 692.3</w:t>
            </w:r>
          </w:p>
        </w:tc>
        <w:tc>
          <w:tcPr>
            <w:tcW w:w="1170" w:type="dxa"/>
            <w:tcBorders>
              <w:top w:val="nil"/>
              <w:left w:val="nil"/>
              <w:bottom w:val="nil"/>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2 757.5</w:t>
            </w:r>
          </w:p>
        </w:tc>
      </w:tr>
      <w:tr w:rsidR="000B4A1E" w:rsidRPr="003D7EE9" w:rsidTr="00517E51">
        <w:tc>
          <w:tcPr>
            <w:tcW w:w="4244" w:type="dxa"/>
            <w:tcBorders>
              <w:top w:val="nil"/>
              <w:left w:val="nil"/>
              <w:bottom w:val="nil"/>
              <w:right w:val="nil"/>
            </w:tcBorders>
          </w:tcPr>
          <w:p w:rsidR="000B4A1E" w:rsidRPr="003D7EE9" w:rsidRDefault="000B4A1E" w:rsidP="00517E51">
            <w:pPr>
              <w:pStyle w:val="Tabletext"/>
              <w:rPr>
                <w:rFonts w:eastAsiaTheme="minorEastAsia"/>
                <w:sz w:val="21"/>
                <w:lang w:eastAsia="en-AU"/>
              </w:rPr>
            </w:pPr>
            <w:r w:rsidRPr="003D7EE9">
              <w:rPr>
                <w:rFonts w:eastAsiaTheme="minorEastAsia"/>
                <w:sz w:val="21"/>
                <w:lang w:eastAsia="en-AU"/>
              </w:rPr>
              <w:t>Net cash flows from investments in non-financial assets</w:t>
            </w:r>
          </w:p>
        </w:tc>
        <w:tc>
          <w:tcPr>
            <w:tcW w:w="724" w:type="dxa"/>
            <w:tcBorders>
              <w:top w:val="nil"/>
              <w:left w:val="nil"/>
              <w:bottom w:val="nil"/>
              <w:right w:val="nil"/>
            </w:tcBorders>
          </w:tcPr>
          <w:p w:rsidR="000B4A1E" w:rsidRPr="003D7EE9" w:rsidRDefault="000B4A1E" w:rsidP="00517E51">
            <w:pPr>
              <w:pStyle w:val="TableTextCentred"/>
              <w:rPr>
                <w:rFonts w:eastAsiaTheme="minorEastAsia"/>
                <w:sz w:val="21"/>
                <w:lang w:eastAsia="en-AU"/>
              </w:rPr>
            </w:pPr>
            <w:r w:rsidRPr="003D7EE9">
              <w:rPr>
                <w:rFonts w:eastAsiaTheme="minorEastAsia"/>
                <w:sz w:val="21"/>
                <w:lang w:eastAsia="en-AU"/>
              </w:rPr>
              <w:t xml:space="preserve"> </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(7 191.5)</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(7 222.0)</w:t>
            </w:r>
          </w:p>
        </w:tc>
        <w:tc>
          <w:tcPr>
            <w:tcW w:w="1170" w:type="dxa"/>
            <w:gridSpan w:val="2"/>
            <w:tcBorders>
              <w:top w:val="nil"/>
              <w:left w:val="nil"/>
              <w:bottom w:val="single" w:sz="6"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(3 885.2)</w:t>
            </w:r>
          </w:p>
        </w:tc>
        <w:tc>
          <w:tcPr>
            <w:tcW w:w="1170" w:type="dxa"/>
            <w:tcBorders>
              <w:top w:val="nil"/>
              <w:left w:val="nil"/>
              <w:bottom w:val="single" w:sz="6"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(3 397.9)</w:t>
            </w:r>
          </w:p>
        </w:tc>
      </w:tr>
      <w:tr w:rsidR="000B4A1E" w:rsidRPr="003D7EE9" w:rsidTr="00517E51">
        <w:tc>
          <w:tcPr>
            <w:tcW w:w="4244" w:type="dxa"/>
            <w:tcBorders>
              <w:top w:val="single" w:sz="6" w:space="0" w:color="auto"/>
              <w:left w:val="nil"/>
              <w:bottom w:val="single" w:sz="12" w:space="0" w:color="auto"/>
              <w:right w:val="nil"/>
            </w:tcBorders>
          </w:tcPr>
          <w:p w:rsidR="000B4A1E" w:rsidRPr="003D7EE9" w:rsidRDefault="000B4A1E" w:rsidP="00517E51">
            <w:pPr>
              <w:pStyle w:val="Tabletext"/>
              <w:rPr>
                <w:rFonts w:eastAsiaTheme="minorEastAsia"/>
                <w:b/>
                <w:bCs/>
                <w:sz w:val="21"/>
                <w:lang w:eastAsia="en-AU"/>
              </w:rPr>
            </w:pPr>
            <w:r w:rsidRPr="003D7EE9">
              <w:rPr>
                <w:rFonts w:eastAsiaTheme="minorEastAsia"/>
                <w:b/>
                <w:bCs/>
                <w:sz w:val="21"/>
                <w:lang w:eastAsia="en-AU"/>
              </w:rPr>
              <w:t>Cash surplus/(deficit)</w:t>
            </w:r>
          </w:p>
        </w:tc>
        <w:tc>
          <w:tcPr>
            <w:tcW w:w="724" w:type="dxa"/>
            <w:tcBorders>
              <w:top w:val="single" w:sz="6" w:space="0" w:color="auto"/>
              <w:left w:val="nil"/>
              <w:bottom w:val="single" w:sz="12" w:space="0" w:color="auto"/>
              <w:right w:val="nil"/>
            </w:tcBorders>
          </w:tcPr>
          <w:p w:rsidR="000B4A1E" w:rsidRPr="003D7EE9" w:rsidRDefault="000B4A1E" w:rsidP="00517E51">
            <w:pPr>
              <w:pStyle w:val="TableTextCentred"/>
              <w:rPr>
                <w:rFonts w:eastAsiaTheme="minorEastAsia"/>
                <w:b/>
                <w:bCs/>
                <w:sz w:val="21"/>
                <w:lang w:eastAsia="en-AU"/>
              </w:rPr>
            </w:pPr>
            <w:r w:rsidRPr="003D7EE9">
              <w:rPr>
                <w:rFonts w:eastAsiaTheme="minorEastAsia"/>
                <w:b/>
                <w:bCs/>
                <w:sz w:val="21"/>
                <w:lang w:eastAsia="en-AU"/>
              </w:rPr>
              <w:t xml:space="preserve"> </w:t>
            </w:r>
          </w:p>
        </w:tc>
        <w:tc>
          <w:tcPr>
            <w:tcW w:w="1170" w:type="dxa"/>
            <w:gridSpan w:val="2"/>
            <w:tcBorders>
              <w:top w:val="single" w:sz="6" w:space="0" w:color="auto"/>
              <w:left w:val="nil"/>
              <w:bottom w:val="single" w:sz="12"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(4 539.3)</w:t>
            </w:r>
          </w:p>
        </w:tc>
        <w:tc>
          <w:tcPr>
            <w:tcW w:w="1170" w:type="dxa"/>
            <w:tcBorders>
              <w:top w:val="single" w:sz="6" w:space="0" w:color="auto"/>
              <w:left w:val="nil"/>
              <w:bottom w:val="single" w:sz="12"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(3 216.7)</w:t>
            </w:r>
          </w:p>
        </w:tc>
        <w:tc>
          <w:tcPr>
            <w:tcW w:w="1170" w:type="dxa"/>
            <w:gridSpan w:val="2"/>
            <w:tcBorders>
              <w:top w:val="single" w:sz="6" w:space="0" w:color="auto"/>
              <w:left w:val="nil"/>
              <w:bottom w:val="single" w:sz="12"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(2 192.9)</w:t>
            </w:r>
          </w:p>
        </w:tc>
        <w:tc>
          <w:tcPr>
            <w:tcW w:w="1170" w:type="dxa"/>
            <w:tcBorders>
              <w:top w:val="single" w:sz="6" w:space="0" w:color="auto"/>
              <w:left w:val="nil"/>
              <w:bottom w:val="single" w:sz="12" w:space="0" w:color="auto"/>
              <w:right w:val="nil"/>
            </w:tcBorders>
          </w:tcPr>
          <w:p w:rsidR="000B4A1E" w:rsidRPr="003D7EE9" w:rsidRDefault="000B4A1E" w:rsidP="00517E51">
            <w:pPr>
              <w:pStyle w:val="TableofFigures"/>
              <w:rPr>
                <w:rFonts w:eastAsiaTheme="minorEastAsia"/>
                <w:b/>
                <w:bCs/>
                <w:sz w:val="21"/>
                <w:lang w:eastAsia="en-AU"/>
              </w:rPr>
            </w:pPr>
            <w:r w:rsidRPr="003D7EE9">
              <w:rPr>
                <w:rFonts w:eastAsiaTheme="minorEastAsia"/>
                <w:b/>
                <w:bCs/>
                <w:sz w:val="21"/>
                <w:lang w:eastAsia="en-AU"/>
              </w:rPr>
              <w:t>( 640.3)</w:t>
            </w:r>
          </w:p>
        </w:tc>
      </w:tr>
    </w:tbl>
    <w:p w:rsidR="000B4A1E" w:rsidRPr="00D00665" w:rsidRDefault="000B4A1E" w:rsidP="00517E51">
      <w:pPr>
        <w:pStyle w:val="Source"/>
      </w:pPr>
      <w:r w:rsidRPr="00D00665">
        <w:rPr>
          <w:rStyle w:val="SourceChar"/>
          <w:i/>
        </w:rPr>
        <w:t>The accompanying notes form part of these financial statements</w:t>
      </w:r>
      <w:r w:rsidRPr="00D00665">
        <w:t>.</w:t>
      </w:r>
    </w:p>
    <w:p w:rsidR="000B4A1E" w:rsidRPr="00D00665" w:rsidRDefault="000B4A1E" w:rsidP="00517E51">
      <w:pPr>
        <w:pStyle w:val="Notes"/>
      </w:pPr>
      <w:r w:rsidRPr="00D00665">
        <w:t>Note</w:t>
      </w:r>
      <w:r>
        <w:t>s</w:t>
      </w:r>
      <w:r w:rsidRPr="00D00665">
        <w:t>:</w:t>
      </w:r>
    </w:p>
    <w:p w:rsidR="000B4A1E" w:rsidRDefault="000B4A1E" w:rsidP="00517E51">
      <w:pPr>
        <w:pStyle w:val="Notes"/>
      </w:pPr>
      <w:r w:rsidRPr="00D00665">
        <w:t>(a)</w:t>
      </w:r>
      <w:r w:rsidRPr="00D00665">
        <w:tab/>
        <w:t>These items are inclusive of goods and services tax.</w:t>
      </w:r>
    </w:p>
    <w:p w:rsidR="000B4A1E" w:rsidRPr="00D00665" w:rsidRDefault="000B4A1E" w:rsidP="00517E51">
      <w:pPr>
        <w:pStyle w:val="Notes"/>
      </w:pPr>
      <w:r>
        <w:t>(b)</w:t>
      </w:r>
      <w:r>
        <w:tab/>
      </w:r>
      <w:r w:rsidRPr="000C0301">
        <w:t>Restatement of previously published information relates to restated balances at 30 June 2012 and 1 July 2011. Refer to Note 36 of the Financial Statements</w:t>
      </w:r>
      <w:r>
        <w:t>.</w:t>
      </w:r>
    </w:p>
    <w:p w:rsidR="000B4A1E" w:rsidRPr="00D00665" w:rsidRDefault="000B4A1E" w:rsidP="00517E51">
      <w:pPr>
        <w:pStyle w:val="Notes"/>
      </w:pPr>
      <w:r w:rsidRPr="00D00665">
        <w:t>(</w:t>
      </w:r>
      <w:r>
        <w:t>c</w:t>
      </w:r>
      <w:r w:rsidRPr="00D00665">
        <w:t>)</w:t>
      </w:r>
      <w:r w:rsidRPr="00D00665">
        <w:tab/>
        <w:t>The cash flows for this item are presented net of inflows and outflows due to the high volume and short term nature of transactions of this type.</w:t>
      </w:r>
    </w:p>
    <w:p w:rsidR="000B4A1E" w:rsidRPr="00D00665" w:rsidRDefault="000B4A1E" w:rsidP="00517E51">
      <w:pPr>
        <w:pStyle w:val="Notes"/>
      </w:pPr>
      <w:r w:rsidRPr="00D00665">
        <w:t>(</w:t>
      </w:r>
      <w:r>
        <w:t>d</w:t>
      </w:r>
      <w:r w:rsidRPr="00D00665">
        <w:t>)</w:t>
      </w:r>
      <w:r w:rsidRPr="00D00665">
        <w:tab/>
        <w:t>Review of Cash Investments in 2012-13 has reclassified some Australian Dollar Term Deposits held in 2011-12 to Cash and Deposits.</w:t>
      </w:r>
    </w:p>
    <w:p w:rsidR="000B4A1E" w:rsidRPr="00D00665" w:rsidRDefault="000B4A1E" w:rsidP="00517E51">
      <w:pPr>
        <w:pStyle w:val="Tableheading"/>
      </w:pPr>
      <w:r w:rsidRPr="00D00665">
        <w:br w:type="page"/>
      </w:r>
      <w:r w:rsidRPr="00D00665">
        <w:lastRenderedPageBreak/>
        <w:t>Consolidated statement of changes in equity for the financial year ending 30 June</w:t>
      </w:r>
    </w:p>
    <w:p w:rsidR="000B4A1E" w:rsidRPr="008F52E4" w:rsidRDefault="000B4A1E" w:rsidP="00517E51">
      <w:pPr>
        <w:pStyle w:val="million"/>
      </w:pPr>
      <w:r w:rsidRPr="00D00665">
        <w:t>($</w:t>
      </w:r>
      <w:r>
        <w:t> million</w:t>
      </w:r>
      <w:r w:rsidRPr="00D00665">
        <w:t>)</w:t>
      </w:r>
    </w:p>
    <w:tbl>
      <w:tblPr>
        <w:tblW w:w="9676" w:type="dxa"/>
        <w:tblInd w:w="29" w:type="dxa"/>
        <w:tblLayout w:type="fixed"/>
        <w:tblCellMar>
          <w:left w:w="43" w:type="dxa"/>
          <w:right w:w="43" w:type="dxa"/>
        </w:tblCellMar>
        <w:tblLook w:val="0000" w:firstRow="0" w:lastRow="0" w:firstColumn="0" w:lastColumn="0" w:noHBand="0" w:noVBand="0"/>
      </w:tblPr>
      <w:tblGrid>
        <w:gridCol w:w="5956"/>
        <w:gridCol w:w="1860"/>
        <w:gridCol w:w="1860"/>
      </w:tblGrid>
      <w:tr w:rsidR="000B4A1E" w:rsidRPr="008F52E4" w:rsidTr="00517E51">
        <w:tc>
          <w:tcPr>
            <w:tcW w:w="5947" w:type="dxa"/>
            <w:tcBorders>
              <w:top w:val="single" w:sz="12" w:space="0" w:color="auto"/>
              <w:left w:val="single" w:sz="12" w:space="0" w:color="auto"/>
              <w:bottom w:val="single" w:sz="12" w:space="0" w:color="auto"/>
              <w:right w:val="nil"/>
            </w:tcBorders>
            <w:shd w:val="clear" w:color="auto" w:fill="000000"/>
          </w:tcPr>
          <w:p w:rsidR="000B4A1E" w:rsidRPr="008F52E4" w:rsidRDefault="000B4A1E" w:rsidP="00517E51">
            <w:pPr>
              <w:pStyle w:val="TabletextheadingLeft"/>
              <w:rPr>
                <w:lang w:eastAsia="en-AU"/>
              </w:rPr>
            </w:pPr>
          </w:p>
          <w:p w:rsidR="000B4A1E" w:rsidRPr="008F52E4" w:rsidRDefault="000B4A1E" w:rsidP="00517E51">
            <w:pPr>
              <w:pStyle w:val="TabletextheadingLeft"/>
              <w:rPr>
                <w:lang w:eastAsia="en-AU"/>
              </w:rPr>
            </w:pPr>
          </w:p>
          <w:p w:rsidR="000B4A1E" w:rsidRPr="008F52E4" w:rsidRDefault="000B4A1E" w:rsidP="00517E51">
            <w:pPr>
              <w:pStyle w:val="TabletextheadingLeft"/>
              <w:rPr>
                <w:lang w:eastAsia="en-AU"/>
              </w:rPr>
            </w:pPr>
            <w:r w:rsidRPr="008F52E4">
              <w:rPr>
                <w:lang w:eastAsia="en-AU"/>
              </w:rPr>
              <w:t>State of Victoria</w:t>
            </w:r>
          </w:p>
        </w:tc>
        <w:tc>
          <w:tcPr>
            <w:tcW w:w="1857" w:type="dxa"/>
            <w:tcBorders>
              <w:top w:val="single" w:sz="12" w:space="0" w:color="auto"/>
              <w:left w:val="nil"/>
              <w:bottom w:val="single" w:sz="12" w:space="0" w:color="auto"/>
              <w:right w:val="nil"/>
            </w:tcBorders>
            <w:shd w:val="clear" w:color="auto" w:fill="000000"/>
          </w:tcPr>
          <w:p w:rsidR="000B4A1E" w:rsidRPr="008F52E4" w:rsidRDefault="000B4A1E" w:rsidP="00517E51">
            <w:pPr>
              <w:pStyle w:val="Tabletextheading"/>
              <w:rPr>
                <w:lang w:eastAsia="en-AU"/>
              </w:rPr>
            </w:pPr>
          </w:p>
          <w:p w:rsidR="000B4A1E" w:rsidRPr="008F52E4" w:rsidRDefault="000B4A1E" w:rsidP="00517E51">
            <w:pPr>
              <w:pStyle w:val="Tabletextheading"/>
              <w:rPr>
                <w:lang w:eastAsia="en-AU"/>
              </w:rPr>
            </w:pPr>
            <w:r w:rsidRPr="008F52E4">
              <w:rPr>
                <w:lang w:eastAsia="en-AU"/>
              </w:rPr>
              <w:t>Accumulated surplus/(deficit)</w:t>
            </w:r>
          </w:p>
        </w:tc>
        <w:tc>
          <w:tcPr>
            <w:tcW w:w="1857" w:type="dxa"/>
            <w:tcBorders>
              <w:top w:val="single" w:sz="12" w:space="0" w:color="auto"/>
              <w:left w:val="nil"/>
              <w:bottom w:val="single" w:sz="12" w:space="0" w:color="auto"/>
              <w:right w:val="single" w:sz="12" w:space="0" w:color="auto"/>
            </w:tcBorders>
            <w:shd w:val="clear" w:color="auto" w:fill="000000"/>
          </w:tcPr>
          <w:p w:rsidR="000B4A1E" w:rsidRPr="008F52E4" w:rsidRDefault="000B4A1E" w:rsidP="00517E51">
            <w:pPr>
              <w:pStyle w:val="Tabletextheading"/>
              <w:rPr>
                <w:lang w:eastAsia="en-AU"/>
              </w:rPr>
            </w:pPr>
          </w:p>
          <w:p w:rsidR="000B4A1E" w:rsidRPr="008F52E4" w:rsidRDefault="000B4A1E" w:rsidP="00517E51">
            <w:pPr>
              <w:pStyle w:val="Tabletextheading"/>
              <w:rPr>
                <w:lang w:eastAsia="en-AU"/>
              </w:rPr>
            </w:pPr>
            <w:r w:rsidRPr="008F52E4">
              <w:rPr>
                <w:lang w:eastAsia="en-AU"/>
              </w:rPr>
              <w:t>Non-controlling Interest</w:t>
            </w:r>
          </w:p>
        </w:tc>
      </w:tr>
      <w:tr w:rsidR="000B4A1E" w:rsidRPr="008F52E4" w:rsidTr="00517E51">
        <w:tc>
          <w:tcPr>
            <w:tcW w:w="5947" w:type="dxa"/>
            <w:tcBorders>
              <w:top w:val="single" w:sz="12" w:space="0" w:color="auto"/>
              <w:left w:val="nil"/>
              <w:bottom w:val="nil"/>
              <w:right w:val="nil"/>
            </w:tcBorders>
          </w:tcPr>
          <w:p w:rsidR="000B4A1E" w:rsidRPr="008F52E4" w:rsidRDefault="000B4A1E" w:rsidP="00517E51">
            <w:pPr>
              <w:pStyle w:val="Tabletext"/>
              <w:rPr>
                <w:b/>
                <w:bCs/>
                <w:lang w:eastAsia="en-AU"/>
              </w:rPr>
            </w:pPr>
            <w:r w:rsidRPr="008F52E4">
              <w:rPr>
                <w:b/>
                <w:bCs/>
                <w:lang w:eastAsia="en-AU"/>
              </w:rPr>
              <w:t>2013</w:t>
            </w:r>
          </w:p>
        </w:tc>
        <w:tc>
          <w:tcPr>
            <w:tcW w:w="1857" w:type="dxa"/>
            <w:tcBorders>
              <w:top w:val="single" w:sz="12" w:space="0" w:color="auto"/>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c>
          <w:tcPr>
            <w:tcW w:w="1857" w:type="dxa"/>
            <w:tcBorders>
              <w:top w:val="single" w:sz="12" w:space="0" w:color="auto"/>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Balance at 1 July 2012</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34 </w:t>
            </w:r>
            <w:r w:rsidRPr="008F52E4">
              <w:rPr>
                <w:rFonts w:eastAsiaTheme="minorEastAsia" w:cs="Calibri"/>
                <w:szCs w:val="22"/>
                <w:lang w:eastAsia="en-AU"/>
              </w:rPr>
              <w:t>612.0</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50.0</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Net result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9 </w:t>
            </w:r>
            <w:r w:rsidRPr="008F52E4">
              <w:rPr>
                <w:rFonts w:eastAsiaTheme="minorEastAsia" w:cs="Calibri"/>
                <w:szCs w:val="22"/>
                <w:lang w:eastAsia="en-AU"/>
              </w:rPr>
              <w:t>525.8</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Other comprehensive income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1 </w:t>
            </w:r>
            <w:r w:rsidRPr="008F52E4">
              <w:rPr>
                <w:rFonts w:eastAsiaTheme="minorEastAsia" w:cs="Calibri"/>
                <w:szCs w:val="22"/>
                <w:lang w:eastAsia="en-AU"/>
              </w:rPr>
              <w:t>215.2</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single" w:sz="6" w:space="0" w:color="auto"/>
              <w:right w:val="nil"/>
            </w:tcBorders>
          </w:tcPr>
          <w:p w:rsidR="000B4A1E" w:rsidRPr="008F52E4" w:rsidRDefault="000B4A1E" w:rsidP="00517E51">
            <w:pPr>
              <w:pStyle w:val="Tabletext"/>
              <w:rPr>
                <w:lang w:eastAsia="en-AU"/>
              </w:rPr>
            </w:pPr>
            <w:r w:rsidRPr="008F52E4">
              <w:rPr>
                <w:lang w:eastAsia="en-AU"/>
              </w:rPr>
              <w:t>Transactions with owners in their capacity as owners</w:t>
            </w:r>
          </w:p>
        </w:tc>
        <w:tc>
          <w:tcPr>
            <w:tcW w:w="1857" w:type="dxa"/>
            <w:tcBorders>
              <w:top w:val="nil"/>
              <w:left w:val="nil"/>
              <w:bottom w:val="single" w:sz="6" w:space="0" w:color="auto"/>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c>
          <w:tcPr>
            <w:tcW w:w="1857" w:type="dxa"/>
            <w:tcBorders>
              <w:top w:val="nil"/>
              <w:left w:val="nil"/>
              <w:bottom w:val="single" w:sz="6" w:space="0" w:color="auto"/>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single" w:sz="12" w:space="0" w:color="auto"/>
              <w:right w:val="nil"/>
            </w:tcBorders>
          </w:tcPr>
          <w:p w:rsidR="000B4A1E" w:rsidRPr="008F52E4" w:rsidRDefault="000B4A1E" w:rsidP="00517E51">
            <w:pPr>
              <w:pStyle w:val="Tabletext"/>
              <w:rPr>
                <w:b/>
                <w:bCs/>
                <w:lang w:eastAsia="en-AU"/>
              </w:rPr>
            </w:pPr>
            <w:r w:rsidRPr="008F52E4">
              <w:rPr>
                <w:b/>
                <w:bCs/>
                <w:lang w:eastAsia="en-AU"/>
              </w:rPr>
              <w:t>Total equity as at 30 June 2013</w:t>
            </w:r>
          </w:p>
        </w:tc>
        <w:tc>
          <w:tcPr>
            <w:tcW w:w="1857" w:type="dxa"/>
            <w:tcBorders>
              <w:top w:val="nil"/>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 xml:space="preserve">45 </w:t>
            </w:r>
            <w:r w:rsidRPr="008F52E4">
              <w:rPr>
                <w:rFonts w:eastAsiaTheme="minorEastAsia" w:cs="Calibri"/>
                <w:b/>
                <w:bCs/>
                <w:szCs w:val="22"/>
                <w:lang w:eastAsia="en-AU"/>
              </w:rPr>
              <w:t>353.0</w:t>
            </w:r>
          </w:p>
        </w:tc>
        <w:tc>
          <w:tcPr>
            <w:tcW w:w="1857" w:type="dxa"/>
            <w:tcBorders>
              <w:top w:val="nil"/>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 xml:space="preserve"> 50.0</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rFonts w:eastAsiaTheme="minorEastAsia" w:cs="Britannic Bold"/>
                <w:b/>
                <w:bCs/>
                <w:szCs w:val="22"/>
                <w:vertAlign w:val="superscript"/>
                <w:lang w:eastAsia="en-AU"/>
              </w:rPr>
            </w:pPr>
            <w:r w:rsidRPr="008F52E4">
              <w:rPr>
                <w:b/>
                <w:bCs/>
                <w:lang w:eastAsia="en-AU"/>
              </w:rPr>
              <w:t xml:space="preserve">2012 </w:t>
            </w:r>
            <w:r w:rsidRPr="008F52E4">
              <w:rPr>
                <w:b/>
                <w:bCs/>
                <w:vertAlign w:val="superscript"/>
                <w:lang w:eastAsia="en-AU"/>
              </w:rPr>
              <w:t>(</w:t>
            </w:r>
            <w:r w:rsidRPr="008F52E4">
              <w:rPr>
                <w:rFonts w:eastAsiaTheme="minorEastAsia" w:cs="Britannic Bold"/>
                <w:b/>
                <w:bCs/>
                <w:szCs w:val="22"/>
                <w:vertAlign w:val="superscript"/>
                <w:lang w:eastAsia="en-AU"/>
              </w:rPr>
              <w:t>a)</w:t>
            </w:r>
          </w:p>
        </w:tc>
        <w:tc>
          <w:tcPr>
            <w:tcW w:w="1857" w:type="dxa"/>
            <w:tcBorders>
              <w:top w:val="nil"/>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c>
          <w:tcPr>
            <w:tcW w:w="1857" w:type="dxa"/>
            <w:tcBorders>
              <w:top w:val="nil"/>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Balance at 1 July 2011</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50 </w:t>
            </w:r>
            <w:r w:rsidRPr="008F52E4">
              <w:rPr>
                <w:rFonts w:eastAsiaTheme="minorEastAsia" w:cs="Calibri"/>
                <w:szCs w:val="22"/>
                <w:lang w:eastAsia="en-AU"/>
              </w:rPr>
              <w:t>364.5</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48.5</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Net result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(15</w:t>
            </w:r>
            <w:r w:rsidRPr="008F52E4">
              <w:rPr>
                <w:rFonts w:eastAsiaTheme="minorEastAsia" w:cs="Calibri"/>
                <w:szCs w:val="22"/>
                <w:lang w:eastAsia="en-AU"/>
              </w:rPr>
              <w:t xml:space="preserve"> 961.9)</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Other comprehensive income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209.4</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Transactions with owners in their capacity as owners</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1.5</w:t>
            </w:r>
          </w:p>
        </w:tc>
      </w:tr>
      <w:tr w:rsidR="000B4A1E" w:rsidRPr="008F52E4" w:rsidTr="00517E51">
        <w:tc>
          <w:tcPr>
            <w:tcW w:w="5947" w:type="dxa"/>
            <w:tcBorders>
              <w:top w:val="single" w:sz="6" w:space="0" w:color="auto"/>
              <w:left w:val="nil"/>
              <w:bottom w:val="single" w:sz="12" w:space="0" w:color="auto"/>
              <w:right w:val="nil"/>
            </w:tcBorders>
          </w:tcPr>
          <w:p w:rsidR="000B4A1E" w:rsidRPr="008F52E4" w:rsidRDefault="000B4A1E" w:rsidP="00517E51">
            <w:pPr>
              <w:pStyle w:val="Tabletext"/>
              <w:rPr>
                <w:b/>
                <w:bCs/>
                <w:lang w:eastAsia="en-AU"/>
              </w:rPr>
            </w:pPr>
            <w:r w:rsidRPr="008F52E4">
              <w:rPr>
                <w:b/>
                <w:bCs/>
                <w:lang w:eastAsia="en-AU"/>
              </w:rPr>
              <w:t>Total equity as at 30 June 2012</w:t>
            </w:r>
          </w:p>
        </w:tc>
        <w:tc>
          <w:tcPr>
            <w:tcW w:w="1857" w:type="dxa"/>
            <w:tcBorders>
              <w:top w:val="single" w:sz="6" w:space="0" w:color="auto"/>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 xml:space="preserve">34 </w:t>
            </w:r>
            <w:r w:rsidRPr="008F52E4">
              <w:rPr>
                <w:rFonts w:eastAsiaTheme="minorEastAsia" w:cs="Calibri"/>
                <w:b/>
                <w:bCs/>
                <w:szCs w:val="22"/>
                <w:lang w:eastAsia="en-AU"/>
              </w:rPr>
              <w:t>612.0</w:t>
            </w:r>
          </w:p>
        </w:tc>
        <w:tc>
          <w:tcPr>
            <w:tcW w:w="1857" w:type="dxa"/>
            <w:tcBorders>
              <w:top w:val="single" w:sz="6" w:space="0" w:color="auto"/>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 xml:space="preserve"> 50.0</w:t>
            </w:r>
          </w:p>
        </w:tc>
      </w:tr>
    </w:tbl>
    <w:p w:rsidR="000B4A1E" w:rsidRPr="00D00665" w:rsidRDefault="000B4A1E" w:rsidP="00517E51">
      <w:pPr>
        <w:pStyle w:val="Notes"/>
      </w:pPr>
    </w:p>
    <w:p w:rsidR="000B4A1E" w:rsidRPr="00D00665" w:rsidRDefault="000B4A1E" w:rsidP="00517E51">
      <w:pPr>
        <w:pStyle w:val="Source"/>
      </w:pPr>
    </w:p>
    <w:p w:rsidR="000B4A1E" w:rsidRPr="00D00665" w:rsidRDefault="000B4A1E" w:rsidP="00517E51"/>
    <w:p w:rsidR="000B4A1E" w:rsidRPr="008F52E4" w:rsidRDefault="000B4A1E" w:rsidP="00517E51">
      <w:pPr>
        <w:pStyle w:val="million"/>
        <w:rPr>
          <w:rFonts w:ascii="Times New Roman" w:hAnsi="Times New Roman"/>
          <w:i w:val="0"/>
          <w:szCs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5956"/>
        <w:gridCol w:w="1860"/>
        <w:gridCol w:w="1860"/>
      </w:tblGrid>
      <w:tr w:rsidR="000B4A1E" w:rsidRPr="008F52E4" w:rsidTr="00517E51">
        <w:tc>
          <w:tcPr>
            <w:tcW w:w="5947" w:type="dxa"/>
            <w:tcBorders>
              <w:top w:val="single" w:sz="12" w:space="0" w:color="auto"/>
              <w:left w:val="single" w:sz="12" w:space="0" w:color="auto"/>
              <w:bottom w:val="single" w:sz="12" w:space="0" w:color="auto"/>
              <w:right w:val="nil"/>
            </w:tcBorders>
            <w:shd w:val="clear" w:color="auto" w:fill="000000"/>
          </w:tcPr>
          <w:p w:rsidR="000B4A1E" w:rsidRPr="008F52E4" w:rsidRDefault="000B4A1E" w:rsidP="00517E51">
            <w:pPr>
              <w:pStyle w:val="TabletextheadingLeft"/>
              <w:rPr>
                <w:lang w:eastAsia="en-AU"/>
              </w:rPr>
            </w:pPr>
          </w:p>
          <w:p w:rsidR="000B4A1E" w:rsidRPr="008F52E4" w:rsidRDefault="000B4A1E" w:rsidP="00517E51">
            <w:pPr>
              <w:pStyle w:val="TabletextheadingLeft"/>
              <w:rPr>
                <w:lang w:eastAsia="en-AU"/>
              </w:rPr>
            </w:pPr>
          </w:p>
          <w:p w:rsidR="000B4A1E" w:rsidRPr="008F52E4" w:rsidRDefault="000B4A1E" w:rsidP="00517E51">
            <w:pPr>
              <w:pStyle w:val="TabletextheadingLeft"/>
              <w:rPr>
                <w:lang w:eastAsia="en-AU"/>
              </w:rPr>
            </w:pPr>
            <w:r w:rsidRPr="008F52E4">
              <w:rPr>
                <w:lang w:eastAsia="en-AU"/>
              </w:rPr>
              <w:t>General government sector</w:t>
            </w:r>
          </w:p>
        </w:tc>
        <w:tc>
          <w:tcPr>
            <w:tcW w:w="1857" w:type="dxa"/>
            <w:tcBorders>
              <w:top w:val="single" w:sz="12" w:space="0" w:color="auto"/>
              <w:left w:val="nil"/>
              <w:bottom w:val="single" w:sz="12" w:space="0" w:color="auto"/>
              <w:right w:val="nil"/>
            </w:tcBorders>
            <w:shd w:val="clear" w:color="auto" w:fill="000000"/>
          </w:tcPr>
          <w:p w:rsidR="000B4A1E" w:rsidRPr="008F52E4" w:rsidRDefault="000B4A1E" w:rsidP="00517E51">
            <w:pPr>
              <w:pStyle w:val="Tabletextheading"/>
              <w:rPr>
                <w:lang w:eastAsia="en-AU"/>
              </w:rPr>
            </w:pPr>
          </w:p>
          <w:p w:rsidR="000B4A1E" w:rsidRPr="008F52E4" w:rsidRDefault="000B4A1E" w:rsidP="00517E51">
            <w:pPr>
              <w:pStyle w:val="Tabletextheading"/>
              <w:rPr>
                <w:lang w:eastAsia="en-AU"/>
              </w:rPr>
            </w:pPr>
            <w:r w:rsidRPr="008F52E4">
              <w:rPr>
                <w:lang w:eastAsia="en-AU"/>
              </w:rPr>
              <w:t>Accumulated surplus/(deficit)</w:t>
            </w:r>
          </w:p>
        </w:tc>
        <w:tc>
          <w:tcPr>
            <w:tcW w:w="1857" w:type="dxa"/>
            <w:tcBorders>
              <w:top w:val="single" w:sz="12" w:space="0" w:color="auto"/>
              <w:left w:val="nil"/>
              <w:bottom w:val="single" w:sz="12" w:space="0" w:color="auto"/>
              <w:right w:val="single" w:sz="12" w:space="0" w:color="auto"/>
            </w:tcBorders>
            <w:shd w:val="clear" w:color="auto" w:fill="000000"/>
          </w:tcPr>
          <w:p w:rsidR="000B4A1E" w:rsidRPr="008F52E4" w:rsidRDefault="000B4A1E" w:rsidP="00517E51">
            <w:pPr>
              <w:pStyle w:val="Tabletextheading"/>
              <w:rPr>
                <w:lang w:eastAsia="en-AU"/>
              </w:rPr>
            </w:pPr>
          </w:p>
          <w:p w:rsidR="000B4A1E" w:rsidRPr="008F52E4" w:rsidRDefault="000B4A1E" w:rsidP="00517E51">
            <w:pPr>
              <w:pStyle w:val="Tabletextheading"/>
              <w:rPr>
                <w:lang w:eastAsia="en-AU"/>
              </w:rPr>
            </w:pPr>
            <w:r w:rsidRPr="008F52E4">
              <w:rPr>
                <w:lang w:eastAsia="en-AU"/>
              </w:rPr>
              <w:t>Non-controlling Interest</w:t>
            </w:r>
          </w:p>
        </w:tc>
      </w:tr>
      <w:tr w:rsidR="000B4A1E" w:rsidRPr="008F52E4" w:rsidTr="00517E51">
        <w:tc>
          <w:tcPr>
            <w:tcW w:w="5947" w:type="dxa"/>
            <w:tcBorders>
              <w:top w:val="single" w:sz="12" w:space="0" w:color="auto"/>
              <w:left w:val="nil"/>
              <w:bottom w:val="nil"/>
              <w:right w:val="nil"/>
            </w:tcBorders>
          </w:tcPr>
          <w:p w:rsidR="000B4A1E" w:rsidRPr="008F52E4" w:rsidRDefault="000B4A1E" w:rsidP="00517E51">
            <w:pPr>
              <w:pStyle w:val="Tabletext"/>
              <w:rPr>
                <w:b/>
                <w:bCs/>
                <w:lang w:eastAsia="en-AU"/>
              </w:rPr>
            </w:pPr>
            <w:r w:rsidRPr="008F52E4">
              <w:rPr>
                <w:b/>
                <w:bCs/>
                <w:lang w:eastAsia="en-AU"/>
              </w:rPr>
              <w:t>2013</w:t>
            </w:r>
          </w:p>
        </w:tc>
        <w:tc>
          <w:tcPr>
            <w:tcW w:w="1857" w:type="dxa"/>
            <w:tcBorders>
              <w:top w:val="single" w:sz="12" w:space="0" w:color="auto"/>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c>
          <w:tcPr>
            <w:tcW w:w="1857" w:type="dxa"/>
            <w:tcBorders>
              <w:top w:val="single" w:sz="12" w:space="0" w:color="auto"/>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Balance at 1 July 2012</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34 </w:t>
            </w:r>
            <w:r w:rsidRPr="008F52E4">
              <w:rPr>
                <w:rFonts w:eastAsiaTheme="minorEastAsia" w:cs="Calibri"/>
                <w:szCs w:val="22"/>
                <w:lang w:eastAsia="en-AU"/>
              </w:rPr>
              <w:t>808.2</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50.0</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Net result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7 </w:t>
            </w:r>
            <w:r w:rsidRPr="008F52E4">
              <w:rPr>
                <w:rFonts w:eastAsiaTheme="minorEastAsia" w:cs="Calibri"/>
                <w:szCs w:val="22"/>
                <w:lang w:eastAsia="en-AU"/>
              </w:rPr>
              <w:t>413.8</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Other comprehensive income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952.6</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Transactions with owners in their capacity as owners</w:t>
            </w:r>
          </w:p>
        </w:tc>
        <w:tc>
          <w:tcPr>
            <w:tcW w:w="1857" w:type="dxa"/>
            <w:tcBorders>
              <w:top w:val="nil"/>
              <w:left w:val="nil"/>
              <w:bottom w:val="nil"/>
              <w:right w:val="nil"/>
            </w:tcBorders>
          </w:tcPr>
          <w:p w:rsidR="000B4A1E" w:rsidRPr="008F52E4" w:rsidRDefault="000B4A1E" w:rsidP="00517E51">
            <w:pPr>
              <w:pStyle w:val="TableofFigures"/>
              <w:rPr>
                <w:lang w:eastAsia="en-AU"/>
              </w:rPr>
            </w:pPr>
            <w:r w:rsidRPr="008F52E4">
              <w:rPr>
                <w:lang w:eastAsia="en-AU"/>
              </w:rPr>
              <w:t xml:space="preserve">  </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single" w:sz="6" w:space="0" w:color="auto"/>
              <w:left w:val="nil"/>
              <w:bottom w:val="single" w:sz="12" w:space="0" w:color="auto"/>
              <w:right w:val="nil"/>
            </w:tcBorders>
          </w:tcPr>
          <w:p w:rsidR="000B4A1E" w:rsidRPr="008F52E4" w:rsidRDefault="000B4A1E" w:rsidP="00517E51">
            <w:pPr>
              <w:pStyle w:val="Tabletext"/>
              <w:rPr>
                <w:b/>
                <w:bCs/>
                <w:lang w:eastAsia="en-AU"/>
              </w:rPr>
            </w:pPr>
            <w:r w:rsidRPr="008F52E4">
              <w:rPr>
                <w:b/>
                <w:bCs/>
                <w:lang w:eastAsia="en-AU"/>
              </w:rPr>
              <w:t>Total equity as at 30 June 2013</w:t>
            </w:r>
          </w:p>
        </w:tc>
        <w:tc>
          <w:tcPr>
            <w:tcW w:w="1857" w:type="dxa"/>
            <w:tcBorders>
              <w:top w:val="single" w:sz="6" w:space="0" w:color="auto"/>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 xml:space="preserve">43 </w:t>
            </w:r>
            <w:r w:rsidRPr="008F52E4">
              <w:rPr>
                <w:rFonts w:eastAsiaTheme="minorEastAsia" w:cs="Calibri"/>
                <w:b/>
                <w:bCs/>
                <w:szCs w:val="22"/>
                <w:lang w:eastAsia="en-AU"/>
              </w:rPr>
              <w:t>174.7</w:t>
            </w:r>
          </w:p>
        </w:tc>
        <w:tc>
          <w:tcPr>
            <w:tcW w:w="1857" w:type="dxa"/>
            <w:tcBorders>
              <w:top w:val="single" w:sz="6" w:space="0" w:color="auto"/>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 xml:space="preserve"> 50.0</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rFonts w:eastAsiaTheme="minorEastAsia" w:cs="Calibri"/>
                <w:b/>
                <w:bCs/>
                <w:color w:val="000000"/>
                <w:szCs w:val="22"/>
                <w:vertAlign w:val="superscript"/>
                <w:lang w:eastAsia="en-AU"/>
              </w:rPr>
            </w:pPr>
            <w:r w:rsidRPr="008F52E4">
              <w:rPr>
                <w:b/>
                <w:bCs/>
                <w:lang w:eastAsia="en-AU"/>
              </w:rPr>
              <w:t xml:space="preserve">2012 </w:t>
            </w:r>
            <w:r w:rsidRPr="008F52E4">
              <w:rPr>
                <w:rFonts w:eastAsiaTheme="minorEastAsia" w:cs="Calibri"/>
                <w:b/>
                <w:bCs/>
                <w:color w:val="000000"/>
                <w:szCs w:val="22"/>
                <w:vertAlign w:val="superscript"/>
                <w:lang w:eastAsia="en-AU"/>
              </w:rPr>
              <w:t>(a)</w:t>
            </w:r>
          </w:p>
        </w:tc>
        <w:tc>
          <w:tcPr>
            <w:tcW w:w="1857" w:type="dxa"/>
            <w:tcBorders>
              <w:top w:val="nil"/>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c>
          <w:tcPr>
            <w:tcW w:w="1857" w:type="dxa"/>
            <w:tcBorders>
              <w:top w:val="nil"/>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Balance at 1 July 2011</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44 </w:t>
            </w:r>
            <w:r w:rsidRPr="008F52E4">
              <w:rPr>
                <w:rFonts w:eastAsiaTheme="minorEastAsia" w:cs="Calibri"/>
                <w:szCs w:val="22"/>
                <w:lang w:eastAsia="en-AU"/>
              </w:rPr>
              <w:t>048.9</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48.5</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Net result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(9</w:t>
            </w:r>
            <w:r w:rsidRPr="008F52E4">
              <w:rPr>
                <w:rFonts w:eastAsiaTheme="minorEastAsia" w:cs="Calibri"/>
                <w:szCs w:val="22"/>
                <w:lang w:eastAsia="en-AU"/>
              </w:rPr>
              <w:t xml:space="preserve"> 652.9)</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Other comprehensive income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412.2</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Transactions with owners in their capacity as owners</w:t>
            </w:r>
          </w:p>
        </w:tc>
        <w:tc>
          <w:tcPr>
            <w:tcW w:w="1857" w:type="dxa"/>
            <w:tcBorders>
              <w:top w:val="nil"/>
              <w:left w:val="nil"/>
              <w:bottom w:val="single" w:sz="6" w:space="0" w:color="auto"/>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1.5</w:t>
            </w:r>
          </w:p>
        </w:tc>
      </w:tr>
      <w:tr w:rsidR="000B4A1E" w:rsidRPr="008F52E4" w:rsidTr="00517E51">
        <w:tc>
          <w:tcPr>
            <w:tcW w:w="5947" w:type="dxa"/>
            <w:tcBorders>
              <w:top w:val="single" w:sz="6" w:space="0" w:color="auto"/>
              <w:left w:val="nil"/>
              <w:bottom w:val="single" w:sz="12" w:space="0" w:color="auto"/>
              <w:right w:val="nil"/>
            </w:tcBorders>
          </w:tcPr>
          <w:p w:rsidR="000B4A1E" w:rsidRPr="008F52E4" w:rsidRDefault="000B4A1E" w:rsidP="00517E51">
            <w:pPr>
              <w:pStyle w:val="Tabletext"/>
              <w:rPr>
                <w:b/>
                <w:bCs/>
                <w:lang w:eastAsia="en-AU"/>
              </w:rPr>
            </w:pPr>
            <w:r w:rsidRPr="008F52E4">
              <w:rPr>
                <w:b/>
                <w:bCs/>
                <w:lang w:eastAsia="en-AU"/>
              </w:rPr>
              <w:t>Total equity as at 30 June 2012</w:t>
            </w:r>
          </w:p>
        </w:tc>
        <w:tc>
          <w:tcPr>
            <w:tcW w:w="1857" w:type="dxa"/>
            <w:tcBorders>
              <w:top w:val="single" w:sz="6" w:space="0" w:color="auto"/>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 xml:space="preserve">34 </w:t>
            </w:r>
            <w:r w:rsidRPr="008F52E4">
              <w:rPr>
                <w:rFonts w:eastAsiaTheme="minorEastAsia" w:cs="Calibri"/>
                <w:b/>
                <w:bCs/>
                <w:szCs w:val="22"/>
                <w:lang w:eastAsia="en-AU"/>
              </w:rPr>
              <w:t>808.2</w:t>
            </w:r>
          </w:p>
        </w:tc>
        <w:tc>
          <w:tcPr>
            <w:tcW w:w="1857" w:type="dxa"/>
            <w:tcBorders>
              <w:top w:val="single" w:sz="6" w:space="0" w:color="auto"/>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 xml:space="preserve"> 50.0</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Restated balances at 30 June 2012 and 1 July 2011. Refer to Note 36 of the financial statements.</w:t>
      </w:r>
    </w:p>
    <w:p w:rsidR="000B4A1E" w:rsidRPr="00D00665" w:rsidRDefault="000B4A1E" w:rsidP="00517E51">
      <w:pPr>
        <w:pStyle w:val="Source"/>
      </w:pPr>
    </w:p>
    <w:p w:rsidR="000B4A1E" w:rsidRPr="00D00665" w:rsidRDefault="000B4A1E" w:rsidP="00517E51"/>
    <w:p w:rsidR="000B4A1E" w:rsidRPr="00D00665" w:rsidRDefault="000B4A1E" w:rsidP="00517E51">
      <w:pPr>
        <w:pStyle w:val="Tableheading"/>
        <w:spacing w:before="360"/>
      </w:pPr>
      <w:r w:rsidRPr="00D00665">
        <w:br w:type="page"/>
      </w:r>
    </w:p>
    <w:p w:rsidR="000B4A1E" w:rsidRPr="00D00665" w:rsidRDefault="000B4A1E" w:rsidP="00517E51">
      <w:pPr>
        <w:pStyle w:val="million"/>
      </w:pPr>
      <w:r w:rsidRPr="00D00665">
        <w:lastRenderedPageBreak/>
        <w:br/>
      </w:r>
      <w:r w:rsidRPr="00D00665">
        <w:br/>
      </w:r>
    </w:p>
    <w:p w:rsidR="000B4A1E" w:rsidRPr="003E2DBE" w:rsidRDefault="000B4A1E" w:rsidP="00517E51">
      <w:pPr>
        <w:pStyle w:val="million"/>
        <w:rPr>
          <w:rFonts w:ascii="Times New Roman" w:hAnsi="Times New Roman"/>
          <w:i w:val="0"/>
          <w:szCs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3704"/>
        <w:gridCol w:w="2986"/>
        <w:gridCol w:w="2986"/>
      </w:tblGrid>
      <w:tr w:rsidR="000B4A1E" w:rsidRPr="003E2DBE" w:rsidTr="00517E51">
        <w:tc>
          <w:tcPr>
            <w:tcW w:w="3704" w:type="dxa"/>
            <w:tcBorders>
              <w:top w:val="single" w:sz="6" w:space="0" w:color="auto"/>
              <w:left w:val="single" w:sz="6" w:space="0" w:color="auto"/>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 xml:space="preserve">Land, buildings, infrastructure, </w:t>
            </w:r>
          </w:p>
          <w:p w:rsidR="000B4A1E" w:rsidRPr="003E2DBE" w:rsidRDefault="000B4A1E" w:rsidP="00517E51">
            <w:pPr>
              <w:pStyle w:val="Tabletextheading"/>
              <w:rPr>
                <w:lang w:eastAsia="en-AU"/>
              </w:rPr>
            </w:pPr>
            <w:r w:rsidRPr="003E2DBE">
              <w:rPr>
                <w:lang w:eastAsia="en-AU"/>
              </w:rPr>
              <w:t>plant and equipment</w:t>
            </w:r>
          </w:p>
          <w:p w:rsidR="000B4A1E" w:rsidRPr="003E2DBE" w:rsidRDefault="000B4A1E" w:rsidP="00517E51">
            <w:pPr>
              <w:pStyle w:val="Tabletextheading"/>
              <w:rPr>
                <w:lang w:eastAsia="en-AU"/>
              </w:rPr>
            </w:pPr>
            <w:r w:rsidRPr="003E2DBE">
              <w:rPr>
                <w:lang w:eastAsia="en-AU"/>
              </w:rPr>
              <w:t xml:space="preserve"> revaluation surplus</w:t>
            </w:r>
          </w:p>
        </w:tc>
        <w:tc>
          <w:tcPr>
            <w:tcW w:w="2986"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rFonts w:cs="Calibri"/>
                <w:iCs/>
                <w:szCs w:val="22"/>
                <w:lang w:eastAsia="en-AU"/>
              </w:rPr>
            </w:pPr>
            <w:r w:rsidRPr="003E2DBE">
              <w:rPr>
                <w:rFonts w:cs="Calibri"/>
                <w:iCs/>
                <w:szCs w:val="22"/>
                <w:lang w:eastAsia="en-AU"/>
              </w:rPr>
              <w:t xml:space="preserve">Other </w:t>
            </w:r>
          </w:p>
          <w:p w:rsidR="000B4A1E" w:rsidRPr="003E2DBE" w:rsidRDefault="000B4A1E" w:rsidP="00517E51">
            <w:pPr>
              <w:pStyle w:val="Tabletextheading"/>
              <w:rPr>
                <w:lang w:eastAsia="en-AU"/>
              </w:rPr>
            </w:pPr>
            <w:r w:rsidRPr="003E2DBE">
              <w:rPr>
                <w:lang w:eastAsia="en-AU"/>
              </w:rPr>
              <w:t>reserves</w:t>
            </w:r>
          </w:p>
        </w:tc>
        <w:tc>
          <w:tcPr>
            <w:tcW w:w="2986" w:type="dxa"/>
            <w:tcBorders>
              <w:top w:val="single" w:sz="6" w:space="0" w:color="auto"/>
              <w:left w:val="nil"/>
              <w:bottom w:val="single" w:sz="6" w:space="0" w:color="auto"/>
              <w:right w:val="single" w:sz="6" w:space="0" w:color="auto"/>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p>
          <w:p w:rsidR="000B4A1E" w:rsidRPr="003E2DBE" w:rsidRDefault="000B4A1E" w:rsidP="00517E51">
            <w:pPr>
              <w:pStyle w:val="Tabletextheading"/>
              <w:rPr>
                <w:rFonts w:cs="Calibri"/>
                <w:iCs/>
                <w:szCs w:val="22"/>
                <w:lang w:eastAsia="en-AU"/>
              </w:rPr>
            </w:pPr>
            <w:r w:rsidRPr="003E2DBE">
              <w:rPr>
                <w:rFonts w:cs="Calibri"/>
                <w:iCs/>
                <w:szCs w:val="22"/>
                <w:lang w:eastAsia="en-AU"/>
              </w:rPr>
              <w:t>Total</w:t>
            </w:r>
          </w:p>
        </w:tc>
      </w:tr>
      <w:tr w:rsidR="000B4A1E" w:rsidRPr="003E2DBE" w:rsidTr="00517E51">
        <w:tc>
          <w:tcPr>
            <w:tcW w:w="3704" w:type="dxa"/>
            <w:tcBorders>
              <w:top w:val="single" w:sz="6" w:space="0" w:color="auto"/>
              <w:right w:val="nil"/>
            </w:tcBorders>
            <w:shd w:val="clear" w:color="auto" w:fill="auto"/>
          </w:tcPr>
          <w:p w:rsidR="000B4A1E" w:rsidRPr="003E2DBE" w:rsidRDefault="000B4A1E" w:rsidP="00517E51">
            <w:pPr>
              <w:pStyle w:val="TableofFigures"/>
              <w:rPr>
                <w:b/>
                <w:bCs/>
                <w:lang w:eastAsia="en-AU"/>
              </w:rPr>
            </w:pPr>
            <w:r w:rsidRPr="003E2DBE">
              <w:rPr>
                <w:b/>
                <w:bCs/>
                <w:lang w:eastAsia="en-AU"/>
              </w:rPr>
              <w:t xml:space="preserve">  </w:t>
            </w:r>
          </w:p>
        </w:tc>
        <w:tc>
          <w:tcPr>
            <w:tcW w:w="2986" w:type="dxa"/>
            <w:tcBorders>
              <w:top w:val="single" w:sz="6" w:space="0" w:color="auto"/>
              <w:left w:val="nil"/>
              <w:right w:val="nil"/>
            </w:tcBorders>
            <w:shd w:val="clear" w:color="auto" w:fill="auto"/>
          </w:tcPr>
          <w:p w:rsidR="000B4A1E" w:rsidRPr="003E2DBE" w:rsidRDefault="000B4A1E" w:rsidP="00517E51">
            <w:pPr>
              <w:pStyle w:val="Tabletextheading"/>
              <w:rPr>
                <w:b/>
                <w:bCs/>
                <w:lang w:eastAsia="en-AU"/>
              </w:rPr>
            </w:pPr>
            <w:r w:rsidRPr="003E2DBE">
              <w:rPr>
                <w:b/>
                <w:bCs/>
                <w:lang w:eastAsia="en-AU"/>
              </w:rPr>
              <w:t xml:space="preserve">  </w:t>
            </w:r>
          </w:p>
        </w:tc>
        <w:tc>
          <w:tcPr>
            <w:tcW w:w="2986" w:type="dxa"/>
            <w:tcBorders>
              <w:top w:val="single" w:sz="6" w:space="0" w:color="auto"/>
              <w:left w:val="nil"/>
            </w:tcBorders>
            <w:shd w:val="clear" w:color="auto" w:fill="auto"/>
          </w:tcPr>
          <w:p w:rsidR="000B4A1E" w:rsidRPr="003E2DBE" w:rsidRDefault="000B4A1E" w:rsidP="00517E51">
            <w:pPr>
              <w:pStyle w:val="Tabletextheading"/>
              <w:rPr>
                <w:b/>
                <w:bCs/>
                <w:lang w:eastAsia="en-AU"/>
              </w:rPr>
            </w:pPr>
            <w:r w:rsidRPr="003E2DBE">
              <w:rPr>
                <w:b/>
                <w:bCs/>
                <w:lang w:eastAsia="en-AU"/>
              </w:rPr>
              <w:t xml:space="preserve">  </w:t>
            </w:r>
          </w:p>
        </w:tc>
      </w:tr>
      <w:tr w:rsidR="000B4A1E" w:rsidRPr="003E2DBE" w:rsidTr="00517E51">
        <w:tc>
          <w:tcPr>
            <w:tcW w:w="3704" w:type="dxa"/>
            <w:tcBorders>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75 </w:t>
            </w:r>
            <w:r w:rsidRPr="003E2DBE">
              <w:rPr>
                <w:rFonts w:eastAsiaTheme="minorEastAsia" w:cs="Calibri"/>
                <w:szCs w:val="22"/>
                <w:lang w:eastAsia="en-AU"/>
              </w:rPr>
              <w:t>568.6</w:t>
            </w:r>
          </w:p>
        </w:tc>
        <w:tc>
          <w:tcPr>
            <w:tcW w:w="2986" w:type="dxa"/>
            <w:tcBorders>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 </w:t>
            </w:r>
            <w:r w:rsidRPr="003E2DBE">
              <w:rPr>
                <w:rFonts w:eastAsiaTheme="minorEastAsia" w:cs="Calibri"/>
                <w:szCs w:val="22"/>
                <w:lang w:eastAsia="en-AU"/>
              </w:rPr>
              <w:t>627.0</w:t>
            </w:r>
          </w:p>
        </w:tc>
        <w:tc>
          <w:tcPr>
            <w:tcW w:w="2986" w:type="dxa"/>
            <w:tcBorders>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112 </w:t>
            </w:r>
            <w:r w:rsidRPr="003E2DBE">
              <w:rPr>
                <w:rFonts w:eastAsiaTheme="minorEastAsia" w:cs="Calibri"/>
                <w:szCs w:val="22"/>
                <w:lang w:eastAsia="en-AU"/>
              </w:rPr>
              <w:t>857.6</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8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8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9 </w:t>
            </w:r>
            <w:r w:rsidRPr="003E2DBE">
              <w:rPr>
                <w:rFonts w:eastAsiaTheme="minorEastAsia" w:cs="Calibri"/>
                <w:szCs w:val="22"/>
                <w:lang w:eastAsia="en-AU"/>
              </w:rPr>
              <w:t>525.8</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795.4</w:t>
            </w:r>
          </w:p>
        </w:tc>
        <w:tc>
          <w:tcPr>
            <w:tcW w:w="298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761.9)</w:t>
            </w:r>
          </w:p>
        </w:tc>
        <w:tc>
          <w:tcPr>
            <w:tcW w:w="298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248.7</w:t>
            </w:r>
          </w:p>
        </w:tc>
      </w:tr>
      <w:tr w:rsidR="000B4A1E" w:rsidRPr="003E2DBE" w:rsidTr="00517E51">
        <w:tc>
          <w:tcPr>
            <w:tcW w:w="3704"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86"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86"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Pr>
                <w:lang w:eastAsia="en-AU"/>
              </w:rPr>
              <w:t>..</w:t>
            </w:r>
          </w:p>
        </w:tc>
      </w:tr>
      <w:tr w:rsidR="000B4A1E" w:rsidRPr="003E2DBE" w:rsidTr="00517E51">
        <w:tc>
          <w:tcPr>
            <w:tcW w:w="3704"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76 </w:t>
            </w:r>
            <w:r w:rsidRPr="003E2DBE">
              <w:rPr>
                <w:rFonts w:eastAsiaTheme="minorEastAsia" w:cs="Calibri"/>
                <w:b/>
                <w:bCs/>
                <w:szCs w:val="22"/>
                <w:lang w:eastAsia="en-AU"/>
              </w:rPr>
              <w:t>364.0</w:t>
            </w:r>
          </w:p>
        </w:tc>
        <w:tc>
          <w:tcPr>
            <w:tcW w:w="2986"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1 </w:t>
            </w:r>
            <w:r w:rsidRPr="003E2DBE">
              <w:rPr>
                <w:rFonts w:eastAsiaTheme="minorEastAsia" w:cs="Calibri"/>
                <w:b/>
                <w:bCs/>
                <w:szCs w:val="22"/>
                <w:lang w:eastAsia="en-AU"/>
              </w:rPr>
              <w:t>865.1</w:t>
            </w:r>
          </w:p>
        </w:tc>
        <w:tc>
          <w:tcPr>
            <w:tcW w:w="2986"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123 </w:t>
            </w:r>
            <w:r w:rsidRPr="003E2DBE">
              <w:rPr>
                <w:rFonts w:eastAsiaTheme="minorEastAsia" w:cs="Calibri"/>
                <w:b/>
                <w:bCs/>
                <w:szCs w:val="22"/>
                <w:lang w:eastAsia="en-AU"/>
              </w:rPr>
              <w:t>632.1</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2986"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2986"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73 </w:t>
            </w:r>
            <w:r w:rsidRPr="003E2DBE">
              <w:rPr>
                <w:rFonts w:eastAsiaTheme="minorEastAsia" w:cs="Calibri"/>
                <w:szCs w:val="22"/>
                <w:lang w:eastAsia="en-AU"/>
              </w:rPr>
              <w:t>538.7</w:t>
            </w:r>
          </w:p>
        </w:tc>
        <w:tc>
          <w:tcPr>
            <w:tcW w:w="298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 </w:t>
            </w:r>
            <w:r w:rsidRPr="003E2DBE">
              <w:rPr>
                <w:rFonts w:eastAsiaTheme="minorEastAsia" w:cs="Calibri"/>
                <w:szCs w:val="22"/>
                <w:lang w:eastAsia="en-AU"/>
              </w:rPr>
              <w:t>646.8</w:t>
            </w:r>
          </w:p>
        </w:tc>
        <w:tc>
          <w:tcPr>
            <w:tcW w:w="298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126 </w:t>
            </w:r>
            <w:r w:rsidRPr="003E2DBE">
              <w:rPr>
                <w:rFonts w:eastAsiaTheme="minorEastAsia" w:cs="Calibri"/>
                <w:szCs w:val="22"/>
                <w:lang w:eastAsia="en-AU"/>
              </w:rPr>
              <w:t>598.5</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8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8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(15</w:t>
            </w:r>
            <w:r w:rsidRPr="003E2DBE">
              <w:rPr>
                <w:rFonts w:eastAsiaTheme="minorEastAsia" w:cs="Calibri"/>
                <w:szCs w:val="22"/>
                <w:lang w:eastAsia="en-AU"/>
              </w:rPr>
              <w:t xml:space="preserve"> 961.9)</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 </w:t>
            </w:r>
            <w:r w:rsidRPr="003E2DBE">
              <w:rPr>
                <w:rFonts w:eastAsiaTheme="minorEastAsia" w:cs="Calibri"/>
                <w:szCs w:val="22"/>
                <w:lang w:eastAsia="en-AU"/>
              </w:rPr>
              <w:t>030.0</w:t>
            </w:r>
          </w:p>
        </w:tc>
        <w:tc>
          <w:tcPr>
            <w:tcW w:w="298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19.8)</w:t>
            </w:r>
          </w:p>
        </w:tc>
        <w:tc>
          <w:tcPr>
            <w:tcW w:w="298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 </w:t>
            </w:r>
            <w:r w:rsidRPr="003E2DBE">
              <w:rPr>
                <w:rFonts w:eastAsiaTheme="minorEastAsia" w:cs="Calibri"/>
                <w:szCs w:val="22"/>
                <w:lang w:eastAsia="en-AU"/>
              </w:rPr>
              <w:t>219.5</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8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8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1.5</w:t>
            </w:r>
          </w:p>
        </w:tc>
      </w:tr>
      <w:tr w:rsidR="000B4A1E" w:rsidRPr="003E2DBE" w:rsidTr="00517E51">
        <w:tc>
          <w:tcPr>
            <w:tcW w:w="3704"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75 </w:t>
            </w:r>
            <w:r w:rsidRPr="003E2DBE">
              <w:rPr>
                <w:rFonts w:eastAsiaTheme="minorEastAsia" w:cs="Calibri"/>
                <w:b/>
                <w:bCs/>
                <w:szCs w:val="22"/>
                <w:lang w:eastAsia="en-AU"/>
              </w:rPr>
              <w:t>568.6</w:t>
            </w:r>
          </w:p>
        </w:tc>
        <w:tc>
          <w:tcPr>
            <w:tcW w:w="298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2 </w:t>
            </w:r>
            <w:r w:rsidRPr="003E2DBE">
              <w:rPr>
                <w:rFonts w:eastAsiaTheme="minorEastAsia" w:cs="Calibri"/>
                <w:b/>
                <w:bCs/>
                <w:szCs w:val="22"/>
                <w:lang w:eastAsia="en-AU"/>
              </w:rPr>
              <w:t>627.0</w:t>
            </w:r>
          </w:p>
        </w:tc>
        <w:tc>
          <w:tcPr>
            <w:tcW w:w="298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112 </w:t>
            </w:r>
            <w:r w:rsidRPr="003E2DBE">
              <w:rPr>
                <w:rFonts w:eastAsiaTheme="minorEastAsia" w:cs="Calibri"/>
                <w:b/>
                <w:bCs/>
                <w:szCs w:val="22"/>
                <w:lang w:eastAsia="en-AU"/>
              </w:rPr>
              <w:t>857.6</w:t>
            </w:r>
          </w:p>
        </w:tc>
      </w:tr>
    </w:tbl>
    <w:p w:rsidR="000B4A1E" w:rsidRPr="00D00665" w:rsidRDefault="000B4A1E" w:rsidP="00517E51">
      <w:pPr>
        <w:pStyle w:val="Source"/>
      </w:pPr>
    </w:p>
    <w:p w:rsidR="000B4A1E" w:rsidRPr="00D00665" w:rsidRDefault="000B4A1E" w:rsidP="00517E51">
      <w:pPr>
        <w:spacing w:before="300"/>
      </w:pPr>
    </w:p>
    <w:p w:rsidR="000B4A1E" w:rsidRDefault="000B4A1E" w:rsidP="00517E51">
      <w:pPr>
        <w:pStyle w:val="million"/>
        <w:rPr>
          <w:rFonts w:ascii="Times New Roman" w:hAnsi="Times New Roman"/>
          <w:i w:val="0"/>
          <w:szCs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3704"/>
        <w:gridCol w:w="2700"/>
        <w:gridCol w:w="1636"/>
        <w:gridCol w:w="1636"/>
      </w:tblGrid>
      <w:tr w:rsidR="000B4A1E" w:rsidRPr="003E2DBE" w:rsidTr="00517E51">
        <w:tc>
          <w:tcPr>
            <w:tcW w:w="3704" w:type="dxa"/>
            <w:tcBorders>
              <w:top w:val="single" w:sz="6" w:space="0" w:color="auto"/>
              <w:left w:val="single" w:sz="6" w:space="0" w:color="auto"/>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 xml:space="preserve">Land, buildings, infrastructure, </w:t>
            </w:r>
          </w:p>
          <w:p w:rsidR="000B4A1E" w:rsidRPr="003E2DBE" w:rsidRDefault="000B4A1E" w:rsidP="00517E51">
            <w:pPr>
              <w:pStyle w:val="Tabletextheading"/>
              <w:rPr>
                <w:lang w:eastAsia="en-AU"/>
              </w:rPr>
            </w:pPr>
            <w:r w:rsidRPr="003E2DBE">
              <w:rPr>
                <w:lang w:eastAsia="en-AU"/>
              </w:rPr>
              <w:t xml:space="preserve">plant and equipment </w:t>
            </w:r>
          </w:p>
          <w:p w:rsidR="000B4A1E" w:rsidRPr="003E2DBE" w:rsidRDefault="000B4A1E" w:rsidP="00517E51">
            <w:pPr>
              <w:pStyle w:val="Tabletextheading"/>
              <w:rPr>
                <w:rFonts w:cs="Calibri"/>
                <w:iCs/>
                <w:szCs w:val="22"/>
                <w:lang w:eastAsia="en-AU"/>
              </w:rPr>
            </w:pPr>
            <w:r w:rsidRPr="003E2DBE">
              <w:rPr>
                <w:lang w:eastAsia="en-AU"/>
              </w:rPr>
              <w:t xml:space="preserve">revaluation </w:t>
            </w:r>
            <w:r w:rsidRPr="003E2DBE">
              <w:rPr>
                <w:rFonts w:cs="Calibri"/>
                <w:iCs/>
                <w:szCs w:val="22"/>
                <w:lang w:eastAsia="en-AU"/>
              </w:rPr>
              <w:t>surplus</w:t>
            </w:r>
          </w:p>
        </w:tc>
        <w:tc>
          <w:tcPr>
            <w:tcW w:w="2700"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 xml:space="preserve">Investment in other </w:t>
            </w:r>
          </w:p>
          <w:p w:rsidR="000B4A1E" w:rsidRPr="003E2DBE" w:rsidRDefault="000B4A1E" w:rsidP="00517E51">
            <w:pPr>
              <w:pStyle w:val="Tabletextheading"/>
              <w:rPr>
                <w:lang w:eastAsia="en-AU"/>
              </w:rPr>
            </w:pPr>
            <w:r w:rsidRPr="003E2DBE">
              <w:rPr>
                <w:lang w:eastAsia="en-AU"/>
              </w:rPr>
              <w:t xml:space="preserve">sector entities </w:t>
            </w:r>
          </w:p>
          <w:p w:rsidR="000B4A1E" w:rsidRPr="003E2DBE" w:rsidRDefault="000B4A1E" w:rsidP="00517E51">
            <w:pPr>
              <w:pStyle w:val="Tabletextheading"/>
              <w:rPr>
                <w:rFonts w:cs="Calibri"/>
                <w:iCs/>
                <w:szCs w:val="22"/>
                <w:lang w:eastAsia="en-AU"/>
              </w:rPr>
            </w:pPr>
            <w:r w:rsidRPr="003E2DBE">
              <w:rPr>
                <w:lang w:eastAsia="en-AU"/>
              </w:rPr>
              <w:t xml:space="preserve">revaluation </w:t>
            </w:r>
            <w:r w:rsidRPr="003E2DBE">
              <w:rPr>
                <w:rFonts w:cs="Calibri"/>
                <w:iCs/>
                <w:szCs w:val="22"/>
                <w:lang w:eastAsia="en-AU"/>
              </w:rPr>
              <w:t>surplus</w:t>
            </w:r>
          </w:p>
        </w:tc>
        <w:tc>
          <w:tcPr>
            <w:tcW w:w="1636"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r w:rsidRPr="003E2DBE">
              <w:rPr>
                <w:lang w:eastAsia="en-AU"/>
              </w:rPr>
              <w:t xml:space="preserve">Other </w:t>
            </w:r>
          </w:p>
          <w:p w:rsidR="000B4A1E" w:rsidRPr="003E2DBE" w:rsidRDefault="000B4A1E" w:rsidP="00517E51">
            <w:pPr>
              <w:pStyle w:val="Tabletextheading"/>
              <w:rPr>
                <w:rFonts w:cs="Calibri"/>
                <w:iCs/>
                <w:szCs w:val="22"/>
                <w:lang w:eastAsia="en-AU"/>
              </w:rPr>
            </w:pPr>
            <w:r w:rsidRPr="003E2DBE">
              <w:rPr>
                <w:lang w:eastAsia="en-AU"/>
              </w:rPr>
              <w:t>reserves</w:t>
            </w:r>
          </w:p>
        </w:tc>
        <w:tc>
          <w:tcPr>
            <w:tcW w:w="1636" w:type="dxa"/>
            <w:tcBorders>
              <w:top w:val="single" w:sz="6" w:space="0" w:color="auto"/>
              <w:left w:val="nil"/>
              <w:bottom w:val="single" w:sz="6" w:space="0" w:color="auto"/>
              <w:right w:val="single" w:sz="6" w:space="0" w:color="auto"/>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r w:rsidRPr="003E2DBE">
              <w:rPr>
                <w:lang w:eastAsia="en-AU"/>
              </w:rPr>
              <w:t>Total</w:t>
            </w:r>
          </w:p>
        </w:tc>
      </w:tr>
      <w:tr w:rsidR="000B4A1E" w:rsidRPr="003E2DBE" w:rsidTr="00517E51">
        <w:tc>
          <w:tcPr>
            <w:tcW w:w="3704" w:type="dxa"/>
            <w:tcBorders>
              <w:top w:val="single" w:sz="6" w:space="0" w:color="auto"/>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2700" w:type="dxa"/>
            <w:tcBorders>
              <w:top w:val="single" w:sz="6" w:space="0" w:color="auto"/>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636" w:type="dxa"/>
            <w:tcBorders>
              <w:top w:val="single" w:sz="6" w:space="0" w:color="auto"/>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636" w:type="dxa"/>
            <w:tcBorders>
              <w:top w:val="single" w:sz="6" w:space="0" w:color="auto"/>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36 </w:t>
            </w:r>
            <w:r w:rsidRPr="003E2DBE">
              <w:rPr>
                <w:rFonts w:eastAsiaTheme="minorEastAsia" w:cs="Calibri"/>
                <w:szCs w:val="22"/>
                <w:lang w:eastAsia="en-AU"/>
              </w:rPr>
              <w:t>962.6</w:t>
            </w:r>
          </w:p>
        </w:tc>
        <w:tc>
          <w:tcPr>
            <w:tcW w:w="270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38 </w:t>
            </w:r>
            <w:r w:rsidRPr="003E2DBE">
              <w:rPr>
                <w:rFonts w:eastAsiaTheme="minorEastAsia" w:cs="Calibri"/>
                <w:szCs w:val="22"/>
                <w:lang w:eastAsia="en-AU"/>
              </w:rPr>
              <w:t>958.4</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984.5</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111 </w:t>
            </w:r>
            <w:r w:rsidRPr="003E2DBE">
              <w:rPr>
                <w:rFonts w:eastAsiaTheme="minorEastAsia" w:cs="Calibri"/>
                <w:szCs w:val="22"/>
                <w:lang w:eastAsia="en-AU"/>
              </w:rPr>
              <w:t>763.7</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70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7 </w:t>
            </w:r>
            <w:r w:rsidRPr="003E2DBE">
              <w:rPr>
                <w:rFonts w:eastAsiaTheme="minorEastAsia" w:cs="Calibri"/>
                <w:szCs w:val="22"/>
                <w:lang w:eastAsia="en-AU"/>
              </w:rPr>
              <w:t>413.8</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700.5</w:t>
            </w:r>
          </w:p>
        </w:tc>
        <w:tc>
          <w:tcPr>
            <w:tcW w:w="270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810.3)</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63.1)</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779.7</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2700"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36"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Pr>
                <w:lang w:eastAsia="en-AU"/>
              </w:rPr>
              <w:t>..</w:t>
            </w:r>
          </w:p>
        </w:tc>
      </w:tr>
      <w:tr w:rsidR="000B4A1E" w:rsidRPr="003E2DBE" w:rsidTr="00517E51">
        <w:tc>
          <w:tcPr>
            <w:tcW w:w="3704"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37 </w:t>
            </w:r>
            <w:r w:rsidRPr="003E2DBE">
              <w:rPr>
                <w:rFonts w:eastAsiaTheme="minorEastAsia" w:cs="Calibri"/>
                <w:b/>
                <w:bCs/>
                <w:szCs w:val="22"/>
                <w:lang w:eastAsia="en-AU"/>
              </w:rPr>
              <w:t>663.1</w:t>
            </w:r>
          </w:p>
        </w:tc>
        <w:tc>
          <w:tcPr>
            <w:tcW w:w="270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38 </w:t>
            </w:r>
            <w:r w:rsidRPr="003E2DBE">
              <w:rPr>
                <w:rFonts w:eastAsiaTheme="minorEastAsia" w:cs="Calibri"/>
                <w:b/>
                <w:bCs/>
                <w:szCs w:val="22"/>
                <w:lang w:eastAsia="en-AU"/>
              </w:rPr>
              <w:t>148.1</w:t>
            </w:r>
          </w:p>
        </w:tc>
        <w:tc>
          <w:tcPr>
            <w:tcW w:w="163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921.3</w:t>
            </w:r>
          </w:p>
        </w:tc>
        <w:tc>
          <w:tcPr>
            <w:tcW w:w="163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119 </w:t>
            </w:r>
            <w:r w:rsidRPr="003E2DBE">
              <w:rPr>
                <w:rFonts w:eastAsiaTheme="minorEastAsia" w:cs="Calibri"/>
                <w:b/>
                <w:bCs/>
                <w:szCs w:val="22"/>
                <w:lang w:eastAsia="en-AU"/>
              </w:rPr>
              <w:t>957.2</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270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636"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636" w:type="dxa"/>
            <w:tcBorders>
              <w:top w:val="nil"/>
              <w:left w:val="nil"/>
              <w:bottom w:val="nil"/>
              <w:right w:val="nil"/>
            </w:tcBorders>
          </w:tcPr>
          <w:p w:rsidR="000B4A1E" w:rsidRPr="003E2DBE" w:rsidRDefault="000B4A1E" w:rsidP="00517E51">
            <w:pPr>
              <w:pStyle w:val="TableofFigures"/>
              <w:rPr>
                <w:b/>
                <w:bCs/>
                <w:lang w:eastAsia="en-AU"/>
              </w:rPr>
            </w:pP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34 </w:t>
            </w:r>
            <w:r w:rsidRPr="003E2DBE">
              <w:rPr>
                <w:rFonts w:eastAsiaTheme="minorEastAsia" w:cs="Calibri"/>
                <w:szCs w:val="22"/>
                <w:lang w:eastAsia="en-AU"/>
              </w:rPr>
              <w:t>956.4</w:t>
            </w:r>
          </w:p>
        </w:tc>
        <w:tc>
          <w:tcPr>
            <w:tcW w:w="270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39 </w:t>
            </w:r>
            <w:r w:rsidRPr="003E2DBE">
              <w:rPr>
                <w:rFonts w:eastAsiaTheme="minorEastAsia" w:cs="Calibri"/>
                <w:szCs w:val="22"/>
                <w:lang w:eastAsia="en-AU"/>
              </w:rPr>
              <w:t>658.9</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010.1</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119 </w:t>
            </w:r>
            <w:r w:rsidRPr="003E2DBE">
              <w:rPr>
                <w:rFonts w:eastAsiaTheme="minorEastAsia" w:cs="Calibri"/>
                <w:szCs w:val="22"/>
                <w:lang w:eastAsia="en-AU"/>
              </w:rPr>
              <w:t>722.8</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70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(9</w:t>
            </w:r>
            <w:r w:rsidRPr="003E2DBE">
              <w:rPr>
                <w:rFonts w:eastAsiaTheme="minorEastAsia" w:cs="Calibri"/>
                <w:szCs w:val="22"/>
                <w:lang w:eastAsia="en-AU"/>
              </w:rPr>
              <w:t xml:space="preserve"> 652.9)</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 </w:t>
            </w:r>
            <w:r w:rsidRPr="003E2DBE">
              <w:rPr>
                <w:rFonts w:eastAsiaTheme="minorEastAsia" w:cs="Calibri"/>
                <w:szCs w:val="22"/>
                <w:lang w:eastAsia="en-AU"/>
              </w:rPr>
              <w:t>006.2</w:t>
            </w:r>
          </w:p>
        </w:tc>
        <w:tc>
          <w:tcPr>
            <w:tcW w:w="270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700.5)</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25.6)</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692.3</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70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36"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1.5</w:t>
            </w:r>
          </w:p>
        </w:tc>
      </w:tr>
      <w:tr w:rsidR="000B4A1E" w:rsidRPr="003E2DBE" w:rsidTr="00517E51">
        <w:tc>
          <w:tcPr>
            <w:tcW w:w="3704"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36 </w:t>
            </w:r>
            <w:r w:rsidRPr="003E2DBE">
              <w:rPr>
                <w:rFonts w:eastAsiaTheme="minorEastAsia" w:cs="Calibri"/>
                <w:b/>
                <w:bCs/>
                <w:szCs w:val="22"/>
                <w:lang w:eastAsia="en-AU"/>
              </w:rPr>
              <w:t>962.6</w:t>
            </w:r>
          </w:p>
        </w:tc>
        <w:tc>
          <w:tcPr>
            <w:tcW w:w="270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38 </w:t>
            </w:r>
            <w:r w:rsidRPr="003E2DBE">
              <w:rPr>
                <w:rFonts w:eastAsiaTheme="minorEastAsia" w:cs="Calibri"/>
                <w:b/>
                <w:bCs/>
                <w:szCs w:val="22"/>
                <w:lang w:eastAsia="en-AU"/>
              </w:rPr>
              <w:t>958.4</w:t>
            </w:r>
          </w:p>
        </w:tc>
        <w:tc>
          <w:tcPr>
            <w:tcW w:w="163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984.5</w:t>
            </w:r>
          </w:p>
        </w:tc>
        <w:tc>
          <w:tcPr>
            <w:tcW w:w="163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111 </w:t>
            </w:r>
            <w:r w:rsidRPr="003E2DBE">
              <w:rPr>
                <w:rFonts w:eastAsiaTheme="minorEastAsia" w:cs="Calibri"/>
                <w:b/>
                <w:bCs/>
                <w:szCs w:val="22"/>
                <w:lang w:eastAsia="en-AU"/>
              </w:rPr>
              <w:t>763.7</w:t>
            </w:r>
          </w:p>
        </w:tc>
      </w:tr>
    </w:tbl>
    <w:p w:rsidR="000B4A1E" w:rsidRPr="00D00665" w:rsidRDefault="000B4A1E" w:rsidP="00517E51">
      <w:pPr>
        <w:pStyle w:val="million"/>
      </w:pPr>
    </w:p>
    <w:p w:rsidR="000B4A1E" w:rsidRPr="00D00665" w:rsidRDefault="000B4A1E" w:rsidP="00517E51">
      <w:pPr>
        <w:pStyle w:val="Heading1"/>
      </w:pPr>
      <w:r w:rsidRPr="00D00665">
        <w:br w:type="page"/>
      </w:r>
      <w:bookmarkStart w:id="15" w:name="_Toc367967897"/>
      <w:r w:rsidRPr="000D0F3D">
        <w:lastRenderedPageBreak/>
        <w:t>Notes</w:t>
      </w:r>
      <w:r w:rsidRPr="00D00665">
        <w:t xml:space="preserve"> to the financial statements</w:t>
      </w:r>
      <w:bookmarkEnd w:id="15"/>
    </w:p>
    <w:p w:rsidR="000B4A1E" w:rsidRDefault="000B4A1E">
      <w:pPr>
        <w:pStyle w:val="TOC4"/>
        <w:rPr>
          <w:rFonts w:asciiTheme="minorHAnsi" w:eastAsiaTheme="minorEastAsia" w:hAnsiTheme="minorHAnsi" w:cstheme="minorBidi"/>
          <w:noProof/>
          <w:szCs w:val="22"/>
          <w:lang w:eastAsia="en-AU"/>
        </w:rPr>
      </w:pPr>
      <w:r w:rsidRPr="00D00665">
        <w:fldChar w:fldCharType="begin" w:fldLock="1"/>
      </w:r>
      <w:r w:rsidRPr="00D00665">
        <w:instrText xml:space="preserve"> TOC \h \z \t "Heading 2 Notes,4" </w:instrText>
      </w:r>
      <w:r w:rsidRPr="00D00665">
        <w:fldChar w:fldCharType="separate"/>
      </w:r>
      <w:hyperlink w:anchor="_Toc367947860" w:history="1">
        <w:r w:rsidRPr="007B2F11">
          <w:rPr>
            <w:rStyle w:val="Hyperlink"/>
            <w:noProof/>
          </w:rPr>
          <w:t>Note 1:</w:t>
        </w:r>
        <w:r>
          <w:rPr>
            <w:rFonts w:asciiTheme="minorHAnsi" w:eastAsiaTheme="minorEastAsia" w:hAnsiTheme="minorHAnsi" w:cstheme="minorBidi"/>
            <w:noProof/>
            <w:szCs w:val="22"/>
            <w:lang w:eastAsia="en-AU"/>
          </w:rPr>
          <w:tab/>
        </w:r>
        <w:r w:rsidRPr="007B2F11">
          <w:rPr>
            <w:rStyle w:val="Hyperlink"/>
            <w:noProof/>
          </w:rPr>
          <w:t>Summary of significant accounting policies</w:t>
        </w:r>
        <w:r>
          <w:rPr>
            <w:noProof/>
            <w:webHidden/>
          </w:rPr>
          <w:tab/>
        </w:r>
        <w:r>
          <w:rPr>
            <w:noProof/>
            <w:webHidden/>
          </w:rPr>
          <w:fldChar w:fldCharType="begin" w:fldLock="1"/>
        </w:r>
        <w:r>
          <w:rPr>
            <w:noProof/>
            <w:webHidden/>
          </w:rPr>
          <w:instrText xml:space="preserve"> PAGEREF _Toc367947860 \h </w:instrText>
        </w:r>
        <w:r>
          <w:rPr>
            <w:noProof/>
            <w:webHidden/>
          </w:rPr>
        </w:r>
        <w:r>
          <w:rPr>
            <w:noProof/>
            <w:webHidden/>
          </w:rPr>
          <w:fldChar w:fldCharType="separate"/>
        </w:r>
        <w:r w:rsidR="001400C3">
          <w:rPr>
            <w:noProof/>
            <w:webHidden/>
          </w:rPr>
          <w:t>33</w:t>
        </w:r>
        <w:r>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61" w:history="1">
        <w:r w:rsidR="000B4A1E" w:rsidRPr="007B2F11">
          <w:rPr>
            <w:rStyle w:val="Hyperlink"/>
            <w:noProof/>
          </w:rPr>
          <w:t>Note 2:</w:t>
        </w:r>
        <w:r w:rsidR="000B4A1E">
          <w:rPr>
            <w:rFonts w:asciiTheme="minorHAnsi" w:eastAsiaTheme="minorEastAsia" w:hAnsiTheme="minorHAnsi" w:cstheme="minorBidi"/>
            <w:noProof/>
            <w:szCs w:val="22"/>
            <w:lang w:eastAsia="en-AU"/>
          </w:rPr>
          <w:tab/>
        </w:r>
        <w:r w:rsidR="000B4A1E" w:rsidRPr="007B2F11">
          <w:rPr>
            <w:rStyle w:val="Hyperlink"/>
            <w:noProof/>
          </w:rPr>
          <w:t>Disaggregated Information</w:t>
        </w:r>
        <w:r w:rsidR="000B4A1E">
          <w:rPr>
            <w:noProof/>
            <w:webHidden/>
          </w:rPr>
          <w:tab/>
        </w:r>
        <w:r w:rsidR="000B4A1E">
          <w:rPr>
            <w:noProof/>
            <w:webHidden/>
          </w:rPr>
          <w:fldChar w:fldCharType="begin" w:fldLock="1"/>
        </w:r>
        <w:r w:rsidR="000B4A1E">
          <w:rPr>
            <w:noProof/>
            <w:webHidden/>
          </w:rPr>
          <w:instrText xml:space="preserve"> PAGEREF _Toc367947861 \h </w:instrText>
        </w:r>
        <w:r w:rsidR="000B4A1E">
          <w:rPr>
            <w:noProof/>
            <w:webHidden/>
          </w:rPr>
        </w:r>
        <w:r w:rsidR="000B4A1E">
          <w:rPr>
            <w:noProof/>
            <w:webHidden/>
          </w:rPr>
          <w:fldChar w:fldCharType="separate"/>
        </w:r>
        <w:r w:rsidR="001400C3">
          <w:rPr>
            <w:noProof/>
            <w:webHidden/>
          </w:rPr>
          <w:t>58</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62" w:history="1">
        <w:r w:rsidR="000B4A1E" w:rsidRPr="007B2F11">
          <w:rPr>
            <w:rStyle w:val="Hyperlink"/>
            <w:noProof/>
          </w:rPr>
          <w:t>Note 3:</w:t>
        </w:r>
        <w:r w:rsidR="000B4A1E">
          <w:rPr>
            <w:rFonts w:asciiTheme="minorHAnsi" w:eastAsiaTheme="minorEastAsia" w:hAnsiTheme="minorHAnsi" w:cstheme="minorBidi"/>
            <w:noProof/>
            <w:szCs w:val="22"/>
            <w:lang w:eastAsia="en-AU"/>
          </w:rPr>
          <w:tab/>
        </w:r>
        <w:r w:rsidR="000B4A1E" w:rsidRPr="007B2F11">
          <w:rPr>
            <w:rStyle w:val="Hyperlink"/>
            <w:noProof/>
          </w:rPr>
          <w:t>Taxation revenue</w:t>
        </w:r>
        <w:r w:rsidR="000B4A1E">
          <w:rPr>
            <w:noProof/>
            <w:webHidden/>
          </w:rPr>
          <w:tab/>
        </w:r>
        <w:r w:rsidR="000B4A1E">
          <w:rPr>
            <w:noProof/>
            <w:webHidden/>
          </w:rPr>
          <w:fldChar w:fldCharType="begin" w:fldLock="1"/>
        </w:r>
        <w:r w:rsidR="000B4A1E">
          <w:rPr>
            <w:noProof/>
            <w:webHidden/>
          </w:rPr>
          <w:instrText xml:space="preserve"> PAGEREF _Toc367947862 \h </w:instrText>
        </w:r>
        <w:r w:rsidR="000B4A1E">
          <w:rPr>
            <w:noProof/>
            <w:webHidden/>
          </w:rPr>
        </w:r>
        <w:r w:rsidR="000B4A1E">
          <w:rPr>
            <w:noProof/>
            <w:webHidden/>
          </w:rPr>
          <w:fldChar w:fldCharType="separate"/>
        </w:r>
        <w:r w:rsidR="001400C3">
          <w:rPr>
            <w:noProof/>
            <w:webHidden/>
          </w:rPr>
          <w:t>68</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63" w:history="1">
        <w:r w:rsidR="000B4A1E" w:rsidRPr="007B2F11">
          <w:rPr>
            <w:rStyle w:val="Hyperlink"/>
            <w:noProof/>
          </w:rPr>
          <w:t>Note 4:</w:t>
        </w:r>
        <w:r w:rsidR="000B4A1E">
          <w:rPr>
            <w:rFonts w:asciiTheme="minorHAnsi" w:eastAsiaTheme="minorEastAsia" w:hAnsiTheme="minorHAnsi" w:cstheme="minorBidi"/>
            <w:noProof/>
            <w:szCs w:val="22"/>
            <w:lang w:eastAsia="en-AU"/>
          </w:rPr>
          <w:tab/>
        </w:r>
        <w:r w:rsidR="000B4A1E" w:rsidRPr="007B2F11">
          <w:rPr>
            <w:rStyle w:val="Hyperlink"/>
            <w:noProof/>
          </w:rPr>
          <w:t>Dividends and income tax equivalent and rate equivalent revenue</w:t>
        </w:r>
        <w:r w:rsidR="000B4A1E">
          <w:rPr>
            <w:noProof/>
            <w:webHidden/>
          </w:rPr>
          <w:tab/>
        </w:r>
        <w:r w:rsidR="000B4A1E">
          <w:rPr>
            <w:noProof/>
            <w:webHidden/>
          </w:rPr>
          <w:fldChar w:fldCharType="begin" w:fldLock="1"/>
        </w:r>
        <w:r w:rsidR="000B4A1E">
          <w:rPr>
            <w:noProof/>
            <w:webHidden/>
          </w:rPr>
          <w:instrText xml:space="preserve"> PAGEREF _Toc367947863 \h </w:instrText>
        </w:r>
        <w:r w:rsidR="000B4A1E">
          <w:rPr>
            <w:noProof/>
            <w:webHidden/>
          </w:rPr>
        </w:r>
        <w:r w:rsidR="000B4A1E">
          <w:rPr>
            <w:noProof/>
            <w:webHidden/>
          </w:rPr>
          <w:fldChar w:fldCharType="separate"/>
        </w:r>
        <w:r w:rsidR="001400C3">
          <w:rPr>
            <w:noProof/>
            <w:webHidden/>
          </w:rPr>
          <w:t>69</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64" w:history="1">
        <w:r w:rsidR="000B4A1E" w:rsidRPr="007B2F11">
          <w:rPr>
            <w:rStyle w:val="Hyperlink"/>
            <w:noProof/>
          </w:rPr>
          <w:t>Note 5:</w:t>
        </w:r>
        <w:r w:rsidR="000B4A1E">
          <w:rPr>
            <w:rFonts w:asciiTheme="minorHAnsi" w:eastAsiaTheme="minorEastAsia" w:hAnsiTheme="minorHAnsi" w:cstheme="minorBidi"/>
            <w:noProof/>
            <w:szCs w:val="22"/>
            <w:lang w:eastAsia="en-AU"/>
          </w:rPr>
          <w:tab/>
        </w:r>
        <w:r w:rsidR="000B4A1E" w:rsidRPr="007B2F11">
          <w:rPr>
            <w:rStyle w:val="Hyperlink"/>
            <w:noProof/>
          </w:rPr>
          <w:t>Sales of goods and services</w:t>
        </w:r>
        <w:r w:rsidR="000B4A1E">
          <w:rPr>
            <w:noProof/>
            <w:webHidden/>
          </w:rPr>
          <w:tab/>
        </w:r>
        <w:r w:rsidR="000B4A1E">
          <w:rPr>
            <w:noProof/>
            <w:webHidden/>
          </w:rPr>
          <w:fldChar w:fldCharType="begin" w:fldLock="1"/>
        </w:r>
        <w:r w:rsidR="000B4A1E">
          <w:rPr>
            <w:noProof/>
            <w:webHidden/>
          </w:rPr>
          <w:instrText xml:space="preserve"> PAGEREF _Toc367947864 \h </w:instrText>
        </w:r>
        <w:r w:rsidR="000B4A1E">
          <w:rPr>
            <w:noProof/>
            <w:webHidden/>
          </w:rPr>
        </w:r>
        <w:r w:rsidR="000B4A1E">
          <w:rPr>
            <w:noProof/>
            <w:webHidden/>
          </w:rPr>
          <w:fldChar w:fldCharType="separate"/>
        </w:r>
        <w:r w:rsidR="001400C3">
          <w:rPr>
            <w:noProof/>
            <w:webHidden/>
          </w:rPr>
          <w:t>70</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65" w:history="1">
        <w:r w:rsidR="000B4A1E" w:rsidRPr="007B2F11">
          <w:rPr>
            <w:rStyle w:val="Hyperlink"/>
            <w:noProof/>
          </w:rPr>
          <w:t>Note 6:</w:t>
        </w:r>
        <w:r w:rsidR="000B4A1E">
          <w:rPr>
            <w:rFonts w:asciiTheme="minorHAnsi" w:eastAsiaTheme="minorEastAsia" w:hAnsiTheme="minorHAnsi" w:cstheme="minorBidi"/>
            <w:noProof/>
            <w:szCs w:val="22"/>
            <w:lang w:eastAsia="en-AU"/>
          </w:rPr>
          <w:tab/>
        </w:r>
        <w:r w:rsidR="000B4A1E" w:rsidRPr="007B2F11">
          <w:rPr>
            <w:rStyle w:val="Hyperlink"/>
            <w:noProof/>
          </w:rPr>
          <w:t>Grants</w:t>
        </w:r>
        <w:r w:rsidR="000B4A1E">
          <w:rPr>
            <w:noProof/>
            <w:webHidden/>
          </w:rPr>
          <w:tab/>
        </w:r>
        <w:r w:rsidR="000B4A1E">
          <w:rPr>
            <w:noProof/>
            <w:webHidden/>
          </w:rPr>
          <w:fldChar w:fldCharType="begin" w:fldLock="1"/>
        </w:r>
        <w:r w:rsidR="000B4A1E">
          <w:rPr>
            <w:noProof/>
            <w:webHidden/>
          </w:rPr>
          <w:instrText xml:space="preserve"> PAGEREF _Toc367947865 \h </w:instrText>
        </w:r>
        <w:r w:rsidR="000B4A1E">
          <w:rPr>
            <w:noProof/>
            <w:webHidden/>
          </w:rPr>
        </w:r>
        <w:r w:rsidR="000B4A1E">
          <w:rPr>
            <w:noProof/>
            <w:webHidden/>
          </w:rPr>
          <w:fldChar w:fldCharType="separate"/>
        </w:r>
        <w:r w:rsidR="001400C3">
          <w:rPr>
            <w:noProof/>
            <w:webHidden/>
          </w:rPr>
          <w:t>70</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66" w:history="1">
        <w:r w:rsidR="000B4A1E" w:rsidRPr="007B2F11">
          <w:rPr>
            <w:rStyle w:val="Hyperlink"/>
            <w:noProof/>
          </w:rPr>
          <w:t>Note 7:</w:t>
        </w:r>
        <w:r w:rsidR="000B4A1E">
          <w:rPr>
            <w:rFonts w:asciiTheme="minorHAnsi" w:eastAsiaTheme="minorEastAsia" w:hAnsiTheme="minorHAnsi" w:cstheme="minorBidi"/>
            <w:noProof/>
            <w:szCs w:val="22"/>
            <w:lang w:eastAsia="en-AU"/>
          </w:rPr>
          <w:tab/>
        </w:r>
        <w:r w:rsidR="000B4A1E" w:rsidRPr="007B2F11">
          <w:rPr>
            <w:rStyle w:val="Hyperlink"/>
            <w:noProof/>
          </w:rPr>
          <w:t>Other revenue</w:t>
        </w:r>
        <w:r w:rsidR="000B4A1E">
          <w:rPr>
            <w:noProof/>
            <w:webHidden/>
          </w:rPr>
          <w:tab/>
        </w:r>
        <w:r w:rsidR="000B4A1E">
          <w:rPr>
            <w:noProof/>
            <w:webHidden/>
          </w:rPr>
          <w:fldChar w:fldCharType="begin" w:fldLock="1"/>
        </w:r>
        <w:r w:rsidR="000B4A1E">
          <w:rPr>
            <w:noProof/>
            <w:webHidden/>
          </w:rPr>
          <w:instrText xml:space="preserve"> PAGEREF _Toc367947866 \h </w:instrText>
        </w:r>
        <w:r w:rsidR="000B4A1E">
          <w:rPr>
            <w:noProof/>
            <w:webHidden/>
          </w:rPr>
        </w:r>
        <w:r w:rsidR="000B4A1E">
          <w:rPr>
            <w:noProof/>
            <w:webHidden/>
          </w:rPr>
          <w:fldChar w:fldCharType="separate"/>
        </w:r>
        <w:r w:rsidR="001400C3">
          <w:rPr>
            <w:noProof/>
            <w:webHidden/>
          </w:rPr>
          <w:t>70</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67" w:history="1">
        <w:r w:rsidR="000B4A1E" w:rsidRPr="007B2F11">
          <w:rPr>
            <w:rStyle w:val="Hyperlink"/>
            <w:noProof/>
          </w:rPr>
          <w:t>Note 8:</w:t>
        </w:r>
        <w:r w:rsidR="000B4A1E">
          <w:rPr>
            <w:rFonts w:asciiTheme="minorHAnsi" w:eastAsiaTheme="minorEastAsia" w:hAnsiTheme="minorHAnsi" w:cstheme="minorBidi"/>
            <w:noProof/>
            <w:szCs w:val="22"/>
            <w:lang w:eastAsia="en-AU"/>
          </w:rPr>
          <w:tab/>
        </w:r>
        <w:r w:rsidR="000B4A1E" w:rsidRPr="007B2F11">
          <w:rPr>
            <w:rStyle w:val="Hyperlink"/>
            <w:noProof/>
          </w:rPr>
          <w:t>Superannuation</w:t>
        </w:r>
        <w:r w:rsidR="000B4A1E">
          <w:rPr>
            <w:noProof/>
            <w:webHidden/>
          </w:rPr>
          <w:tab/>
        </w:r>
        <w:r w:rsidR="000B4A1E">
          <w:rPr>
            <w:noProof/>
            <w:webHidden/>
          </w:rPr>
          <w:fldChar w:fldCharType="begin" w:fldLock="1"/>
        </w:r>
        <w:r w:rsidR="000B4A1E">
          <w:rPr>
            <w:noProof/>
            <w:webHidden/>
          </w:rPr>
          <w:instrText xml:space="preserve"> PAGEREF _Toc367947867 \h </w:instrText>
        </w:r>
        <w:r w:rsidR="000B4A1E">
          <w:rPr>
            <w:noProof/>
            <w:webHidden/>
          </w:rPr>
        </w:r>
        <w:r w:rsidR="000B4A1E">
          <w:rPr>
            <w:noProof/>
            <w:webHidden/>
          </w:rPr>
          <w:fldChar w:fldCharType="separate"/>
        </w:r>
        <w:r w:rsidR="001400C3">
          <w:rPr>
            <w:noProof/>
            <w:webHidden/>
          </w:rPr>
          <w:t>71</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68" w:history="1">
        <w:r w:rsidR="000B4A1E" w:rsidRPr="007B2F11">
          <w:rPr>
            <w:rStyle w:val="Hyperlink"/>
            <w:noProof/>
          </w:rPr>
          <w:t>Note 9:</w:t>
        </w:r>
        <w:r w:rsidR="000B4A1E">
          <w:rPr>
            <w:rFonts w:asciiTheme="minorHAnsi" w:eastAsiaTheme="minorEastAsia" w:hAnsiTheme="minorHAnsi" w:cstheme="minorBidi"/>
            <w:noProof/>
            <w:szCs w:val="22"/>
            <w:lang w:eastAsia="en-AU"/>
          </w:rPr>
          <w:tab/>
        </w:r>
        <w:r w:rsidR="000B4A1E" w:rsidRPr="007B2F11">
          <w:rPr>
            <w:rStyle w:val="Hyperlink"/>
            <w:noProof/>
          </w:rPr>
          <w:t>Depreciation</w:t>
        </w:r>
        <w:r w:rsidR="000B4A1E">
          <w:rPr>
            <w:noProof/>
            <w:webHidden/>
          </w:rPr>
          <w:tab/>
        </w:r>
        <w:r w:rsidR="000B4A1E">
          <w:rPr>
            <w:noProof/>
            <w:webHidden/>
          </w:rPr>
          <w:fldChar w:fldCharType="begin" w:fldLock="1"/>
        </w:r>
        <w:r w:rsidR="000B4A1E">
          <w:rPr>
            <w:noProof/>
            <w:webHidden/>
          </w:rPr>
          <w:instrText xml:space="preserve"> PAGEREF _Toc367947868 \h </w:instrText>
        </w:r>
        <w:r w:rsidR="000B4A1E">
          <w:rPr>
            <w:noProof/>
            <w:webHidden/>
          </w:rPr>
        </w:r>
        <w:r w:rsidR="000B4A1E">
          <w:rPr>
            <w:noProof/>
            <w:webHidden/>
          </w:rPr>
          <w:fldChar w:fldCharType="separate"/>
        </w:r>
        <w:r w:rsidR="001400C3">
          <w:rPr>
            <w:noProof/>
            <w:webHidden/>
          </w:rPr>
          <w:t>75</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69" w:history="1">
        <w:r w:rsidR="000B4A1E" w:rsidRPr="007B2F11">
          <w:rPr>
            <w:rStyle w:val="Hyperlink"/>
            <w:noProof/>
          </w:rPr>
          <w:t>Note 10:</w:t>
        </w:r>
        <w:r w:rsidR="000B4A1E">
          <w:rPr>
            <w:rFonts w:asciiTheme="minorHAnsi" w:eastAsiaTheme="minorEastAsia" w:hAnsiTheme="minorHAnsi" w:cstheme="minorBidi"/>
            <w:noProof/>
            <w:szCs w:val="22"/>
            <w:lang w:eastAsia="en-AU"/>
          </w:rPr>
          <w:tab/>
        </w:r>
        <w:r w:rsidR="000B4A1E" w:rsidRPr="007B2F11">
          <w:rPr>
            <w:rStyle w:val="Hyperlink"/>
            <w:noProof/>
          </w:rPr>
          <w:t>Interest expense</w:t>
        </w:r>
        <w:r w:rsidR="000B4A1E">
          <w:rPr>
            <w:noProof/>
            <w:webHidden/>
          </w:rPr>
          <w:tab/>
        </w:r>
        <w:r w:rsidR="000B4A1E">
          <w:rPr>
            <w:noProof/>
            <w:webHidden/>
          </w:rPr>
          <w:fldChar w:fldCharType="begin" w:fldLock="1"/>
        </w:r>
        <w:r w:rsidR="000B4A1E">
          <w:rPr>
            <w:noProof/>
            <w:webHidden/>
          </w:rPr>
          <w:instrText xml:space="preserve"> PAGEREF _Toc367947869 \h </w:instrText>
        </w:r>
        <w:r w:rsidR="000B4A1E">
          <w:rPr>
            <w:noProof/>
            <w:webHidden/>
          </w:rPr>
        </w:r>
        <w:r w:rsidR="000B4A1E">
          <w:rPr>
            <w:noProof/>
            <w:webHidden/>
          </w:rPr>
          <w:fldChar w:fldCharType="separate"/>
        </w:r>
        <w:r w:rsidR="001400C3">
          <w:rPr>
            <w:noProof/>
            <w:webHidden/>
          </w:rPr>
          <w:t>75</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70" w:history="1">
        <w:r w:rsidR="000B4A1E" w:rsidRPr="007B2F11">
          <w:rPr>
            <w:rStyle w:val="Hyperlink"/>
            <w:noProof/>
          </w:rPr>
          <w:t>Note 11:</w:t>
        </w:r>
        <w:r w:rsidR="000B4A1E">
          <w:rPr>
            <w:rFonts w:asciiTheme="minorHAnsi" w:eastAsiaTheme="minorEastAsia" w:hAnsiTheme="minorHAnsi" w:cstheme="minorBidi"/>
            <w:noProof/>
            <w:szCs w:val="22"/>
            <w:lang w:eastAsia="en-AU"/>
          </w:rPr>
          <w:tab/>
        </w:r>
        <w:r w:rsidR="000B4A1E" w:rsidRPr="007B2F11">
          <w:rPr>
            <w:rStyle w:val="Hyperlink"/>
            <w:noProof/>
          </w:rPr>
          <w:t>Other operating expenses</w:t>
        </w:r>
        <w:r w:rsidR="000B4A1E">
          <w:rPr>
            <w:noProof/>
            <w:webHidden/>
          </w:rPr>
          <w:tab/>
        </w:r>
        <w:r w:rsidR="000B4A1E">
          <w:rPr>
            <w:noProof/>
            <w:webHidden/>
          </w:rPr>
          <w:fldChar w:fldCharType="begin" w:fldLock="1"/>
        </w:r>
        <w:r w:rsidR="000B4A1E">
          <w:rPr>
            <w:noProof/>
            <w:webHidden/>
          </w:rPr>
          <w:instrText xml:space="preserve"> PAGEREF _Toc367947870 \h </w:instrText>
        </w:r>
        <w:r w:rsidR="000B4A1E">
          <w:rPr>
            <w:noProof/>
            <w:webHidden/>
          </w:rPr>
        </w:r>
        <w:r w:rsidR="000B4A1E">
          <w:rPr>
            <w:noProof/>
            <w:webHidden/>
          </w:rPr>
          <w:fldChar w:fldCharType="separate"/>
        </w:r>
        <w:r w:rsidR="001400C3">
          <w:rPr>
            <w:noProof/>
            <w:webHidden/>
          </w:rPr>
          <w:t>76</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71" w:history="1">
        <w:r w:rsidR="000B4A1E" w:rsidRPr="007B2F11">
          <w:rPr>
            <w:rStyle w:val="Hyperlink"/>
            <w:noProof/>
          </w:rPr>
          <w:t>Note 12:</w:t>
        </w:r>
        <w:r w:rsidR="000B4A1E">
          <w:rPr>
            <w:rFonts w:asciiTheme="minorHAnsi" w:eastAsiaTheme="minorEastAsia" w:hAnsiTheme="minorHAnsi" w:cstheme="minorBidi"/>
            <w:noProof/>
            <w:szCs w:val="22"/>
            <w:lang w:eastAsia="en-AU"/>
          </w:rPr>
          <w:tab/>
        </w:r>
        <w:r w:rsidR="000B4A1E" w:rsidRPr="007B2F11">
          <w:rPr>
            <w:rStyle w:val="Hyperlink"/>
            <w:noProof/>
          </w:rPr>
          <w:t>Grants and other transfers</w:t>
        </w:r>
        <w:r w:rsidR="000B4A1E">
          <w:rPr>
            <w:noProof/>
            <w:webHidden/>
          </w:rPr>
          <w:tab/>
        </w:r>
        <w:r w:rsidR="000B4A1E">
          <w:rPr>
            <w:noProof/>
            <w:webHidden/>
          </w:rPr>
          <w:fldChar w:fldCharType="begin" w:fldLock="1"/>
        </w:r>
        <w:r w:rsidR="000B4A1E">
          <w:rPr>
            <w:noProof/>
            <w:webHidden/>
          </w:rPr>
          <w:instrText xml:space="preserve"> PAGEREF _Toc367947871 \h </w:instrText>
        </w:r>
        <w:r w:rsidR="000B4A1E">
          <w:rPr>
            <w:noProof/>
            <w:webHidden/>
          </w:rPr>
        </w:r>
        <w:r w:rsidR="000B4A1E">
          <w:rPr>
            <w:noProof/>
            <w:webHidden/>
          </w:rPr>
          <w:fldChar w:fldCharType="separate"/>
        </w:r>
        <w:r w:rsidR="001400C3">
          <w:rPr>
            <w:noProof/>
            <w:webHidden/>
          </w:rPr>
          <w:t>76</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72" w:history="1">
        <w:r w:rsidR="000B4A1E" w:rsidRPr="007B2F11">
          <w:rPr>
            <w:rStyle w:val="Hyperlink"/>
            <w:noProof/>
          </w:rPr>
          <w:t>Note 13:</w:t>
        </w:r>
        <w:r w:rsidR="000B4A1E">
          <w:rPr>
            <w:rFonts w:asciiTheme="minorHAnsi" w:eastAsiaTheme="minorEastAsia" w:hAnsiTheme="minorHAnsi" w:cstheme="minorBidi"/>
            <w:noProof/>
            <w:szCs w:val="22"/>
            <w:lang w:eastAsia="en-AU"/>
          </w:rPr>
          <w:tab/>
        </w:r>
        <w:r w:rsidR="000B4A1E" w:rsidRPr="007B2F11">
          <w:rPr>
            <w:rStyle w:val="Hyperlink"/>
            <w:noProof/>
          </w:rPr>
          <w:t>Total expenses by government purpose classification</w:t>
        </w:r>
        <w:r w:rsidR="000B4A1E">
          <w:rPr>
            <w:noProof/>
            <w:webHidden/>
          </w:rPr>
          <w:tab/>
        </w:r>
        <w:r w:rsidR="000B4A1E">
          <w:rPr>
            <w:noProof/>
            <w:webHidden/>
          </w:rPr>
          <w:fldChar w:fldCharType="begin" w:fldLock="1"/>
        </w:r>
        <w:r w:rsidR="000B4A1E">
          <w:rPr>
            <w:noProof/>
            <w:webHidden/>
          </w:rPr>
          <w:instrText xml:space="preserve"> PAGEREF _Toc367947872 \h </w:instrText>
        </w:r>
        <w:r w:rsidR="000B4A1E">
          <w:rPr>
            <w:noProof/>
            <w:webHidden/>
          </w:rPr>
        </w:r>
        <w:r w:rsidR="000B4A1E">
          <w:rPr>
            <w:noProof/>
            <w:webHidden/>
          </w:rPr>
          <w:fldChar w:fldCharType="separate"/>
        </w:r>
        <w:r w:rsidR="001400C3">
          <w:rPr>
            <w:noProof/>
            <w:webHidden/>
          </w:rPr>
          <w:t>77</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73" w:history="1">
        <w:r w:rsidR="000B4A1E" w:rsidRPr="007B2F11">
          <w:rPr>
            <w:rStyle w:val="Hyperlink"/>
            <w:noProof/>
          </w:rPr>
          <w:t>Note 14:</w:t>
        </w:r>
        <w:r w:rsidR="000B4A1E">
          <w:rPr>
            <w:rFonts w:asciiTheme="minorHAnsi" w:eastAsiaTheme="minorEastAsia" w:hAnsiTheme="minorHAnsi" w:cstheme="minorBidi"/>
            <w:noProof/>
            <w:szCs w:val="22"/>
            <w:lang w:eastAsia="en-AU"/>
          </w:rPr>
          <w:tab/>
        </w:r>
        <w:r w:rsidR="000B4A1E" w:rsidRPr="007B2F11">
          <w:rPr>
            <w:rStyle w:val="Hyperlink"/>
            <w:noProof/>
          </w:rPr>
          <w:t>Net gain/(loss) on disposal of non</w:t>
        </w:r>
        <w:r w:rsidR="000B4A1E" w:rsidRPr="007B2F11">
          <w:rPr>
            <w:rStyle w:val="Hyperlink"/>
            <w:noProof/>
          </w:rPr>
          <w:noBreakHyphen/>
          <w:t>financial assets</w:t>
        </w:r>
        <w:r w:rsidR="000B4A1E">
          <w:rPr>
            <w:noProof/>
            <w:webHidden/>
          </w:rPr>
          <w:tab/>
        </w:r>
        <w:r w:rsidR="000B4A1E">
          <w:rPr>
            <w:noProof/>
            <w:webHidden/>
          </w:rPr>
          <w:fldChar w:fldCharType="begin" w:fldLock="1"/>
        </w:r>
        <w:r w:rsidR="000B4A1E">
          <w:rPr>
            <w:noProof/>
            <w:webHidden/>
          </w:rPr>
          <w:instrText xml:space="preserve"> PAGEREF _Toc367947873 \h </w:instrText>
        </w:r>
        <w:r w:rsidR="000B4A1E">
          <w:rPr>
            <w:noProof/>
            <w:webHidden/>
          </w:rPr>
        </w:r>
        <w:r w:rsidR="000B4A1E">
          <w:rPr>
            <w:noProof/>
            <w:webHidden/>
          </w:rPr>
          <w:fldChar w:fldCharType="separate"/>
        </w:r>
        <w:r w:rsidR="001400C3">
          <w:rPr>
            <w:noProof/>
            <w:webHidden/>
          </w:rPr>
          <w:t>77</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74" w:history="1">
        <w:r w:rsidR="000B4A1E" w:rsidRPr="007B2F11">
          <w:rPr>
            <w:rStyle w:val="Hyperlink"/>
            <w:noProof/>
          </w:rPr>
          <w:t>Note 15:</w:t>
        </w:r>
        <w:r w:rsidR="000B4A1E">
          <w:rPr>
            <w:rFonts w:asciiTheme="minorHAnsi" w:eastAsiaTheme="minorEastAsia" w:hAnsiTheme="minorHAnsi" w:cstheme="minorBidi"/>
            <w:noProof/>
            <w:szCs w:val="22"/>
            <w:lang w:eastAsia="en-AU"/>
          </w:rPr>
          <w:tab/>
        </w:r>
        <w:r w:rsidR="000B4A1E" w:rsidRPr="007B2F11">
          <w:rPr>
            <w:rStyle w:val="Hyperlink"/>
            <w:noProof/>
          </w:rPr>
          <w:t>Other gains/(losses) from other economic flows</w:t>
        </w:r>
        <w:r w:rsidR="000B4A1E">
          <w:rPr>
            <w:noProof/>
            <w:webHidden/>
          </w:rPr>
          <w:tab/>
        </w:r>
        <w:r w:rsidR="000B4A1E">
          <w:rPr>
            <w:noProof/>
            <w:webHidden/>
          </w:rPr>
          <w:fldChar w:fldCharType="begin" w:fldLock="1"/>
        </w:r>
        <w:r w:rsidR="000B4A1E">
          <w:rPr>
            <w:noProof/>
            <w:webHidden/>
          </w:rPr>
          <w:instrText xml:space="preserve"> PAGEREF _Toc367947874 \h </w:instrText>
        </w:r>
        <w:r w:rsidR="000B4A1E">
          <w:rPr>
            <w:noProof/>
            <w:webHidden/>
          </w:rPr>
        </w:r>
        <w:r w:rsidR="000B4A1E">
          <w:rPr>
            <w:noProof/>
            <w:webHidden/>
          </w:rPr>
          <w:fldChar w:fldCharType="separate"/>
        </w:r>
        <w:r w:rsidR="001400C3">
          <w:rPr>
            <w:noProof/>
            <w:webHidden/>
          </w:rPr>
          <w:t>78</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75" w:history="1">
        <w:r w:rsidR="000B4A1E" w:rsidRPr="007B2F11">
          <w:rPr>
            <w:rStyle w:val="Hyperlink"/>
            <w:noProof/>
          </w:rPr>
          <w:t>Note 16:</w:t>
        </w:r>
        <w:r w:rsidR="000B4A1E">
          <w:rPr>
            <w:rFonts w:asciiTheme="minorHAnsi" w:eastAsiaTheme="minorEastAsia" w:hAnsiTheme="minorHAnsi" w:cstheme="minorBidi"/>
            <w:noProof/>
            <w:szCs w:val="22"/>
            <w:lang w:eastAsia="en-AU"/>
          </w:rPr>
          <w:tab/>
        </w:r>
        <w:r w:rsidR="000B4A1E" w:rsidRPr="007B2F11">
          <w:rPr>
            <w:rStyle w:val="Hyperlink"/>
            <w:noProof/>
          </w:rPr>
          <w:t>Advances paid and investments, loans and placements</w:t>
        </w:r>
        <w:r w:rsidR="000B4A1E">
          <w:rPr>
            <w:noProof/>
            <w:webHidden/>
          </w:rPr>
          <w:tab/>
        </w:r>
        <w:r w:rsidR="000B4A1E">
          <w:rPr>
            <w:noProof/>
            <w:webHidden/>
          </w:rPr>
          <w:fldChar w:fldCharType="begin" w:fldLock="1"/>
        </w:r>
        <w:r w:rsidR="000B4A1E">
          <w:rPr>
            <w:noProof/>
            <w:webHidden/>
          </w:rPr>
          <w:instrText xml:space="preserve"> PAGEREF _Toc367947875 \h </w:instrText>
        </w:r>
        <w:r w:rsidR="000B4A1E">
          <w:rPr>
            <w:noProof/>
            <w:webHidden/>
          </w:rPr>
        </w:r>
        <w:r w:rsidR="000B4A1E">
          <w:rPr>
            <w:noProof/>
            <w:webHidden/>
          </w:rPr>
          <w:fldChar w:fldCharType="separate"/>
        </w:r>
        <w:r w:rsidR="001400C3">
          <w:rPr>
            <w:noProof/>
            <w:webHidden/>
          </w:rPr>
          <w:t>78</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76" w:history="1">
        <w:r w:rsidR="000B4A1E" w:rsidRPr="007B2F11">
          <w:rPr>
            <w:rStyle w:val="Hyperlink"/>
            <w:noProof/>
          </w:rPr>
          <w:t>Note 17:</w:t>
        </w:r>
        <w:r w:rsidR="000B4A1E">
          <w:rPr>
            <w:rFonts w:asciiTheme="minorHAnsi" w:eastAsiaTheme="minorEastAsia" w:hAnsiTheme="minorHAnsi" w:cstheme="minorBidi"/>
            <w:noProof/>
            <w:szCs w:val="22"/>
            <w:lang w:eastAsia="en-AU"/>
          </w:rPr>
          <w:tab/>
        </w:r>
        <w:r w:rsidR="000B4A1E" w:rsidRPr="007B2F11">
          <w:rPr>
            <w:rStyle w:val="Hyperlink"/>
            <w:noProof/>
          </w:rPr>
          <w:t>Receivables</w:t>
        </w:r>
        <w:r w:rsidR="000B4A1E">
          <w:rPr>
            <w:noProof/>
            <w:webHidden/>
          </w:rPr>
          <w:tab/>
        </w:r>
        <w:r w:rsidR="000B4A1E">
          <w:rPr>
            <w:noProof/>
            <w:webHidden/>
          </w:rPr>
          <w:fldChar w:fldCharType="begin" w:fldLock="1"/>
        </w:r>
        <w:r w:rsidR="000B4A1E">
          <w:rPr>
            <w:noProof/>
            <w:webHidden/>
          </w:rPr>
          <w:instrText xml:space="preserve"> PAGEREF _Toc367947876 \h </w:instrText>
        </w:r>
        <w:r w:rsidR="000B4A1E">
          <w:rPr>
            <w:noProof/>
            <w:webHidden/>
          </w:rPr>
        </w:r>
        <w:r w:rsidR="000B4A1E">
          <w:rPr>
            <w:noProof/>
            <w:webHidden/>
          </w:rPr>
          <w:fldChar w:fldCharType="separate"/>
        </w:r>
        <w:r w:rsidR="001400C3">
          <w:rPr>
            <w:noProof/>
            <w:webHidden/>
          </w:rPr>
          <w:t>79</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77" w:history="1">
        <w:r w:rsidR="000B4A1E" w:rsidRPr="007B2F11">
          <w:rPr>
            <w:rStyle w:val="Hyperlink"/>
            <w:noProof/>
          </w:rPr>
          <w:t>Note 18:</w:t>
        </w:r>
        <w:r w:rsidR="000B4A1E">
          <w:rPr>
            <w:rFonts w:asciiTheme="minorHAnsi" w:eastAsiaTheme="minorEastAsia" w:hAnsiTheme="minorHAnsi" w:cstheme="minorBidi"/>
            <w:noProof/>
            <w:szCs w:val="22"/>
            <w:lang w:eastAsia="en-AU"/>
          </w:rPr>
          <w:tab/>
        </w:r>
        <w:r w:rsidR="000B4A1E" w:rsidRPr="007B2F11">
          <w:rPr>
            <w:rStyle w:val="Hyperlink"/>
            <w:noProof/>
          </w:rPr>
          <w:t>Joint ventures</w:t>
        </w:r>
        <w:r w:rsidR="000B4A1E">
          <w:rPr>
            <w:noProof/>
            <w:webHidden/>
          </w:rPr>
          <w:tab/>
        </w:r>
        <w:r w:rsidR="000B4A1E">
          <w:rPr>
            <w:noProof/>
            <w:webHidden/>
          </w:rPr>
          <w:fldChar w:fldCharType="begin" w:fldLock="1"/>
        </w:r>
        <w:r w:rsidR="000B4A1E">
          <w:rPr>
            <w:noProof/>
            <w:webHidden/>
          </w:rPr>
          <w:instrText xml:space="preserve"> PAGEREF _Toc367947877 \h </w:instrText>
        </w:r>
        <w:r w:rsidR="000B4A1E">
          <w:rPr>
            <w:noProof/>
            <w:webHidden/>
          </w:rPr>
        </w:r>
        <w:r w:rsidR="000B4A1E">
          <w:rPr>
            <w:noProof/>
            <w:webHidden/>
          </w:rPr>
          <w:fldChar w:fldCharType="separate"/>
        </w:r>
        <w:r w:rsidR="001400C3">
          <w:rPr>
            <w:noProof/>
            <w:webHidden/>
          </w:rPr>
          <w:t>81</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78" w:history="1">
        <w:r w:rsidR="000B4A1E" w:rsidRPr="007B2F11">
          <w:rPr>
            <w:rStyle w:val="Hyperlink"/>
            <w:noProof/>
          </w:rPr>
          <w:t>Note 19:</w:t>
        </w:r>
        <w:r w:rsidR="000B4A1E">
          <w:rPr>
            <w:rFonts w:asciiTheme="minorHAnsi" w:eastAsiaTheme="minorEastAsia" w:hAnsiTheme="minorHAnsi" w:cstheme="minorBidi"/>
            <w:noProof/>
            <w:szCs w:val="22"/>
            <w:lang w:eastAsia="en-AU"/>
          </w:rPr>
          <w:tab/>
        </w:r>
        <w:r w:rsidR="000B4A1E" w:rsidRPr="007B2F11">
          <w:rPr>
            <w:rStyle w:val="Hyperlink"/>
            <w:noProof/>
          </w:rPr>
          <w:t>Investments in other sector entities</w:t>
        </w:r>
        <w:r w:rsidR="000B4A1E">
          <w:rPr>
            <w:noProof/>
            <w:webHidden/>
          </w:rPr>
          <w:tab/>
        </w:r>
        <w:r w:rsidR="000B4A1E">
          <w:rPr>
            <w:noProof/>
            <w:webHidden/>
          </w:rPr>
          <w:fldChar w:fldCharType="begin" w:fldLock="1"/>
        </w:r>
        <w:r w:rsidR="000B4A1E">
          <w:rPr>
            <w:noProof/>
            <w:webHidden/>
          </w:rPr>
          <w:instrText xml:space="preserve"> PAGEREF _Toc367947878 \h </w:instrText>
        </w:r>
        <w:r w:rsidR="000B4A1E">
          <w:rPr>
            <w:noProof/>
            <w:webHidden/>
          </w:rPr>
        </w:r>
        <w:r w:rsidR="000B4A1E">
          <w:rPr>
            <w:noProof/>
            <w:webHidden/>
          </w:rPr>
          <w:fldChar w:fldCharType="separate"/>
        </w:r>
        <w:r w:rsidR="001400C3">
          <w:rPr>
            <w:noProof/>
            <w:webHidden/>
          </w:rPr>
          <w:t>86</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79" w:history="1">
        <w:r w:rsidR="000B4A1E" w:rsidRPr="007B2F11">
          <w:rPr>
            <w:rStyle w:val="Hyperlink"/>
            <w:noProof/>
          </w:rPr>
          <w:t>Note 20:</w:t>
        </w:r>
        <w:r w:rsidR="000B4A1E">
          <w:rPr>
            <w:rFonts w:asciiTheme="minorHAnsi" w:eastAsiaTheme="minorEastAsia" w:hAnsiTheme="minorHAnsi" w:cstheme="minorBidi"/>
            <w:noProof/>
            <w:szCs w:val="22"/>
            <w:lang w:eastAsia="en-AU"/>
          </w:rPr>
          <w:tab/>
        </w:r>
        <w:r w:rsidR="000B4A1E" w:rsidRPr="007B2F11">
          <w:rPr>
            <w:rStyle w:val="Hyperlink"/>
            <w:noProof/>
          </w:rPr>
          <w:t>Inventories</w:t>
        </w:r>
        <w:r w:rsidR="000B4A1E">
          <w:rPr>
            <w:noProof/>
            <w:webHidden/>
          </w:rPr>
          <w:tab/>
        </w:r>
        <w:bookmarkStart w:id="16" w:name="_GoBack"/>
        <w:bookmarkEnd w:id="16"/>
        <w:r w:rsidR="000B4A1E">
          <w:rPr>
            <w:noProof/>
            <w:webHidden/>
          </w:rPr>
          <w:fldChar w:fldCharType="begin" w:fldLock="1"/>
        </w:r>
        <w:r w:rsidR="000B4A1E">
          <w:rPr>
            <w:noProof/>
            <w:webHidden/>
          </w:rPr>
          <w:instrText xml:space="preserve"> PAGEREF _Toc367947879 \h </w:instrText>
        </w:r>
        <w:r w:rsidR="000B4A1E">
          <w:rPr>
            <w:noProof/>
            <w:webHidden/>
          </w:rPr>
        </w:r>
        <w:r w:rsidR="000B4A1E">
          <w:rPr>
            <w:noProof/>
            <w:webHidden/>
          </w:rPr>
          <w:fldChar w:fldCharType="separate"/>
        </w:r>
        <w:r w:rsidR="001400C3">
          <w:rPr>
            <w:noProof/>
            <w:webHidden/>
          </w:rPr>
          <w:t>86</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80" w:history="1">
        <w:r w:rsidR="000B4A1E" w:rsidRPr="007B2F11">
          <w:rPr>
            <w:rStyle w:val="Hyperlink"/>
            <w:noProof/>
          </w:rPr>
          <w:t>Note 21:</w:t>
        </w:r>
        <w:r w:rsidR="000B4A1E">
          <w:rPr>
            <w:rFonts w:asciiTheme="minorHAnsi" w:eastAsiaTheme="minorEastAsia" w:hAnsiTheme="minorHAnsi" w:cstheme="minorBidi"/>
            <w:noProof/>
            <w:szCs w:val="22"/>
            <w:lang w:eastAsia="en-AU"/>
          </w:rPr>
          <w:tab/>
        </w:r>
        <w:r w:rsidR="000B4A1E" w:rsidRPr="007B2F11">
          <w:rPr>
            <w:rStyle w:val="Hyperlink"/>
            <w:noProof/>
          </w:rPr>
          <w:t>Non</w:t>
        </w:r>
        <w:r w:rsidR="000B4A1E" w:rsidRPr="007B2F11">
          <w:rPr>
            <w:rStyle w:val="Hyperlink"/>
            <w:noProof/>
          </w:rPr>
          <w:noBreakHyphen/>
          <w:t>financial assets held for sale</w:t>
        </w:r>
        <w:r w:rsidR="000B4A1E">
          <w:rPr>
            <w:noProof/>
            <w:webHidden/>
          </w:rPr>
          <w:tab/>
        </w:r>
        <w:r w:rsidR="000B4A1E">
          <w:rPr>
            <w:noProof/>
            <w:webHidden/>
          </w:rPr>
          <w:fldChar w:fldCharType="begin" w:fldLock="1"/>
        </w:r>
        <w:r w:rsidR="000B4A1E">
          <w:rPr>
            <w:noProof/>
            <w:webHidden/>
          </w:rPr>
          <w:instrText xml:space="preserve"> PAGEREF _Toc367947880 \h </w:instrText>
        </w:r>
        <w:r w:rsidR="000B4A1E">
          <w:rPr>
            <w:noProof/>
            <w:webHidden/>
          </w:rPr>
        </w:r>
        <w:r w:rsidR="000B4A1E">
          <w:rPr>
            <w:noProof/>
            <w:webHidden/>
          </w:rPr>
          <w:fldChar w:fldCharType="separate"/>
        </w:r>
        <w:r w:rsidR="001400C3">
          <w:rPr>
            <w:noProof/>
            <w:webHidden/>
          </w:rPr>
          <w:t>87</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81" w:history="1">
        <w:r w:rsidR="000B4A1E" w:rsidRPr="007B2F11">
          <w:rPr>
            <w:rStyle w:val="Hyperlink"/>
            <w:noProof/>
          </w:rPr>
          <w:t>Note 22:</w:t>
        </w:r>
        <w:r w:rsidR="000B4A1E">
          <w:rPr>
            <w:rFonts w:asciiTheme="minorHAnsi" w:eastAsiaTheme="minorEastAsia" w:hAnsiTheme="minorHAnsi" w:cstheme="minorBidi"/>
            <w:noProof/>
            <w:szCs w:val="22"/>
            <w:lang w:eastAsia="en-AU"/>
          </w:rPr>
          <w:tab/>
        </w:r>
        <w:r w:rsidR="000B4A1E" w:rsidRPr="007B2F11">
          <w:rPr>
            <w:rStyle w:val="Hyperlink"/>
            <w:noProof/>
          </w:rPr>
          <w:t>Land, buildings, infrastructure, plant and equipment</w:t>
        </w:r>
        <w:r w:rsidR="000B4A1E">
          <w:rPr>
            <w:noProof/>
            <w:webHidden/>
          </w:rPr>
          <w:tab/>
        </w:r>
        <w:r w:rsidR="000B4A1E">
          <w:rPr>
            <w:noProof/>
            <w:webHidden/>
          </w:rPr>
          <w:fldChar w:fldCharType="begin" w:fldLock="1"/>
        </w:r>
        <w:r w:rsidR="000B4A1E">
          <w:rPr>
            <w:noProof/>
            <w:webHidden/>
          </w:rPr>
          <w:instrText xml:space="preserve"> PAGEREF _Toc367947881 \h </w:instrText>
        </w:r>
        <w:r w:rsidR="000B4A1E">
          <w:rPr>
            <w:noProof/>
            <w:webHidden/>
          </w:rPr>
        </w:r>
        <w:r w:rsidR="000B4A1E">
          <w:rPr>
            <w:noProof/>
            <w:webHidden/>
          </w:rPr>
          <w:fldChar w:fldCharType="separate"/>
        </w:r>
        <w:r w:rsidR="001400C3">
          <w:rPr>
            <w:noProof/>
            <w:webHidden/>
          </w:rPr>
          <w:t>88</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82" w:history="1">
        <w:r w:rsidR="000B4A1E" w:rsidRPr="007B2F11">
          <w:rPr>
            <w:rStyle w:val="Hyperlink"/>
            <w:noProof/>
          </w:rPr>
          <w:t>Note 23:</w:t>
        </w:r>
        <w:r w:rsidR="000B4A1E">
          <w:rPr>
            <w:rFonts w:asciiTheme="minorHAnsi" w:eastAsiaTheme="minorEastAsia" w:hAnsiTheme="minorHAnsi" w:cstheme="minorBidi"/>
            <w:noProof/>
            <w:szCs w:val="22"/>
            <w:lang w:eastAsia="en-AU"/>
          </w:rPr>
          <w:tab/>
        </w:r>
        <w:r w:rsidR="000B4A1E" w:rsidRPr="007B2F11">
          <w:rPr>
            <w:rStyle w:val="Hyperlink"/>
            <w:noProof/>
          </w:rPr>
          <w:t>Other non</w:t>
        </w:r>
        <w:r w:rsidR="000B4A1E" w:rsidRPr="007B2F11">
          <w:rPr>
            <w:rStyle w:val="Hyperlink"/>
            <w:noProof/>
          </w:rPr>
          <w:noBreakHyphen/>
          <w:t>financial assets</w:t>
        </w:r>
        <w:r w:rsidR="000B4A1E">
          <w:rPr>
            <w:noProof/>
            <w:webHidden/>
          </w:rPr>
          <w:tab/>
        </w:r>
        <w:r w:rsidR="000B4A1E">
          <w:rPr>
            <w:noProof/>
            <w:webHidden/>
          </w:rPr>
          <w:fldChar w:fldCharType="begin" w:fldLock="1"/>
        </w:r>
        <w:r w:rsidR="000B4A1E">
          <w:rPr>
            <w:noProof/>
            <w:webHidden/>
          </w:rPr>
          <w:instrText xml:space="preserve"> PAGEREF _Toc367947882 \h </w:instrText>
        </w:r>
        <w:r w:rsidR="000B4A1E">
          <w:rPr>
            <w:noProof/>
            <w:webHidden/>
          </w:rPr>
        </w:r>
        <w:r w:rsidR="000B4A1E">
          <w:rPr>
            <w:noProof/>
            <w:webHidden/>
          </w:rPr>
          <w:fldChar w:fldCharType="separate"/>
        </w:r>
        <w:r w:rsidR="001400C3">
          <w:rPr>
            <w:noProof/>
            <w:webHidden/>
          </w:rPr>
          <w:t>100</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83" w:history="1">
        <w:r w:rsidR="000B4A1E" w:rsidRPr="007B2F11">
          <w:rPr>
            <w:rStyle w:val="Hyperlink"/>
            <w:noProof/>
          </w:rPr>
          <w:t>Note 24:</w:t>
        </w:r>
        <w:r w:rsidR="000B4A1E">
          <w:rPr>
            <w:rFonts w:asciiTheme="minorHAnsi" w:eastAsiaTheme="minorEastAsia" w:hAnsiTheme="minorHAnsi" w:cstheme="minorBidi"/>
            <w:noProof/>
            <w:szCs w:val="22"/>
            <w:lang w:eastAsia="en-AU"/>
          </w:rPr>
          <w:tab/>
        </w:r>
        <w:r w:rsidR="000B4A1E" w:rsidRPr="007B2F11">
          <w:rPr>
            <w:rStyle w:val="Hyperlink"/>
            <w:noProof/>
          </w:rPr>
          <w:t>Assets classified by government purpose classification</w:t>
        </w:r>
        <w:r w:rsidR="000B4A1E">
          <w:rPr>
            <w:noProof/>
            <w:webHidden/>
          </w:rPr>
          <w:tab/>
        </w:r>
        <w:r w:rsidR="000B4A1E">
          <w:rPr>
            <w:noProof/>
            <w:webHidden/>
          </w:rPr>
          <w:fldChar w:fldCharType="begin" w:fldLock="1"/>
        </w:r>
        <w:r w:rsidR="000B4A1E">
          <w:rPr>
            <w:noProof/>
            <w:webHidden/>
          </w:rPr>
          <w:instrText xml:space="preserve"> PAGEREF _Toc367947883 \h </w:instrText>
        </w:r>
        <w:r w:rsidR="000B4A1E">
          <w:rPr>
            <w:noProof/>
            <w:webHidden/>
          </w:rPr>
        </w:r>
        <w:r w:rsidR="000B4A1E">
          <w:rPr>
            <w:noProof/>
            <w:webHidden/>
          </w:rPr>
          <w:fldChar w:fldCharType="separate"/>
        </w:r>
        <w:r w:rsidR="001400C3">
          <w:rPr>
            <w:noProof/>
            <w:webHidden/>
          </w:rPr>
          <w:t>101</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84" w:history="1">
        <w:r w:rsidR="000B4A1E" w:rsidRPr="007B2F11">
          <w:rPr>
            <w:rStyle w:val="Hyperlink"/>
            <w:noProof/>
          </w:rPr>
          <w:t>Note 25:</w:t>
        </w:r>
        <w:r w:rsidR="000B4A1E">
          <w:rPr>
            <w:rFonts w:asciiTheme="minorHAnsi" w:eastAsiaTheme="minorEastAsia" w:hAnsiTheme="minorHAnsi" w:cstheme="minorBidi"/>
            <w:noProof/>
            <w:szCs w:val="22"/>
            <w:lang w:eastAsia="en-AU"/>
          </w:rPr>
          <w:tab/>
        </w:r>
        <w:r w:rsidR="000B4A1E" w:rsidRPr="007B2F11">
          <w:rPr>
            <w:rStyle w:val="Hyperlink"/>
            <w:noProof/>
          </w:rPr>
          <w:t>Borrowings</w:t>
        </w:r>
        <w:r w:rsidR="000B4A1E">
          <w:rPr>
            <w:noProof/>
            <w:webHidden/>
          </w:rPr>
          <w:tab/>
        </w:r>
        <w:r w:rsidR="000B4A1E">
          <w:rPr>
            <w:noProof/>
            <w:webHidden/>
          </w:rPr>
          <w:fldChar w:fldCharType="begin" w:fldLock="1"/>
        </w:r>
        <w:r w:rsidR="000B4A1E">
          <w:rPr>
            <w:noProof/>
            <w:webHidden/>
          </w:rPr>
          <w:instrText xml:space="preserve"> PAGEREF _Toc367947884 \h </w:instrText>
        </w:r>
        <w:r w:rsidR="000B4A1E">
          <w:rPr>
            <w:noProof/>
            <w:webHidden/>
          </w:rPr>
        </w:r>
        <w:r w:rsidR="000B4A1E">
          <w:rPr>
            <w:noProof/>
            <w:webHidden/>
          </w:rPr>
          <w:fldChar w:fldCharType="separate"/>
        </w:r>
        <w:r w:rsidR="001400C3">
          <w:rPr>
            <w:noProof/>
            <w:webHidden/>
          </w:rPr>
          <w:t>102</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85" w:history="1">
        <w:r w:rsidR="000B4A1E" w:rsidRPr="007B2F11">
          <w:rPr>
            <w:rStyle w:val="Hyperlink"/>
            <w:noProof/>
          </w:rPr>
          <w:t>Note 26:</w:t>
        </w:r>
        <w:r w:rsidR="000B4A1E">
          <w:rPr>
            <w:rFonts w:asciiTheme="minorHAnsi" w:eastAsiaTheme="minorEastAsia" w:hAnsiTheme="minorHAnsi" w:cstheme="minorBidi"/>
            <w:noProof/>
            <w:szCs w:val="22"/>
            <w:lang w:eastAsia="en-AU"/>
          </w:rPr>
          <w:tab/>
        </w:r>
        <w:r w:rsidR="000B4A1E" w:rsidRPr="007B2F11">
          <w:rPr>
            <w:rStyle w:val="Hyperlink"/>
            <w:noProof/>
          </w:rPr>
          <w:t>Employee benefits</w:t>
        </w:r>
        <w:r w:rsidR="000B4A1E">
          <w:rPr>
            <w:noProof/>
            <w:webHidden/>
          </w:rPr>
          <w:tab/>
        </w:r>
        <w:r w:rsidR="000B4A1E">
          <w:rPr>
            <w:noProof/>
            <w:webHidden/>
          </w:rPr>
          <w:fldChar w:fldCharType="begin" w:fldLock="1"/>
        </w:r>
        <w:r w:rsidR="000B4A1E">
          <w:rPr>
            <w:noProof/>
            <w:webHidden/>
          </w:rPr>
          <w:instrText xml:space="preserve"> PAGEREF _Toc367947885 \h </w:instrText>
        </w:r>
        <w:r w:rsidR="000B4A1E">
          <w:rPr>
            <w:noProof/>
            <w:webHidden/>
          </w:rPr>
        </w:r>
        <w:r w:rsidR="000B4A1E">
          <w:rPr>
            <w:noProof/>
            <w:webHidden/>
          </w:rPr>
          <w:fldChar w:fldCharType="separate"/>
        </w:r>
        <w:r w:rsidR="001400C3">
          <w:rPr>
            <w:noProof/>
            <w:webHidden/>
          </w:rPr>
          <w:t>102</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86" w:history="1">
        <w:r w:rsidR="000B4A1E" w:rsidRPr="007B2F11">
          <w:rPr>
            <w:rStyle w:val="Hyperlink"/>
            <w:noProof/>
          </w:rPr>
          <w:t>Note 27:</w:t>
        </w:r>
        <w:r w:rsidR="000B4A1E">
          <w:rPr>
            <w:rFonts w:asciiTheme="minorHAnsi" w:eastAsiaTheme="minorEastAsia" w:hAnsiTheme="minorHAnsi" w:cstheme="minorBidi"/>
            <w:noProof/>
            <w:szCs w:val="22"/>
            <w:lang w:eastAsia="en-AU"/>
          </w:rPr>
          <w:tab/>
        </w:r>
        <w:r w:rsidR="000B4A1E" w:rsidRPr="007B2F11">
          <w:rPr>
            <w:rStyle w:val="Hyperlink"/>
            <w:noProof/>
          </w:rPr>
          <w:t>Other provisions</w:t>
        </w:r>
        <w:r w:rsidR="000B4A1E">
          <w:rPr>
            <w:noProof/>
            <w:webHidden/>
          </w:rPr>
          <w:tab/>
        </w:r>
        <w:r w:rsidR="000B4A1E">
          <w:rPr>
            <w:noProof/>
            <w:webHidden/>
          </w:rPr>
          <w:fldChar w:fldCharType="begin" w:fldLock="1"/>
        </w:r>
        <w:r w:rsidR="000B4A1E">
          <w:rPr>
            <w:noProof/>
            <w:webHidden/>
          </w:rPr>
          <w:instrText xml:space="preserve"> PAGEREF _Toc367947886 \h </w:instrText>
        </w:r>
        <w:r w:rsidR="000B4A1E">
          <w:rPr>
            <w:noProof/>
            <w:webHidden/>
          </w:rPr>
        </w:r>
        <w:r w:rsidR="000B4A1E">
          <w:rPr>
            <w:noProof/>
            <w:webHidden/>
          </w:rPr>
          <w:fldChar w:fldCharType="separate"/>
        </w:r>
        <w:r w:rsidR="001400C3">
          <w:rPr>
            <w:noProof/>
            <w:webHidden/>
          </w:rPr>
          <w:t>103</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87" w:history="1">
        <w:r w:rsidR="000B4A1E" w:rsidRPr="007B2F11">
          <w:rPr>
            <w:rStyle w:val="Hyperlink"/>
            <w:noProof/>
          </w:rPr>
          <w:t>Note 28:</w:t>
        </w:r>
        <w:r w:rsidR="000B4A1E">
          <w:rPr>
            <w:rFonts w:asciiTheme="minorHAnsi" w:eastAsiaTheme="minorEastAsia" w:hAnsiTheme="minorHAnsi" w:cstheme="minorBidi"/>
            <w:noProof/>
            <w:szCs w:val="22"/>
            <w:lang w:eastAsia="en-AU"/>
          </w:rPr>
          <w:tab/>
        </w:r>
        <w:r w:rsidR="000B4A1E" w:rsidRPr="007B2F11">
          <w:rPr>
            <w:rStyle w:val="Hyperlink"/>
            <w:noProof/>
          </w:rPr>
          <w:t>Reserves, accumulated surplus/(deficit) and non</w:t>
        </w:r>
        <w:r w:rsidR="000B4A1E" w:rsidRPr="007B2F11">
          <w:rPr>
            <w:rStyle w:val="Hyperlink"/>
            <w:noProof/>
          </w:rPr>
          <w:noBreakHyphen/>
          <w:t>controlling interests</w:t>
        </w:r>
        <w:r w:rsidR="000B4A1E">
          <w:rPr>
            <w:noProof/>
            <w:webHidden/>
          </w:rPr>
          <w:tab/>
        </w:r>
        <w:r w:rsidR="000B4A1E">
          <w:rPr>
            <w:noProof/>
            <w:webHidden/>
          </w:rPr>
          <w:fldChar w:fldCharType="begin" w:fldLock="1"/>
        </w:r>
        <w:r w:rsidR="000B4A1E">
          <w:rPr>
            <w:noProof/>
            <w:webHidden/>
          </w:rPr>
          <w:instrText xml:space="preserve"> PAGEREF _Toc367947887 \h </w:instrText>
        </w:r>
        <w:r w:rsidR="000B4A1E">
          <w:rPr>
            <w:noProof/>
            <w:webHidden/>
          </w:rPr>
        </w:r>
        <w:r w:rsidR="000B4A1E">
          <w:rPr>
            <w:noProof/>
            <w:webHidden/>
          </w:rPr>
          <w:fldChar w:fldCharType="separate"/>
        </w:r>
        <w:r w:rsidR="001400C3">
          <w:rPr>
            <w:noProof/>
            <w:webHidden/>
          </w:rPr>
          <w:t>107</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88" w:history="1">
        <w:r w:rsidR="000B4A1E" w:rsidRPr="007B2F11">
          <w:rPr>
            <w:rStyle w:val="Hyperlink"/>
            <w:noProof/>
          </w:rPr>
          <w:t>Note 29:</w:t>
        </w:r>
        <w:r w:rsidR="000B4A1E">
          <w:rPr>
            <w:rFonts w:asciiTheme="minorHAnsi" w:eastAsiaTheme="minorEastAsia" w:hAnsiTheme="minorHAnsi" w:cstheme="minorBidi"/>
            <w:noProof/>
            <w:szCs w:val="22"/>
            <w:lang w:eastAsia="en-AU"/>
          </w:rPr>
          <w:tab/>
        </w:r>
        <w:r w:rsidR="000B4A1E" w:rsidRPr="007B2F11">
          <w:rPr>
            <w:rStyle w:val="Hyperlink"/>
            <w:noProof/>
          </w:rPr>
          <w:t>Cash flow information</w:t>
        </w:r>
        <w:r w:rsidR="000B4A1E">
          <w:rPr>
            <w:noProof/>
            <w:webHidden/>
          </w:rPr>
          <w:tab/>
        </w:r>
        <w:r w:rsidR="000B4A1E">
          <w:rPr>
            <w:noProof/>
            <w:webHidden/>
          </w:rPr>
          <w:fldChar w:fldCharType="begin" w:fldLock="1"/>
        </w:r>
        <w:r w:rsidR="000B4A1E">
          <w:rPr>
            <w:noProof/>
            <w:webHidden/>
          </w:rPr>
          <w:instrText xml:space="preserve"> PAGEREF _Toc367947888 \h </w:instrText>
        </w:r>
        <w:r w:rsidR="000B4A1E">
          <w:rPr>
            <w:noProof/>
            <w:webHidden/>
          </w:rPr>
        </w:r>
        <w:r w:rsidR="000B4A1E">
          <w:rPr>
            <w:noProof/>
            <w:webHidden/>
          </w:rPr>
          <w:fldChar w:fldCharType="separate"/>
        </w:r>
        <w:r w:rsidR="001400C3">
          <w:rPr>
            <w:noProof/>
            <w:webHidden/>
          </w:rPr>
          <w:t>109</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89" w:history="1">
        <w:r w:rsidR="000B4A1E" w:rsidRPr="007B2F11">
          <w:rPr>
            <w:rStyle w:val="Hyperlink"/>
            <w:noProof/>
          </w:rPr>
          <w:t>Note 30:</w:t>
        </w:r>
        <w:r w:rsidR="000B4A1E">
          <w:rPr>
            <w:rFonts w:asciiTheme="minorHAnsi" w:eastAsiaTheme="minorEastAsia" w:hAnsiTheme="minorHAnsi" w:cstheme="minorBidi"/>
            <w:noProof/>
            <w:szCs w:val="22"/>
            <w:lang w:eastAsia="en-AU"/>
          </w:rPr>
          <w:tab/>
        </w:r>
        <w:r w:rsidR="000B4A1E" w:rsidRPr="007B2F11">
          <w:rPr>
            <w:rStyle w:val="Hyperlink"/>
            <w:noProof/>
          </w:rPr>
          <w:t>Reconciliations</w:t>
        </w:r>
        <w:r w:rsidR="000B4A1E">
          <w:rPr>
            <w:noProof/>
            <w:webHidden/>
          </w:rPr>
          <w:tab/>
        </w:r>
        <w:r w:rsidR="000B4A1E">
          <w:rPr>
            <w:noProof/>
            <w:webHidden/>
          </w:rPr>
          <w:fldChar w:fldCharType="begin" w:fldLock="1"/>
        </w:r>
        <w:r w:rsidR="000B4A1E">
          <w:rPr>
            <w:noProof/>
            <w:webHidden/>
          </w:rPr>
          <w:instrText xml:space="preserve"> PAGEREF _Toc367947889 \h </w:instrText>
        </w:r>
        <w:r w:rsidR="000B4A1E">
          <w:rPr>
            <w:noProof/>
            <w:webHidden/>
          </w:rPr>
        </w:r>
        <w:r w:rsidR="000B4A1E">
          <w:rPr>
            <w:noProof/>
            <w:webHidden/>
          </w:rPr>
          <w:fldChar w:fldCharType="separate"/>
        </w:r>
        <w:r w:rsidR="001400C3">
          <w:rPr>
            <w:noProof/>
            <w:webHidden/>
          </w:rPr>
          <w:t>110</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90" w:history="1">
        <w:r w:rsidR="000B4A1E" w:rsidRPr="007B2F11">
          <w:rPr>
            <w:rStyle w:val="Hyperlink"/>
            <w:noProof/>
          </w:rPr>
          <w:t>Note 31:</w:t>
        </w:r>
        <w:r w:rsidR="000B4A1E">
          <w:rPr>
            <w:rFonts w:asciiTheme="minorHAnsi" w:eastAsiaTheme="minorEastAsia" w:hAnsiTheme="minorHAnsi" w:cstheme="minorBidi"/>
            <w:noProof/>
            <w:szCs w:val="22"/>
            <w:lang w:eastAsia="en-AU"/>
          </w:rPr>
          <w:tab/>
        </w:r>
        <w:r w:rsidR="000B4A1E" w:rsidRPr="007B2F11">
          <w:rPr>
            <w:rStyle w:val="Hyperlink"/>
            <w:noProof/>
          </w:rPr>
          <w:t>Explanations of material variances between budget and actual outcomes</w:t>
        </w:r>
        <w:r w:rsidR="000B4A1E">
          <w:rPr>
            <w:noProof/>
            <w:webHidden/>
          </w:rPr>
          <w:tab/>
        </w:r>
        <w:r w:rsidR="000B4A1E">
          <w:rPr>
            <w:noProof/>
            <w:webHidden/>
          </w:rPr>
          <w:fldChar w:fldCharType="begin" w:fldLock="1"/>
        </w:r>
        <w:r w:rsidR="000B4A1E">
          <w:rPr>
            <w:noProof/>
            <w:webHidden/>
          </w:rPr>
          <w:instrText xml:space="preserve"> PAGEREF _Toc367947890 \h </w:instrText>
        </w:r>
        <w:r w:rsidR="000B4A1E">
          <w:rPr>
            <w:noProof/>
            <w:webHidden/>
          </w:rPr>
        </w:r>
        <w:r w:rsidR="000B4A1E">
          <w:rPr>
            <w:noProof/>
            <w:webHidden/>
          </w:rPr>
          <w:fldChar w:fldCharType="separate"/>
        </w:r>
        <w:r w:rsidR="001400C3">
          <w:rPr>
            <w:noProof/>
            <w:webHidden/>
          </w:rPr>
          <w:t>116</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91" w:history="1">
        <w:r w:rsidR="000B4A1E" w:rsidRPr="007B2F11">
          <w:rPr>
            <w:rStyle w:val="Hyperlink"/>
            <w:noProof/>
          </w:rPr>
          <w:t>Note 32:</w:t>
        </w:r>
        <w:r w:rsidR="000B4A1E">
          <w:rPr>
            <w:rFonts w:asciiTheme="minorHAnsi" w:eastAsiaTheme="minorEastAsia" w:hAnsiTheme="minorHAnsi" w:cstheme="minorBidi"/>
            <w:noProof/>
            <w:szCs w:val="22"/>
            <w:lang w:eastAsia="en-AU"/>
          </w:rPr>
          <w:tab/>
        </w:r>
        <w:r w:rsidR="000B4A1E" w:rsidRPr="007B2F11">
          <w:rPr>
            <w:rStyle w:val="Hyperlink"/>
            <w:noProof/>
          </w:rPr>
          <w:t>Financial instruments</w:t>
        </w:r>
        <w:r w:rsidR="000B4A1E">
          <w:rPr>
            <w:noProof/>
            <w:webHidden/>
          </w:rPr>
          <w:tab/>
        </w:r>
        <w:r w:rsidR="000B4A1E">
          <w:rPr>
            <w:noProof/>
            <w:webHidden/>
          </w:rPr>
          <w:fldChar w:fldCharType="begin" w:fldLock="1"/>
        </w:r>
        <w:r w:rsidR="000B4A1E">
          <w:rPr>
            <w:noProof/>
            <w:webHidden/>
          </w:rPr>
          <w:instrText xml:space="preserve"> PAGEREF _Toc367947891 \h </w:instrText>
        </w:r>
        <w:r w:rsidR="000B4A1E">
          <w:rPr>
            <w:noProof/>
            <w:webHidden/>
          </w:rPr>
        </w:r>
        <w:r w:rsidR="000B4A1E">
          <w:rPr>
            <w:noProof/>
            <w:webHidden/>
          </w:rPr>
          <w:fldChar w:fldCharType="separate"/>
        </w:r>
        <w:r w:rsidR="001400C3">
          <w:rPr>
            <w:noProof/>
            <w:webHidden/>
          </w:rPr>
          <w:t>124</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92" w:history="1">
        <w:r w:rsidR="000B4A1E" w:rsidRPr="007B2F11">
          <w:rPr>
            <w:rStyle w:val="Hyperlink"/>
            <w:noProof/>
          </w:rPr>
          <w:t>Note 33:</w:t>
        </w:r>
        <w:r w:rsidR="000B4A1E">
          <w:rPr>
            <w:rFonts w:asciiTheme="minorHAnsi" w:eastAsiaTheme="minorEastAsia" w:hAnsiTheme="minorHAnsi" w:cstheme="minorBidi"/>
            <w:noProof/>
            <w:szCs w:val="22"/>
            <w:lang w:eastAsia="en-AU"/>
          </w:rPr>
          <w:tab/>
        </w:r>
        <w:r w:rsidR="000B4A1E" w:rsidRPr="007B2F11">
          <w:rPr>
            <w:rStyle w:val="Hyperlink"/>
            <w:noProof/>
          </w:rPr>
          <w:t>Commitments</w:t>
        </w:r>
        <w:r w:rsidR="000B4A1E">
          <w:rPr>
            <w:noProof/>
            <w:webHidden/>
          </w:rPr>
          <w:tab/>
        </w:r>
        <w:r w:rsidR="000B4A1E">
          <w:rPr>
            <w:noProof/>
            <w:webHidden/>
          </w:rPr>
          <w:fldChar w:fldCharType="begin" w:fldLock="1"/>
        </w:r>
        <w:r w:rsidR="000B4A1E">
          <w:rPr>
            <w:noProof/>
            <w:webHidden/>
          </w:rPr>
          <w:instrText xml:space="preserve"> PAGEREF _Toc367947892 \h </w:instrText>
        </w:r>
        <w:r w:rsidR="000B4A1E">
          <w:rPr>
            <w:noProof/>
            <w:webHidden/>
          </w:rPr>
        </w:r>
        <w:r w:rsidR="000B4A1E">
          <w:rPr>
            <w:noProof/>
            <w:webHidden/>
          </w:rPr>
          <w:fldChar w:fldCharType="separate"/>
        </w:r>
        <w:r w:rsidR="001400C3">
          <w:rPr>
            <w:noProof/>
            <w:webHidden/>
          </w:rPr>
          <w:t>143</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93" w:history="1">
        <w:r w:rsidR="000B4A1E" w:rsidRPr="007B2F11">
          <w:rPr>
            <w:rStyle w:val="Hyperlink"/>
            <w:noProof/>
          </w:rPr>
          <w:t>Note 34:</w:t>
        </w:r>
        <w:r w:rsidR="000B4A1E">
          <w:rPr>
            <w:rFonts w:asciiTheme="minorHAnsi" w:eastAsiaTheme="minorEastAsia" w:hAnsiTheme="minorHAnsi" w:cstheme="minorBidi"/>
            <w:noProof/>
            <w:szCs w:val="22"/>
            <w:lang w:eastAsia="en-AU"/>
          </w:rPr>
          <w:tab/>
        </w:r>
        <w:r w:rsidR="000B4A1E" w:rsidRPr="007B2F11">
          <w:rPr>
            <w:rStyle w:val="Hyperlink"/>
            <w:noProof/>
          </w:rPr>
          <w:t>Contingent assets and contingent liabilities (State of Victoria)</w:t>
        </w:r>
        <w:r w:rsidR="000B4A1E">
          <w:rPr>
            <w:noProof/>
            <w:webHidden/>
          </w:rPr>
          <w:tab/>
        </w:r>
        <w:r w:rsidR="000B4A1E">
          <w:rPr>
            <w:noProof/>
            <w:webHidden/>
          </w:rPr>
          <w:fldChar w:fldCharType="begin" w:fldLock="1"/>
        </w:r>
        <w:r w:rsidR="000B4A1E">
          <w:rPr>
            <w:noProof/>
            <w:webHidden/>
          </w:rPr>
          <w:instrText xml:space="preserve"> PAGEREF _Toc367947893 \h </w:instrText>
        </w:r>
        <w:r w:rsidR="000B4A1E">
          <w:rPr>
            <w:noProof/>
            <w:webHidden/>
          </w:rPr>
        </w:r>
        <w:r w:rsidR="000B4A1E">
          <w:rPr>
            <w:noProof/>
            <w:webHidden/>
          </w:rPr>
          <w:fldChar w:fldCharType="separate"/>
        </w:r>
        <w:r w:rsidR="001400C3">
          <w:rPr>
            <w:noProof/>
            <w:webHidden/>
          </w:rPr>
          <w:t>147</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94" w:history="1">
        <w:r w:rsidR="000B4A1E" w:rsidRPr="007B2F11">
          <w:rPr>
            <w:rStyle w:val="Hyperlink"/>
            <w:noProof/>
          </w:rPr>
          <w:t>Note 35:</w:t>
        </w:r>
        <w:r w:rsidR="000B4A1E">
          <w:rPr>
            <w:rFonts w:asciiTheme="minorHAnsi" w:eastAsiaTheme="minorEastAsia" w:hAnsiTheme="minorHAnsi" w:cstheme="minorBidi"/>
            <w:noProof/>
            <w:szCs w:val="22"/>
            <w:lang w:eastAsia="en-AU"/>
          </w:rPr>
          <w:tab/>
        </w:r>
        <w:r w:rsidR="000B4A1E">
          <w:rPr>
            <w:rStyle w:val="Hyperlink"/>
            <w:noProof/>
          </w:rPr>
          <w:t>Funds under management</w:t>
        </w:r>
        <w:r w:rsidR="000B4A1E">
          <w:rPr>
            <w:noProof/>
            <w:webHidden/>
          </w:rPr>
          <w:tab/>
        </w:r>
        <w:r w:rsidR="000B4A1E">
          <w:rPr>
            <w:noProof/>
            <w:webHidden/>
          </w:rPr>
          <w:fldChar w:fldCharType="begin" w:fldLock="1"/>
        </w:r>
        <w:r w:rsidR="000B4A1E">
          <w:rPr>
            <w:noProof/>
            <w:webHidden/>
          </w:rPr>
          <w:instrText xml:space="preserve"> PAGEREF _Toc367947894 \h </w:instrText>
        </w:r>
        <w:r w:rsidR="000B4A1E">
          <w:rPr>
            <w:noProof/>
            <w:webHidden/>
          </w:rPr>
        </w:r>
        <w:r w:rsidR="000B4A1E">
          <w:rPr>
            <w:noProof/>
            <w:webHidden/>
          </w:rPr>
          <w:fldChar w:fldCharType="separate"/>
        </w:r>
        <w:r w:rsidR="001400C3">
          <w:rPr>
            <w:noProof/>
            <w:webHidden/>
          </w:rPr>
          <w:t>153</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95" w:history="1">
        <w:r w:rsidR="000B4A1E" w:rsidRPr="007B2F11">
          <w:rPr>
            <w:rStyle w:val="Hyperlink"/>
            <w:noProof/>
          </w:rPr>
          <w:t>Note 36:</w:t>
        </w:r>
        <w:r w:rsidR="000B4A1E">
          <w:rPr>
            <w:rFonts w:asciiTheme="minorHAnsi" w:eastAsiaTheme="minorEastAsia" w:hAnsiTheme="minorHAnsi" w:cstheme="minorBidi"/>
            <w:noProof/>
            <w:szCs w:val="22"/>
            <w:lang w:eastAsia="en-AU"/>
          </w:rPr>
          <w:tab/>
        </w:r>
        <w:r w:rsidR="000B4A1E" w:rsidRPr="007B2F11">
          <w:rPr>
            <w:rStyle w:val="Hyperlink"/>
            <w:noProof/>
          </w:rPr>
          <w:t>Restatement of financial statements due to prior period correction</w:t>
        </w:r>
        <w:r w:rsidR="000B4A1E">
          <w:rPr>
            <w:noProof/>
            <w:webHidden/>
          </w:rPr>
          <w:tab/>
        </w:r>
        <w:r w:rsidR="000B4A1E">
          <w:rPr>
            <w:noProof/>
            <w:webHidden/>
          </w:rPr>
          <w:fldChar w:fldCharType="begin" w:fldLock="1"/>
        </w:r>
        <w:r w:rsidR="000B4A1E">
          <w:rPr>
            <w:noProof/>
            <w:webHidden/>
          </w:rPr>
          <w:instrText xml:space="preserve"> PAGEREF _Toc367947895 \h </w:instrText>
        </w:r>
        <w:r w:rsidR="000B4A1E">
          <w:rPr>
            <w:noProof/>
            <w:webHidden/>
          </w:rPr>
        </w:r>
        <w:r w:rsidR="000B4A1E">
          <w:rPr>
            <w:noProof/>
            <w:webHidden/>
          </w:rPr>
          <w:fldChar w:fldCharType="separate"/>
        </w:r>
        <w:r w:rsidR="001400C3">
          <w:rPr>
            <w:noProof/>
            <w:webHidden/>
          </w:rPr>
          <w:t>153</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96" w:history="1">
        <w:r w:rsidR="000B4A1E" w:rsidRPr="007B2F11">
          <w:rPr>
            <w:rStyle w:val="Hyperlink"/>
            <w:noProof/>
          </w:rPr>
          <w:t>Note 37:</w:t>
        </w:r>
        <w:r w:rsidR="000B4A1E">
          <w:rPr>
            <w:rFonts w:asciiTheme="minorHAnsi" w:eastAsiaTheme="minorEastAsia" w:hAnsiTheme="minorHAnsi" w:cstheme="minorBidi"/>
            <w:noProof/>
            <w:szCs w:val="22"/>
            <w:lang w:eastAsia="en-AU"/>
          </w:rPr>
          <w:tab/>
        </w:r>
        <w:r w:rsidR="000B4A1E" w:rsidRPr="007B2F11">
          <w:rPr>
            <w:rStyle w:val="Hyperlink"/>
            <w:noProof/>
          </w:rPr>
          <w:t>Subsequent events</w:t>
        </w:r>
        <w:r w:rsidR="000B4A1E">
          <w:rPr>
            <w:noProof/>
            <w:webHidden/>
          </w:rPr>
          <w:tab/>
        </w:r>
        <w:r w:rsidR="000B4A1E">
          <w:rPr>
            <w:noProof/>
            <w:webHidden/>
          </w:rPr>
          <w:fldChar w:fldCharType="begin" w:fldLock="1"/>
        </w:r>
        <w:r w:rsidR="000B4A1E">
          <w:rPr>
            <w:noProof/>
            <w:webHidden/>
          </w:rPr>
          <w:instrText xml:space="preserve"> PAGEREF _Toc367947896 \h </w:instrText>
        </w:r>
        <w:r w:rsidR="000B4A1E">
          <w:rPr>
            <w:noProof/>
            <w:webHidden/>
          </w:rPr>
        </w:r>
        <w:r w:rsidR="000B4A1E">
          <w:rPr>
            <w:noProof/>
            <w:webHidden/>
          </w:rPr>
          <w:fldChar w:fldCharType="separate"/>
        </w:r>
        <w:r w:rsidR="001400C3">
          <w:rPr>
            <w:noProof/>
            <w:webHidden/>
          </w:rPr>
          <w:t>156</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97" w:history="1">
        <w:r w:rsidR="000B4A1E" w:rsidRPr="007B2F11">
          <w:rPr>
            <w:rStyle w:val="Hyperlink"/>
            <w:noProof/>
          </w:rPr>
          <w:t>Note 38:</w:t>
        </w:r>
        <w:r w:rsidR="000B4A1E">
          <w:rPr>
            <w:rFonts w:asciiTheme="minorHAnsi" w:eastAsiaTheme="minorEastAsia" w:hAnsiTheme="minorHAnsi" w:cstheme="minorBidi"/>
            <w:noProof/>
            <w:szCs w:val="22"/>
            <w:lang w:eastAsia="en-AU"/>
          </w:rPr>
          <w:tab/>
        </w:r>
        <w:r w:rsidR="000B4A1E" w:rsidRPr="007B2F11">
          <w:rPr>
            <w:rStyle w:val="Hyperlink"/>
            <w:noProof/>
          </w:rPr>
          <w:t>Public account disclosure</w:t>
        </w:r>
        <w:r w:rsidR="000B4A1E">
          <w:rPr>
            <w:noProof/>
            <w:webHidden/>
          </w:rPr>
          <w:tab/>
        </w:r>
        <w:r w:rsidR="000B4A1E">
          <w:rPr>
            <w:noProof/>
            <w:webHidden/>
          </w:rPr>
          <w:fldChar w:fldCharType="begin" w:fldLock="1"/>
        </w:r>
        <w:r w:rsidR="000B4A1E">
          <w:rPr>
            <w:noProof/>
            <w:webHidden/>
          </w:rPr>
          <w:instrText xml:space="preserve"> PAGEREF _Toc367947897 \h </w:instrText>
        </w:r>
        <w:r w:rsidR="000B4A1E">
          <w:rPr>
            <w:noProof/>
            <w:webHidden/>
          </w:rPr>
        </w:r>
        <w:r w:rsidR="000B4A1E">
          <w:rPr>
            <w:noProof/>
            <w:webHidden/>
          </w:rPr>
          <w:fldChar w:fldCharType="separate"/>
        </w:r>
        <w:r w:rsidR="001400C3">
          <w:rPr>
            <w:noProof/>
            <w:webHidden/>
          </w:rPr>
          <w:t>157</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98" w:history="1">
        <w:r w:rsidR="000B4A1E" w:rsidRPr="007B2F11">
          <w:rPr>
            <w:rStyle w:val="Hyperlink"/>
            <w:noProof/>
          </w:rPr>
          <w:t>Note 39:</w:t>
        </w:r>
        <w:r w:rsidR="000B4A1E">
          <w:rPr>
            <w:rFonts w:asciiTheme="minorHAnsi" w:eastAsiaTheme="minorEastAsia" w:hAnsiTheme="minorHAnsi" w:cstheme="minorBidi"/>
            <w:noProof/>
            <w:szCs w:val="22"/>
            <w:lang w:eastAsia="en-AU"/>
          </w:rPr>
          <w:tab/>
        </w:r>
        <w:r w:rsidR="000B4A1E" w:rsidRPr="007B2F11">
          <w:rPr>
            <w:rStyle w:val="Hyperlink"/>
            <w:noProof/>
          </w:rPr>
          <w:t>Glossary of technical terms</w:t>
        </w:r>
        <w:r w:rsidR="000B4A1E">
          <w:rPr>
            <w:noProof/>
            <w:webHidden/>
          </w:rPr>
          <w:tab/>
        </w:r>
        <w:r w:rsidR="000B4A1E">
          <w:rPr>
            <w:noProof/>
            <w:webHidden/>
          </w:rPr>
          <w:fldChar w:fldCharType="begin" w:fldLock="1"/>
        </w:r>
        <w:r w:rsidR="000B4A1E">
          <w:rPr>
            <w:noProof/>
            <w:webHidden/>
          </w:rPr>
          <w:instrText xml:space="preserve"> PAGEREF _Toc367947898 \h </w:instrText>
        </w:r>
        <w:r w:rsidR="000B4A1E">
          <w:rPr>
            <w:noProof/>
            <w:webHidden/>
          </w:rPr>
        </w:r>
        <w:r w:rsidR="000B4A1E">
          <w:rPr>
            <w:noProof/>
            <w:webHidden/>
          </w:rPr>
          <w:fldChar w:fldCharType="separate"/>
        </w:r>
        <w:r w:rsidR="001400C3">
          <w:rPr>
            <w:noProof/>
            <w:webHidden/>
          </w:rPr>
          <w:t>188</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899" w:history="1">
        <w:r w:rsidR="000B4A1E" w:rsidRPr="007B2F11">
          <w:rPr>
            <w:rStyle w:val="Hyperlink"/>
            <w:noProof/>
          </w:rPr>
          <w:t>Note 40:</w:t>
        </w:r>
        <w:r w:rsidR="000B4A1E">
          <w:rPr>
            <w:rFonts w:asciiTheme="minorHAnsi" w:eastAsiaTheme="minorEastAsia" w:hAnsiTheme="minorHAnsi" w:cstheme="minorBidi"/>
            <w:noProof/>
            <w:szCs w:val="22"/>
            <w:lang w:eastAsia="en-AU"/>
          </w:rPr>
          <w:tab/>
        </w:r>
        <w:r w:rsidR="000B4A1E" w:rsidRPr="007B2F11">
          <w:rPr>
            <w:rStyle w:val="Hyperlink"/>
            <w:noProof/>
          </w:rPr>
          <w:t>Government purpose classification</w:t>
        </w:r>
        <w:r w:rsidR="000B4A1E">
          <w:rPr>
            <w:noProof/>
            <w:webHidden/>
          </w:rPr>
          <w:tab/>
        </w:r>
        <w:r w:rsidR="000B4A1E">
          <w:rPr>
            <w:noProof/>
            <w:webHidden/>
          </w:rPr>
          <w:fldChar w:fldCharType="begin" w:fldLock="1"/>
        </w:r>
        <w:r w:rsidR="000B4A1E">
          <w:rPr>
            <w:noProof/>
            <w:webHidden/>
          </w:rPr>
          <w:instrText xml:space="preserve"> PAGEREF _Toc367947899 \h </w:instrText>
        </w:r>
        <w:r w:rsidR="000B4A1E">
          <w:rPr>
            <w:noProof/>
            <w:webHidden/>
          </w:rPr>
        </w:r>
        <w:r w:rsidR="000B4A1E">
          <w:rPr>
            <w:noProof/>
            <w:webHidden/>
          </w:rPr>
          <w:fldChar w:fldCharType="separate"/>
        </w:r>
        <w:r w:rsidR="001400C3">
          <w:rPr>
            <w:noProof/>
            <w:webHidden/>
          </w:rPr>
          <w:t>196</w:t>
        </w:r>
        <w:r w:rsidR="000B4A1E">
          <w:rPr>
            <w:noProof/>
            <w:webHidden/>
          </w:rPr>
          <w:fldChar w:fldCharType="end"/>
        </w:r>
      </w:hyperlink>
    </w:p>
    <w:p w:rsidR="000B4A1E" w:rsidRDefault="001A6345">
      <w:pPr>
        <w:pStyle w:val="TOC4"/>
        <w:rPr>
          <w:rFonts w:asciiTheme="minorHAnsi" w:eastAsiaTheme="minorEastAsia" w:hAnsiTheme="minorHAnsi" w:cstheme="minorBidi"/>
          <w:noProof/>
          <w:szCs w:val="22"/>
          <w:lang w:eastAsia="en-AU"/>
        </w:rPr>
      </w:pPr>
      <w:hyperlink w:anchor="_Toc367947900" w:history="1">
        <w:r w:rsidR="000B4A1E" w:rsidRPr="007B2F11">
          <w:rPr>
            <w:rStyle w:val="Hyperlink"/>
            <w:noProof/>
          </w:rPr>
          <w:t>Note 41:</w:t>
        </w:r>
        <w:r w:rsidR="000B4A1E">
          <w:rPr>
            <w:rFonts w:asciiTheme="minorHAnsi" w:eastAsiaTheme="minorEastAsia" w:hAnsiTheme="minorHAnsi" w:cstheme="minorBidi"/>
            <w:noProof/>
            <w:szCs w:val="22"/>
            <w:lang w:eastAsia="en-AU"/>
          </w:rPr>
          <w:tab/>
        </w:r>
        <w:r w:rsidR="000B4A1E" w:rsidRPr="007B2F11">
          <w:rPr>
            <w:rStyle w:val="Hyperlink"/>
            <w:noProof/>
          </w:rPr>
          <w:t>Controlled entities</w:t>
        </w:r>
        <w:r w:rsidR="000B4A1E">
          <w:rPr>
            <w:noProof/>
            <w:webHidden/>
          </w:rPr>
          <w:tab/>
        </w:r>
        <w:r w:rsidR="000B4A1E">
          <w:rPr>
            <w:noProof/>
            <w:webHidden/>
          </w:rPr>
          <w:fldChar w:fldCharType="begin" w:fldLock="1"/>
        </w:r>
        <w:r w:rsidR="000B4A1E">
          <w:rPr>
            <w:noProof/>
            <w:webHidden/>
          </w:rPr>
          <w:instrText xml:space="preserve"> PAGEREF _Toc367947900 \h </w:instrText>
        </w:r>
        <w:r w:rsidR="000B4A1E">
          <w:rPr>
            <w:noProof/>
            <w:webHidden/>
          </w:rPr>
        </w:r>
        <w:r w:rsidR="000B4A1E">
          <w:rPr>
            <w:noProof/>
            <w:webHidden/>
          </w:rPr>
          <w:fldChar w:fldCharType="separate"/>
        </w:r>
        <w:r w:rsidR="001400C3">
          <w:rPr>
            <w:noProof/>
            <w:webHidden/>
          </w:rPr>
          <w:t>198</w:t>
        </w:r>
        <w:r w:rsidR="000B4A1E">
          <w:rPr>
            <w:noProof/>
            <w:webHidden/>
          </w:rPr>
          <w:fldChar w:fldCharType="end"/>
        </w:r>
      </w:hyperlink>
    </w:p>
    <w:p w:rsidR="000B4A1E" w:rsidRPr="00D00665" w:rsidRDefault="000B4A1E" w:rsidP="00517E51">
      <w:r w:rsidRPr="00D00665">
        <w:fldChar w:fldCharType="end"/>
      </w:r>
    </w:p>
    <w:p w:rsidR="000B4A1E" w:rsidRPr="00D00665" w:rsidRDefault="000B4A1E">
      <w:pPr>
        <w:spacing w:after="0"/>
      </w:pPr>
      <w:r w:rsidRPr="00D00665">
        <w:br w:type="page"/>
      </w:r>
    </w:p>
    <w:p w:rsidR="000B4A1E" w:rsidRPr="00D00665" w:rsidRDefault="000B4A1E" w:rsidP="00517E51">
      <w:pPr>
        <w:pStyle w:val="Heading2Notes"/>
      </w:pPr>
      <w:bookmarkStart w:id="17" w:name="_Toc367947860"/>
      <w:r w:rsidRPr="00D00665">
        <w:lastRenderedPageBreak/>
        <w:t>Note 1:</w:t>
      </w:r>
      <w:r w:rsidRPr="00D00665">
        <w:tab/>
        <w:t>Summary of significant accounting policies</w:t>
      </w:r>
      <w:bookmarkEnd w:id="17"/>
    </w:p>
    <w:p w:rsidR="000B4A1E" w:rsidRPr="00D00665" w:rsidRDefault="000B4A1E" w:rsidP="00517E51">
      <w:r w:rsidRPr="00D00665">
        <w:t xml:space="preserve">This </w:t>
      </w:r>
      <w:r w:rsidRPr="00D00665">
        <w:rPr>
          <w:i/>
        </w:rPr>
        <w:t>Annual Financial Report</w:t>
      </w:r>
      <w:r w:rsidRPr="00D00665">
        <w:t xml:space="preserve"> presents the audited general purpose consolidated financial statements of the State of Victoria (the State) and the Victorian general government sector for the period ending 30 June 2013. The purpose of the report is to provide users with information about the Government</w:t>
      </w:r>
      <w:r>
        <w:t>’</w:t>
      </w:r>
      <w:r w:rsidRPr="00D00665">
        <w:t>s stewardship of the resources entrusted to it.</w:t>
      </w:r>
    </w:p>
    <w:p w:rsidR="000B4A1E" w:rsidRPr="00D00665" w:rsidRDefault="000B4A1E" w:rsidP="00517E51">
      <w:pPr>
        <w:pStyle w:val="Heading3Numbering"/>
      </w:pPr>
      <w:r w:rsidRPr="00D00665">
        <w:t>Statement of compliance</w:t>
      </w:r>
    </w:p>
    <w:p w:rsidR="000B4A1E" w:rsidRPr="00D00665" w:rsidRDefault="000B4A1E" w:rsidP="00517E51">
      <w:r w:rsidRPr="00D00665">
        <w:t xml:space="preserve">These general purpose financial statements have been prepared in accordance with the </w:t>
      </w:r>
      <w:r w:rsidRPr="00D00665">
        <w:rPr>
          <w:i/>
        </w:rPr>
        <w:t>Financial Management Act 1994</w:t>
      </w:r>
      <w:r w:rsidRPr="00D00665">
        <w:t xml:space="preserve"> and applicable Australian Accounting Standards (AASs) which include Interpretations, issued by the Australian Accounting Standards Board (AASB). In particular, they are presented in a manner consistent with AASB 1049 </w:t>
      </w:r>
      <w:r w:rsidRPr="00D00665">
        <w:rPr>
          <w:i/>
        </w:rPr>
        <w:t>Whole of Government and General Government Sector Financial Reporting</w:t>
      </w:r>
      <w:r w:rsidRPr="00D00665">
        <w:t xml:space="preserve">. </w:t>
      </w:r>
    </w:p>
    <w:p w:rsidR="000B4A1E" w:rsidRPr="00D00665" w:rsidRDefault="000B4A1E" w:rsidP="00517E51">
      <w:r w:rsidRPr="00D00665">
        <w:t>Where appropriate, those AASs paragraphs applicable to not</w:t>
      </w:r>
      <w:r w:rsidRPr="00D00665">
        <w:noBreakHyphen/>
        <w:t>for</w:t>
      </w:r>
      <w:r w:rsidRPr="00D00665">
        <w:noBreakHyphen/>
        <w:t>profit (NFP) entities have been applied.</w:t>
      </w:r>
    </w:p>
    <w:p w:rsidR="000B4A1E" w:rsidRPr="00D00665" w:rsidRDefault="000B4A1E" w:rsidP="00517E51">
      <w:r w:rsidRPr="00D00665">
        <w:t>Accounting policies are selected and applied in a manner which ensures that the resulting financial information satisfies the concepts of relevance and reliability, thereby ensuring that the substance of the underlying transactions or other events is reported.</w:t>
      </w:r>
    </w:p>
    <w:p w:rsidR="000B4A1E" w:rsidRPr="00D00665" w:rsidRDefault="000B4A1E" w:rsidP="00517E51">
      <w:r w:rsidRPr="00D00665">
        <w:t xml:space="preserve">Except as identified in Note 31 </w:t>
      </w:r>
      <w:r w:rsidRPr="00D00665">
        <w:rPr>
          <w:i/>
        </w:rPr>
        <w:t>Explanations of material variances between budget and actual outcomes</w:t>
      </w:r>
      <w:r w:rsidRPr="00D00665">
        <w:t xml:space="preserve">, the accounting policies applied are also consistent with those applied for the </w:t>
      </w:r>
      <w:r w:rsidRPr="00D00665">
        <w:rPr>
          <w:i/>
        </w:rPr>
        <w:t>2012</w:t>
      </w:r>
      <w:r w:rsidRPr="00D00665">
        <w:rPr>
          <w:i/>
        </w:rPr>
        <w:noBreakHyphen/>
        <w:t>13 Budget</w:t>
      </w:r>
      <w:r w:rsidRPr="00D00665">
        <w:t>, subject to the latter reports being prospective in nature and requiring application of estimation techniques to future amounts.</w:t>
      </w:r>
    </w:p>
    <w:p w:rsidR="000B4A1E" w:rsidRPr="00D00665" w:rsidRDefault="000B4A1E" w:rsidP="00517E51">
      <w:r w:rsidRPr="00D00665">
        <w:t xml:space="preserve">The Government Finance Statistics (GFS) information included in this report is based on the </w:t>
      </w:r>
      <w:r w:rsidR="00FC7ED5">
        <w:t>GFS manual</w:t>
      </w:r>
      <w:r w:rsidRPr="00D00665">
        <w:t xml:space="preserve"> published by the Australian Bureau of Statistics (ABS) (refer to Note 1(E)). </w:t>
      </w:r>
    </w:p>
    <w:p w:rsidR="000B4A1E" w:rsidRPr="00D00665" w:rsidRDefault="000B4A1E" w:rsidP="00517E51">
      <w:r w:rsidRPr="00D00665">
        <w:t xml:space="preserve">To aid better understanding the terminology and key aggregates used in these financial statements, a glossary of terms can be found in Note 39 </w:t>
      </w:r>
      <w:r w:rsidRPr="00D00665">
        <w:rPr>
          <w:i/>
        </w:rPr>
        <w:t>Glossary of technical terms</w:t>
      </w:r>
      <w:r w:rsidRPr="00D00665">
        <w:t xml:space="preserve"> and Note 40 </w:t>
      </w:r>
      <w:r w:rsidRPr="00D00665">
        <w:rPr>
          <w:i/>
        </w:rPr>
        <w:t>Government purpose classification</w:t>
      </w:r>
      <w:r w:rsidRPr="00D00665">
        <w:t>.</w:t>
      </w:r>
    </w:p>
    <w:p w:rsidR="000B4A1E" w:rsidRPr="00D00665" w:rsidRDefault="000B4A1E" w:rsidP="00517E51">
      <w:r w:rsidRPr="00D00665">
        <w:t xml:space="preserve">The annual financial statements were authorised for issue by the Acting Secretary of the Department of Treasury and Finance on </w:t>
      </w:r>
      <w:r w:rsidRPr="00783E3E">
        <w:t>26 September 2013.</w:t>
      </w:r>
    </w:p>
    <w:p w:rsidR="000B4A1E" w:rsidRPr="00D00665" w:rsidRDefault="000B4A1E" w:rsidP="00517E51">
      <w:pPr>
        <w:pStyle w:val="Heading3Numbering"/>
      </w:pPr>
      <w:r w:rsidRPr="00D00665">
        <w:t>Basis of accounting, preparation and measurement</w:t>
      </w:r>
    </w:p>
    <w:p w:rsidR="000B4A1E" w:rsidRPr="00D00665" w:rsidRDefault="000B4A1E" w:rsidP="00517E51">
      <w:r w:rsidRPr="00D00665">
        <w:t>The accrual basis of accounting has been applied in preparing these financial statements, whereby assets, liabilities, equity, income and expenses are recognised in the reporting period to which they relate, regardless of when cash is received or paid.</w:t>
      </w:r>
    </w:p>
    <w:p w:rsidR="000B4A1E" w:rsidRPr="00D00665" w:rsidRDefault="000B4A1E" w:rsidP="00517E51">
      <w:r w:rsidRPr="00D00665">
        <w:t xml:space="preserve">Judgements, estimates and assumptions are required to be made about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w:t>
      </w:r>
    </w:p>
    <w:p w:rsidR="000B4A1E" w:rsidRPr="00D00665" w:rsidRDefault="000B4A1E" w:rsidP="00517E51">
      <w:r w:rsidRPr="00D00665">
        <w:t>Revisions to accounting estimates are recognised in the period in which the estimate is revised and also in future periods that are affected by the revision. Judgements and assumptions made by management in the application of AASs that have significant effects on the financial statements and estimates relate to:</w:t>
      </w:r>
    </w:p>
    <w:p w:rsidR="000B4A1E" w:rsidRPr="00D00665" w:rsidRDefault="000B4A1E" w:rsidP="00517E51">
      <w:pPr>
        <w:pStyle w:val="BulletText"/>
      </w:pPr>
      <w:r w:rsidRPr="00D00665">
        <w:t>the fair value of land, buildings, infrastructure, plant and equipment (refer to Note 1(K));</w:t>
      </w:r>
    </w:p>
    <w:p w:rsidR="000B4A1E" w:rsidRPr="00D00665" w:rsidRDefault="000B4A1E" w:rsidP="00517E51">
      <w:pPr>
        <w:pStyle w:val="BulletText"/>
      </w:pPr>
      <w:r w:rsidRPr="00D00665">
        <w:t xml:space="preserve">superannuation expense and liability (refer to Note 1(L) and Note 8 </w:t>
      </w:r>
      <w:r w:rsidRPr="00D00665">
        <w:rPr>
          <w:i/>
        </w:rPr>
        <w:t>Superannuation</w:t>
      </w:r>
      <w:r w:rsidRPr="00D00665">
        <w:t>);</w:t>
      </w:r>
    </w:p>
    <w:p w:rsidR="000B4A1E" w:rsidRPr="00D00665" w:rsidRDefault="000B4A1E" w:rsidP="00517E51">
      <w:pPr>
        <w:pStyle w:val="BulletText"/>
        <w:ind w:right="-118"/>
      </w:pPr>
      <w:r w:rsidRPr="00D00665">
        <w:t>actuarial assumptions for employee benefit provisions based on likely tenure of existing staff, patterns of leave claims, future salary movements and future discount rates (refer to Note 1(L));</w:t>
      </w:r>
      <w:r>
        <w:t xml:space="preserve"> and</w:t>
      </w:r>
    </w:p>
    <w:p w:rsidR="000B4A1E" w:rsidRPr="00D00665" w:rsidRDefault="000B4A1E" w:rsidP="00517E51">
      <w:pPr>
        <w:pStyle w:val="BulletText"/>
      </w:pPr>
      <w:r w:rsidRPr="00D00665">
        <w:t xml:space="preserve">provisions for outstanding insurance claims (refer to Note 1(L) and Note 27 </w:t>
      </w:r>
      <w:r w:rsidRPr="00D00665">
        <w:rPr>
          <w:i/>
        </w:rPr>
        <w:t>Other provisions</w:t>
      </w:r>
      <w:r w:rsidRPr="00D00665">
        <w:t xml:space="preserve">). </w:t>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r w:rsidRPr="00D00665">
        <w:t xml:space="preserve">These financial statements have been presented in Australian dollars, and prepared in accordance with the historical cost convention except for: </w:t>
      </w:r>
    </w:p>
    <w:p w:rsidR="000B4A1E" w:rsidRPr="00D00665" w:rsidRDefault="000B4A1E" w:rsidP="00517E51">
      <w:pPr>
        <w:pStyle w:val="BulletText"/>
      </w:pPr>
      <w:r w:rsidRPr="00D00665">
        <w:t>general government sector investments in other sector entities which are measured at the carrying amount of their net assets;</w:t>
      </w:r>
    </w:p>
    <w:p w:rsidR="000B4A1E" w:rsidRPr="00D00665" w:rsidRDefault="000B4A1E" w:rsidP="00517E51">
      <w:pPr>
        <w:pStyle w:val="BulletText"/>
      </w:pPr>
      <w:r w:rsidRPr="00D00665">
        <w:t>non</w:t>
      </w:r>
      <w:r w:rsidRPr="00D00665">
        <w:noBreakHyphen/>
        <w:t>financial physical assets which, subsequent to acquisition, are measured at a revalued amount being their fair value at the date of revaluation less any subsequent accumulated depreciation and subsequent impairment losses. Revaluations are made with sufficient regularity to ensure that the carrying amounts do not materially differ from their fair value;</w:t>
      </w:r>
    </w:p>
    <w:p w:rsidR="000B4A1E" w:rsidRPr="00D00665" w:rsidRDefault="000B4A1E" w:rsidP="00517E51">
      <w:pPr>
        <w:pStyle w:val="BulletText"/>
      </w:pPr>
      <w:r w:rsidRPr="00D00665">
        <w:t>productive trees in commercial native forests, which are measured at</w:t>
      </w:r>
      <w:r>
        <w:t xml:space="preserve"> their fair value less costs to </w:t>
      </w:r>
      <w:r w:rsidRPr="00D00665">
        <w:t>sell;</w:t>
      </w:r>
    </w:p>
    <w:p w:rsidR="000B4A1E" w:rsidRPr="00D00665" w:rsidRDefault="000B4A1E" w:rsidP="00517E51">
      <w:pPr>
        <w:pStyle w:val="BulletText"/>
      </w:pPr>
      <w:r w:rsidRPr="00D00665">
        <w:t>derivative financial instruments, managed investment schemes, certain debt securities and investment properties after initial recognition, which are measured at fair value with changes reflected in the consolidated comprehensive operating statement (fair value through p</w:t>
      </w:r>
      <w:r>
        <w:t>rofit and </w:t>
      </w:r>
      <w:r w:rsidRPr="00D00665">
        <w:t xml:space="preserve">loss); </w:t>
      </w:r>
    </w:p>
    <w:p w:rsidR="000B4A1E" w:rsidRPr="00D00665" w:rsidRDefault="000B4A1E" w:rsidP="00517E51">
      <w:pPr>
        <w:pStyle w:val="BulletText"/>
      </w:pPr>
      <w:r w:rsidRPr="00D00665">
        <w:t>certain liabilities, most notably unfunded superannuation and insurance claim provisions, which are subject to an actuarial assessment; and</w:t>
      </w:r>
    </w:p>
    <w:p w:rsidR="000B4A1E" w:rsidRPr="00D00665" w:rsidRDefault="000B4A1E" w:rsidP="00517E51">
      <w:pPr>
        <w:pStyle w:val="BulletText"/>
      </w:pPr>
      <w:r w:rsidRPr="00D00665">
        <w:t>available</w:t>
      </w:r>
      <w:r w:rsidRPr="00D00665">
        <w:noBreakHyphen/>
        <w:t>for</w:t>
      </w:r>
      <w:r w:rsidRPr="00D00665">
        <w:noBreakHyphen/>
        <w:t xml:space="preserve">sale investments which are measured at fair value with movements reflected in </w:t>
      </w:r>
      <w:r>
        <w:t>‘</w:t>
      </w:r>
      <w:r w:rsidRPr="00D00665">
        <w:t>Other economic flows – other comprehensive income</w:t>
      </w:r>
      <w:r>
        <w:t>’</w:t>
      </w:r>
      <w:r w:rsidRPr="00D00665">
        <w:t>.</w:t>
      </w:r>
    </w:p>
    <w:p w:rsidR="000B4A1E" w:rsidRPr="00D00665" w:rsidRDefault="000B4A1E" w:rsidP="00517E51">
      <w:pPr>
        <w:pStyle w:val="Heading3Numbering"/>
      </w:pPr>
      <w:r w:rsidRPr="00D00665">
        <w:t>Reporting entity</w:t>
      </w:r>
    </w:p>
    <w:p w:rsidR="000B4A1E" w:rsidRPr="00D00665" w:rsidRDefault="000B4A1E" w:rsidP="00517E51">
      <w:r w:rsidRPr="00D00665">
        <w:t>The State of Victoria reporting entity, includes government departments, public non</w:t>
      </w:r>
      <w:r w:rsidRPr="00D00665">
        <w:noBreakHyphen/>
        <w:t>financial corporations (PNFCs), public financial corporations (PFCs) and other government controlled entities. The State and most of its subsidiary entities are not</w:t>
      </w:r>
      <w:r w:rsidRPr="00D00665">
        <w:noBreakHyphen/>
        <w:t>for</w:t>
      </w:r>
      <w:r w:rsidRPr="00D00665">
        <w:noBreakHyphen/>
        <w:t xml:space="preserve">profit entities. These entities are classified into sectors according to the System of National Accounts described below. </w:t>
      </w:r>
    </w:p>
    <w:p w:rsidR="000B4A1E" w:rsidRPr="00D00665" w:rsidRDefault="000B4A1E" w:rsidP="00517E51">
      <w:pPr>
        <w:pStyle w:val="Heading4"/>
      </w:pPr>
      <w:r w:rsidRPr="00D00665">
        <w:t>System of National Accounts</w:t>
      </w:r>
    </w:p>
    <w:p w:rsidR="000B4A1E" w:rsidRPr="00D00665" w:rsidRDefault="000B4A1E" w:rsidP="00517E51">
      <w:pPr>
        <w:pStyle w:val="Heading5"/>
      </w:pPr>
      <w:r w:rsidRPr="00D00665">
        <w:t>(i)</w:t>
      </w:r>
      <w:r w:rsidRPr="00D00665">
        <w:tab/>
        <w:t>General government</w:t>
      </w:r>
    </w:p>
    <w:p w:rsidR="000B4A1E" w:rsidRPr="00D00665" w:rsidRDefault="000B4A1E" w:rsidP="00517E51">
      <w:r w:rsidRPr="00D00665">
        <w:t>The general government sector includes all government departments, offices and other bodies engaged in providing services free of charge or at prices significantly below their cost of production. The general government sector is not a separate entity but represents a sector within the State of Victoria reporting entity, and is reported in accordance with AASB 1049.</w:t>
      </w:r>
    </w:p>
    <w:p w:rsidR="000B4A1E" w:rsidRPr="00D00665" w:rsidRDefault="000B4A1E" w:rsidP="00517E51">
      <w:r w:rsidRPr="00D00665">
        <w:t>The primary function of entities in the general government sector is to provide public services (outputs), which are mainly non</w:t>
      </w:r>
      <w:r w:rsidRPr="00D00665">
        <w:noBreakHyphen/>
        <w:t xml:space="preserve">market in nature for the collective consumption of the community, and involve the transfer or redistribution of revenue which is financed mainly through taxes and other compulsory levies. </w:t>
      </w:r>
    </w:p>
    <w:p w:rsidR="000B4A1E" w:rsidRPr="00D00665" w:rsidRDefault="000B4A1E" w:rsidP="00517E51">
      <w:pPr>
        <w:pStyle w:val="Heading5"/>
      </w:pPr>
      <w:r w:rsidRPr="00D00665">
        <w:t>(ii)</w:t>
      </w:r>
      <w:r w:rsidRPr="00D00665">
        <w:tab/>
        <w:t>Public non</w:t>
      </w:r>
      <w:r w:rsidRPr="00D00665">
        <w:noBreakHyphen/>
        <w:t>financial corporations</w:t>
      </w:r>
    </w:p>
    <w:p w:rsidR="000B4A1E" w:rsidRPr="00D00665" w:rsidRDefault="000B4A1E" w:rsidP="00517E51">
      <w:r w:rsidRPr="00D00665">
        <w:t>The primary function of entities in the PNFC sector is to provide goods and services in a competitive market that is non</w:t>
      </w:r>
      <w:r w:rsidRPr="00D00665">
        <w:noBreakHyphen/>
        <w:t>regulatory and non</w:t>
      </w:r>
      <w:r w:rsidRPr="00D00665">
        <w:noBreakHyphen/>
        <w:t xml:space="preserve">financial in nature. Such entities are financed mainly through sales to the consumer of these goods and services. </w:t>
      </w:r>
    </w:p>
    <w:p w:rsidR="000B4A1E" w:rsidRPr="00D00665" w:rsidRDefault="000B4A1E">
      <w:pPr>
        <w:spacing w:after="0"/>
        <w:rPr>
          <w:rFonts w:ascii="Calibri" w:hAnsi="Calibri"/>
          <w:b/>
        </w:rPr>
      </w:pPr>
      <w:r w:rsidRPr="00D00665">
        <w:br w:type="page"/>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5"/>
      </w:pPr>
      <w:r w:rsidRPr="00D00665">
        <w:t xml:space="preserve"> (iii)</w:t>
      </w:r>
      <w:r w:rsidRPr="00D00665">
        <w:tab/>
        <w:t>Public financial corporations</w:t>
      </w:r>
    </w:p>
    <w:p w:rsidR="000B4A1E" w:rsidRPr="00D00665" w:rsidRDefault="000B4A1E" w:rsidP="00517E51">
      <w:pPr>
        <w:keepNext/>
      </w:pPr>
      <w:r w:rsidRPr="00D00665">
        <w:t>The PFC sector comprises entities engaged primarily in the provision of financial intermediation services or auxiliary financial services and which have one or more of the following characteristics:</w:t>
      </w:r>
    </w:p>
    <w:p w:rsidR="000B4A1E" w:rsidRPr="00D00665" w:rsidRDefault="000B4A1E" w:rsidP="00517E51">
      <w:pPr>
        <w:pStyle w:val="BulletText"/>
      </w:pPr>
      <w:r w:rsidRPr="00D00665">
        <w:t>they perform a central borrowing function;</w:t>
      </w:r>
    </w:p>
    <w:p w:rsidR="000B4A1E" w:rsidRPr="00D00665" w:rsidRDefault="000B4A1E" w:rsidP="00517E51">
      <w:pPr>
        <w:pStyle w:val="BulletText"/>
      </w:pPr>
      <w:r w:rsidRPr="00D00665">
        <w:t>they provide insurance services;</w:t>
      </w:r>
    </w:p>
    <w:p w:rsidR="000B4A1E" w:rsidRPr="00D00665" w:rsidRDefault="000B4A1E" w:rsidP="00517E51">
      <w:pPr>
        <w:pStyle w:val="BulletText"/>
      </w:pPr>
      <w:r w:rsidRPr="00D00665">
        <w:t>they accept call, term or savings deposits; or</w:t>
      </w:r>
    </w:p>
    <w:p w:rsidR="000B4A1E" w:rsidRPr="00D00665" w:rsidRDefault="000B4A1E" w:rsidP="00517E51">
      <w:pPr>
        <w:pStyle w:val="BulletText"/>
      </w:pPr>
      <w:r w:rsidRPr="00D00665">
        <w:t>they have the ability to incur liabilities and acquire financial assets in the market on their own account.</w:t>
      </w:r>
    </w:p>
    <w:p w:rsidR="000B4A1E" w:rsidRPr="00D00665" w:rsidRDefault="000B4A1E" w:rsidP="00517E51">
      <w:r w:rsidRPr="00D00665">
        <w:t xml:space="preserve">Disaggregated information about these sectors is presented in Note 2 </w:t>
      </w:r>
      <w:r w:rsidRPr="00D00665">
        <w:rPr>
          <w:i/>
        </w:rPr>
        <w:t>Disaggregated information</w:t>
      </w:r>
      <w:r w:rsidRPr="00D00665">
        <w:t>. This information is provided because there are differences between general government activities and those of the public sector entities in the PNFC and the PFC sectors. Disclosing this information assists users of the financial statements determine the effects of differing activities on the financial position of the State. It also assists users to identify the resources used in the provision of a range of goods and services, and the extent to which the State has recovered the costs of those resources from revenues attributable to those activities.</w:t>
      </w:r>
    </w:p>
    <w:p w:rsidR="000B4A1E" w:rsidRPr="00D00665" w:rsidRDefault="000B4A1E" w:rsidP="00517E51">
      <w:pPr>
        <w:pStyle w:val="Heading3Numbering"/>
      </w:pPr>
      <w:r w:rsidRPr="00D00665">
        <w:t>Basis of consolidation</w:t>
      </w:r>
    </w:p>
    <w:p w:rsidR="000B4A1E" w:rsidRPr="00D00665" w:rsidRDefault="000B4A1E" w:rsidP="00517E51">
      <w:r w:rsidRPr="00D00665">
        <w:t>In acc</w:t>
      </w:r>
      <w:r>
        <w:t>ordance with AASB 1049 and AASB </w:t>
      </w:r>
      <w:r w:rsidRPr="00AD4A20">
        <w:t>127</w:t>
      </w:r>
      <w:r w:rsidRPr="00D00665">
        <w:rPr>
          <w:i/>
        </w:rPr>
        <w:t xml:space="preserve"> Consolidated and Separate Financial Statements</w:t>
      </w:r>
      <w:r w:rsidRPr="00D00665">
        <w:t>:</w:t>
      </w:r>
    </w:p>
    <w:p w:rsidR="000B4A1E" w:rsidRPr="00D00665" w:rsidRDefault="000B4A1E" w:rsidP="00517E51">
      <w:pPr>
        <w:pStyle w:val="BulletText"/>
      </w:pPr>
      <w:r w:rsidRPr="00D00665">
        <w:t>The consolidated financial statements of the State incorporates assets and liabilities of all reporting entities that are controlled by the State as at 30 June 2013 and the revenue and expenses of entities controlled by the State for the part of the reporting period in which control existed.</w:t>
      </w:r>
    </w:p>
    <w:p w:rsidR="000B4A1E" w:rsidRPr="00D00665" w:rsidRDefault="000B4A1E" w:rsidP="00517E51">
      <w:pPr>
        <w:pStyle w:val="BulletText"/>
      </w:pPr>
      <w:r w:rsidRPr="00D00665">
        <w:t>The consolidated financial statements of the general government sector incorporates assets and liabilities, revenue and expenses of entities classified as general government. Entities in the PNFC and PFC sectors are not consolidated into the financial statements of the general government sector, but are accounted for as equity investments measured at the Government</w:t>
      </w:r>
      <w:r>
        <w:t>’</w:t>
      </w:r>
      <w:r w:rsidRPr="00D00665">
        <w:t>s proportional share of the carrying amount of net assets of the PNFC and PFC sector entities before consolidation eliminations. Where the carrying amount of an entity</w:t>
      </w:r>
      <w:r>
        <w:t>’</w:t>
      </w:r>
      <w:r w:rsidRPr="00D00665">
        <w:t xml:space="preserve">s net assets before consolidation eliminations is less than zero, the amount is not included. Any change in the carrying amount of the investment from period to period is accounted for as if the change in carrying amount is a change in fair value and accounted for in a manner consistent with AASB 139 </w:t>
      </w:r>
      <w:r w:rsidRPr="00D00665">
        <w:rPr>
          <w:i/>
        </w:rPr>
        <w:t>Financial Instruments: Recognition and Measurement</w:t>
      </w:r>
      <w:r w:rsidRPr="00D00665">
        <w:t>.</w:t>
      </w:r>
    </w:p>
    <w:p w:rsidR="000B4A1E" w:rsidRPr="00D00665" w:rsidRDefault="000B4A1E" w:rsidP="00517E51">
      <w:r w:rsidRPr="00D00665">
        <w:t xml:space="preserve">Entities which are not controlled by the State, including local government authorities, universities and denominational hospitals, are not consolidated into the financial statements for the State. </w:t>
      </w:r>
    </w:p>
    <w:p w:rsidR="000B4A1E" w:rsidRPr="00D00665" w:rsidRDefault="000B4A1E" w:rsidP="00517E51">
      <w:r w:rsidRPr="00D00665">
        <w:t>Where control of an entity is obtained during the financial period, its results are included in the consolidated comprehensive operating statement from the date on which control commenced. Where control ceases during a financial period, the entity</w:t>
      </w:r>
      <w:r>
        <w:t>’</w:t>
      </w:r>
      <w:r w:rsidRPr="00D00665">
        <w:t>s results are included for that part of the period in which control existed. Where dissimilar accounting policies are adopted by entities and their effect is considered material, adjustments are made to ensure consistent policies are adopted in these financial statements.</w:t>
      </w:r>
    </w:p>
    <w:p w:rsidR="000B4A1E" w:rsidRPr="00D00665" w:rsidRDefault="000B4A1E" w:rsidP="00517E51">
      <w:r w:rsidRPr="00D00665">
        <w:t>In the process of preparing consolidated financial statements for the State and the general government sector, all material transactions and balances between consolidated government controlled entities are eliminated.</w:t>
      </w:r>
    </w:p>
    <w:p w:rsidR="000B4A1E" w:rsidRPr="00D00665" w:rsidRDefault="000B4A1E" w:rsidP="00517E51">
      <w:r w:rsidRPr="00D00665">
        <w:t>Although certain entities prepare their audited financial statements on a calendar year basis, their information on transactions and balances supplied for consolidation purposes reflect adjusted audited figures that relate to the following financial year ending 30 June.</w:t>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r w:rsidRPr="00D00665">
        <w:t xml:space="preserve">Consistent with AASB 1004 </w:t>
      </w:r>
      <w:r w:rsidRPr="00D00665">
        <w:rPr>
          <w:i/>
        </w:rPr>
        <w:t>Contributions</w:t>
      </w:r>
      <w:r w:rsidRPr="00D00665">
        <w:t>, contributions by owners (that is, contributed capital and its repayment) are treated as equity transactions and, therefore, do not form part of the revenues and expenses of the relevant sectors of government.</w:t>
      </w:r>
    </w:p>
    <w:p w:rsidR="000B4A1E" w:rsidRPr="00D00665" w:rsidRDefault="000B4A1E" w:rsidP="00517E51">
      <w:r w:rsidRPr="00D00665">
        <w:t xml:space="preserve">Significant entities consolidated by the State are shown in Note 41 </w:t>
      </w:r>
      <w:r w:rsidRPr="00D00665">
        <w:rPr>
          <w:i/>
        </w:rPr>
        <w:t>Controlled entities</w:t>
      </w:r>
      <w:r w:rsidRPr="00D00665">
        <w:t>.</w:t>
      </w:r>
    </w:p>
    <w:p w:rsidR="000B4A1E" w:rsidRPr="00D00665" w:rsidRDefault="000B4A1E" w:rsidP="00517E51">
      <w:pPr>
        <w:pStyle w:val="Heading4"/>
      </w:pPr>
      <w:r w:rsidRPr="00D00665">
        <w:t>Funds held in trust</w:t>
      </w:r>
    </w:p>
    <w:p w:rsidR="000B4A1E" w:rsidRPr="00D00665" w:rsidRDefault="000B4A1E" w:rsidP="00517E51">
      <w:r w:rsidRPr="00D00665">
        <w:t xml:space="preserve">The State has responsibility for transactions and balances relating to trust funds held on behalf of third parties external to the State, such as the funds under management for the Victorian Bushfire Appeal Fund. The revenue, expenses, assets and liabilities arising from funds managed on behalf of third parties are not recognised in these financial statements as they are managed on a fiduciary and custodial basis, and therefore are not controlled by the State. Funds under management, including those relating to the 2009 Victorian Bushfire Appeal Trust Fund, are reported in Note 35 </w:t>
      </w:r>
      <w:r w:rsidRPr="00D00665">
        <w:rPr>
          <w:i/>
        </w:rPr>
        <w:t>Funds under management</w:t>
      </w:r>
      <w:r w:rsidRPr="00D00665">
        <w:t xml:space="preserve"> and in Note 38 </w:t>
      </w:r>
      <w:r w:rsidRPr="00D00665">
        <w:rPr>
          <w:i/>
        </w:rPr>
        <w:t>Public account disclosure</w:t>
      </w:r>
      <w:r w:rsidRPr="00D00665">
        <w:t>.</w:t>
      </w:r>
    </w:p>
    <w:p w:rsidR="000B4A1E" w:rsidRPr="00D00665" w:rsidRDefault="000B4A1E" w:rsidP="00517E51">
      <w:pPr>
        <w:pStyle w:val="Heading3Numbering"/>
      </w:pPr>
      <w:r w:rsidRPr="00D00665">
        <w:t>Scope and presentation of financial statements</w:t>
      </w:r>
    </w:p>
    <w:p w:rsidR="000B4A1E" w:rsidRPr="00D00665" w:rsidRDefault="000B4A1E" w:rsidP="00517E51">
      <w:pPr>
        <w:pStyle w:val="Heading4"/>
      </w:pPr>
      <w:r w:rsidRPr="00D00665">
        <w:t>Consolidated comprehensive operating statement</w:t>
      </w:r>
    </w:p>
    <w:p w:rsidR="000B4A1E" w:rsidRPr="00D00665" w:rsidRDefault="000B4A1E" w:rsidP="00517E51">
      <w:r w:rsidRPr="00D00665">
        <w:t xml:space="preserve">Revenues and expenses in the consolidated comprehensive operating statement are classified according to whether or not they arise from </w:t>
      </w:r>
      <w:r>
        <w:t>‘</w:t>
      </w:r>
      <w:r w:rsidRPr="00D00665">
        <w:t>transactions</w:t>
      </w:r>
      <w:r>
        <w:t>’</w:t>
      </w:r>
      <w:r w:rsidRPr="00D00665">
        <w:t xml:space="preserve"> or </w:t>
      </w:r>
      <w:r>
        <w:t>‘</w:t>
      </w:r>
      <w:r w:rsidRPr="00D00665">
        <w:t>other economic flows</w:t>
      </w:r>
      <w:r>
        <w:t>’</w:t>
      </w:r>
      <w:r w:rsidRPr="00D00665">
        <w:t>. This classification is consistent with AASB 1049.</w:t>
      </w:r>
    </w:p>
    <w:p w:rsidR="000B4A1E" w:rsidRPr="00D00665" w:rsidRDefault="000B4A1E" w:rsidP="00517E51">
      <w:r>
        <w:t>‘</w:t>
      </w:r>
      <w:r w:rsidRPr="00D00665">
        <w:t>Transactions</w:t>
      </w:r>
      <w:r>
        <w:t>’</w:t>
      </w:r>
      <w:r w:rsidRPr="00D00665">
        <w:t xml:space="preserve"> and </w:t>
      </w:r>
      <w:r>
        <w:t>‘</w:t>
      </w:r>
      <w:r w:rsidRPr="00D00665">
        <w:t>other economic flows</w:t>
      </w:r>
      <w:r>
        <w:t>’</w:t>
      </w:r>
      <w:r w:rsidRPr="00D00665">
        <w:t xml:space="preserve"> are defined in </w:t>
      </w:r>
      <w:r w:rsidRPr="00D00665">
        <w:rPr>
          <w:i/>
        </w:rPr>
        <w:t>Australian System of Government Finance Statistics: Concepts, Sources and Methods 2005</w:t>
      </w:r>
      <w:r w:rsidRPr="00D00665">
        <w:t xml:space="preserve"> and </w:t>
      </w:r>
      <w:r w:rsidRPr="00D00665">
        <w:rPr>
          <w:i/>
        </w:rPr>
        <w:t>Amendments to Australian System of Government Finance Statistics, 2005</w:t>
      </w:r>
      <w:r w:rsidRPr="00D00665">
        <w:t xml:space="preserve"> (ABS Catalogue No. 5514.0) (the </w:t>
      </w:r>
      <w:r w:rsidR="00FC7ED5">
        <w:t>GFS manual</w:t>
      </w:r>
      <w:r w:rsidRPr="00D00665">
        <w:t>, refer to Note 1(A)).</w:t>
      </w:r>
    </w:p>
    <w:p w:rsidR="000B4A1E" w:rsidRPr="00D00665" w:rsidRDefault="000B4A1E" w:rsidP="00517E51">
      <w:r w:rsidRPr="00D00665">
        <w:t xml:space="preserve">Note 30 </w:t>
      </w:r>
      <w:r w:rsidRPr="00D00665">
        <w:rPr>
          <w:i/>
        </w:rPr>
        <w:t>Reconciliations</w:t>
      </w:r>
      <w:r w:rsidRPr="00D00665">
        <w:t xml:space="preserve"> identifies and reconciles unconverged differences between GFS and the AASs.</w:t>
      </w:r>
    </w:p>
    <w:p w:rsidR="000B4A1E" w:rsidRPr="00D00665" w:rsidRDefault="000B4A1E" w:rsidP="00517E51">
      <w:r>
        <w:t>‘</w:t>
      </w:r>
      <w:r w:rsidRPr="00D00665">
        <w:t>Transactions</w:t>
      </w:r>
      <w:r>
        <w:t>’</w:t>
      </w:r>
      <w:r w:rsidRPr="00D00665">
        <w:t xml:space="preserve"> 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taxpayers. </w:t>
      </w:r>
      <w:r>
        <w:t>‘</w:t>
      </w:r>
      <w:r w:rsidRPr="00D00665">
        <w:t>Transactions</w:t>
      </w:r>
      <w:r>
        <w:t>’</w:t>
      </w:r>
      <w:r w:rsidRPr="00D00665">
        <w:t xml:space="preserve"> can be cash or in kind (e.g. assets provided/</w:t>
      </w:r>
      <w:r>
        <w:t xml:space="preserve"> </w:t>
      </w:r>
      <w:r w:rsidRPr="00D00665">
        <w:t>given free of charge or for nominal consideration) or where the final consideration is cash.</w:t>
      </w:r>
    </w:p>
    <w:p w:rsidR="000B4A1E" w:rsidRPr="00D00665" w:rsidRDefault="000B4A1E" w:rsidP="00517E51">
      <w:r>
        <w:t>‘</w:t>
      </w:r>
      <w:r w:rsidRPr="00D00665">
        <w:t>Other economic flows</w:t>
      </w:r>
      <w:r>
        <w:t>’</w:t>
      </w:r>
      <w:r w:rsidRPr="00D00665">
        <w:t xml:space="preserve"> are changes arising from market remeasurements. They include:</w:t>
      </w:r>
    </w:p>
    <w:p w:rsidR="000B4A1E" w:rsidRPr="00D00665" w:rsidRDefault="000B4A1E" w:rsidP="00517E51">
      <w:pPr>
        <w:pStyle w:val="BulletText"/>
      </w:pPr>
      <w:r w:rsidRPr="00D00665">
        <w:t>gains and losses from disposals;</w:t>
      </w:r>
    </w:p>
    <w:p w:rsidR="000B4A1E" w:rsidRPr="00D00665" w:rsidRDefault="000B4A1E" w:rsidP="00517E51">
      <w:pPr>
        <w:pStyle w:val="BulletText"/>
      </w:pPr>
      <w:r w:rsidRPr="00D00665">
        <w:t>revaluations and impairments of non</w:t>
      </w:r>
      <w:r w:rsidRPr="00D00665">
        <w:noBreakHyphen/>
        <w:t xml:space="preserve">financial physical and intangible assets; </w:t>
      </w:r>
    </w:p>
    <w:p w:rsidR="000B4A1E" w:rsidRPr="00D00665" w:rsidRDefault="000B4A1E" w:rsidP="00517E51">
      <w:pPr>
        <w:pStyle w:val="BulletText"/>
      </w:pPr>
      <w:r w:rsidRPr="00D00665">
        <w:t xml:space="preserve">actuarial gains and losses arising from defined benefit superannuation plans; </w:t>
      </w:r>
    </w:p>
    <w:p w:rsidR="000B4A1E" w:rsidRPr="00D00665" w:rsidRDefault="000B4A1E" w:rsidP="00517E51">
      <w:pPr>
        <w:pStyle w:val="BulletText"/>
      </w:pPr>
      <w:r w:rsidRPr="00D00665">
        <w:t xml:space="preserve">fair value changes of financial instruments and agricultural assets; and </w:t>
      </w:r>
    </w:p>
    <w:p w:rsidR="000B4A1E" w:rsidRPr="00D00665" w:rsidRDefault="000B4A1E" w:rsidP="00517E51">
      <w:pPr>
        <w:pStyle w:val="BulletText"/>
      </w:pPr>
      <w:r w:rsidRPr="00D00665">
        <w:t>depletion of natural assets (non</w:t>
      </w:r>
      <w:r w:rsidRPr="00D00665">
        <w:noBreakHyphen/>
        <w:t>produced) from their use or removal.</w:t>
      </w:r>
    </w:p>
    <w:p w:rsidR="000B4A1E" w:rsidRPr="00D00665" w:rsidRDefault="000B4A1E" w:rsidP="00517E51">
      <w:r w:rsidRPr="00D00665">
        <w:t>The net result is equivalent to profit or loss derived in accordance with AASs.</w:t>
      </w:r>
    </w:p>
    <w:p w:rsidR="000B4A1E" w:rsidRPr="00D00665" w:rsidRDefault="000B4A1E" w:rsidP="00517E51">
      <w:r w:rsidRPr="00D00665">
        <w:t>Key fiscal aggregates presented in the statement are:</w:t>
      </w:r>
    </w:p>
    <w:p w:rsidR="000B4A1E" w:rsidRPr="00D00665" w:rsidRDefault="000B4A1E" w:rsidP="00517E51">
      <w:pPr>
        <w:pStyle w:val="BulletText"/>
      </w:pPr>
      <w:r w:rsidRPr="00D00665">
        <w:t>net result from transactions – net operating balance;</w:t>
      </w:r>
    </w:p>
    <w:p w:rsidR="000B4A1E" w:rsidRPr="00D00665" w:rsidRDefault="000B4A1E" w:rsidP="00517E51">
      <w:pPr>
        <w:pStyle w:val="BulletText"/>
      </w:pPr>
      <w:r w:rsidRPr="00D00665">
        <w:t>comprehensive result – total change in net worth; and</w:t>
      </w:r>
    </w:p>
    <w:p w:rsidR="000B4A1E" w:rsidRPr="00D00665" w:rsidRDefault="000B4A1E" w:rsidP="00517E51">
      <w:pPr>
        <w:pStyle w:val="BulletText"/>
      </w:pPr>
      <w:r w:rsidRPr="00D00665">
        <w:t>net lending/(borrowing).</w:t>
      </w:r>
    </w:p>
    <w:p w:rsidR="000B4A1E" w:rsidRPr="00D00665" w:rsidRDefault="000B4A1E">
      <w:pPr>
        <w:spacing w:after="0"/>
        <w:rPr>
          <w:rFonts w:ascii="Calibri" w:hAnsi="Calibri"/>
          <w:i/>
          <w:sz w:val="26"/>
          <w:szCs w:val="22"/>
        </w:rPr>
      </w:pPr>
      <w:r w:rsidRPr="00D00665">
        <w:br w:type="page"/>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4"/>
      </w:pPr>
      <w:r w:rsidRPr="00D00665">
        <w:t>Consolidated balance sheet</w:t>
      </w:r>
    </w:p>
    <w:p w:rsidR="000B4A1E" w:rsidRPr="00D00665" w:rsidRDefault="000B4A1E" w:rsidP="00517E51">
      <w:r w:rsidRPr="00D00665">
        <w:t xml:space="preserve">Assets and liabilities are presented in a manner consistent with the </w:t>
      </w:r>
      <w:r w:rsidR="00FC7ED5">
        <w:t>GFS manual</w:t>
      </w:r>
      <w:r w:rsidRPr="00D00665">
        <w:t xml:space="preserve"> and the </w:t>
      </w:r>
      <w:r w:rsidRPr="00D00665">
        <w:rPr>
          <w:i/>
        </w:rPr>
        <w:t>Uniform Presentation Framework 2008</w:t>
      </w:r>
      <w:r w:rsidRPr="00D00665">
        <w:t>.</w:t>
      </w:r>
    </w:p>
    <w:p w:rsidR="000B4A1E" w:rsidRPr="00D00665" w:rsidRDefault="000B4A1E" w:rsidP="00517E51">
      <w:r w:rsidRPr="00D00665">
        <w:t>Current and non</w:t>
      </w:r>
      <w:r w:rsidRPr="00D00665">
        <w:noBreakHyphen/>
        <w:t>current assets and liabilities (non</w:t>
      </w:r>
      <w:r w:rsidRPr="00D00665">
        <w:noBreakHyphen/>
        <w:t>current being those assets or liabilities expected to be recovered or settled more than 12 months after the reporting period) are disclosed in the notes, where relevant.</w:t>
      </w:r>
    </w:p>
    <w:p w:rsidR="000B4A1E" w:rsidRPr="00D00665" w:rsidRDefault="000B4A1E" w:rsidP="00517E51">
      <w:r w:rsidRPr="00D00665">
        <w:t>Key fiscal aggregates presented:</w:t>
      </w:r>
    </w:p>
    <w:p w:rsidR="000B4A1E" w:rsidRPr="00D00665" w:rsidRDefault="000B4A1E" w:rsidP="00517E51">
      <w:pPr>
        <w:pStyle w:val="BulletText"/>
      </w:pPr>
      <w:r w:rsidRPr="00D00665">
        <w:t>net financial worth;</w:t>
      </w:r>
    </w:p>
    <w:p w:rsidR="000B4A1E" w:rsidRPr="00D00665" w:rsidRDefault="000B4A1E" w:rsidP="00517E51">
      <w:pPr>
        <w:pStyle w:val="BulletText"/>
      </w:pPr>
      <w:r w:rsidRPr="00D00665">
        <w:t>net financial liabilities; and</w:t>
      </w:r>
    </w:p>
    <w:p w:rsidR="000B4A1E" w:rsidRPr="00D00665" w:rsidRDefault="000B4A1E" w:rsidP="00517E51">
      <w:pPr>
        <w:pStyle w:val="BulletText"/>
      </w:pPr>
      <w:r w:rsidRPr="00D00665">
        <w:t>net debt.</w:t>
      </w:r>
    </w:p>
    <w:p w:rsidR="000B4A1E" w:rsidRPr="00D00665" w:rsidRDefault="000B4A1E" w:rsidP="00517E51">
      <w:pPr>
        <w:pStyle w:val="Heading4"/>
      </w:pPr>
      <w:r w:rsidRPr="00D00665">
        <w:t>Consolidated cash flow statement</w:t>
      </w:r>
    </w:p>
    <w:p w:rsidR="000B4A1E" w:rsidRPr="00D00665" w:rsidRDefault="000B4A1E" w:rsidP="00517E51">
      <w:r w:rsidRPr="00D00665">
        <w:t xml:space="preserve">Cash flows are classified according to whether they arise from operating activities, investing activities or financing activities. This classification is consistent with AASB 107 </w:t>
      </w:r>
      <w:r w:rsidRPr="00D00665">
        <w:rPr>
          <w:i/>
        </w:rPr>
        <w:t>Statement of Cash Flows</w:t>
      </w:r>
      <w:r w:rsidRPr="00D00665">
        <w:t>.</w:t>
      </w:r>
    </w:p>
    <w:p w:rsidR="000B4A1E" w:rsidRPr="00D00665" w:rsidRDefault="000B4A1E" w:rsidP="00517E51">
      <w:r w:rsidRPr="00D00665">
        <w:t>Investing activities are split between investment for liquidity management purposes and for policy purposes.</w:t>
      </w:r>
    </w:p>
    <w:p w:rsidR="000B4A1E" w:rsidRPr="00D00665" w:rsidRDefault="000B4A1E" w:rsidP="00517E51">
      <w:r w:rsidRPr="00D00665">
        <w:t>For cash flow statement presentation purposes, cash and cash equivalents include bank overdrafts, which are included as current borrowings on the balance sheet.</w:t>
      </w:r>
    </w:p>
    <w:p w:rsidR="000B4A1E" w:rsidRPr="00D00665" w:rsidRDefault="000B4A1E" w:rsidP="00517E51">
      <w:r w:rsidRPr="00D00665">
        <w:t>The key fiscal aggregate presented is the cash surplus/(deficit).</w:t>
      </w:r>
    </w:p>
    <w:p w:rsidR="000B4A1E" w:rsidRPr="00D00665" w:rsidRDefault="000B4A1E" w:rsidP="00517E51">
      <w:pPr>
        <w:pStyle w:val="Heading4"/>
      </w:pPr>
      <w:r w:rsidRPr="00D00665">
        <w:t>Consolidated statement of changes in equity</w:t>
      </w:r>
    </w:p>
    <w:p w:rsidR="000B4A1E" w:rsidRPr="00D00665" w:rsidRDefault="000B4A1E" w:rsidP="00517E51">
      <w:r w:rsidRPr="00D00665">
        <w:t>The statement of changes in equity presents reconciliations of non</w:t>
      </w:r>
      <w:r w:rsidRPr="00D00665">
        <w:noBreakHyphen/>
        <w:t xml:space="preserve">owner and owner changes in equity from opening balances at the beginning of the reporting period to the closing balances at the end of the reporting period. It also shows separately changes due to amounts recognised in the </w:t>
      </w:r>
      <w:r>
        <w:t>‘</w:t>
      </w:r>
      <w:r w:rsidRPr="00D00665">
        <w:t>Comprehensive result</w:t>
      </w:r>
      <w:r>
        <w:t>’</w:t>
      </w:r>
      <w:r w:rsidRPr="00D00665">
        <w:t xml:space="preserve"> and amounts recognised in </w:t>
      </w:r>
      <w:r>
        <w:t>‘</w:t>
      </w:r>
      <w:r w:rsidRPr="00D00665">
        <w:t>Other econom</w:t>
      </w:r>
      <w:r>
        <w:t xml:space="preserve">ic flows – </w:t>
      </w:r>
      <w:r w:rsidRPr="00D00665">
        <w:t>other comprehensive income</w:t>
      </w:r>
      <w:r>
        <w:t>’</w:t>
      </w:r>
      <w:r w:rsidRPr="00D00665">
        <w:t xml:space="preserve"> related to </w:t>
      </w:r>
      <w:r>
        <w:t>‘</w:t>
      </w:r>
      <w:r w:rsidRPr="00D00665">
        <w:t>Transactions with owner in its capacity as owner</w:t>
      </w:r>
      <w:r>
        <w:t>’</w:t>
      </w:r>
      <w:r w:rsidRPr="00D00665">
        <w:t>.</w:t>
      </w:r>
    </w:p>
    <w:p w:rsidR="000B4A1E" w:rsidRPr="00D00665" w:rsidRDefault="000B4A1E" w:rsidP="00517E51">
      <w:pPr>
        <w:pStyle w:val="Heading4"/>
      </w:pPr>
      <w:r w:rsidRPr="00D00665">
        <w:t>Rounding</w:t>
      </w:r>
    </w:p>
    <w:p w:rsidR="000B4A1E" w:rsidRPr="00D00665" w:rsidRDefault="000B4A1E" w:rsidP="00517E51">
      <w:r w:rsidRPr="00D00665">
        <w:t xml:space="preserve">All amounts in the financial statements have been rounded to the nearest $100 000 except in Note 38 which is rounded to the nearest $1 000. </w:t>
      </w:r>
    </w:p>
    <w:p w:rsidR="000B4A1E" w:rsidRPr="00D00665" w:rsidRDefault="000B4A1E" w:rsidP="00517E51">
      <w:pPr>
        <w:pStyle w:val="Heading3Numbering"/>
      </w:pPr>
      <w:r w:rsidRPr="00D00665">
        <w:t>Revenue from transactions</w:t>
      </w:r>
    </w:p>
    <w:p w:rsidR="000B4A1E" w:rsidRPr="00D00665" w:rsidRDefault="000B4A1E" w:rsidP="00517E51">
      <w:r w:rsidRPr="00D00665">
        <w:t>Revenue from transactions is recognised to the extent that it is probable that the economic benefits will flow to the entity and the revenue can be reliably measured.</w:t>
      </w:r>
    </w:p>
    <w:p w:rsidR="000B4A1E" w:rsidRPr="00D00665" w:rsidRDefault="000B4A1E" w:rsidP="00517E51">
      <w:pPr>
        <w:pStyle w:val="Heading4"/>
      </w:pPr>
      <w:r w:rsidRPr="00D00665">
        <w:t>Taxation revenue</w:t>
      </w:r>
    </w:p>
    <w:p w:rsidR="000B4A1E" w:rsidRPr="00D00665" w:rsidRDefault="000B4A1E" w:rsidP="00517E51">
      <w:r w:rsidRPr="00D00665">
        <w:t>State taxation revenue is recognised on the earlier of either the receipt by the State of a taxpayer</w:t>
      </w:r>
      <w:r>
        <w:t>’</w:t>
      </w:r>
      <w:r w:rsidRPr="00D00665">
        <w:t>s self</w:t>
      </w:r>
      <w:r w:rsidRPr="00D00665">
        <w:noBreakHyphen/>
        <w:t>assessment or the time when the taxpayer</w:t>
      </w:r>
      <w:r>
        <w:t>’</w:t>
      </w:r>
      <w:r w:rsidRPr="00D00665">
        <w:t>s obligation to pay arises, pursuant to the issue of an assessment.</w:t>
      </w:r>
    </w:p>
    <w:p w:rsidR="000B4A1E" w:rsidRPr="00D00665" w:rsidRDefault="000B4A1E" w:rsidP="00517E51">
      <w:r w:rsidRPr="00D00665">
        <w:t>Upfront concession fees, such as those for gambling licence fees, are recognised progressively over the term of the applicable concession.</w:t>
      </w:r>
    </w:p>
    <w:p w:rsidR="000B4A1E" w:rsidRPr="00D00665" w:rsidRDefault="000B4A1E">
      <w:pPr>
        <w:spacing w:after="0"/>
        <w:rPr>
          <w:rFonts w:ascii="Calibri" w:hAnsi="Calibri"/>
          <w:i/>
          <w:sz w:val="26"/>
          <w:szCs w:val="22"/>
        </w:rPr>
      </w:pPr>
      <w:r w:rsidRPr="00D00665">
        <w:br w:type="page"/>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4"/>
      </w:pPr>
      <w:r w:rsidRPr="00D00665">
        <w:t>Interest revenue</w:t>
      </w:r>
    </w:p>
    <w:p w:rsidR="000B4A1E" w:rsidRPr="00D00665" w:rsidRDefault="000B4A1E" w:rsidP="00517E51">
      <w:r w:rsidRPr="00D00665">
        <w:t xml:space="preserve">Interest revenue includes interest received on bank term deposits and other investments and the unwinding over time of the discount on financial assets. Interest revenue is recognised using the effective interest method which allocates the interest over the relevant period. </w:t>
      </w:r>
    </w:p>
    <w:p w:rsidR="000B4A1E" w:rsidRPr="00D00665" w:rsidRDefault="000B4A1E" w:rsidP="00517E51">
      <w:r w:rsidRPr="00D00665">
        <w:t>Net realised and unrealised gains and losses on the revaluation of investments do not form part of revenue from transactions, but are reported either as part of revenue from other economic flows in the net result or as unrealised gains or losses taken direct to equity, forming part of the total change in net worth in the comprehensive result.</w:t>
      </w:r>
    </w:p>
    <w:p w:rsidR="000B4A1E" w:rsidRPr="00D00665" w:rsidRDefault="000B4A1E" w:rsidP="00517E51">
      <w:pPr>
        <w:pStyle w:val="Heading4"/>
      </w:pPr>
      <w:r w:rsidRPr="00D00665">
        <w:t>Dividends and income tax equivalent and rate equivalent revenue</w:t>
      </w:r>
    </w:p>
    <w:p w:rsidR="000B4A1E" w:rsidRPr="00D00665" w:rsidRDefault="000B4A1E" w:rsidP="00517E51">
      <w:r w:rsidRPr="00D00665">
        <w:t>General government sector dividends, income tax equivalent and rate equivalent revenue, represents revenue received from other sectors of government. Such revenue for the general government sector is recognised when the right to receive the payment is established, and is eliminated on consolidation into the financial statements of the State.</w:t>
      </w:r>
    </w:p>
    <w:p w:rsidR="000B4A1E" w:rsidRPr="00D00665" w:rsidRDefault="000B4A1E" w:rsidP="00517E51">
      <w:r w:rsidRPr="00D00665">
        <w:t>Dividends earned from non</w:t>
      </w:r>
      <w:r w:rsidRPr="00D00665">
        <w:noBreakHyphen/>
        <w:t>state sources are also reflected in the financial statements.</w:t>
      </w:r>
    </w:p>
    <w:p w:rsidR="000B4A1E" w:rsidRPr="00D00665" w:rsidRDefault="000B4A1E" w:rsidP="00517E51">
      <w:pPr>
        <w:pStyle w:val="Heading4"/>
      </w:pPr>
      <w:r w:rsidRPr="00D00665">
        <w:t>Sales of goods and services</w:t>
      </w:r>
    </w:p>
    <w:p w:rsidR="000B4A1E" w:rsidRPr="00D00665" w:rsidRDefault="000B4A1E" w:rsidP="00517E51">
      <w:pPr>
        <w:pStyle w:val="Heading5"/>
      </w:pPr>
      <w:r w:rsidRPr="00D00665">
        <w:t>Revenue from supply of services</w:t>
      </w:r>
    </w:p>
    <w:p w:rsidR="000B4A1E" w:rsidRPr="00D00665" w:rsidRDefault="000B4A1E" w:rsidP="00517E51">
      <w:r w:rsidRPr="00D00665">
        <w:t>Revenue from the supply of services is recognised by reference to the stage of completion of the services being performed. The revenue is recognised when:</w:t>
      </w:r>
    </w:p>
    <w:p w:rsidR="000B4A1E" w:rsidRPr="00D00665" w:rsidRDefault="000B4A1E" w:rsidP="00517E51">
      <w:pPr>
        <w:pStyle w:val="BulletText"/>
      </w:pPr>
      <w:r w:rsidRPr="00D00665">
        <w:t>the amount of the revenue, stage of completion and transaction costs incurred can be reliably measured; and</w:t>
      </w:r>
    </w:p>
    <w:p w:rsidR="000B4A1E" w:rsidRPr="00D00665" w:rsidRDefault="000B4A1E" w:rsidP="00517E51">
      <w:pPr>
        <w:pStyle w:val="BulletText"/>
      </w:pPr>
      <w:r w:rsidRPr="00D00665">
        <w:t>it is probable that the economic benefits associated with the transaction will flow to the entity.</w:t>
      </w:r>
    </w:p>
    <w:p w:rsidR="000B4A1E" w:rsidRPr="00D00665" w:rsidRDefault="000B4A1E" w:rsidP="00517E51">
      <w:r w:rsidRPr="00D00665">
        <w:t>Under the stage of completion method, revenue is recognised by reference to labour hours supplied as a percentage of total services to be performed in each annual reporting period.</w:t>
      </w:r>
    </w:p>
    <w:p w:rsidR="000B4A1E" w:rsidRPr="00D00665" w:rsidRDefault="000B4A1E" w:rsidP="00517E51">
      <w:pPr>
        <w:pStyle w:val="Heading5"/>
      </w:pPr>
      <w:r w:rsidRPr="00D00665">
        <w:t>Revenue from the sale of goods</w:t>
      </w:r>
    </w:p>
    <w:p w:rsidR="000B4A1E" w:rsidRPr="00D00665" w:rsidRDefault="000B4A1E" w:rsidP="00517E51">
      <w:r w:rsidRPr="00D00665">
        <w:t>Revenue from the sale of goods is recognised when:</w:t>
      </w:r>
    </w:p>
    <w:p w:rsidR="000B4A1E" w:rsidRPr="00D00665" w:rsidRDefault="000B4A1E" w:rsidP="00517E51">
      <w:pPr>
        <w:pStyle w:val="BulletText"/>
      </w:pPr>
      <w:r w:rsidRPr="00D00665">
        <w:t>the State no longer has any of the significant risks and rewards of ownership of the goods transferred to the buyer;</w:t>
      </w:r>
    </w:p>
    <w:p w:rsidR="000B4A1E" w:rsidRPr="00D00665" w:rsidRDefault="000B4A1E" w:rsidP="00517E51">
      <w:pPr>
        <w:pStyle w:val="BulletText"/>
      </w:pPr>
      <w:r w:rsidRPr="00D00665">
        <w:t>the State no longer has continuing managerial involvement to the degree usually associated with ownership, nor effective control over the goods sold;</w:t>
      </w:r>
    </w:p>
    <w:p w:rsidR="000B4A1E" w:rsidRPr="00D00665" w:rsidRDefault="000B4A1E" w:rsidP="00517E51">
      <w:pPr>
        <w:pStyle w:val="BulletText"/>
      </w:pPr>
      <w:r w:rsidRPr="00D00665">
        <w:t>the amount of revenue, and the costs incurred or to be incurred in respect of the transactions, can be reliably measured; and</w:t>
      </w:r>
    </w:p>
    <w:p w:rsidR="000B4A1E" w:rsidRPr="00D00665" w:rsidRDefault="000B4A1E" w:rsidP="00517E51">
      <w:pPr>
        <w:pStyle w:val="BulletText"/>
      </w:pPr>
      <w:r w:rsidRPr="00D00665">
        <w:t>it is probable that the economic benefits associated with the transaction will flow to the State.</w:t>
      </w:r>
    </w:p>
    <w:p w:rsidR="000B4A1E" w:rsidRPr="00D00665" w:rsidRDefault="000B4A1E" w:rsidP="00517E51">
      <w:r w:rsidRPr="00D00665">
        <w:t>Sale of goods and services includes regulatory fees which are recognised at the time the regulatory fee is billed.</w:t>
      </w:r>
    </w:p>
    <w:p w:rsidR="000B4A1E" w:rsidRPr="00D00665" w:rsidRDefault="000B4A1E">
      <w:pPr>
        <w:spacing w:after="0"/>
        <w:rPr>
          <w:rFonts w:ascii="Calibri" w:hAnsi="Calibri"/>
          <w:i/>
          <w:sz w:val="26"/>
          <w:szCs w:val="22"/>
        </w:rPr>
      </w:pPr>
      <w:r w:rsidRPr="00D00665">
        <w:br w:type="page"/>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4"/>
      </w:pPr>
      <w:r w:rsidRPr="00D00665">
        <w:t>Grants</w:t>
      </w:r>
    </w:p>
    <w:p w:rsidR="000B4A1E" w:rsidRPr="00D00665" w:rsidRDefault="000B4A1E" w:rsidP="00517E51">
      <w:r w:rsidRPr="00D00665">
        <w:t>Revenue from grants is recognised when the State obtains control over the contributions.</w:t>
      </w:r>
    </w:p>
    <w:p w:rsidR="000B4A1E" w:rsidRPr="00D00665" w:rsidRDefault="000B4A1E" w:rsidP="00517E51">
      <w:pPr>
        <w:rPr>
          <w:rFonts w:ascii="Calibri" w:hAnsi="Calibri"/>
          <w:i/>
          <w:sz w:val="26"/>
          <w:szCs w:val="22"/>
        </w:rPr>
      </w:pPr>
      <w:r w:rsidRPr="00D00665">
        <w:t>Grants mainly comprise contributions provided by the Commonwealth Government to assist the State in meeting general or specific service delivery obligations, primarily for the purpose of aiding in the financing of the operations of the recipient, capital purposes and/or for on</w:t>
      </w:r>
      <w:r w:rsidRPr="00D00665">
        <w:noBreakHyphen/>
        <w:t xml:space="preserve">passing to other recipients. Grants also include grants from other jurisdictions. </w:t>
      </w:r>
    </w:p>
    <w:p w:rsidR="000B4A1E" w:rsidRPr="00D00665" w:rsidRDefault="000B4A1E" w:rsidP="00517E51">
      <w:pPr>
        <w:pStyle w:val="Heading4"/>
      </w:pPr>
      <w:r w:rsidRPr="00D00665">
        <w:t>Other revenue</w:t>
      </w:r>
    </w:p>
    <w:p w:rsidR="000B4A1E" w:rsidRPr="00D00665" w:rsidRDefault="000B4A1E" w:rsidP="00517E51">
      <w:r w:rsidRPr="00D00665">
        <w:t>Other revenue includes non</w:t>
      </w:r>
      <w:r w:rsidRPr="00D00665">
        <w:noBreakHyphen/>
        <w:t>property rental, fines, assets received free of charge, royalties, donations and other miscellaneous non</w:t>
      </w:r>
      <w:r w:rsidRPr="00D00665">
        <w:noBreakHyphen/>
        <w:t>operating revenue.</w:t>
      </w:r>
    </w:p>
    <w:p w:rsidR="000B4A1E" w:rsidRPr="00D00665" w:rsidRDefault="000B4A1E" w:rsidP="00517E51">
      <w:r w:rsidRPr="00D00665">
        <w:t>Contributions of resources received free of charge or for nominal consideration are recognised at fair value when the State obtains control over them, irrespective of whether these contributions are subject to restrictions or conditions over their use. Contributions in the form of services are only recognised when a fair value can be reliably determined and the services would have been purchased if not received as a donation.</w:t>
      </w:r>
    </w:p>
    <w:p w:rsidR="000B4A1E" w:rsidRPr="00D00665" w:rsidRDefault="000B4A1E" w:rsidP="00517E51">
      <w:pPr>
        <w:pStyle w:val="Heading3Numbering"/>
      </w:pPr>
      <w:r w:rsidRPr="00D00665">
        <w:t>Expenses from transactions</w:t>
      </w:r>
    </w:p>
    <w:p w:rsidR="000B4A1E" w:rsidRPr="00D00665" w:rsidRDefault="000B4A1E" w:rsidP="00517E51">
      <w:r w:rsidRPr="00D00665">
        <w:t>Expenses from transactions are recognised as incurred, and reported in the financial year to which they relate.</w:t>
      </w:r>
    </w:p>
    <w:p w:rsidR="000B4A1E" w:rsidRPr="00D00665" w:rsidRDefault="000B4A1E" w:rsidP="00517E51">
      <w:pPr>
        <w:pStyle w:val="Heading4"/>
      </w:pPr>
      <w:r w:rsidRPr="00D00665">
        <w:t>Employee expenses</w:t>
      </w:r>
    </w:p>
    <w:p w:rsidR="000B4A1E" w:rsidRPr="00D00665" w:rsidRDefault="000B4A1E" w:rsidP="00517E51">
      <w:r w:rsidRPr="00D00665">
        <w:t xml:space="preserve">Refer to the section in Note 1(L) regarding </w:t>
      </w:r>
      <w:r>
        <w:t>‘</w:t>
      </w:r>
      <w:r w:rsidRPr="00D00665">
        <w:t>Employee benefits</w:t>
      </w:r>
      <w:r>
        <w:t>’</w:t>
      </w:r>
      <w:r w:rsidRPr="00D00665">
        <w:t xml:space="preserve">. </w:t>
      </w:r>
    </w:p>
    <w:p w:rsidR="000B4A1E" w:rsidRPr="00D00665" w:rsidRDefault="000B4A1E" w:rsidP="00517E51">
      <w:pPr>
        <w:pStyle w:val="Heading4"/>
      </w:pPr>
      <w:r w:rsidRPr="00D00665">
        <w:t xml:space="preserve">Superannuation interest expense and other superannuation expenses </w:t>
      </w:r>
    </w:p>
    <w:p w:rsidR="000B4A1E" w:rsidRPr="00D00665" w:rsidRDefault="000B4A1E" w:rsidP="00517E51">
      <w:r w:rsidRPr="00D00665">
        <w:t>The superannuation expense from transactions is determined on the following basis:</w:t>
      </w:r>
    </w:p>
    <w:p w:rsidR="000B4A1E" w:rsidRPr="00D00665" w:rsidRDefault="000B4A1E" w:rsidP="00517E51">
      <w:pPr>
        <w:pStyle w:val="BulletText"/>
      </w:pPr>
      <w:r w:rsidRPr="00D00665">
        <w:t>for defined contribution (i.e. accumulation) superannuation plans, the associated expense is the employer contributions that are paid or payable in respect of employees who are members of these plans during the reporting period; and</w:t>
      </w:r>
    </w:p>
    <w:p w:rsidR="000B4A1E" w:rsidRPr="00D00665" w:rsidRDefault="000B4A1E" w:rsidP="00517E51">
      <w:pPr>
        <w:pStyle w:val="BulletText"/>
      </w:pPr>
      <w:r w:rsidRPr="00D00665">
        <w:t>for defined benefit plans, the superannuation expense reflects the employer financed component of defined benefits that are expected to accrue over the reporting period (i.e. service cost), along with the superannuation interest expense.</w:t>
      </w:r>
    </w:p>
    <w:p w:rsidR="000B4A1E" w:rsidRPr="00D00665" w:rsidRDefault="000B4A1E" w:rsidP="00517E51">
      <w:pPr>
        <w:pStyle w:val="Heading4"/>
      </w:pPr>
      <w:r w:rsidRPr="00D00665">
        <w:t>Depreciation</w:t>
      </w:r>
    </w:p>
    <w:p w:rsidR="000B4A1E" w:rsidRPr="00D00665" w:rsidRDefault="000B4A1E" w:rsidP="00517E51">
      <w:r w:rsidRPr="00D00665">
        <w:t>All infrastructure assets, buildings, plant and equipment and other non</w:t>
      </w:r>
      <w:r w:rsidRPr="00D00665">
        <w:noBreakHyphen/>
        <w:t>financial physical assets (excluding items under operating leases, assets held for sale, land and investment properties) that have finite useful lives are depreciated. Depreciation is generally calculated on a straight line basis, at rates that allocate the asset</w:t>
      </w:r>
      <w:r>
        <w:t>’</w:t>
      </w:r>
      <w:r w:rsidRPr="00D00665">
        <w:t xml:space="preserve">s value, less any estimated residual value, over its estimated useful life. Refer to Note 1(K) for the depreciation policy for leasehold improvements. </w:t>
      </w:r>
    </w:p>
    <w:p w:rsidR="000B4A1E" w:rsidRPr="00D00665" w:rsidRDefault="000B4A1E" w:rsidP="00517E51">
      <w:r w:rsidRPr="00D00665">
        <w:t>The estimated useful lives, residual values and depreciation method are reviewed at the end of each annual reporting period, and adjustments made where appropriate.</w:t>
      </w:r>
    </w:p>
    <w:p w:rsidR="000B4A1E" w:rsidRPr="00D00665" w:rsidRDefault="000B4A1E">
      <w:pPr>
        <w:spacing w:after="0"/>
      </w:pPr>
      <w:r w:rsidRPr="00D00665">
        <w:br w:type="page"/>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r w:rsidRPr="00D00665">
        <w:t>The following are typical estimated useful lives for the different asset classes for current and prior years.</w:t>
      </w:r>
    </w:p>
    <w:tbl>
      <w:tblPr>
        <w:tblStyle w:val="TableGrid"/>
        <w:tblW w:w="9554" w:type="dxa"/>
        <w:tblInd w:w="29" w:type="dxa"/>
        <w:tblLayout w:type="fixed"/>
        <w:tblCellMar>
          <w:left w:w="43" w:type="dxa"/>
          <w:right w:w="43" w:type="dxa"/>
        </w:tblCellMar>
        <w:tblLook w:val="04A0" w:firstRow="1" w:lastRow="0" w:firstColumn="1" w:lastColumn="0" w:noHBand="0" w:noVBand="1"/>
      </w:tblPr>
      <w:tblGrid>
        <w:gridCol w:w="5324"/>
        <w:gridCol w:w="4230"/>
      </w:tblGrid>
      <w:tr w:rsidR="000B4A1E" w:rsidRPr="00D00665" w:rsidTr="00517E51">
        <w:trPr>
          <w:cantSplit/>
        </w:trPr>
        <w:tc>
          <w:tcPr>
            <w:tcW w:w="5324" w:type="dxa"/>
            <w:tcBorders>
              <w:left w:val="single" w:sz="4" w:space="0" w:color="auto"/>
              <w:bottom w:val="single" w:sz="4" w:space="0" w:color="auto"/>
            </w:tcBorders>
            <w:shd w:val="clear" w:color="auto" w:fill="000000"/>
          </w:tcPr>
          <w:p w:rsidR="000B4A1E" w:rsidRPr="00D00665" w:rsidRDefault="000B4A1E" w:rsidP="00517E51">
            <w:pPr>
              <w:pStyle w:val="TabletextheadingLeft"/>
            </w:pPr>
            <w:r w:rsidRPr="00D00665">
              <w:t xml:space="preserve">Asset </w:t>
            </w:r>
          </w:p>
        </w:tc>
        <w:tc>
          <w:tcPr>
            <w:tcW w:w="4230" w:type="dxa"/>
            <w:tcBorders>
              <w:bottom w:val="single" w:sz="4" w:space="0" w:color="auto"/>
              <w:right w:val="single" w:sz="4" w:space="0" w:color="auto"/>
            </w:tcBorders>
            <w:shd w:val="clear" w:color="auto" w:fill="000000"/>
          </w:tcPr>
          <w:p w:rsidR="000B4A1E" w:rsidRPr="00D00665" w:rsidRDefault="000B4A1E" w:rsidP="00517E51">
            <w:pPr>
              <w:pStyle w:val="TabletextheadingLeft"/>
            </w:pPr>
            <w:r w:rsidRPr="00D00665">
              <w:t>Useful life</w:t>
            </w:r>
          </w:p>
        </w:tc>
      </w:tr>
      <w:tr w:rsidR="000B4A1E" w:rsidRPr="00D00665" w:rsidTr="00517E51">
        <w:trPr>
          <w:cantSplit/>
        </w:trPr>
        <w:tc>
          <w:tcPr>
            <w:tcW w:w="5324" w:type="dxa"/>
          </w:tcPr>
          <w:p w:rsidR="000B4A1E" w:rsidRPr="00D00665" w:rsidRDefault="000B4A1E" w:rsidP="00517E51">
            <w:pPr>
              <w:pStyle w:val="Tabletext"/>
              <w:spacing w:before="20" w:after="20"/>
            </w:pPr>
            <w:r w:rsidRPr="00D00665">
              <w:t>Buildings</w:t>
            </w:r>
          </w:p>
        </w:tc>
        <w:tc>
          <w:tcPr>
            <w:tcW w:w="4230" w:type="dxa"/>
          </w:tcPr>
          <w:p w:rsidR="000B4A1E" w:rsidRPr="00D00665" w:rsidRDefault="000B4A1E" w:rsidP="00517E51">
            <w:pPr>
              <w:pStyle w:val="Tabletext"/>
              <w:spacing w:before="20" w:after="20"/>
            </w:pPr>
            <w:r w:rsidRPr="00D00665">
              <w:t>20 to 100 years</w:t>
            </w:r>
          </w:p>
        </w:tc>
      </w:tr>
      <w:tr w:rsidR="000B4A1E" w:rsidRPr="00D00665" w:rsidTr="00517E51">
        <w:trPr>
          <w:cantSplit/>
        </w:trPr>
        <w:tc>
          <w:tcPr>
            <w:tcW w:w="5324" w:type="dxa"/>
          </w:tcPr>
          <w:p w:rsidR="000B4A1E" w:rsidRPr="00D00665" w:rsidRDefault="000B4A1E" w:rsidP="00517E51">
            <w:pPr>
              <w:pStyle w:val="Tabletext"/>
              <w:spacing w:before="20" w:after="20"/>
            </w:pPr>
            <w:r w:rsidRPr="00D00665">
              <w:t>Leasehold buildings</w:t>
            </w:r>
          </w:p>
        </w:tc>
        <w:tc>
          <w:tcPr>
            <w:tcW w:w="4230" w:type="dxa"/>
          </w:tcPr>
          <w:p w:rsidR="000B4A1E" w:rsidRPr="00D00665" w:rsidRDefault="000B4A1E" w:rsidP="00517E51">
            <w:pPr>
              <w:pStyle w:val="Tabletext"/>
              <w:spacing w:before="20" w:after="20"/>
            </w:pPr>
            <w:r w:rsidRPr="00D00665">
              <w:t>2 to 60 years</w:t>
            </w:r>
          </w:p>
        </w:tc>
      </w:tr>
      <w:tr w:rsidR="000B4A1E" w:rsidRPr="00D00665" w:rsidTr="00517E51">
        <w:trPr>
          <w:cantSplit/>
        </w:trPr>
        <w:tc>
          <w:tcPr>
            <w:tcW w:w="5324" w:type="dxa"/>
          </w:tcPr>
          <w:p w:rsidR="000B4A1E" w:rsidRPr="00D00665" w:rsidRDefault="000B4A1E" w:rsidP="00517E51">
            <w:pPr>
              <w:pStyle w:val="Tabletext"/>
              <w:spacing w:before="20" w:after="20"/>
            </w:pPr>
            <w:r w:rsidRPr="00D00665">
              <w:t>Infrastructure systems:</w:t>
            </w:r>
          </w:p>
        </w:tc>
        <w:tc>
          <w:tcPr>
            <w:tcW w:w="4230" w:type="dxa"/>
          </w:tcPr>
          <w:p w:rsidR="000B4A1E" w:rsidRPr="00D00665" w:rsidRDefault="000B4A1E" w:rsidP="00517E51">
            <w:pPr>
              <w:pStyle w:val="Tabletext"/>
              <w:spacing w:before="20" w:after="20"/>
            </w:pPr>
          </w:p>
        </w:tc>
      </w:tr>
      <w:tr w:rsidR="000B4A1E" w:rsidRPr="00D00665" w:rsidTr="00517E51">
        <w:trPr>
          <w:cantSplit/>
        </w:trPr>
        <w:tc>
          <w:tcPr>
            <w:tcW w:w="5324" w:type="dxa"/>
          </w:tcPr>
          <w:p w:rsidR="000B4A1E" w:rsidRPr="00D00665" w:rsidRDefault="000B4A1E" w:rsidP="00517E51">
            <w:pPr>
              <w:pStyle w:val="TableTextdash"/>
            </w:pPr>
            <w:r w:rsidRPr="00D00665">
              <w:t>water infrastructure – storage facilities</w:t>
            </w:r>
          </w:p>
        </w:tc>
        <w:tc>
          <w:tcPr>
            <w:tcW w:w="4230" w:type="dxa"/>
          </w:tcPr>
          <w:p w:rsidR="000B4A1E" w:rsidRPr="00D00665" w:rsidRDefault="000B4A1E" w:rsidP="00517E51">
            <w:pPr>
              <w:pStyle w:val="Tabletext"/>
              <w:spacing w:before="20" w:after="20"/>
            </w:pPr>
            <w:r w:rsidRPr="00D00665">
              <w:t>25 to 300 years</w:t>
            </w:r>
          </w:p>
        </w:tc>
      </w:tr>
      <w:tr w:rsidR="000B4A1E" w:rsidRPr="00D00665" w:rsidTr="00517E51">
        <w:trPr>
          <w:cantSplit/>
        </w:trPr>
        <w:tc>
          <w:tcPr>
            <w:tcW w:w="5324" w:type="dxa"/>
          </w:tcPr>
          <w:p w:rsidR="000B4A1E" w:rsidRPr="00D00665" w:rsidRDefault="000B4A1E" w:rsidP="00517E51">
            <w:pPr>
              <w:pStyle w:val="TableTextdash"/>
            </w:pPr>
            <w:r w:rsidRPr="00D00665">
              <w:t>water infrastructure – other</w:t>
            </w:r>
          </w:p>
        </w:tc>
        <w:tc>
          <w:tcPr>
            <w:tcW w:w="4230" w:type="dxa"/>
          </w:tcPr>
          <w:p w:rsidR="000B4A1E" w:rsidRPr="00D00665" w:rsidRDefault="000B4A1E" w:rsidP="00517E51">
            <w:pPr>
              <w:pStyle w:val="Tabletext"/>
              <w:spacing w:before="20" w:after="20"/>
            </w:pPr>
            <w:r w:rsidRPr="00D00665">
              <w:t>25 to 100 years</w:t>
            </w:r>
          </w:p>
        </w:tc>
      </w:tr>
      <w:tr w:rsidR="000B4A1E" w:rsidRPr="00D00665" w:rsidTr="00517E51">
        <w:trPr>
          <w:cantSplit/>
        </w:trPr>
        <w:tc>
          <w:tcPr>
            <w:tcW w:w="5324" w:type="dxa"/>
          </w:tcPr>
          <w:p w:rsidR="000B4A1E" w:rsidRPr="00D00665" w:rsidRDefault="000B4A1E" w:rsidP="00517E51">
            <w:pPr>
              <w:pStyle w:val="TableTextdash"/>
            </w:pPr>
            <w:r w:rsidRPr="00D00665">
              <w:t>rail infrastructure</w:t>
            </w:r>
          </w:p>
        </w:tc>
        <w:tc>
          <w:tcPr>
            <w:tcW w:w="4230" w:type="dxa"/>
          </w:tcPr>
          <w:p w:rsidR="000B4A1E" w:rsidRPr="00D00665" w:rsidRDefault="000B4A1E" w:rsidP="00517E51">
            <w:pPr>
              <w:pStyle w:val="Tabletext"/>
              <w:spacing w:before="20" w:after="20"/>
            </w:pPr>
            <w:r w:rsidRPr="00D00665">
              <w:t>2 to 50 years</w:t>
            </w:r>
          </w:p>
        </w:tc>
      </w:tr>
      <w:tr w:rsidR="000B4A1E" w:rsidRPr="00D00665" w:rsidTr="00517E51">
        <w:trPr>
          <w:cantSplit/>
        </w:trPr>
        <w:tc>
          <w:tcPr>
            <w:tcW w:w="5324" w:type="dxa"/>
          </w:tcPr>
          <w:p w:rsidR="000B4A1E" w:rsidRPr="00D00665" w:rsidRDefault="000B4A1E" w:rsidP="00517E51">
            <w:pPr>
              <w:pStyle w:val="TableTextdash"/>
            </w:pPr>
            <w:r w:rsidRPr="00D00665">
              <w:t>other infrastructure</w:t>
            </w:r>
          </w:p>
        </w:tc>
        <w:tc>
          <w:tcPr>
            <w:tcW w:w="4230" w:type="dxa"/>
          </w:tcPr>
          <w:p w:rsidR="000B4A1E" w:rsidRPr="00D00665" w:rsidRDefault="000B4A1E" w:rsidP="00517E51">
            <w:pPr>
              <w:pStyle w:val="Tabletext"/>
              <w:spacing w:before="20" w:after="20"/>
            </w:pPr>
            <w:r w:rsidRPr="00D00665">
              <w:t>10 to 32 years</w:t>
            </w:r>
          </w:p>
        </w:tc>
      </w:tr>
      <w:tr w:rsidR="000B4A1E" w:rsidRPr="00D00665" w:rsidTr="00517E51">
        <w:trPr>
          <w:cantSplit/>
        </w:trPr>
        <w:tc>
          <w:tcPr>
            <w:tcW w:w="5324" w:type="dxa"/>
          </w:tcPr>
          <w:p w:rsidR="000B4A1E" w:rsidRPr="00D00665" w:rsidRDefault="000B4A1E" w:rsidP="00517E51">
            <w:pPr>
              <w:pStyle w:val="Tabletext"/>
              <w:spacing w:before="20" w:after="20"/>
            </w:pPr>
            <w:r w:rsidRPr="00D00665">
              <w:t>Plant, equipment and vehicle (including leased assets)</w:t>
            </w:r>
          </w:p>
        </w:tc>
        <w:tc>
          <w:tcPr>
            <w:tcW w:w="4230" w:type="dxa"/>
          </w:tcPr>
          <w:p w:rsidR="000B4A1E" w:rsidRPr="00D00665" w:rsidRDefault="000B4A1E" w:rsidP="00517E51">
            <w:pPr>
              <w:pStyle w:val="Tabletext"/>
              <w:spacing w:before="20" w:after="20"/>
            </w:pPr>
            <w:r w:rsidRPr="00D00665">
              <w:t>3 to 10 years</w:t>
            </w:r>
          </w:p>
        </w:tc>
      </w:tr>
      <w:tr w:rsidR="000B4A1E" w:rsidRPr="00D00665" w:rsidTr="00517E51">
        <w:trPr>
          <w:cantSplit/>
        </w:trPr>
        <w:tc>
          <w:tcPr>
            <w:tcW w:w="5324" w:type="dxa"/>
          </w:tcPr>
          <w:p w:rsidR="000B4A1E" w:rsidRPr="00D00665" w:rsidRDefault="000B4A1E" w:rsidP="00517E51">
            <w:pPr>
              <w:pStyle w:val="Tabletext"/>
              <w:spacing w:before="20" w:after="20"/>
            </w:pPr>
            <w:r w:rsidRPr="00D00665">
              <w:t>Road and road networks (including bridges)</w:t>
            </w:r>
          </w:p>
        </w:tc>
        <w:tc>
          <w:tcPr>
            <w:tcW w:w="4230" w:type="dxa"/>
          </w:tcPr>
          <w:p w:rsidR="000B4A1E" w:rsidRPr="00D00665" w:rsidRDefault="000B4A1E" w:rsidP="00517E51">
            <w:pPr>
              <w:pStyle w:val="Tabletext"/>
              <w:spacing w:before="20" w:after="20"/>
            </w:pPr>
            <w:r w:rsidRPr="00D00665">
              <w:t>60 to 90 years</w:t>
            </w:r>
          </w:p>
        </w:tc>
      </w:tr>
      <w:tr w:rsidR="000B4A1E" w:rsidRPr="00D00665" w:rsidTr="00517E51">
        <w:trPr>
          <w:cantSplit/>
        </w:trPr>
        <w:tc>
          <w:tcPr>
            <w:tcW w:w="5324" w:type="dxa"/>
          </w:tcPr>
          <w:p w:rsidR="000B4A1E" w:rsidRPr="00D00665" w:rsidRDefault="000B4A1E" w:rsidP="00517E51">
            <w:pPr>
              <w:pStyle w:val="Tabletext"/>
              <w:spacing w:before="20" w:after="20"/>
            </w:pPr>
            <w:r w:rsidRPr="00D00665">
              <w:t>Cultural assets (with finite useful lives)</w:t>
            </w:r>
          </w:p>
        </w:tc>
        <w:tc>
          <w:tcPr>
            <w:tcW w:w="4230" w:type="dxa"/>
          </w:tcPr>
          <w:p w:rsidR="000B4A1E" w:rsidRPr="00D00665" w:rsidRDefault="000B4A1E" w:rsidP="00517E51">
            <w:pPr>
              <w:pStyle w:val="Tabletext"/>
              <w:spacing w:before="20" w:after="20"/>
            </w:pPr>
            <w:r w:rsidRPr="00D00665">
              <w:t>100 years</w:t>
            </w:r>
          </w:p>
        </w:tc>
      </w:tr>
      <w:tr w:rsidR="000B4A1E" w:rsidRPr="00D00665" w:rsidTr="00517E51">
        <w:trPr>
          <w:cantSplit/>
        </w:trPr>
        <w:tc>
          <w:tcPr>
            <w:tcW w:w="5324" w:type="dxa"/>
          </w:tcPr>
          <w:p w:rsidR="000B4A1E" w:rsidRPr="00D00665" w:rsidRDefault="000B4A1E" w:rsidP="00517E51">
            <w:pPr>
              <w:pStyle w:val="Tabletext"/>
              <w:spacing w:before="20" w:after="20"/>
            </w:pPr>
            <w:r w:rsidRPr="00D00665">
              <w:t>Intangible produced assets:</w:t>
            </w:r>
          </w:p>
        </w:tc>
        <w:tc>
          <w:tcPr>
            <w:tcW w:w="4230" w:type="dxa"/>
          </w:tcPr>
          <w:p w:rsidR="000B4A1E" w:rsidRPr="00D00665" w:rsidRDefault="000B4A1E" w:rsidP="00517E51">
            <w:pPr>
              <w:pStyle w:val="Tabletext"/>
              <w:spacing w:before="20" w:after="20"/>
            </w:pPr>
          </w:p>
        </w:tc>
      </w:tr>
      <w:tr w:rsidR="000B4A1E" w:rsidRPr="00D00665" w:rsidTr="00517E51">
        <w:trPr>
          <w:cantSplit/>
        </w:trPr>
        <w:tc>
          <w:tcPr>
            <w:tcW w:w="5324" w:type="dxa"/>
            <w:tcBorders>
              <w:bottom w:val="single" w:sz="12" w:space="0" w:color="auto"/>
            </w:tcBorders>
          </w:tcPr>
          <w:p w:rsidR="000B4A1E" w:rsidRPr="00D00665" w:rsidRDefault="000B4A1E" w:rsidP="00517E51">
            <w:pPr>
              <w:pStyle w:val="TableTextdash"/>
            </w:pPr>
            <w:r w:rsidRPr="00D00665">
              <w:t>capitalised software development costs</w:t>
            </w:r>
          </w:p>
        </w:tc>
        <w:tc>
          <w:tcPr>
            <w:tcW w:w="4230" w:type="dxa"/>
            <w:tcBorders>
              <w:bottom w:val="single" w:sz="12" w:space="0" w:color="auto"/>
            </w:tcBorders>
          </w:tcPr>
          <w:p w:rsidR="000B4A1E" w:rsidRPr="00D00665" w:rsidRDefault="000B4A1E" w:rsidP="00517E51">
            <w:pPr>
              <w:pStyle w:val="Tabletext"/>
              <w:spacing w:before="20" w:after="20"/>
            </w:pPr>
            <w:r w:rsidRPr="00D00665">
              <w:t>3 to 5 years</w:t>
            </w:r>
          </w:p>
        </w:tc>
      </w:tr>
    </w:tbl>
    <w:p w:rsidR="000B4A1E" w:rsidRPr="00D00665" w:rsidRDefault="000B4A1E" w:rsidP="00517E51"/>
    <w:p w:rsidR="000B4A1E" w:rsidRPr="00D00665" w:rsidRDefault="000B4A1E" w:rsidP="00517E51">
      <w:r w:rsidRPr="00D00665">
        <w:t>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w:t>
      </w:r>
    </w:p>
    <w:p w:rsidR="000B4A1E" w:rsidRPr="00D00665" w:rsidRDefault="000B4A1E" w:rsidP="00517E51">
      <w:r w:rsidRPr="00D00665">
        <w:t>Intangible produced assets with finite useful lives are depreciated as an expense from transactions on a systematic (typically straight line) basis over the asset</w:t>
      </w:r>
      <w:r>
        <w:t>’</w:t>
      </w:r>
      <w:r w:rsidRPr="00D00665">
        <w:t xml:space="preserve">s useful life. </w:t>
      </w:r>
    </w:p>
    <w:p w:rsidR="000B4A1E" w:rsidRPr="00D00665" w:rsidRDefault="000B4A1E" w:rsidP="00517E51">
      <w:r w:rsidRPr="00D00665">
        <w:t xml:space="preserve">Depreciation begins when the asset is available for use, that is, when it is in the location and condition necessary for it to be capable of operating in the manner intended. </w:t>
      </w:r>
    </w:p>
    <w:p w:rsidR="000B4A1E" w:rsidRPr="00D00665" w:rsidRDefault="000B4A1E" w:rsidP="00517E51">
      <w:r w:rsidRPr="00D00665">
        <w:t>The consumption of intangible non</w:t>
      </w:r>
      <w:r w:rsidRPr="00D00665">
        <w:noBreakHyphen/>
        <w:t xml:space="preserve">produced assets with finite useful lives is not classified as a transaction, but is classified as amortisation and is included in the net result as an other economic flow. </w:t>
      </w:r>
    </w:p>
    <w:p w:rsidR="000B4A1E" w:rsidRPr="00D00665" w:rsidRDefault="000B4A1E" w:rsidP="00517E51">
      <w:r w:rsidRPr="00D00665">
        <w:t>Intangible assets with indefinite useful lives are not depreciated or amortised, but are tested annually for impairment.</w:t>
      </w:r>
    </w:p>
    <w:p w:rsidR="000B4A1E" w:rsidRPr="00D00665" w:rsidRDefault="000B4A1E" w:rsidP="00517E51">
      <w:pPr>
        <w:pStyle w:val="Heading4"/>
      </w:pPr>
      <w:r w:rsidRPr="00D00665">
        <w:t>Interest expense</w:t>
      </w:r>
    </w:p>
    <w:p w:rsidR="000B4A1E" w:rsidRPr="00D00665" w:rsidRDefault="000B4A1E" w:rsidP="00517E51">
      <w:r w:rsidRPr="00D00665">
        <w:t>Refer to Note 1(G) and Note 39.</w:t>
      </w:r>
    </w:p>
    <w:p w:rsidR="000B4A1E" w:rsidRPr="00D00665" w:rsidRDefault="000B4A1E" w:rsidP="00517E51">
      <w:pPr>
        <w:pStyle w:val="Heading4"/>
      </w:pPr>
      <w:r w:rsidRPr="00D00665">
        <w:t>Grants and other transfers</w:t>
      </w:r>
    </w:p>
    <w:p w:rsidR="000B4A1E" w:rsidRPr="00D00665" w:rsidRDefault="000B4A1E" w:rsidP="00517E51">
      <w:r w:rsidRPr="00D00665">
        <w:t>Grants and other transfers to third parties are recognised as an expense in the reporting period in which they are paid or payable. They include transactions such as: grants, subsidies, personal benefit payments made in cash to individuals; other transfer payments made to local government, non</w:t>
      </w:r>
      <w:r w:rsidRPr="00D00665">
        <w:noBreakHyphen/>
        <w:t>government schools and community groups; and for the general government sector, grants and transfer payments to PNFCs and PFCs.</w:t>
      </w:r>
    </w:p>
    <w:p w:rsidR="000B4A1E" w:rsidRPr="00D00665" w:rsidRDefault="000B4A1E" w:rsidP="00517E51">
      <w:pPr>
        <w:pStyle w:val="Heading4"/>
      </w:pPr>
      <w:r w:rsidRPr="00D00665">
        <w:t>Other operating expenses</w:t>
      </w:r>
    </w:p>
    <w:p w:rsidR="000B4A1E" w:rsidRPr="00D00665" w:rsidRDefault="000B4A1E" w:rsidP="00517E51">
      <w:r w:rsidRPr="00D00665">
        <w:t xml:space="preserve">Other operating expenses generally represent the day to day running costs incurred in normal operations and include: </w:t>
      </w:r>
    </w:p>
    <w:p w:rsidR="000B4A1E" w:rsidRPr="00D00665" w:rsidRDefault="000B4A1E" w:rsidP="00517E51">
      <w:pPr>
        <w:pStyle w:val="BulletText"/>
        <w:spacing w:after="60"/>
      </w:pPr>
      <w:r w:rsidRPr="00D00665">
        <w:t>supplies and services costs which are recognised as an expense in the reporting period in which they are incurred. The carrying amounts of any inventories held for distribution are expensed when distributed; and</w:t>
      </w:r>
    </w:p>
    <w:p w:rsidR="000B4A1E" w:rsidRPr="00D00665" w:rsidRDefault="000B4A1E" w:rsidP="00517E51">
      <w:pPr>
        <w:pStyle w:val="BulletText"/>
      </w:pPr>
      <w:r w:rsidRPr="00D00665">
        <w:t>bad and doubtful debts.</w:t>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3Numbering"/>
      </w:pPr>
      <w:r w:rsidRPr="00D00665">
        <w:t>Other economic flows included in net result</w:t>
      </w:r>
    </w:p>
    <w:p w:rsidR="000B4A1E" w:rsidRPr="00D00665" w:rsidRDefault="000B4A1E" w:rsidP="00517E51">
      <w:r w:rsidRPr="00D00665">
        <w:t>Other economic flows measure the change in volume or value of assets or liabilities that do not result from transactions.</w:t>
      </w:r>
    </w:p>
    <w:p w:rsidR="000B4A1E" w:rsidRPr="00D00665" w:rsidRDefault="000B4A1E" w:rsidP="00517E51">
      <w:pPr>
        <w:pStyle w:val="Heading4"/>
      </w:pPr>
      <w:r w:rsidRPr="00D00665">
        <w:t>Net gain/(loss) on disposal of non</w:t>
      </w:r>
      <w:r w:rsidRPr="00D00665">
        <w:noBreakHyphen/>
        <w:t>financial assets</w:t>
      </w:r>
    </w:p>
    <w:p w:rsidR="000B4A1E" w:rsidRPr="00D00665" w:rsidRDefault="000B4A1E" w:rsidP="00517E51">
      <w:r w:rsidRPr="00D00665">
        <w:t>Any gain or loss on the disposal of non</w:t>
      </w:r>
      <w:r w:rsidRPr="00D00665">
        <w:noBreakHyphen/>
        <w:t>financial assets is recognised at the date of disposal and is the difference between the proceeds and the carrying value of the asset at the time.</w:t>
      </w:r>
    </w:p>
    <w:p w:rsidR="000B4A1E" w:rsidRPr="00D00665" w:rsidRDefault="000B4A1E" w:rsidP="00517E51">
      <w:pPr>
        <w:pStyle w:val="Heading4"/>
      </w:pPr>
      <w:r w:rsidRPr="00D00665">
        <w:t>Net gain/(loss) on financial assets or liabilities at fair value</w:t>
      </w:r>
    </w:p>
    <w:p w:rsidR="000B4A1E" w:rsidRPr="00D00665" w:rsidRDefault="000B4A1E" w:rsidP="00517E51">
      <w:pPr>
        <w:pStyle w:val="Heading5"/>
      </w:pPr>
      <w:r w:rsidRPr="00D00665">
        <w:t>Net gain/(loss) on financial instruments</w:t>
      </w:r>
    </w:p>
    <w:p w:rsidR="000B4A1E" w:rsidRPr="00D00665" w:rsidRDefault="000B4A1E" w:rsidP="00517E51">
      <w:r w:rsidRPr="00D00665">
        <w:t>Net gain/(loss) on financial instruments includes:</w:t>
      </w:r>
    </w:p>
    <w:p w:rsidR="000B4A1E" w:rsidRPr="00D00665" w:rsidRDefault="000B4A1E" w:rsidP="00517E51">
      <w:pPr>
        <w:pStyle w:val="BulletText"/>
      </w:pPr>
      <w:r w:rsidRPr="00D00665">
        <w:t>realised and unrealised gains and losses from revaluations of financial instruments at fair value through profit or loss;</w:t>
      </w:r>
    </w:p>
    <w:p w:rsidR="000B4A1E" w:rsidRPr="00D00665" w:rsidRDefault="000B4A1E" w:rsidP="00517E51">
      <w:pPr>
        <w:pStyle w:val="BulletText"/>
        <w:keepNext/>
      </w:pPr>
      <w:r w:rsidRPr="00D00665">
        <w:t xml:space="preserve">impairment and reversal of impairment for financial instruments at amortised cost; and </w:t>
      </w:r>
    </w:p>
    <w:p w:rsidR="000B4A1E" w:rsidRPr="00D00665" w:rsidRDefault="000B4A1E" w:rsidP="00517E51">
      <w:pPr>
        <w:pStyle w:val="BulletText"/>
      </w:pPr>
      <w:r w:rsidRPr="00D00665">
        <w:t xml:space="preserve">disposal of financial assets and derecognition of financial liabilities. </w:t>
      </w:r>
    </w:p>
    <w:p w:rsidR="000B4A1E" w:rsidRPr="00D00665" w:rsidRDefault="000B4A1E" w:rsidP="00517E51">
      <w:pPr>
        <w:pStyle w:val="Heading5"/>
      </w:pPr>
      <w:r w:rsidRPr="00D00665">
        <w:t>Revaluations of financial instruments at fair value through profit or loss</w:t>
      </w:r>
    </w:p>
    <w:p w:rsidR="000B4A1E" w:rsidRPr="00D00665" w:rsidRDefault="000B4A1E" w:rsidP="00517E51">
      <w:r w:rsidRPr="00D00665">
        <w:t>Refer to Note 1(I).</w:t>
      </w:r>
    </w:p>
    <w:p w:rsidR="000B4A1E" w:rsidRPr="00D00665" w:rsidRDefault="000B4A1E" w:rsidP="00517E51">
      <w:pPr>
        <w:pStyle w:val="Heading4"/>
      </w:pPr>
      <w:r w:rsidRPr="00D00665">
        <w:t>Net actuarial gains/(losses) on superannuation defined benefit plans</w:t>
      </w:r>
    </w:p>
    <w:p w:rsidR="000B4A1E" w:rsidRPr="00D00665" w:rsidRDefault="000B4A1E" w:rsidP="00517E51">
      <w:r w:rsidRPr="00D00665">
        <w:t xml:space="preserve">Net actuarial gains or losses reflect the change in the defined benefit obligation that has arisen due to differences between actual outcomes and the assumptions used to calculate the superannuation expense from transactions. </w:t>
      </w:r>
    </w:p>
    <w:p w:rsidR="000B4A1E" w:rsidRPr="00D00665" w:rsidRDefault="000B4A1E" w:rsidP="00517E51">
      <w:r w:rsidRPr="00D00665">
        <w:t>The effect of any change in actuarial assumptions during the period is also included and the associated net actuarial gains or losses are fully recognised, as other economic flows, in the period in which they occur.</w:t>
      </w:r>
    </w:p>
    <w:p w:rsidR="000B4A1E" w:rsidRPr="00D00665" w:rsidRDefault="000B4A1E" w:rsidP="00517E51">
      <w:pPr>
        <w:pStyle w:val="Heading4"/>
      </w:pPr>
      <w:r w:rsidRPr="00D00665">
        <w:t>Other gains/(losses) from other economic flows</w:t>
      </w:r>
    </w:p>
    <w:p w:rsidR="000B4A1E" w:rsidRPr="00D00665" w:rsidRDefault="000B4A1E" w:rsidP="00517E51">
      <w:r w:rsidRPr="00D00665">
        <w:t xml:space="preserve">Other gains/(losses) from other economic flows include the gains or losses from: </w:t>
      </w:r>
    </w:p>
    <w:p w:rsidR="000B4A1E" w:rsidRPr="00D00665" w:rsidRDefault="000B4A1E" w:rsidP="00517E51">
      <w:pPr>
        <w:pStyle w:val="BulletText"/>
      </w:pPr>
      <w:r w:rsidRPr="00D00665">
        <w:t>the revaluation of the present value of the long service leave liability due to changes in the bond interest rates; and</w:t>
      </w:r>
    </w:p>
    <w:p w:rsidR="000B4A1E" w:rsidRPr="00D00665" w:rsidRDefault="000B4A1E" w:rsidP="00517E51">
      <w:pPr>
        <w:pStyle w:val="BulletText"/>
      </w:pPr>
      <w:r w:rsidRPr="00D00665">
        <w:t>valuation changes associated with the indemnity for the electricity supply arrangements to the smelters of Alcoa of Australia Limited.</w:t>
      </w:r>
    </w:p>
    <w:p w:rsidR="000B4A1E" w:rsidRPr="00D00665" w:rsidRDefault="000B4A1E" w:rsidP="00517E51">
      <w:pPr>
        <w:pStyle w:val="Heading4"/>
      </w:pPr>
      <w:r w:rsidRPr="00D00665">
        <w:t>Impairment of non</w:t>
      </w:r>
      <w:r w:rsidRPr="00D00665">
        <w:noBreakHyphen/>
        <w:t>financial assets</w:t>
      </w:r>
    </w:p>
    <w:p w:rsidR="000B4A1E" w:rsidRPr="00D00665" w:rsidRDefault="000B4A1E" w:rsidP="00517E51">
      <w:r w:rsidRPr="00D00665">
        <w:t xml:space="preserve">Goodwill and intangible assets with indefinite useful lives (and intangible assets not yet available for use) are tested annually for impairment (as described below) and whenever there is an indication that the asset may be impaired. </w:t>
      </w:r>
    </w:p>
    <w:p w:rsidR="000B4A1E" w:rsidRPr="00D00665" w:rsidRDefault="000B4A1E" w:rsidP="00517E51">
      <w:r w:rsidRPr="00D00665">
        <w:t>All other assets are assessed annually for indications of impairment, except for:</w:t>
      </w:r>
    </w:p>
    <w:p w:rsidR="000B4A1E" w:rsidRPr="00D00665" w:rsidRDefault="000B4A1E" w:rsidP="00517E51">
      <w:pPr>
        <w:pStyle w:val="BulletText"/>
        <w:spacing w:after="60"/>
      </w:pPr>
      <w:r w:rsidRPr="00D00665">
        <w:t>inventories (refer Note 1(K));</w:t>
      </w:r>
    </w:p>
    <w:p w:rsidR="000B4A1E" w:rsidRPr="00D00665" w:rsidRDefault="000B4A1E" w:rsidP="00517E51">
      <w:pPr>
        <w:pStyle w:val="BulletText"/>
        <w:spacing w:after="60"/>
      </w:pPr>
      <w:r w:rsidRPr="00D00665">
        <w:t>non</w:t>
      </w:r>
      <w:r w:rsidRPr="00D00665">
        <w:noBreakHyphen/>
        <w:t>financial assets held for sale (refer Note 1(K));</w:t>
      </w:r>
    </w:p>
    <w:p w:rsidR="000B4A1E" w:rsidRPr="00D00665" w:rsidRDefault="000B4A1E" w:rsidP="00517E51">
      <w:pPr>
        <w:pStyle w:val="BulletText"/>
        <w:spacing w:after="60"/>
      </w:pPr>
      <w:r w:rsidRPr="00D00665">
        <w:t>certain biological assets related to agricultural activity (refer Note 1(K));</w:t>
      </w:r>
    </w:p>
    <w:p w:rsidR="000B4A1E" w:rsidRPr="00D00665" w:rsidRDefault="000B4A1E" w:rsidP="00517E51">
      <w:pPr>
        <w:pStyle w:val="BulletText"/>
        <w:spacing w:after="60"/>
      </w:pPr>
      <w:r w:rsidRPr="00D00665">
        <w:t>investment properties that are measured at fair value (refer Note 1(K)); and</w:t>
      </w:r>
    </w:p>
    <w:p w:rsidR="000B4A1E" w:rsidRPr="00D00665" w:rsidRDefault="000B4A1E" w:rsidP="00517E51">
      <w:pPr>
        <w:pStyle w:val="BulletText"/>
        <w:spacing w:after="80"/>
      </w:pPr>
      <w:r w:rsidRPr="00D00665">
        <w:t>assets arising from construction contracts (refer Note 1(K)).</w:t>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r w:rsidRPr="00D00665">
        <w:t>School buildings are assessed for impairment annually, using student enrolment data to assess whether there is an indication of impairment due to capacity being in excess of requirements. Under this method, which has been in place for several years, where the area of a school</w:t>
      </w:r>
      <w:r>
        <w:t>’</w:t>
      </w:r>
      <w:r w:rsidRPr="00D00665">
        <w:t>s buildings is 10</w:t>
      </w:r>
      <w:r>
        <w:t> per cent</w:t>
      </w:r>
      <w:r w:rsidRPr="00D00665">
        <w:t xml:space="preserve"> greater than a school</w:t>
      </w:r>
      <w:r>
        <w:t>’</w:t>
      </w:r>
      <w:r w:rsidRPr="00D00665">
        <w:t xml:space="preserve">s entitled area based on student enrolment data, the school buildings are considered to be impaired. The impairment is made at the whole school site level, that is, where a school is considered to be impaired all school buildings on the school site are impaired to an equal amount, regardless of their individual condition. In early 2013–14, the State will review the policy and method for impairing school buildings to ensure it best aligns with the requirements of AASB 136 </w:t>
      </w:r>
      <w:r w:rsidRPr="00D00665">
        <w:rPr>
          <w:i/>
        </w:rPr>
        <w:t>Impairment of Assets</w:t>
      </w:r>
      <w:r w:rsidRPr="00D00665">
        <w:t xml:space="preserve"> and FRD 106 of the same name.</w:t>
      </w:r>
    </w:p>
    <w:p w:rsidR="000B4A1E" w:rsidRPr="00D00665" w:rsidRDefault="000B4A1E" w:rsidP="00517E51">
      <w:r w:rsidRPr="00D00665">
        <w:t>If there is an indication of impairment, the assets concerned are tested as to whether their carrying value exceeds their recoverable amount. Where an asset</w:t>
      </w:r>
      <w:r>
        <w:t>’</w:t>
      </w:r>
      <w:r w:rsidRPr="00D00665">
        <w:t>s carrying value exceeds its recoverable amount, the difference is written off as an other economic flow, except to the extent that the write down can be debited to an asset revaluation surplus amount applicable to that class of asset.</w:t>
      </w:r>
    </w:p>
    <w:p w:rsidR="000B4A1E" w:rsidRPr="00D00665" w:rsidRDefault="000B4A1E" w:rsidP="00517E51">
      <w:r w:rsidRPr="00D00665">
        <w:t>If there is an indication that there has been a reversal in the estimate of an asset</w:t>
      </w:r>
      <w:r>
        <w:t>’</w:t>
      </w:r>
      <w:r w:rsidRPr="00D00665">
        <w:t>s recoverable amount since the last impairment loss was recognised, the carrying amount shall be increased to its recoverable amount. The impairment loss is reversed only to the extent that the asset</w:t>
      </w:r>
      <w:r>
        <w:t>’</w:t>
      </w:r>
      <w:r w:rsidRPr="00D00665">
        <w:t xml:space="preserve">s carrying amount does not exceed the carrying amount that would have been determined, net of depreciation or amortisation, if no impairment loss had been recognised in prior years. </w:t>
      </w:r>
    </w:p>
    <w:p w:rsidR="000B4A1E" w:rsidRPr="00D00665" w:rsidRDefault="000B4A1E" w:rsidP="00517E51">
      <w:r w:rsidRPr="00D00665">
        <w:t>It is deemed that, in the event of the loss or destruction of an asset, the future economic benefits arising from the use of the asset will be replaced unless a specific decision to the contrary has been made. 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rsidR="000B4A1E" w:rsidRPr="00D00665" w:rsidRDefault="000B4A1E" w:rsidP="00517E51">
      <w:r w:rsidRPr="00D00665">
        <w:t>Refer to Note 1(K) in relation to the recognition and measurement of non</w:t>
      </w:r>
      <w:r w:rsidRPr="00D00665">
        <w:noBreakHyphen/>
        <w:t>financial assets.</w:t>
      </w:r>
    </w:p>
    <w:p w:rsidR="000B4A1E" w:rsidRPr="00D00665" w:rsidRDefault="000B4A1E" w:rsidP="00517E51">
      <w:pPr>
        <w:pStyle w:val="Heading3Numbering"/>
        <w:spacing w:before="180"/>
      </w:pPr>
      <w:r w:rsidRPr="00D00665">
        <w:t>Financial instruments</w:t>
      </w:r>
    </w:p>
    <w:p w:rsidR="000B4A1E" w:rsidRPr="00D00665" w:rsidRDefault="000B4A1E" w:rsidP="00517E51">
      <w:r w:rsidRPr="00D00665">
        <w:t>Financial instruments arise out of contractual agreements that give rise to a financial asset of one entity and a financial liability or equity instrument of another entity. Due to the nature of the State</w:t>
      </w:r>
      <w:r>
        <w:t>’</w:t>
      </w:r>
      <w:r w:rsidRPr="00D00665">
        <w:t xml:space="preserve">s activities, certain financial assets and liabilities arise under statute rather than a contract. Such financial assets and financial liabilities do not meet the definition of financial instruments in AASB 132 </w:t>
      </w:r>
      <w:r w:rsidRPr="00D00665">
        <w:rPr>
          <w:i/>
        </w:rPr>
        <w:t>Financial Instruments: Presentation</w:t>
      </w:r>
      <w:r w:rsidRPr="00D00665">
        <w:t>. For example, statutory receivables arising from taxes, fines and penalties do not meet the definition of financial instruments as they do not arise under a contract. However, guarantees issued by the treasury on behalf of the State are financial instruments because although authorised under statute, the terms and conditions for each financial guarantee may vary and are subject to an agreement.</w:t>
      </w:r>
    </w:p>
    <w:p w:rsidR="000B4A1E" w:rsidRPr="00D00665" w:rsidRDefault="000B4A1E" w:rsidP="00517E51">
      <w:r w:rsidRPr="00D00665">
        <w:t>Where relevant, for note disclosure purposes, a distinction has been made between those financial assets and financial liabilities that meet the definition of financial instruments in accordance with AASB 132 and those that do not.</w:t>
      </w:r>
    </w:p>
    <w:p w:rsidR="000B4A1E" w:rsidRPr="00D00665" w:rsidRDefault="000B4A1E" w:rsidP="00517E51">
      <w:pPr>
        <w:rPr>
          <w:rFonts w:ascii="Calibri" w:hAnsi="Calibri"/>
          <w:i/>
          <w:sz w:val="26"/>
          <w:szCs w:val="22"/>
        </w:rPr>
      </w:pPr>
      <w:r w:rsidRPr="00D00665">
        <w:t>The following refers to financial instruments unless otherwise stated.</w:t>
      </w:r>
    </w:p>
    <w:p w:rsidR="000B4A1E" w:rsidRPr="00D00665" w:rsidRDefault="000B4A1E" w:rsidP="00517E51">
      <w:pPr>
        <w:pStyle w:val="Heading4"/>
        <w:spacing w:before="180"/>
      </w:pPr>
      <w:r w:rsidRPr="00D00665">
        <w:t>Categories of non</w:t>
      </w:r>
      <w:r w:rsidRPr="00D00665">
        <w:noBreakHyphen/>
        <w:t>derivative financial instruments</w:t>
      </w:r>
    </w:p>
    <w:p w:rsidR="000B4A1E" w:rsidRPr="00D00665" w:rsidRDefault="000B4A1E" w:rsidP="00517E51">
      <w:pPr>
        <w:pStyle w:val="Heading5"/>
      </w:pPr>
      <w:r w:rsidRPr="00D00665">
        <w:t xml:space="preserve">Loans and receivables </w:t>
      </w:r>
    </w:p>
    <w:p w:rsidR="000B4A1E" w:rsidRPr="00D00665" w:rsidRDefault="000B4A1E" w:rsidP="00517E51">
      <w:r w:rsidRPr="00D00665">
        <w:t>Loans and receivables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less any impairment.</w:t>
      </w:r>
    </w:p>
    <w:p w:rsidR="000B4A1E" w:rsidRPr="00D00665" w:rsidRDefault="000B4A1E" w:rsidP="00517E51">
      <w:r w:rsidRPr="00D00665">
        <w:t>Loans and receivables category includes cash and deposits, term deposits with maturity greater than three months, trade receivables, loans and other receivables, but not statutory receivables.</w:t>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5"/>
      </w:pPr>
      <w:r w:rsidRPr="00D00665">
        <w:t>Available</w:t>
      </w:r>
      <w:r w:rsidRPr="00D00665">
        <w:noBreakHyphen/>
        <w:t>for</w:t>
      </w:r>
      <w:r w:rsidRPr="00D00665">
        <w:noBreakHyphen/>
        <w:t>sale financial assets</w:t>
      </w:r>
    </w:p>
    <w:p w:rsidR="000B4A1E" w:rsidRPr="00D00665" w:rsidRDefault="000B4A1E" w:rsidP="00517E51">
      <w:r w:rsidRPr="00D00665">
        <w:t>Available</w:t>
      </w:r>
      <w:r w:rsidRPr="00D00665">
        <w:noBreakHyphen/>
        <w:t>for</w:t>
      </w:r>
      <w:r w:rsidRPr="00D00665">
        <w:noBreakHyphen/>
        <w:t>sale financial instrument assets are those designated as available</w:t>
      </w:r>
      <w:r w:rsidRPr="00D00665">
        <w:noBreakHyphen/>
        <w:t>for</w:t>
      </w:r>
      <w:r w:rsidRPr="00D00665">
        <w:noBreakHyphen/>
        <w:t xml:space="preserve">sale or not classified in any other category of financial instrument asset. </w:t>
      </w:r>
    </w:p>
    <w:p w:rsidR="000B4A1E" w:rsidRPr="00D00665" w:rsidRDefault="000B4A1E" w:rsidP="00517E51">
      <w:r w:rsidRPr="00D00665">
        <w:t xml:space="preserve">Such assets are initially recognised at fair value. Subsequent to initial recognition, they are measured at fair value with gains and losses arising from changes in fair value, recognised in </w:t>
      </w:r>
      <w:r>
        <w:t>‘</w:t>
      </w:r>
      <w:r w:rsidRPr="00D00665">
        <w:t>Other economic flows – other comprehensive income</w:t>
      </w:r>
      <w:r>
        <w:t>’</w:t>
      </w:r>
      <w:r w:rsidRPr="00D00665">
        <w:t xml:space="preserve"> until the investment is disposed. Movements resulting from impairment and foreign currency changes are recognised in the net result as other economic flows. On disposal, the cumulative gain or loss previously recognised in </w:t>
      </w:r>
      <w:r>
        <w:t>‘</w:t>
      </w:r>
      <w:r w:rsidRPr="00D00665">
        <w:t>Other economic flows – other comprehensive income</w:t>
      </w:r>
      <w:r>
        <w:t>’</w:t>
      </w:r>
      <w:r w:rsidRPr="00D00665">
        <w:t xml:space="preserve"> is transferred to other economic flows in the net result. </w:t>
      </w:r>
    </w:p>
    <w:p w:rsidR="000B4A1E" w:rsidRPr="00D00665" w:rsidRDefault="000B4A1E" w:rsidP="00517E51">
      <w:r w:rsidRPr="00D00665">
        <w:t xml:space="preserve">Fair value is determined in the manner described in Note 32 </w:t>
      </w:r>
      <w:r w:rsidRPr="00D00665">
        <w:rPr>
          <w:i/>
        </w:rPr>
        <w:t>Financial instruments</w:t>
      </w:r>
      <w:r w:rsidRPr="00D00665">
        <w:t>.</w:t>
      </w:r>
    </w:p>
    <w:p w:rsidR="000B4A1E" w:rsidRPr="00D00665" w:rsidRDefault="000B4A1E" w:rsidP="00517E51">
      <w:r w:rsidRPr="00D00665">
        <w:t>The available</w:t>
      </w:r>
      <w:r w:rsidRPr="00D00665">
        <w:noBreakHyphen/>
        <w:t>for</w:t>
      </w:r>
      <w:r w:rsidRPr="00D00665">
        <w:noBreakHyphen/>
        <w:t>sale category includes certain equity investments and those debt securities designated as available</w:t>
      </w:r>
      <w:r w:rsidRPr="00D00665">
        <w:noBreakHyphen/>
        <w:t>for</w:t>
      </w:r>
      <w:r w:rsidRPr="00D00665">
        <w:noBreakHyphen/>
        <w:t>sale.</w:t>
      </w:r>
    </w:p>
    <w:p w:rsidR="000B4A1E" w:rsidRPr="00D00665" w:rsidRDefault="000B4A1E" w:rsidP="00517E51">
      <w:pPr>
        <w:pStyle w:val="Heading5"/>
      </w:pPr>
      <w:r w:rsidRPr="00D00665">
        <w:t>Held to maturity financial assets</w:t>
      </w:r>
    </w:p>
    <w:p w:rsidR="000B4A1E" w:rsidRPr="00D00665" w:rsidRDefault="000B4A1E" w:rsidP="00517E51">
      <w:r w:rsidRPr="00D00665">
        <w:t xml:space="preserve">If the State intends and can hold nominated investments to maturity, then such financial assets may be classified as held to maturity. Held to maturity financial assets are recognised initially at fair value plus any directly attributable transaction costs. Subsequent to initial recognition held to maturity financial assets are measured at amortised cost using the effective interest method, less any impairment losses. </w:t>
      </w:r>
    </w:p>
    <w:p w:rsidR="000B4A1E" w:rsidRPr="00D00665" w:rsidRDefault="000B4A1E" w:rsidP="00517E51">
      <w:r w:rsidRPr="00D00665">
        <w:t>The State makes limited use of this classification because any sale or reclassification of more than an insignificant amount of held to maturity investments not close to their maturity, would result in the whole category being reclassified as available</w:t>
      </w:r>
      <w:r w:rsidRPr="00D00665">
        <w:noBreakHyphen/>
        <w:t>for</w:t>
      </w:r>
      <w:r w:rsidRPr="00D00665">
        <w:noBreakHyphen/>
        <w:t xml:space="preserve">sale. The State would also be prevented from classifying investment securities as held to maturity for the current and the following two financial years. </w:t>
      </w:r>
    </w:p>
    <w:p w:rsidR="000B4A1E" w:rsidRPr="00D00665" w:rsidRDefault="000B4A1E" w:rsidP="00517E51">
      <w:r w:rsidRPr="00D00665">
        <w:t>The held to maturity category includes certain term deposits and debt securities which the State intends to hold to maturity.</w:t>
      </w:r>
    </w:p>
    <w:p w:rsidR="000B4A1E" w:rsidRPr="00D00665" w:rsidRDefault="000B4A1E" w:rsidP="00517E51">
      <w:pPr>
        <w:pStyle w:val="Heading5"/>
      </w:pPr>
      <w:r w:rsidRPr="00D00665">
        <w:t>Financial assets and liabilities at fair value through profit and loss</w:t>
      </w:r>
    </w:p>
    <w:p w:rsidR="000B4A1E" w:rsidRPr="00D00665" w:rsidRDefault="000B4A1E" w:rsidP="00517E51">
      <w:r w:rsidRPr="00D00665">
        <w:t xml:space="preserve">Financial assets are categorised as fair value through profit or loss at trade date if they are classified as held for trading or designated as such on initial recognition. Financial instrument assets are designated at fair value through profit or loss on the basis that the financial assets form part of a group of financial assets that are managed by the State based on their fair values, and have their performance evaluated in accordance with documented risk management and investment strategies. </w:t>
      </w:r>
    </w:p>
    <w:p w:rsidR="000B4A1E" w:rsidRPr="00D00665" w:rsidRDefault="000B4A1E" w:rsidP="00517E51">
      <w:r w:rsidRPr="00D00665">
        <w:t>The State</w:t>
      </w:r>
      <w:r>
        <w:t>’</w:t>
      </w:r>
      <w:r w:rsidRPr="00D00665">
        <w:t>s public borrowings, raised through the Treasury Corporation of Victoria, are designated at fair value through profit or loss on trade date on the basis that the financial liability forms a group of financial liabilities which are managed on a fair value basis in accordance with documented risk strategies.</w:t>
      </w:r>
    </w:p>
    <w:p w:rsidR="000B4A1E" w:rsidRPr="00D00665" w:rsidRDefault="000B4A1E" w:rsidP="00517E51">
      <w:r w:rsidRPr="00D00665">
        <w:t>Financial instruments at fair value through profit or loss are initially measured at fair value and attributable transaction costs are expensed as incurred. Subsequently, any changes in fair value are recognised in the net result as other economic flows. Any dividend or interest on a financial asset is recognised in the net result from transactions.</w:t>
      </w:r>
    </w:p>
    <w:p w:rsidR="000B4A1E" w:rsidRPr="00D00665" w:rsidRDefault="000B4A1E" w:rsidP="00517E51">
      <w:r w:rsidRPr="00D00665">
        <w:t>Financial assets and liabilities at fair value through profit or loss include the majority of the State</w:t>
      </w:r>
      <w:r>
        <w:t>’</w:t>
      </w:r>
      <w:r w:rsidRPr="00D00665">
        <w:t>s equity investments, debt securities and borrowings.</w:t>
      </w:r>
    </w:p>
    <w:p w:rsidR="000B4A1E" w:rsidRPr="00D00665" w:rsidRDefault="000B4A1E" w:rsidP="00517E51">
      <w:pPr>
        <w:pStyle w:val="Heading5"/>
      </w:pPr>
      <w:r w:rsidRPr="00D00665">
        <w:t>Financial liabilities at amortised cost</w:t>
      </w:r>
    </w:p>
    <w:p w:rsidR="000B4A1E" w:rsidRPr="00D00665" w:rsidRDefault="000B4A1E" w:rsidP="00517E51">
      <w:r w:rsidRPr="00D00665">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(refer to Note 39).</w:t>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r w:rsidRPr="00D00665">
        <w:t>Financial instrument liabilities measured at amortised cost include all of the State</w:t>
      </w:r>
      <w:r>
        <w:t>’</w:t>
      </w:r>
      <w:r w:rsidRPr="00D00665">
        <w:t xml:space="preserve">s payables, deposits held and advances received, and interest bearing arrangements other than those designated at fair value through profit or loss. </w:t>
      </w:r>
    </w:p>
    <w:p w:rsidR="000B4A1E" w:rsidRPr="00D00665" w:rsidRDefault="000B4A1E" w:rsidP="00517E51">
      <w:pPr>
        <w:pStyle w:val="Heading4"/>
      </w:pPr>
      <w:r w:rsidRPr="00D00665">
        <w:t>Derivative financial instruments</w:t>
      </w:r>
    </w:p>
    <w:p w:rsidR="000B4A1E" w:rsidRPr="00D00665" w:rsidRDefault="000B4A1E" w:rsidP="00517E51">
      <w:r w:rsidRPr="00D00665">
        <w:t>Derivative financial instruments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rsidR="000B4A1E" w:rsidRPr="00D00665" w:rsidRDefault="000B4A1E" w:rsidP="00517E51">
      <w:pPr>
        <w:pStyle w:val="Heading4"/>
      </w:pPr>
      <w:r w:rsidRPr="00D00665">
        <w:t>Offsetting financial instruments</w:t>
      </w:r>
    </w:p>
    <w:p w:rsidR="000B4A1E" w:rsidRPr="00D00665" w:rsidRDefault="000B4A1E" w:rsidP="00517E51">
      <w:r w:rsidRPr="00D00665">
        <w:t>Financial instrument assets and liabilities are offset and the net amount presented in the consolidated balance sheet when, and only when, the State has a legal right to offset the amounts and intend either to settle on a net basis or to realise the asset and settle the liability simultaneously.</w:t>
      </w:r>
    </w:p>
    <w:p w:rsidR="000B4A1E" w:rsidRPr="00D00665" w:rsidRDefault="000B4A1E" w:rsidP="00517E51">
      <w:pPr>
        <w:pStyle w:val="Heading4"/>
      </w:pPr>
      <w:r w:rsidRPr="00D00665">
        <w:t>Reclassification of financial instruments</w:t>
      </w:r>
    </w:p>
    <w:p w:rsidR="000B4A1E" w:rsidRPr="00D00665" w:rsidRDefault="000B4A1E" w:rsidP="00517E51">
      <w:r w:rsidRPr="00D00665">
        <w:t>Subsequent to initial recognition and under rare circumstances, non</w:t>
      </w:r>
      <w:r w:rsidRPr="00D00665">
        <w:noBreakHyphen/>
        <w:t>derivative financial instrument assets that have not been designated at fair value through profit or loss on recognition, may be reclassified out of the fair value through profit or loss category, if they are no longer held for the purpose of selling or repurchasing in the near term.</w:t>
      </w:r>
    </w:p>
    <w:p w:rsidR="000B4A1E" w:rsidRPr="00D00665" w:rsidRDefault="000B4A1E" w:rsidP="00517E51">
      <w:r w:rsidRPr="00D00665">
        <w:t>Financial instrument assets that meet the definition of loans and receivables may be reclassified out of the fair value through profit and loss category into the loans and receivables category, where they would have met the definition of loans and receivables had they not been required to be classified as fair value through profit and loss. In these cases, the financial instrument assets may be reclassified out of the fair value through profit and loss category, if there is the intention and ability to hold them for the foreseeable future or until maturity.</w:t>
      </w:r>
    </w:p>
    <w:p w:rsidR="000B4A1E" w:rsidRPr="00D00665" w:rsidRDefault="000B4A1E" w:rsidP="00517E51">
      <w:r w:rsidRPr="00D00665">
        <w:t>Available</w:t>
      </w:r>
      <w:r w:rsidRPr="00D00665">
        <w:noBreakHyphen/>
        <w:t>for</w:t>
      </w:r>
      <w:r w:rsidRPr="00D00665">
        <w:noBreakHyphen/>
        <w:t>sale financial instrument assets that meet the definition of loans and receivables may be reclassified into the loans and receivables category if there is the intention and ability to hold them for the foreseeable future or until maturity.</w:t>
      </w:r>
    </w:p>
    <w:p w:rsidR="000B4A1E" w:rsidRPr="00D00665" w:rsidRDefault="000B4A1E" w:rsidP="00517E51">
      <w:pPr>
        <w:pStyle w:val="Heading3Numbering"/>
      </w:pPr>
      <w:r w:rsidRPr="00D00665">
        <w:t>Financial assets</w:t>
      </w:r>
    </w:p>
    <w:p w:rsidR="000B4A1E" w:rsidRPr="00D00665" w:rsidRDefault="000B4A1E" w:rsidP="00517E51">
      <w:pPr>
        <w:pStyle w:val="Heading4"/>
      </w:pPr>
      <w:r w:rsidRPr="00D00665">
        <w:t>Cash and deposits</w:t>
      </w:r>
    </w:p>
    <w:p w:rsidR="000B4A1E" w:rsidRPr="00D00665" w:rsidRDefault="000B4A1E" w:rsidP="00517E51">
      <w:r w:rsidRPr="00D00665">
        <w:t xml:space="preserve">Cash and deposits, including cash equivalents, comprise cash on hand and cash at bank, deposits at call and those highly liquid investments with an original maturity of three months or less, which are held for the purpose of meeting short term cash commitments rather than for investment purposes, and which are readily convertible to known amounts of cash and are subject to an insignificant risk of changes in value. </w:t>
      </w:r>
    </w:p>
    <w:p w:rsidR="000B4A1E" w:rsidRPr="00D00665" w:rsidRDefault="000B4A1E" w:rsidP="00517E51">
      <w:pPr>
        <w:pStyle w:val="Heading4"/>
      </w:pPr>
      <w:r w:rsidRPr="00D00665">
        <w:t>Advances paid</w:t>
      </w:r>
    </w:p>
    <w:p w:rsidR="000B4A1E" w:rsidRPr="00D00665" w:rsidRDefault="000B4A1E" w:rsidP="00517E51">
      <w:r w:rsidRPr="00D00665">
        <w:t>Advances paid refers to loans and other non-equity financial assets acquired for policy rather than liquidity management purposes. From a general government sector perspective, advances paid represent inter</w:t>
      </w:r>
      <w:r w:rsidRPr="00D00665">
        <w:noBreakHyphen/>
        <w:t>sector loans and advances, initially measured at fair value and subsequently measured at amortised cost, made by the general government sector to the PNFC and PFC sectors, for policy rather than liquidity management purposes. They exclude equity contributions, and are eliminated on consolidation of the State</w:t>
      </w:r>
      <w:r>
        <w:t>’</w:t>
      </w:r>
      <w:r w:rsidRPr="00D00665">
        <w:t>s position.</w:t>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4"/>
      </w:pPr>
      <w:r w:rsidRPr="00D00665">
        <w:t>Receivables</w:t>
      </w:r>
    </w:p>
    <w:p w:rsidR="000B4A1E" w:rsidRPr="00D00665" w:rsidRDefault="000B4A1E" w:rsidP="00517E51">
      <w:r w:rsidRPr="00D00665">
        <w:t>Receivables consist of:</w:t>
      </w:r>
    </w:p>
    <w:p w:rsidR="000B4A1E" w:rsidRPr="00D00665" w:rsidRDefault="000B4A1E" w:rsidP="00517E51">
      <w:pPr>
        <w:pStyle w:val="BulletText"/>
      </w:pPr>
      <w:r w:rsidRPr="00D00665">
        <w:t>contractual receivables, such as debtors in relation to goods and services, loans to third parties and accrued investment revenue; and</w:t>
      </w:r>
    </w:p>
    <w:p w:rsidR="000B4A1E" w:rsidRPr="00D00665" w:rsidRDefault="000B4A1E" w:rsidP="00517E51">
      <w:pPr>
        <w:pStyle w:val="BulletText"/>
      </w:pPr>
      <w:r w:rsidRPr="00D00665">
        <w:t xml:space="preserve">statutory receivables, such as taxes, fines and goods and services tax input tax credits recoverable. </w:t>
      </w:r>
    </w:p>
    <w:p w:rsidR="000B4A1E" w:rsidRPr="00D00665" w:rsidRDefault="000B4A1E" w:rsidP="00517E51">
      <w:r w:rsidRPr="00D00665">
        <w:t>Contractual receivables are classified as financial instruments and categorised as loans and receivables (refer to Note 1(I)) for recognition and measurement. Statutory receivables are recognised and measured similarly to contractual receivables (except for impairment), but are not classified as financial instruments because they do not arise from a contract.</w:t>
      </w:r>
    </w:p>
    <w:p w:rsidR="000B4A1E" w:rsidRPr="00D00665" w:rsidRDefault="000B4A1E" w:rsidP="00517E51">
      <w:r w:rsidRPr="00D00665">
        <w:t>Receivables are subject to impairment testing as described below. A provision for doubtful receivables is recognised when there is objective evidence that the debts may not be collected, and bad debts are written off when identified.</w:t>
      </w:r>
    </w:p>
    <w:p w:rsidR="000B4A1E" w:rsidRPr="00D00665" w:rsidRDefault="000B4A1E" w:rsidP="00517E51">
      <w:pPr>
        <w:pStyle w:val="Heading4"/>
      </w:pPr>
      <w:r w:rsidRPr="00D00665">
        <w:t xml:space="preserve">Investments, loans and placements </w:t>
      </w:r>
    </w:p>
    <w:p w:rsidR="000B4A1E" w:rsidRPr="00D00665" w:rsidRDefault="000B4A1E" w:rsidP="00517E51">
      <w:r w:rsidRPr="00D00665">
        <w:t>Investments are classified in the following categories:</w:t>
      </w:r>
    </w:p>
    <w:p w:rsidR="000B4A1E" w:rsidRPr="00D00665" w:rsidRDefault="000B4A1E" w:rsidP="00517E51">
      <w:pPr>
        <w:pStyle w:val="BulletText"/>
      </w:pPr>
      <w:r w:rsidRPr="00D00665">
        <w:t>financial assets at fair value through profit or loss;</w:t>
      </w:r>
    </w:p>
    <w:p w:rsidR="000B4A1E" w:rsidRPr="00D00665" w:rsidRDefault="000B4A1E" w:rsidP="00517E51">
      <w:pPr>
        <w:pStyle w:val="BulletText"/>
      </w:pPr>
      <w:r w:rsidRPr="00D00665">
        <w:t>loans and receivables;</w:t>
      </w:r>
    </w:p>
    <w:p w:rsidR="000B4A1E" w:rsidRPr="00D00665" w:rsidRDefault="000B4A1E" w:rsidP="00517E51">
      <w:pPr>
        <w:pStyle w:val="BulletText"/>
      </w:pPr>
      <w:r w:rsidRPr="00D00665">
        <w:t>held to maturity; and</w:t>
      </w:r>
    </w:p>
    <w:p w:rsidR="000B4A1E" w:rsidRPr="00D00665" w:rsidRDefault="000B4A1E" w:rsidP="00517E51">
      <w:pPr>
        <w:pStyle w:val="BulletText"/>
      </w:pPr>
      <w:r w:rsidRPr="00D00665">
        <w:t>available</w:t>
      </w:r>
      <w:r w:rsidRPr="00D00665">
        <w:noBreakHyphen/>
        <w:t>for</w:t>
      </w:r>
      <w:r w:rsidRPr="00D00665">
        <w:noBreakHyphen/>
        <w:t xml:space="preserve">sale financial assets. </w:t>
      </w:r>
    </w:p>
    <w:p w:rsidR="000B4A1E" w:rsidRPr="00D00665" w:rsidRDefault="000B4A1E" w:rsidP="00517E51">
      <w:r w:rsidRPr="00D00665">
        <w:t>The classification depends on the purpose for which the investments were acquired. Management determines the classification of its investments at initial recognition.</w:t>
      </w:r>
    </w:p>
    <w:p w:rsidR="000B4A1E" w:rsidRPr="00D00665" w:rsidRDefault="000B4A1E" w:rsidP="00517E51">
      <w:pPr>
        <w:rPr>
          <w:rFonts w:ascii="Calibri" w:hAnsi="Calibri"/>
          <w:i/>
          <w:sz w:val="26"/>
          <w:szCs w:val="22"/>
        </w:rPr>
      </w:pPr>
      <w:r w:rsidRPr="00D00665">
        <w:t>Any dividend or interest earned on the financial asset is recognised in the consolidated comprehensive operating statement as a transaction.</w:t>
      </w:r>
    </w:p>
    <w:p w:rsidR="000B4A1E" w:rsidRPr="00D00665" w:rsidRDefault="000B4A1E" w:rsidP="00517E51">
      <w:pPr>
        <w:pStyle w:val="Heading4"/>
      </w:pPr>
      <w:r w:rsidRPr="00D00665">
        <w:t>Investments accounted for using the equity method</w:t>
      </w:r>
    </w:p>
    <w:p w:rsidR="000B4A1E" w:rsidRPr="00D00665" w:rsidRDefault="000B4A1E" w:rsidP="00517E51">
      <w:r w:rsidRPr="00D00665">
        <w:t xml:space="preserve">Associates are those entities over which the State exercises significant influence, but not control. </w:t>
      </w:r>
    </w:p>
    <w:p w:rsidR="000B4A1E" w:rsidRPr="00D00665" w:rsidRDefault="000B4A1E" w:rsidP="00517E51">
      <w:r w:rsidRPr="00D00665">
        <w:t>Investments in associates are accounted for in the consolidated financial statements using the equity method. Under this method, the State</w:t>
      </w:r>
      <w:r>
        <w:t>’</w:t>
      </w:r>
      <w:r w:rsidRPr="00D00665">
        <w:t>s share of the post</w:t>
      </w:r>
      <w:r w:rsidRPr="00D00665">
        <w:noBreakHyphen/>
        <w:t>acquisition profits or losses of associates is recognised in the net result as other economic flows. The share of post</w:t>
      </w:r>
      <w:r w:rsidRPr="00D00665">
        <w:noBreakHyphen/>
        <w:t>acquisition movements in revaluation surpluses and any other reserves is recognised in both the comprehensive operating statement and the statement of changes in equity. The cumulative post</w:t>
      </w:r>
      <w:r w:rsidRPr="00D00665">
        <w:noBreakHyphen/>
        <w:t>acquisition movements are adjusted against the cost of the investment.</w:t>
      </w:r>
    </w:p>
    <w:p w:rsidR="000B4A1E" w:rsidRPr="00D00665" w:rsidRDefault="000B4A1E" w:rsidP="00517E51">
      <w:r w:rsidRPr="00D00665">
        <w:t>Joint ventures are contractual arrangements between the State or a subsidiary entity and one or more other parties to undertake an economic activity that is subject to joint control. Joint control only exists when the strategic financial and operating decisions relating to the activity require the unanimous consent of the parties sharing control (the venturers).</w:t>
      </w:r>
    </w:p>
    <w:p w:rsidR="000B4A1E" w:rsidRPr="00D00665" w:rsidRDefault="000B4A1E" w:rsidP="00517E51">
      <w:r w:rsidRPr="00D00665">
        <w:t>Interests in jointly controlled entities are accounted for in the consolidated financial statements using the equity method, as applied to investments in associates.</w:t>
      </w:r>
    </w:p>
    <w:p w:rsidR="000B4A1E" w:rsidRPr="00D00665" w:rsidRDefault="000B4A1E">
      <w:pPr>
        <w:spacing w:after="0"/>
        <w:rPr>
          <w:rFonts w:ascii="Calibri" w:hAnsi="Calibri"/>
          <w:i/>
          <w:sz w:val="26"/>
          <w:szCs w:val="22"/>
        </w:rPr>
      </w:pPr>
      <w:r w:rsidRPr="00D00665">
        <w:br w:type="page"/>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4"/>
      </w:pPr>
      <w:r w:rsidRPr="00D00665">
        <w:t>Investments in jointly controlled assets and operations</w:t>
      </w:r>
    </w:p>
    <w:p w:rsidR="000B4A1E" w:rsidRPr="00D00665" w:rsidRDefault="000B4A1E" w:rsidP="00517E51">
      <w:r w:rsidRPr="00D00665">
        <w:t>The State recognises its interest in jointly controlled assets in the consolidated financial statements as:</w:t>
      </w:r>
    </w:p>
    <w:p w:rsidR="000B4A1E" w:rsidRPr="00D00665" w:rsidRDefault="000B4A1E" w:rsidP="00517E51">
      <w:pPr>
        <w:pStyle w:val="BulletText"/>
      </w:pPr>
      <w:r w:rsidRPr="00D00665">
        <w:t>its share of jointly controlled assets;</w:t>
      </w:r>
    </w:p>
    <w:p w:rsidR="000B4A1E" w:rsidRPr="00D00665" w:rsidRDefault="000B4A1E" w:rsidP="00517E51">
      <w:pPr>
        <w:pStyle w:val="BulletText"/>
      </w:pPr>
      <w:r w:rsidRPr="00D00665">
        <w:t>any liabilities that it had incurred;</w:t>
      </w:r>
    </w:p>
    <w:p w:rsidR="000B4A1E" w:rsidRPr="00D00665" w:rsidRDefault="000B4A1E" w:rsidP="00517E51">
      <w:pPr>
        <w:pStyle w:val="BulletText"/>
      </w:pPr>
      <w:r w:rsidRPr="00D00665">
        <w:t>its share of liabilities incurred jointly by the joint venture;</w:t>
      </w:r>
    </w:p>
    <w:p w:rsidR="000B4A1E" w:rsidRPr="00D00665" w:rsidRDefault="000B4A1E" w:rsidP="00517E51">
      <w:pPr>
        <w:pStyle w:val="BulletText"/>
      </w:pPr>
      <w:r w:rsidRPr="00D00665">
        <w:t>any income earned from the selling or using of its share of the output from the joint venture; and</w:t>
      </w:r>
    </w:p>
    <w:p w:rsidR="000B4A1E" w:rsidRPr="00D00665" w:rsidRDefault="000B4A1E" w:rsidP="00517E51">
      <w:pPr>
        <w:pStyle w:val="BulletText"/>
      </w:pPr>
      <w:r w:rsidRPr="00D00665">
        <w:t>any expenses incurred in relation to being an investor in the joint venture.</w:t>
      </w:r>
    </w:p>
    <w:p w:rsidR="000B4A1E" w:rsidRPr="00D00665" w:rsidRDefault="000B4A1E" w:rsidP="00517E51">
      <w:r w:rsidRPr="00D00665">
        <w:t>For jointly controlled operations the State recognises the assets that it controls and the liabilities that it incurs, expenses that it incurs and its share of income that it earns from selling outputs of the joint venture.</w:t>
      </w:r>
    </w:p>
    <w:p w:rsidR="000B4A1E" w:rsidRPr="00D00665" w:rsidRDefault="000B4A1E" w:rsidP="00517E51">
      <w:pPr>
        <w:pStyle w:val="Heading4"/>
      </w:pPr>
      <w:r w:rsidRPr="00D00665">
        <w:t>Investments in other sector entities</w:t>
      </w:r>
    </w:p>
    <w:p w:rsidR="000B4A1E" w:rsidRPr="00D00665" w:rsidRDefault="000B4A1E" w:rsidP="00517E51">
      <w:r w:rsidRPr="00D00665">
        <w:t>Refer to Note 1(D).</w:t>
      </w:r>
    </w:p>
    <w:p w:rsidR="000B4A1E" w:rsidRPr="00D00665" w:rsidRDefault="000B4A1E" w:rsidP="00517E51">
      <w:pPr>
        <w:pStyle w:val="Heading4"/>
      </w:pPr>
      <w:r w:rsidRPr="00D00665">
        <w:t xml:space="preserve">Derecognition of financial assets </w:t>
      </w:r>
    </w:p>
    <w:p w:rsidR="000B4A1E" w:rsidRPr="00D00665" w:rsidRDefault="000B4A1E" w:rsidP="00517E51">
      <w:r w:rsidRPr="00D00665">
        <w:t xml:space="preserve">A financial asset (or, where applicable, a part of a financial asset or part of a group of similar financial assets) is derecognised when: </w:t>
      </w:r>
    </w:p>
    <w:p w:rsidR="000B4A1E" w:rsidRPr="00D00665" w:rsidRDefault="000B4A1E" w:rsidP="00517E51">
      <w:pPr>
        <w:pStyle w:val="BulletText"/>
      </w:pPr>
      <w:r w:rsidRPr="00D00665">
        <w:t>the rights to receive cash flows from the asset have expired; or</w:t>
      </w:r>
    </w:p>
    <w:p w:rsidR="000B4A1E" w:rsidRPr="00D00665" w:rsidRDefault="000B4A1E" w:rsidP="00517E51">
      <w:pPr>
        <w:pStyle w:val="BulletText"/>
      </w:pPr>
      <w:r w:rsidRPr="00D00665">
        <w:t xml:space="preserve">the State retains the right to receive cash flows from the asset, but has assumed an obligation to pay them in full without material delay to a third party under a </w:t>
      </w:r>
      <w:r>
        <w:t>‘</w:t>
      </w:r>
      <w:r w:rsidRPr="00D00665">
        <w:t>pass through</w:t>
      </w:r>
      <w:r>
        <w:t>’</w:t>
      </w:r>
      <w:r w:rsidRPr="00D00665">
        <w:t xml:space="preserve"> arrangement; or</w:t>
      </w:r>
    </w:p>
    <w:p w:rsidR="000B4A1E" w:rsidRPr="00D00665" w:rsidRDefault="000B4A1E" w:rsidP="00517E51">
      <w:pPr>
        <w:pStyle w:val="BulletText"/>
      </w:pPr>
      <w:r w:rsidRPr="00D00665">
        <w:t>the State has transferred its rights to receive cash flows from the asset and either:</w:t>
      </w:r>
    </w:p>
    <w:p w:rsidR="000B4A1E" w:rsidRPr="00D00665" w:rsidRDefault="000B4A1E" w:rsidP="00517E51">
      <w:pPr>
        <w:tabs>
          <w:tab w:val="left" w:pos="810"/>
        </w:tabs>
        <w:ind w:left="360"/>
      </w:pPr>
      <w:r w:rsidRPr="00D00665">
        <w:t>(a)</w:t>
      </w:r>
      <w:r w:rsidRPr="00D00665">
        <w:tab/>
        <w:t>has transferred substantially all the risks and rewards of the asset; or</w:t>
      </w:r>
    </w:p>
    <w:p w:rsidR="000B4A1E" w:rsidRPr="00D00665" w:rsidRDefault="000B4A1E" w:rsidP="00517E51">
      <w:pPr>
        <w:tabs>
          <w:tab w:val="left" w:pos="810"/>
        </w:tabs>
        <w:ind w:left="810" w:hanging="450"/>
      </w:pPr>
      <w:r w:rsidRPr="00D00665">
        <w:t>(b)</w:t>
      </w:r>
      <w:r w:rsidRPr="00D00665">
        <w:tab/>
        <w:t>has neither transferred nor retained substantially all the risks and rewards of the asset, but has transferred control of the asset.</w:t>
      </w:r>
    </w:p>
    <w:p w:rsidR="000B4A1E" w:rsidRPr="00D00665" w:rsidRDefault="000B4A1E" w:rsidP="00517E51">
      <w:pPr>
        <w:rPr>
          <w:rFonts w:ascii="Calibri" w:hAnsi="Calibri"/>
          <w:i/>
          <w:sz w:val="26"/>
          <w:szCs w:val="22"/>
        </w:rPr>
      </w:pPr>
      <w:r w:rsidRPr="00D00665">
        <w:t>Where the State has neither transferred nor retained substantially all the risks and rewards or transferred control, the asset is recognised to the extent of the State</w:t>
      </w:r>
      <w:r>
        <w:t>’</w:t>
      </w:r>
      <w:r w:rsidRPr="00D00665">
        <w:t>s continuing involvement in the asset.</w:t>
      </w:r>
    </w:p>
    <w:p w:rsidR="000B4A1E" w:rsidRPr="00D00665" w:rsidRDefault="000B4A1E" w:rsidP="00517E51">
      <w:pPr>
        <w:pStyle w:val="Heading4"/>
      </w:pPr>
      <w:r w:rsidRPr="00D00665">
        <w:t>Impairment of financial assets</w:t>
      </w:r>
    </w:p>
    <w:p w:rsidR="000B4A1E" w:rsidRPr="00D00665" w:rsidRDefault="000B4A1E" w:rsidP="00517E51">
      <w:r w:rsidRPr="00D00665">
        <w:t>At the end of each reporting period, the State assesses whether there is objective evidence that a financial asset or group of financial assets is impaired. All financial instrument assets, except those measured at fair value through profit or loss, are subject to annual review for impairment.</w:t>
      </w:r>
    </w:p>
    <w:p w:rsidR="000B4A1E" w:rsidRPr="00D00665" w:rsidRDefault="000B4A1E" w:rsidP="00517E51">
      <w:r w:rsidRPr="00D00665">
        <w:t>Receivables are assessed for bad and doubtful debts on a regular basis. Those bad debts considered as written off by mutual consent are classified as a transaction expense. Bad debts not written off by mutual consent and the allowance for doubtful receivables are classified as other economic flows in the net result.</w:t>
      </w:r>
    </w:p>
    <w:p w:rsidR="000B4A1E" w:rsidRPr="00D00665" w:rsidRDefault="000B4A1E" w:rsidP="00517E51">
      <w:r w:rsidRPr="00D00665">
        <w:t>The amount of the allowance is the difference between the financial asset</w:t>
      </w:r>
      <w:r>
        <w:t>’</w:t>
      </w:r>
      <w:r w:rsidRPr="00D00665">
        <w:t>s carrying amount and the present value of estimated future cash flows, discounted at the effective interest rate. In assessing impairment of statutory (non</w:t>
      </w:r>
      <w:r w:rsidRPr="00D00665">
        <w:noBreakHyphen/>
        <w:t>contractual) financial assets, which are not financial instruments, professional judgement is applied in assessing materiality using estimates, averages and other computational methods in accordance with AASB 136.</w:t>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3Numbering"/>
      </w:pPr>
      <w:r w:rsidRPr="00D00665">
        <w:t>Non</w:t>
      </w:r>
      <w:r w:rsidRPr="00D00665">
        <w:noBreakHyphen/>
        <w:t>financial assets</w:t>
      </w:r>
    </w:p>
    <w:p w:rsidR="000B4A1E" w:rsidRPr="00D00665" w:rsidRDefault="000B4A1E" w:rsidP="00517E51">
      <w:pPr>
        <w:pStyle w:val="Heading4"/>
      </w:pPr>
      <w:r w:rsidRPr="00D00665">
        <w:t>Inventories</w:t>
      </w:r>
    </w:p>
    <w:p w:rsidR="000B4A1E" w:rsidRPr="00D00665" w:rsidRDefault="000B4A1E" w:rsidP="00517E51">
      <w:r w:rsidRPr="00D00665">
        <w:t xml:space="preserve">Inventories include goods and other property held either for sale, or for distribution at zero or nominal cost, or for consumption in the ordinary course of business operations. </w:t>
      </w:r>
    </w:p>
    <w:p w:rsidR="000B4A1E" w:rsidRPr="00D00665" w:rsidRDefault="000B4A1E" w:rsidP="00517E51">
      <w:r w:rsidRPr="00D00665">
        <w:t>Inventories held for distribution are measured at cost, adjusted for any loss of service potential. All other inventories, including land held for sale, are measured at the lower of cost and net realisable value. Where inventories are acquired for no cost or nominal consideration, they are measured at current replacement cost at the date of acquisition.</w:t>
      </w:r>
    </w:p>
    <w:p w:rsidR="000B4A1E" w:rsidRPr="00D00665" w:rsidRDefault="000B4A1E" w:rsidP="00517E51">
      <w:r w:rsidRPr="00D00665">
        <w:t xml:space="preserve">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on the basis of weighted average cost. </w:t>
      </w:r>
    </w:p>
    <w:p w:rsidR="000B4A1E" w:rsidRPr="00D00665" w:rsidRDefault="000B4A1E" w:rsidP="00517E51">
      <w:r w:rsidRPr="00D00665">
        <w:t xml:space="preserve">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 </w:t>
      </w:r>
    </w:p>
    <w:p w:rsidR="000B4A1E" w:rsidRPr="00D00665" w:rsidRDefault="000B4A1E" w:rsidP="00517E51">
      <w:pPr>
        <w:pStyle w:val="Heading4"/>
      </w:pPr>
      <w:r w:rsidRPr="00D00665">
        <w:t>Non</w:t>
      </w:r>
      <w:r w:rsidRPr="00D00665">
        <w:noBreakHyphen/>
        <w:t>financial assets held for sale</w:t>
      </w:r>
    </w:p>
    <w:p w:rsidR="000B4A1E" w:rsidRPr="00D00665" w:rsidRDefault="000B4A1E" w:rsidP="00517E51">
      <w:r w:rsidRPr="00D00665">
        <w:t>Non</w:t>
      </w:r>
      <w:r w:rsidRPr="00D00665">
        <w:noBreakHyphen/>
        <w:t xml:space="preserve">financial assets (including disposal group assets) are treated as current and classified as held for sale if their carrying amount will be recovered through a sale transaction rather than through continuing use. </w:t>
      </w:r>
    </w:p>
    <w:p w:rsidR="000B4A1E" w:rsidRPr="00D00665" w:rsidRDefault="000B4A1E" w:rsidP="00517E51">
      <w:r w:rsidRPr="00D00665">
        <w:t>This condition is regarded as met only when:</w:t>
      </w:r>
    </w:p>
    <w:p w:rsidR="000B4A1E" w:rsidRPr="00D00665" w:rsidRDefault="000B4A1E" w:rsidP="00517E51">
      <w:pPr>
        <w:pStyle w:val="BulletText"/>
      </w:pPr>
      <w:r w:rsidRPr="00D00665">
        <w:t xml:space="preserve">the asset is available for immediate use in the current condition; and </w:t>
      </w:r>
    </w:p>
    <w:p w:rsidR="000B4A1E" w:rsidRPr="00D00665" w:rsidRDefault="000B4A1E" w:rsidP="00517E51">
      <w:pPr>
        <w:pStyle w:val="BulletText"/>
      </w:pPr>
      <w:r w:rsidRPr="00D00665">
        <w:t>the sale is highly probable and the asset</w:t>
      </w:r>
      <w:r>
        <w:t>’</w:t>
      </w:r>
      <w:r w:rsidRPr="00D00665">
        <w:t>s sale is expected to be completed within 12 months from the date of classification.</w:t>
      </w:r>
    </w:p>
    <w:p w:rsidR="000B4A1E" w:rsidRPr="00D00665" w:rsidRDefault="000B4A1E" w:rsidP="00517E51">
      <w:pPr>
        <w:rPr>
          <w:rFonts w:ascii="Calibri" w:hAnsi="Calibri"/>
          <w:i/>
          <w:sz w:val="26"/>
          <w:szCs w:val="22"/>
        </w:rPr>
      </w:pPr>
      <w:r w:rsidRPr="00D00665">
        <w:t>These non</w:t>
      </w:r>
      <w:r w:rsidRPr="00D00665">
        <w:noBreakHyphen/>
        <w:t>financial assets, related liabilities and financial assets are measured at the lower of carrying amount and fair value less costs to sell, and are not subject to depreciation or amortisation.</w:t>
      </w:r>
    </w:p>
    <w:p w:rsidR="000B4A1E" w:rsidRPr="00D00665" w:rsidRDefault="000B4A1E" w:rsidP="00517E51">
      <w:pPr>
        <w:pStyle w:val="Heading4"/>
      </w:pPr>
      <w:r w:rsidRPr="00D00665">
        <w:t>Land, buildings, infrastructure, plant and equipment</w:t>
      </w:r>
    </w:p>
    <w:p w:rsidR="000B4A1E" w:rsidRPr="00D00665" w:rsidRDefault="000B4A1E" w:rsidP="00517E51">
      <w:r w:rsidRPr="00D00665">
        <w:t>All non</w:t>
      </w:r>
      <w:r w:rsidRPr="00D00665">
        <w:noBreakHyphen/>
        <w:t>financial physical assets are measured initially at cost and subsequently revalued at fair value less accumulated depreciation and impairment. Where an asset is acquired for no or nominal cost, the cost is its fair value at the date of acquisition.</w:t>
      </w:r>
    </w:p>
    <w:p w:rsidR="000B4A1E" w:rsidRPr="00D00665" w:rsidRDefault="000B4A1E" w:rsidP="00517E51">
      <w:r w:rsidRPr="00D00665">
        <w:t>The initial cost for non</w:t>
      </w:r>
      <w:r w:rsidRPr="00D00665">
        <w:noBreakHyphen/>
        <w:t>financial physical assets under a finance lease (refer to Note 1(M)) is measured at amounts equal to the fair value of the leased asset or, if lower, the present value of the minimum lease payments, each determined at the inception of the lease.</w:t>
      </w:r>
    </w:p>
    <w:p w:rsidR="000B4A1E" w:rsidRPr="00D00665" w:rsidRDefault="000B4A1E" w:rsidP="00517E51">
      <w:r w:rsidRPr="00D00665">
        <w:t>Non</w:t>
      </w:r>
      <w:r w:rsidRPr="00D00665">
        <w:noBreakHyphen/>
        <w:t>financial physical assets such as national parks, other Crown land and heritage assets are measured at fair value with regard to the property</w:t>
      </w:r>
      <w:r>
        <w:t>’</w:t>
      </w:r>
      <w:r w:rsidRPr="00D00665">
        <w:t>s highest and best use after due consideration is made for any legal or constructive restrictions imposed on the asset, public announcements or commitments made in relation to the intended use of the asset. Theoretical opportunities that may be available in relation to the asset are not taken into account until it is virtually certain that the restrictions will no longer apply.</w:t>
      </w:r>
    </w:p>
    <w:p w:rsidR="000B4A1E" w:rsidRPr="00D00665" w:rsidRDefault="000B4A1E">
      <w:pPr>
        <w:spacing w:after="0"/>
      </w:pPr>
      <w:r w:rsidRPr="00D00665">
        <w:br w:type="page"/>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r w:rsidRPr="00D00665">
        <w:t>The fair value of cultural assets and collections, heritage assets and other non</w:t>
      </w:r>
      <w:r w:rsidRPr="00D00665">
        <w:noBreakHyphen/>
        <w:t>financial physical assets that the State intends to preserve because of their unique historical, cultural or environmental attributes, is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rsidR="000B4A1E" w:rsidRPr="00D00665" w:rsidRDefault="000B4A1E" w:rsidP="00517E51">
      <w:r w:rsidRPr="00D00665">
        <w:t>Road network assets (including earthworks of the declared road networks) are measured at fair value, determined by reference to the asset</w:t>
      </w:r>
      <w:r>
        <w:t>’</w:t>
      </w:r>
      <w:r w:rsidRPr="00D00665">
        <w:t xml:space="preserve">s depreciated replacement cost. </w:t>
      </w:r>
    </w:p>
    <w:p w:rsidR="000B4A1E" w:rsidRPr="00D00665" w:rsidRDefault="000B4A1E" w:rsidP="00517E51">
      <w:r w:rsidRPr="00D00665">
        <w:t>Land under declared roads acquired prior to 1 July 2008 is measured at fair value. Land under declared roads acquired on or after 1 July 2008 is measured initially at cost of acquisition and subsequently at fair value. The fair value methodology applied by</w:t>
      </w:r>
      <w:r>
        <w:t xml:space="preserve"> the Valuer</w:t>
      </w:r>
      <w:r w:rsidRPr="00D00665">
        <w:noBreakHyphen/>
        <w:t>General Victoria is based on discounted site values for relevant municipal areas applied to land area under the arterial road network, including related reservations.</w:t>
      </w:r>
    </w:p>
    <w:p w:rsidR="000B4A1E" w:rsidRPr="00D00665" w:rsidRDefault="000B4A1E" w:rsidP="00517E51">
      <w:r w:rsidRPr="00D00665">
        <w:t>Infrastructure assets of water, rail and port authorities in the PNFC sector are measured at fair value.</w:t>
      </w:r>
    </w:p>
    <w:p w:rsidR="000B4A1E" w:rsidRPr="00D00665" w:rsidRDefault="000B4A1E" w:rsidP="00517E51">
      <w:r w:rsidRPr="00D00665">
        <w:t>The fair value of infrastructure systems and plant, equipment and vehicles, is normally determined by reference to the asset</w:t>
      </w:r>
      <w:r>
        <w:t>’</w:t>
      </w:r>
      <w:r w:rsidRPr="00D00665">
        <w:t>s depreciated replacement cost, or where the infrastructure is held by a for profit entity, the fair value may be derived from estimates of the present value of future cash flows. For plant, equipment and vehicles, existing depreciated historical cost is generally a reasonable proxy for depreciated replacement cost because of the short lives of the assets concerned.</w:t>
      </w:r>
    </w:p>
    <w:p w:rsidR="000B4A1E" w:rsidRPr="00D00665" w:rsidRDefault="000B4A1E" w:rsidP="00517E51">
      <w:r w:rsidRPr="00D00665">
        <w:t>Certain assets are acquired under finance leases, which may form part of a service concession arrangement. Refer to Notes 1(O) and 1(Q) for more information.</w:t>
      </w:r>
    </w:p>
    <w:p w:rsidR="000B4A1E" w:rsidRPr="00D00665" w:rsidRDefault="000B4A1E" w:rsidP="00517E51">
      <w:r w:rsidRPr="00D00665">
        <w:t>The cost of constructed non</w:t>
      </w:r>
      <w:r w:rsidRPr="00D00665">
        <w:noBreakHyphen/>
        <w:t>financial physical assets includes the cost of all materials used in construction, direct labour on the project, and an appropriate proportion of variable and fixed overheads.</w:t>
      </w:r>
    </w:p>
    <w:p w:rsidR="000B4A1E" w:rsidRPr="00D00665" w:rsidRDefault="000B4A1E" w:rsidP="00517E51">
      <w:r w:rsidRPr="00D00665">
        <w:t>For the accounting policy on impairment of non</w:t>
      </w:r>
      <w:r w:rsidRPr="00D00665">
        <w:noBreakHyphen/>
        <w:t>financial physical assets, refer to impairment of non</w:t>
      </w:r>
      <w:r w:rsidRPr="00D00665">
        <w:noBreakHyphen/>
        <w:t xml:space="preserve">financial assets under Note 1(H). </w:t>
      </w:r>
    </w:p>
    <w:p w:rsidR="000B4A1E" w:rsidRPr="00D00665" w:rsidRDefault="000B4A1E" w:rsidP="00517E51">
      <w:pPr>
        <w:pStyle w:val="Heading4"/>
      </w:pPr>
      <w:r w:rsidRPr="00D00665">
        <w:t>Leasehold improvements</w:t>
      </w:r>
    </w:p>
    <w:p w:rsidR="000B4A1E" w:rsidRPr="00D00665" w:rsidRDefault="000B4A1E" w:rsidP="00517E51">
      <w:pPr>
        <w:rPr>
          <w:i/>
        </w:rPr>
      </w:pPr>
      <w:r w:rsidRPr="00D00665">
        <w:t xml:space="preserve">The cost of leasehold improvements is capitalised as an asset and depreciated over the shorter of the remaining term of the lease or the estimated useful life of the improvements. </w:t>
      </w:r>
    </w:p>
    <w:p w:rsidR="000B4A1E" w:rsidRPr="00D00665" w:rsidRDefault="000B4A1E" w:rsidP="00517E51">
      <w:pPr>
        <w:pStyle w:val="Heading4"/>
      </w:pPr>
      <w:r w:rsidRPr="00D00665">
        <w:t>Revaluations of non</w:t>
      </w:r>
      <w:r w:rsidRPr="00D00665">
        <w:noBreakHyphen/>
        <w:t>financial physical assets</w:t>
      </w:r>
    </w:p>
    <w:p w:rsidR="000B4A1E" w:rsidRPr="00D00665" w:rsidRDefault="000B4A1E" w:rsidP="00517E51">
      <w:r w:rsidRPr="00D00665">
        <w:t>Non</w:t>
      </w:r>
      <w:r w:rsidRPr="00D00665">
        <w:noBreakHyphen/>
        <w:t>financial physical assets are revalued on a cyclical basis in accordance with the Financial Reporting Directions (FRDs) issued by the Minister for Finance. A full revaluation normally occurs every five years, based upon the asset</w:t>
      </w:r>
      <w:r>
        <w:t>’</w:t>
      </w:r>
      <w:r w:rsidRPr="00D00665">
        <w:t>s government purpose classification (refer to Note 40), but may occur more frequently if fair value assessments indicate material changes in values. Independent valuers are generally used to conduct these scheduled revaluations. Certain infrastructure assets are revalued using specialised advisors. Any interim revaluations are determined as required by the FRDs.</w:t>
      </w:r>
    </w:p>
    <w:p w:rsidR="000B4A1E" w:rsidRPr="00D00665" w:rsidRDefault="000B4A1E" w:rsidP="00517E51">
      <w:r w:rsidRPr="00D00665">
        <w:t>Revaluation increases or decreases arise from differences between an asset</w:t>
      </w:r>
      <w:r>
        <w:t>’</w:t>
      </w:r>
      <w:r w:rsidRPr="00D00665">
        <w:t>s carrying value and fair value.</w:t>
      </w:r>
    </w:p>
    <w:p w:rsidR="000B4A1E" w:rsidRPr="00D00665" w:rsidRDefault="000B4A1E" w:rsidP="00517E51">
      <w:r w:rsidRPr="00D00665">
        <w:t xml:space="preserve">Net revaluation increases (where the carrying amount of a class of assets is increased as a result of a revaluation) are recognised in </w:t>
      </w:r>
      <w:r>
        <w:t>‘</w:t>
      </w:r>
      <w:r w:rsidRPr="00D00665">
        <w:t>Other economic flows – other comprehensive income</w:t>
      </w:r>
      <w:r>
        <w:t>’</w:t>
      </w:r>
      <w:r w:rsidRPr="00D00665">
        <w:t xml:space="preserve"> and accumulated in equity under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r w:rsidRPr="00D00665">
        <w:t xml:space="preserve">Net revaluation decreases are recognised in </w:t>
      </w:r>
      <w:r>
        <w:t>‘</w:t>
      </w:r>
      <w:r w:rsidRPr="00D00665">
        <w:t>Other economic flows – other comprehensive income</w:t>
      </w:r>
      <w:r>
        <w:t>’</w:t>
      </w:r>
      <w:r w:rsidRPr="00D00665">
        <w:t xml:space="preserv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w:t>
      </w:r>
      <w:r>
        <w:t>‘</w:t>
      </w:r>
      <w:r w:rsidRPr="00D00665">
        <w:t>Other economic flows – other comprehensive income</w:t>
      </w:r>
      <w:r>
        <w:t>’</w:t>
      </w:r>
      <w:r w:rsidRPr="00D00665">
        <w:t xml:space="preserve"> reduces the amount accumulated in equity under the asset revaluation surplus. </w:t>
      </w:r>
    </w:p>
    <w:p w:rsidR="000B4A1E" w:rsidRPr="00D00665" w:rsidRDefault="000B4A1E" w:rsidP="00517E51">
      <w:r w:rsidRPr="00D00665">
        <w:t>Revaluation increases and decreases relating to individual assets within a class of property, plant and equipment, are offset against one another within that class but are not offset in respect of assets in different classes. Any asset revaluation surplus is not normally transferred to accumulated funds on derecognition of the relevant asset.</w:t>
      </w:r>
    </w:p>
    <w:p w:rsidR="000B4A1E" w:rsidRPr="00D00665" w:rsidRDefault="000B4A1E" w:rsidP="00517E51">
      <w:pPr>
        <w:pStyle w:val="Heading4"/>
      </w:pPr>
      <w:r w:rsidRPr="00D00665">
        <w:t>Other non</w:t>
      </w:r>
      <w:r w:rsidRPr="00D00665">
        <w:noBreakHyphen/>
        <w:t>financial assets</w:t>
      </w:r>
    </w:p>
    <w:p w:rsidR="000B4A1E" w:rsidRPr="00D00665" w:rsidRDefault="000B4A1E" w:rsidP="00517E51">
      <w:r w:rsidRPr="00D00665">
        <w:t>Where an asset is received for no or nominal consideration the cost is the asset</w:t>
      </w:r>
      <w:r>
        <w:t>’</w:t>
      </w:r>
      <w:r w:rsidRPr="00D00665">
        <w:t>s fair value at the date of acquisition.</w:t>
      </w:r>
    </w:p>
    <w:p w:rsidR="000B4A1E" w:rsidRPr="00D00665" w:rsidRDefault="000B4A1E" w:rsidP="00517E51">
      <w:pPr>
        <w:pStyle w:val="Heading5"/>
      </w:pPr>
      <w:r w:rsidRPr="00D00665">
        <w:t>Intangible assets</w:t>
      </w:r>
    </w:p>
    <w:p w:rsidR="000B4A1E" w:rsidRPr="00D00665" w:rsidRDefault="000B4A1E" w:rsidP="00517E51">
      <w:r w:rsidRPr="00D00665">
        <w:t>Purchased intangible assets are initially recognised at cost. Subsequently, intangible assets with finite useful lives are carried at cost less accumulated amortisation and accumulated impairment losses. Costs incurred subsequent to initial acquisition are capitalised when it is expected that additional future economic benefits will flow to the State.</w:t>
      </w:r>
    </w:p>
    <w:p w:rsidR="000B4A1E" w:rsidRPr="00D00665" w:rsidRDefault="000B4A1E" w:rsidP="00517E51">
      <w:r w:rsidRPr="00D00665">
        <w:t xml:space="preserve">When the recognition criteria in AASB 138 </w:t>
      </w:r>
      <w:r w:rsidRPr="00D00665">
        <w:rPr>
          <w:i/>
        </w:rPr>
        <w:t>Intangible Assets</w:t>
      </w:r>
      <w:r w:rsidRPr="00D00665">
        <w:t xml:space="preserve"> is met, internally generated intangible assets are recognised and measured at cost less accumulated amortisation and impairment. </w:t>
      </w:r>
    </w:p>
    <w:p w:rsidR="000B4A1E" w:rsidRPr="00D00665" w:rsidRDefault="000B4A1E" w:rsidP="00517E51">
      <w:r w:rsidRPr="00D00665">
        <w:t>Refer to Note 1(G) for the policy on the depreciation of produced intangible assets, amortisation of non</w:t>
      </w:r>
      <w:r w:rsidRPr="00D00665">
        <w:noBreakHyphen/>
        <w:t>produced intangible assets and Note 1(H) for impairment of intangible assets.</w:t>
      </w:r>
    </w:p>
    <w:p w:rsidR="000B4A1E" w:rsidRPr="00D00665" w:rsidRDefault="000B4A1E" w:rsidP="00517E51">
      <w:pPr>
        <w:pStyle w:val="Heading5"/>
      </w:pPr>
      <w:r w:rsidRPr="00D00665">
        <w:t>Investment properties</w:t>
      </w:r>
    </w:p>
    <w:p w:rsidR="000B4A1E" w:rsidRPr="00D00665" w:rsidRDefault="000B4A1E" w:rsidP="00517E51">
      <w:r w:rsidRPr="00D00665">
        <w:t>Investment properties represent properties held to earn rentals or for capital appreciation, or both. Investment properties exclude properties held to meet service delivery objectives of the State.</w:t>
      </w:r>
    </w:p>
    <w:p w:rsidR="000B4A1E" w:rsidRPr="00D00665" w:rsidRDefault="000B4A1E" w:rsidP="00517E51">
      <w:r w:rsidRPr="00D00665">
        <w:t>Investment properties are initially recognised at cost. Costs incurred subsequent to initial acquisition are capitalised when it is probable that future economic benefits in excess of the originally assessed performance of the asset will flow to the State.</w:t>
      </w:r>
    </w:p>
    <w:p w:rsidR="000B4A1E" w:rsidRPr="00D00665" w:rsidRDefault="000B4A1E" w:rsidP="00517E51">
      <w:r w:rsidRPr="00D00665">
        <w:t>Subsequent to initial recognition, investment properties are revalued to fair value with changes in the fair value recognised as other economic flows in the comprehensive operating statement in the period that they arise. These properties are neither depreciated nor tested for impairment.</w:t>
      </w:r>
    </w:p>
    <w:p w:rsidR="000B4A1E" w:rsidRPr="00D00665" w:rsidRDefault="000B4A1E" w:rsidP="00517E51">
      <w:r w:rsidRPr="00D00665">
        <w:t>Rental revenue from the leasing of investment properties is recognised in the comprehensive operating statement on a straight line basis over the lease term.</w:t>
      </w:r>
    </w:p>
    <w:p w:rsidR="000B4A1E" w:rsidRPr="00D00665" w:rsidRDefault="000B4A1E" w:rsidP="00517E51">
      <w:pPr>
        <w:pStyle w:val="Heading5"/>
      </w:pPr>
      <w:r w:rsidRPr="00D00665">
        <w:t xml:space="preserve">Biological assets </w:t>
      </w:r>
    </w:p>
    <w:p w:rsidR="000B4A1E" w:rsidRPr="00D00665" w:rsidRDefault="000B4A1E" w:rsidP="00517E51">
      <w:r w:rsidRPr="00D00665">
        <w:t>Productive trees in commercial native forests and breeding livestock are recognised as biological assets. These biological assets are measured at fair value less costs to sell and are revalued at 30 June each year.</w:t>
      </w:r>
    </w:p>
    <w:p w:rsidR="000B4A1E" w:rsidRPr="00D00665" w:rsidRDefault="000B4A1E" w:rsidP="00517E51">
      <w:r w:rsidRPr="00D00665">
        <w:t>For breeding livestock, fair value is based on the amount that could be expected to be received from the disposal of livestock with similar attributes.</w:t>
      </w:r>
    </w:p>
    <w:p w:rsidR="000B4A1E" w:rsidRPr="00D00665" w:rsidRDefault="000B4A1E" w:rsidP="00517E51">
      <w:r w:rsidRPr="00D00665">
        <w:t>For productive trees, revaluation to fair value is determined using a discounted cash flow method based on expected net future cash flows, discounted by a current market determined rate. After harvest, productive trees are treated as inventories (refer to Note 1(K)).</w:t>
      </w:r>
    </w:p>
    <w:p w:rsidR="000B4A1E" w:rsidRPr="00D00665" w:rsidRDefault="000B4A1E" w:rsidP="00517E51">
      <w:r w:rsidRPr="00D00665">
        <w:t>An increase or decrease in the fair value of these biological assets is recognised in the consolidated comprehensive operating statement as an other economic flow.</w:t>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4"/>
      </w:pPr>
      <w:r w:rsidRPr="00D00665">
        <w:t>Other assets</w:t>
      </w:r>
    </w:p>
    <w:p w:rsidR="000B4A1E" w:rsidRPr="00D00665" w:rsidRDefault="000B4A1E" w:rsidP="00517E51">
      <w:pPr>
        <w:pStyle w:val="Heading5"/>
      </w:pPr>
      <w:r w:rsidRPr="00D00665">
        <w:t>Prepayments</w:t>
      </w:r>
    </w:p>
    <w:p w:rsidR="000B4A1E" w:rsidRPr="00D00665" w:rsidRDefault="000B4A1E" w:rsidP="00517E51">
      <w:r w:rsidRPr="00D00665">
        <w:t>Other non</w:t>
      </w:r>
      <w:r w:rsidRPr="00D00665">
        <w:noBreakHyphen/>
        <w:t>financial assets include prepayments which represent payments in advance of receipt of goods or services or that part of expenditure made in one accounting period covering a term extending beyond that period.</w:t>
      </w:r>
    </w:p>
    <w:p w:rsidR="000B4A1E" w:rsidRPr="00D00665" w:rsidRDefault="000B4A1E" w:rsidP="00517E51">
      <w:pPr>
        <w:pStyle w:val="Heading3Numbering"/>
      </w:pPr>
      <w:r w:rsidRPr="00D00665">
        <w:t>Liabilities</w:t>
      </w:r>
    </w:p>
    <w:p w:rsidR="000B4A1E" w:rsidRPr="00D00665" w:rsidRDefault="000B4A1E" w:rsidP="00517E51">
      <w:pPr>
        <w:pStyle w:val="Heading4"/>
      </w:pPr>
      <w:r w:rsidRPr="00D00665">
        <w:t>Deposits held and advances received</w:t>
      </w:r>
    </w:p>
    <w:p w:rsidR="000B4A1E" w:rsidRPr="00D00665" w:rsidRDefault="000B4A1E" w:rsidP="00517E51">
      <w:r w:rsidRPr="00D00665">
        <w:t>Deposits held include deposits, security deposits, and trust fund provisions held on behalf of public or private sector bodies. Advances received include loans and other repayable funds from public sector bodies for policy purposes.</w:t>
      </w:r>
    </w:p>
    <w:p w:rsidR="000B4A1E" w:rsidRPr="00D00665" w:rsidRDefault="000B4A1E" w:rsidP="00517E51">
      <w:r w:rsidRPr="00D00665">
        <w:t>Deposits held and advances received are categorised as financial liabilities at amortised cost (refer to Note 1(I)).</w:t>
      </w:r>
    </w:p>
    <w:p w:rsidR="000B4A1E" w:rsidRPr="00D00665" w:rsidRDefault="000B4A1E" w:rsidP="00517E51">
      <w:pPr>
        <w:pStyle w:val="Heading4"/>
      </w:pPr>
      <w:r w:rsidRPr="00D00665">
        <w:t>Payables</w:t>
      </w:r>
    </w:p>
    <w:p w:rsidR="000B4A1E" w:rsidRPr="00D00665" w:rsidRDefault="000B4A1E" w:rsidP="00517E51">
      <w:r w:rsidRPr="00D00665">
        <w:t>Payables consist of:</w:t>
      </w:r>
    </w:p>
    <w:p w:rsidR="000B4A1E" w:rsidRPr="00D00665" w:rsidRDefault="000B4A1E" w:rsidP="00517E51">
      <w:pPr>
        <w:pStyle w:val="BulletText"/>
      </w:pPr>
      <w:r w:rsidRPr="00D00665">
        <w:t>contractual payables, such as accounts payable, and unearned revenue liability including deferred revenue from concession notes. Accounts payable represent liabilities for goods and services provided to the State prior to the end of the financial year that are unpaid, and arise when the State becomes obliged to make future payments in respect of the purchase of those goods and services; and</w:t>
      </w:r>
    </w:p>
    <w:p w:rsidR="000B4A1E" w:rsidRPr="00D00665" w:rsidRDefault="000B4A1E" w:rsidP="00517E51">
      <w:pPr>
        <w:pStyle w:val="BulletText"/>
      </w:pPr>
      <w:r w:rsidRPr="00D00665">
        <w:t>statutory payables, such as goods and services tax and fringe benefits tax payables.</w:t>
      </w:r>
    </w:p>
    <w:p w:rsidR="000B4A1E" w:rsidRPr="00D00665" w:rsidRDefault="000B4A1E" w:rsidP="00517E51">
      <w:r w:rsidRPr="00D00665">
        <w:t>Contractual payables are classified as financial instruments and categorised as financial liabilities at amortised cost (refer to Note 1(I)). Statutory payables are recognised and measured similarly to contractual payables, but are not classified as financial instruments and not included in the category of financial liabilities at amortised cost, because they do not arise from a contract.</w:t>
      </w:r>
    </w:p>
    <w:p w:rsidR="000B4A1E" w:rsidRPr="00D00665" w:rsidRDefault="000B4A1E" w:rsidP="00517E51">
      <w:pPr>
        <w:pStyle w:val="Heading4"/>
      </w:pPr>
      <w:r w:rsidRPr="00D00665">
        <w:t>Borrowings</w:t>
      </w:r>
    </w:p>
    <w:p w:rsidR="000B4A1E" w:rsidRPr="00D00665" w:rsidRDefault="000B4A1E" w:rsidP="00517E51">
      <w:r w:rsidRPr="00D00665">
        <w:t>The State recognises borrowing costs immediately as an expense, even where they are directly attributable to the acquisition, construction or production of a qualifying asset.</w:t>
      </w:r>
    </w:p>
    <w:p w:rsidR="000B4A1E" w:rsidRPr="00D00665" w:rsidRDefault="000B4A1E" w:rsidP="00517E51">
      <w:r w:rsidRPr="00D00665">
        <w:t>All interest bearing liabilities are initially recognised at the fair value of the consideration received less directly attributable transaction costs. The measurement basis subsequent to initial recognition depends on whether the State has categorised its interest bearing liabilities as either, financial liabilities designated at fair value through profit or loss, or financial liabilities at amortised cost. The classification depends on the nature and purpose of the interest bearing liabilities. The State determines the classification of its interest bearing liabilities at initial recognition.</w:t>
      </w:r>
    </w:p>
    <w:p w:rsidR="000B4A1E" w:rsidRPr="00D00665" w:rsidRDefault="000B4A1E" w:rsidP="00517E51">
      <w:pPr>
        <w:pStyle w:val="Heading4"/>
      </w:pPr>
      <w:r w:rsidRPr="00D00665">
        <w:t>Employee benefits</w:t>
      </w:r>
    </w:p>
    <w:p w:rsidR="000B4A1E" w:rsidRPr="00D00665" w:rsidRDefault="000B4A1E" w:rsidP="00517E51">
      <w:r w:rsidRPr="00D00665">
        <w:t>Provision is made for benefits accruing to employees in respect of wages and salaries, annual leave and long service leave for services rendered to the reporting date.</w:t>
      </w:r>
    </w:p>
    <w:p w:rsidR="000B4A1E" w:rsidRPr="00D00665" w:rsidRDefault="000B4A1E">
      <w:pPr>
        <w:spacing w:after="0"/>
        <w:rPr>
          <w:rFonts w:ascii="Calibri" w:hAnsi="Calibri"/>
          <w:b/>
        </w:rPr>
      </w:pPr>
      <w:r w:rsidRPr="00D00665">
        <w:br w:type="page"/>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5"/>
      </w:pPr>
      <w:r w:rsidRPr="00D00665">
        <w:t>(i)</w:t>
      </w:r>
      <w:r w:rsidRPr="00D00665">
        <w:tab/>
        <w:t>Wages and salaries, annual leave and sick leave</w:t>
      </w:r>
    </w:p>
    <w:p w:rsidR="000B4A1E" w:rsidRPr="00D00665" w:rsidRDefault="000B4A1E" w:rsidP="00517E51">
      <w:r w:rsidRPr="00D00665">
        <w:t>Liabilities for wages and salaries, including non</w:t>
      </w:r>
      <w:r w:rsidRPr="00D00665">
        <w:noBreakHyphen/>
        <w:t>monetary benefits, annual leave and accumulated sick leave are recognised in the provision for employee benefits, classified as current liabilities. Those liabilities which are expected to be settled within 12 months of the reporting period, are measured at their nominal values.</w:t>
      </w:r>
    </w:p>
    <w:p w:rsidR="000B4A1E" w:rsidRPr="00D00665" w:rsidRDefault="000B4A1E" w:rsidP="00517E51">
      <w:r w:rsidRPr="00D00665">
        <w:t>Those liabilities that are not expected to be settled within 12 months are also recognised in the provision for employee benefits as current liabilities, but are measured at present value of the amounts expected to be paid when the liabilities are settled using the remuneration rate expected to apply at the time of settlement.</w:t>
      </w:r>
    </w:p>
    <w:p w:rsidR="000B4A1E" w:rsidRPr="00D00665" w:rsidRDefault="000B4A1E" w:rsidP="00517E51">
      <w:pPr>
        <w:pStyle w:val="Heading5"/>
      </w:pPr>
      <w:r w:rsidRPr="00D00665">
        <w:t>(ii)</w:t>
      </w:r>
      <w:r w:rsidRPr="00D00665">
        <w:tab/>
        <w:t>Long service leave</w:t>
      </w:r>
    </w:p>
    <w:p w:rsidR="000B4A1E" w:rsidRPr="00D00665" w:rsidRDefault="000B4A1E" w:rsidP="00517E51">
      <w:r w:rsidRPr="00D00665">
        <w:t>Liability for long service leave (LSL) is recognised in the provision for employee benefits.</w:t>
      </w:r>
    </w:p>
    <w:p w:rsidR="000B4A1E" w:rsidRPr="00D00665" w:rsidRDefault="000B4A1E" w:rsidP="00517E51">
      <w:r w:rsidRPr="00D00665">
        <w:t>Unconditional LSL is disclosed in the notes to the financial statements as a current liability; even where the State does not expect to settle the liability within 12 months because it will not have the unconditional right to defer the settlement of the entitlement should a</w:t>
      </w:r>
      <w:r>
        <w:t>n employee take leave within 12 </w:t>
      </w:r>
      <w:r w:rsidRPr="00D00665">
        <w:t xml:space="preserve">months. </w:t>
      </w:r>
    </w:p>
    <w:p w:rsidR="000B4A1E" w:rsidRPr="00D00665" w:rsidRDefault="000B4A1E" w:rsidP="00517E51">
      <w:r w:rsidRPr="00D00665">
        <w:t>The components of this current LSL liability are measured at:</w:t>
      </w:r>
    </w:p>
    <w:p w:rsidR="000B4A1E" w:rsidRPr="00D00665" w:rsidRDefault="000B4A1E" w:rsidP="00517E51">
      <w:pPr>
        <w:pStyle w:val="BulletText"/>
      </w:pPr>
      <w:r w:rsidRPr="00D00665">
        <w:t>nominal value</w:t>
      </w:r>
      <w:r>
        <w:t xml:space="preserve"> – </w:t>
      </w:r>
      <w:r w:rsidRPr="00D00665">
        <w:t>component that the State expects to settle within 12 months; and</w:t>
      </w:r>
    </w:p>
    <w:p w:rsidR="000B4A1E" w:rsidRPr="00D00665" w:rsidRDefault="000B4A1E" w:rsidP="00517E51">
      <w:pPr>
        <w:pStyle w:val="BulletText"/>
      </w:pPr>
      <w:r>
        <w:t xml:space="preserve">present value – </w:t>
      </w:r>
      <w:r w:rsidRPr="00D00665">
        <w:t>component that the State does not expect to settle within 12 months.</w:t>
      </w:r>
    </w:p>
    <w:p w:rsidR="000B4A1E" w:rsidRPr="00D00665" w:rsidRDefault="000B4A1E" w:rsidP="00517E51">
      <w:r w:rsidRPr="00D00665">
        <w:t>Conditional LSL is disclosed as a non</w:t>
      </w:r>
      <w:r w:rsidRPr="00D00665">
        <w:noBreakHyphen/>
        <w:t>current liability. There is an unconditional right to defer the settlement of the entitlement until the employee has completed the requisite years of service. This non</w:t>
      </w:r>
      <w:r w:rsidRPr="00D00665">
        <w:noBreakHyphen/>
        <w:t>current LSL liability is measured at present value.</w:t>
      </w:r>
    </w:p>
    <w:p w:rsidR="000B4A1E" w:rsidRPr="00D00665" w:rsidRDefault="000B4A1E" w:rsidP="00517E51">
      <w:r w:rsidRPr="00D00665">
        <w:t>Any gain or loss following revaluation of the present value of non</w:t>
      </w:r>
      <w:r w:rsidRPr="00D00665">
        <w:noBreakHyphen/>
        <w:t>current LSL liability is recognised as a transaction, except to the extent that a gain or loss arises due to changes in bond interest rates for which it is then recognised as an other economic flow in the net result.</w:t>
      </w:r>
    </w:p>
    <w:p w:rsidR="000B4A1E" w:rsidRPr="00D00665" w:rsidRDefault="000B4A1E" w:rsidP="00517E51">
      <w:pPr>
        <w:pStyle w:val="Heading5"/>
      </w:pPr>
      <w:r w:rsidRPr="00D00665">
        <w:t>(iii)</w:t>
      </w:r>
      <w:r w:rsidRPr="00D00665">
        <w:tab/>
        <w:t>Employee benefits on costs</w:t>
      </w:r>
    </w:p>
    <w:p w:rsidR="000B4A1E" w:rsidRPr="00D00665" w:rsidRDefault="000B4A1E" w:rsidP="00517E51">
      <w:pPr>
        <w:rPr>
          <w:i/>
        </w:rPr>
      </w:pPr>
      <w:r w:rsidRPr="00D00665">
        <w:t>Employee benefits on costs such as payroll tax, workers compensation and superannuation are recognised separately from the provision for employee benefits.</w:t>
      </w:r>
    </w:p>
    <w:p w:rsidR="000B4A1E" w:rsidRPr="00D00665" w:rsidRDefault="000B4A1E" w:rsidP="00517E51">
      <w:pPr>
        <w:pStyle w:val="Heading4"/>
      </w:pPr>
      <w:r w:rsidRPr="00D00665">
        <w:t>Superannuation</w:t>
      </w:r>
    </w:p>
    <w:p w:rsidR="000B4A1E" w:rsidRPr="00D00665" w:rsidRDefault="000B4A1E" w:rsidP="00517E51">
      <w:r w:rsidRPr="00D00665">
        <w:t xml:space="preserve">Defined benefit superannuation plans provide benefits based on years of service and final average salary. At each reporting date, a liability or asset in respect of defined benefit superannuation obligations is recognised. This is measured as the difference between the present value of accrued liabilities at the reporting date and the net market value of the superannuation plan assets at that date. </w:t>
      </w:r>
    </w:p>
    <w:p w:rsidR="000B4A1E" w:rsidRPr="00D00665" w:rsidRDefault="000B4A1E" w:rsidP="00517E51">
      <w:r w:rsidRPr="00D00665">
        <w:t>The present value of accrued liabilities is based on future payments which are expected to arise due to membership of the superannuation plan. Consideration is given to expected future salary levels and the experience of employee departures. In accordance with prevailing accounting standards, expected future payments are discounted to present values using rates applying to long</w:t>
      </w:r>
      <w:r w:rsidRPr="00D00665">
        <w:noBreakHyphen/>
        <w:t>term Commonwealth Government bonds. The inflation assumption is based on the relationship between nominal and index linked bond yields of similar duration. This approach ensures that the inflation assumption reflects market expectations and is compatible with the market</w:t>
      </w:r>
      <w:r w:rsidRPr="00D00665">
        <w:noBreakHyphen/>
        <w:t>based discount rate that is used to value the outstanding liability.</w:t>
      </w:r>
    </w:p>
    <w:p w:rsidR="000B4A1E" w:rsidRDefault="000B4A1E">
      <w:pPr>
        <w:spacing w:after="0"/>
        <w:rPr>
          <w:rFonts w:ascii="Calibri" w:hAnsi="Calibri"/>
          <w:b/>
          <w:sz w:val="28"/>
          <w:szCs w:val="22"/>
        </w:rPr>
      </w:pPr>
      <w:r>
        <w:br w:type="page"/>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4"/>
      </w:pPr>
      <w:r w:rsidRPr="00D00665">
        <w:t xml:space="preserve">Other provisions </w:t>
      </w:r>
    </w:p>
    <w:p w:rsidR="000B4A1E" w:rsidRPr="00D00665" w:rsidRDefault="000B4A1E" w:rsidP="00517E51">
      <w:r w:rsidRPr="00D00665">
        <w:t>Other provisions are recognised when the State has a present obligation, the future sacrifice of economic benefits is probable, and the amount of the provision can be measured reliably.</w:t>
      </w:r>
    </w:p>
    <w:p w:rsidR="000B4A1E" w:rsidRPr="00D00665" w:rsidRDefault="000B4A1E" w:rsidP="00517E51">
      <w:r w:rsidRPr="00D00665">
        <w:t>The amount recognised as a provision is the best estimate of the consideration required to settle the present obligation at reporting date, taking into account the risks and uncertainties surrounding the obligation. Where a provision is measured using the cash flows estimated to settle the present obligation, its carrying amount is the present value of those cash flows.</w:t>
      </w:r>
    </w:p>
    <w:p w:rsidR="000B4A1E" w:rsidRPr="00D00665" w:rsidRDefault="000B4A1E" w:rsidP="00517E51">
      <w:r w:rsidRPr="00D00665">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rsidR="000B4A1E" w:rsidRPr="00D00665" w:rsidRDefault="000B4A1E" w:rsidP="00517E51">
      <w:r w:rsidRPr="00D00665">
        <w:t xml:space="preserve">Other provisions include a liability for outstanding insurance claims, which is independently assessed by actuaries. This liability covers claims reported but not yet paid, claims incurred but not yet reported and the anticipated costs of settling those claims. </w:t>
      </w:r>
      <w:r>
        <w:t xml:space="preserve">Due to </w:t>
      </w:r>
      <w:r w:rsidRPr="00D00665">
        <w:t xml:space="preserve">the inherent uncertainty in the estimate of the outstanding insurance claims, a risk margin is included. The risk margin is set to increase the probability that the liability estimate will be sufficient. </w:t>
      </w:r>
    </w:p>
    <w:p w:rsidR="000B4A1E" w:rsidRPr="00D00665" w:rsidRDefault="000B4A1E" w:rsidP="00517E51">
      <w:r w:rsidRPr="00D00665">
        <w:t>The actuaries take into account projected inflation and other factors to arrive at expected future payments. These are then discounted at the reporting date using a market determined, risk</w:t>
      </w:r>
      <w:r w:rsidRPr="00D00665">
        <w:noBreakHyphen/>
        <w:t>free discount rate.</w:t>
      </w:r>
    </w:p>
    <w:p w:rsidR="000B4A1E" w:rsidRPr="00D00665" w:rsidRDefault="000B4A1E" w:rsidP="00517E51">
      <w:pPr>
        <w:pStyle w:val="Heading5"/>
      </w:pPr>
      <w:r w:rsidRPr="00D00665">
        <w:t>Onerous contracts</w:t>
      </w:r>
    </w:p>
    <w:p w:rsidR="000B4A1E" w:rsidRPr="00D00665" w:rsidRDefault="000B4A1E" w:rsidP="00517E51">
      <w:r w:rsidRPr="00D00665">
        <w:t>An onerous contract is considered to exist when the unavoidable cost of meeting the contractual obligations exceeds the estimated economic benefits to be received. Present obligations arising under onerous contracts are recognised as a provision to the extent that the present obligation exceeds the estimated economic benefits to be received.</w:t>
      </w:r>
    </w:p>
    <w:p w:rsidR="000B4A1E" w:rsidRPr="00D00665" w:rsidRDefault="000B4A1E" w:rsidP="00517E51">
      <w:pPr>
        <w:rPr>
          <w:rFonts w:ascii="Calibri" w:hAnsi="Calibri"/>
          <w:i/>
          <w:sz w:val="26"/>
          <w:szCs w:val="22"/>
        </w:rPr>
      </w:pPr>
      <w:r w:rsidRPr="00D00665">
        <w:t>The State</w:t>
      </w:r>
      <w:r>
        <w:t>’</w:t>
      </w:r>
      <w:r w:rsidRPr="00D00665">
        <w:t>s major onerous contractual obligations are for the supply of electri</w:t>
      </w:r>
      <w:r>
        <w:t>city to Alcoa of Australia </w:t>
      </w:r>
      <w:r w:rsidRPr="00D00665">
        <w:t>Ltd</w:t>
      </w:r>
      <w:r>
        <w:t>’</w:t>
      </w:r>
      <w:r w:rsidRPr="00D00665">
        <w:t>s aluminium smelters at Portland and Point Henry. A yea</w:t>
      </w:r>
      <w:r>
        <w:t>rly review of the contracts are </w:t>
      </w:r>
      <w:r w:rsidRPr="00D00665">
        <w:t>undertaken to remeasure the liability, taking into account the effec</w:t>
      </w:r>
      <w:r>
        <w:t>ts of market changes during the </w:t>
      </w:r>
      <w:r w:rsidRPr="00D00665">
        <w:t>year relating to the national electricity market and assumptions including aluminium prices, with reference to electricity prices.</w:t>
      </w:r>
    </w:p>
    <w:p w:rsidR="000B4A1E" w:rsidRPr="00D00665" w:rsidRDefault="000B4A1E" w:rsidP="00517E51">
      <w:pPr>
        <w:pStyle w:val="Heading4"/>
      </w:pPr>
      <w:r w:rsidRPr="00D00665">
        <w:t>Derecognition of financial liabilities</w:t>
      </w:r>
    </w:p>
    <w:p w:rsidR="000B4A1E" w:rsidRPr="00D00665" w:rsidRDefault="000B4A1E" w:rsidP="00517E51">
      <w:r w:rsidRPr="00D00665">
        <w:t>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consolidated comprehensive operating statement.</w:t>
      </w:r>
    </w:p>
    <w:p w:rsidR="000B4A1E" w:rsidRPr="00D00665" w:rsidRDefault="000B4A1E" w:rsidP="00517E51">
      <w:pPr>
        <w:pStyle w:val="Heading3Numbering"/>
      </w:pPr>
      <w:r w:rsidRPr="00D00665">
        <w:t>Leases</w:t>
      </w:r>
    </w:p>
    <w:p w:rsidR="000B4A1E" w:rsidRPr="00D00665" w:rsidRDefault="000B4A1E" w:rsidP="00517E51">
      <w:r w:rsidRPr="00D00665">
        <w:t>A lease is a right to use an asset for an agreed period of time in exchange for payment.</w:t>
      </w:r>
    </w:p>
    <w:p w:rsidR="000B4A1E" w:rsidRPr="00D00665" w:rsidRDefault="000B4A1E" w:rsidP="00517E51">
      <w:r w:rsidRPr="00D00665">
        <w:t>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For service concession arrangements (see Note 1(Q)), the commencement of the lease term is deemed to be the date the asset is commissioned. All other leases are classified as operating leases.</w:t>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4"/>
      </w:pPr>
      <w:r w:rsidRPr="00D00665">
        <w:t>Finance leases</w:t>
      </w:r>
    </w:p>
    <w:p w:rsidR="000B4A1E" w:rsidRPr="00D00665" w:rsidRDefault="000B4A1E" w:rsidP="00517E51">
      <w:pPr>
        <w:pStyle w:val="Heading5"/>
      </w:pPr>
      <w:r w:rsidRPr="00D00665">
        <w:t>State as lessor</w:t>
      </w:r>
    </w:p>
    <w:p w:rsidR="000B4A1E" w:rsidRPr="00D00665" w:rsidRDefault="000B4A1E" w:rsidP="00517E51">
      <w:r w:rsidRPr="00D00665">
        <w:t>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in order to reflect a constant periodic rate of return on the net investment outstanding in respect of the lease.</w:t>
      </w:r>
    </w:p>
    <w:p w:rsidR="000B4A1E" w:rsidRPr="00D00665" w:rsidRDefault="000B4A1E" w:rsidP="00517E51">
      <w:pPr>
        <w:pStyle w:val="Heading5"/>
      </w:pPr>
      <w:r w:rsidRPr="00D00665">
        <w:t>State as lessee</w:t>
      </w:r>
    </w:p>
    <w:p w:rsidR="000B4A1E" w:rsidRPr="00D00665" w:rsidRDefault="000B4A1E" w:rsidP="00517E51">
      <w:r w:rsidRPr="00D00665">
        <w:t>At the commencement of the lease term, finance leases are initially recognised as assets and liabilities at amounts equal to the fair value of the leased property or, if lower, the present value of the minimum lease payment, each determined at the inception of the lease. The leased asset is accounted for as a non</w:t>
      </w:r>
      <w:r w:rsidRPr="00D00665">
        <w:noBreakHyphen/>
        <w:t xml:space="preserve">financial physical asset and depreciated over the shorter of the estimated useful life of the asset or the term of the lease. </w:t>
      </w:r>
    </w:p>
    <w:p w:rsidR="000B4A1E" w:rsidRPr="00D00665" w:rsidRDefault="000B4A1E" w:rsidP="00517E51">
      <w:r w:rsidRPr="00D00665">
        <w:t xml:space="preserve">Minimum finance lease payments are apportioned between the reduction of the outstanding lease liability and the periodic finance expense which is calculated using the interest rate implicit in the lease and charged directly to the consolidated comprehensive operating statement. Contingent rentals associated with finance leases are recognised as an expense in the period in which they are incurred. </w:t>
      </w:r>
    </w:p>
    <w:p w:rsidR="000B4A1E" w:rsidRPr="00D00665" w:rsidRDefault="000B4A1E" w:rsidP="00517E51">
      <w:pPr>
        <w:pStyle w:val="Heading4"/>
      </w:pPr>
      <w:r w:rsidRPr="00D00665">
        <w:t>Operating leases</w:t>
      </w:r>
    </w:p>
    <w:p w:rsidR="000B4A1E" w:rsidRPr="00D00665" w:rsidRDefault="000B4A1E" w:rsidP="00517E51">
      <w:pPr>
        <w:pStyle w:val="Heading5"/>
      </w:pPr>
      <w:r w:rsidRPr="00D00665">
        <w:t>State as lessor</w:t>
      </w:r>
    </w:p>
    <w:p w:rsidR="000B4A1E" w:rsidRPr="00D00665" w:rsidRDefault="000B4A1E" w:rsidP="00517E51">
      <w:r w:rsidRPr="00D00665">
        <w:t>Rental revenue from operating leases is recognised on a straight line basis over the term of the relevant lease.</w:t>
      </w:r>
    </w:p>
    <w:p w:rsidR="000B4A1E" w:rsidRPr="00D00665" w:rsidRDefault="000B4A1E" w:rsidP="00517E51">
      <w:r w:rsidRPr="00D00665">
        <w:t>All incentives for the agreement of a new or renewed operating lease are recognised as an integral part of the net consideration agreed for the use of the leased asset, irrespective of the incentive</w:t>
      </w:r>
      <w:r>
        <w:t>’</w:t>
      </w:r>
      <w:r w:rsidRPr="00D00665">
        <w:t>s nature or form or the timing of payments.</w:t>
      </w:r>
    </w:p>
    <w:p w:rsidR="000B4A1E" w:rsidRPr="00D00665" w:rsidRDefault="000B4A1E" w:rsidP="00517E51">
      <w:r w:rsidRPr="00D00665">
        <w:t>In the event that lease incentives are given to the lessee, the aggregate cost of incentives are recognised as a reduction of rental revenue over the lease term on a straight line basis, unless another systematic basis is more representative of the time pattern over which the economic benefit of the leased asset is diminished.</w:t>
      </w:r>
    </w:p>
    <w:p w:rsidR="000B4A1E" w:rsidRPr="00D00665" w:rsidRDefault="000B4A1E" w:rsidP="00517E51">
      <w:pPr>
        <w:pStyle w:val="Heading5"/>
      </w:pPr>
      <w:r w:rsidRPr="00D00665">
        <w:t>State as lessee</w:t>
      </w:r>
    </w:p>
    <w:p w:rsidR="000B4A1E" w:rsidRPr="00D00665" w:rsidRDefault="000B4A1E" w:rsidP="00517E51">
      <w:r w:rsidRPr="00D00665">
        <w:t>Operating lease payments, including any contingent rentals, are recognised as an expense from transactions in the consolidated comprehensive operating statement on a straight line basis over the lease term, except where another systematic basis is more representative of the time pattern of the benefits derived from the use of the leased asset. The leased asset is not recognised in the balance sheet.</w:t>
      </w:r>
    </w:p>
    <w:p w:rsidR="000B4A1E" w:rsidRPr="00D00665" w:rsidRDefault="000B4A1E" w:rsidP="00517E51">
      <w:r w:rsidRPr="00D00665">
        <w:t>All incentives for the agreement of a new or renewed operating lease are recognised as an integral part of the net consideration agreed for the use of the leased asset, irrespective of the incentive</w:t>
      </w:r>
      <w:r>
        <w:t>’</w:t>
      </w:r>
      <w:r w:rsidRPr="00D00665">
        <w:t>s nature or form or the timing of payments.</w:t>
      </w:r>
    </w:p>
    <w:p w:rsidR="000B4A1E" w:rsidRPr="00D00665" w:rsidRDefault="000B4A1E" w:rsidP="00517E51">
      <w:r w:rsidRPr="00D00665">
        <w:t>In the event that lease incentives are received to enter into operating leases, the aggregate benefit of incentives are recognised as a reduction of rental expense over the lease term on a straight line basis, unless another systematic basis is more representative of the time pattern in which economic benefits from the leased asset are consumed.</w:t>
      </w:r>
    </w:p>
    <w:p w:rsidR="000B4A1E" w:rsidRPr="00D00665" w:rsidRDefault="000B4A1E">
      <w:pPr>
        <w:spacing w:after="0"/>
      </w:pPr>
      <w:r w:rsidRPr="00D00665">
        <w:br w:type="page"/>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3Numbering"/>
      </w:pPr>
      <w:r w:rsidRPr="00D00665">
        <w:t>Budgetary information for the general government sector</w:t>
      </w:r>
    </w:p>
    <w:p w:rsidR="000B4A1E" w:rsidRPr="00D00665" w:rsidRDefault="000B4A1E" w:rsidP="00517E51">
      <w:r w:rsidRPr="00D00665">
        <w:t>Note 31 presents the original and revised published budget estimates for the general government sector, and explains material variances between the budget estimates and actual outcomes as presented in these annual financial statements.</w:t>
      </w:r>
    </w:p>
    <w:p w:rsidR="000B4A1E" w:rsidRPr="00D00665" w:rsidRDefault="000B4A1E" w:rsidP="00517E51">
      <w:pPr>
        <w:pStyle w:val="Heading3Numbering"/>
      </w:pPr>
      <w:r w:rsidRPr="00D00665">
        <w:t>Commitments</w:t>
      </w:r>
    </w:p>
    <w:p w:rsidR="000B4A1E" w:rsidRPr="00D00665" w:rsidRDefault="000B4A1E" w:rsidP="00517E51">
      <w:r w:rsidRPr="00D00665">
        <w:t xml:space="preserve">Commitments for future expenditure include operating and capital commitments arising from contracts. These commitments are disclosed by way of a note (refer to Note 33 </w:t>
      </w:r>
      <w:r w:rsidRPr="00D00665">
        <w:rPr>
          <w:i/>
        </w:rPr>
        <w:t>Commitments</w:t>
      </w:r>
      <w:r w:rsidRPr="00D00665">
        <w:t xml:space="preserve">) at their nominal value and inclusive of the goods and services tax (GST) payable. Where it is considered appropriate and provides additional relevant information to users, the net present values of significant individual projects are stated. These future expenditures cease to be disclosed as commitments once the related liabilities are recognised in the consolidated balance sheet. </w:t>
      </w:r>
    </w:p>
    <w:p w:rsidR="000B4A1E" w:rsidRPr="00D00665" w:rsidRDefault="000B4A1E" w:rsidP="00517E51">
      <w:pPr>
        <w:pStyle w:val="Heading3Numbering"/>
      </w:pPr>
      <w:r w:rsidRPr="00D00665">
        <w:t>Contingent assets and liabilities</w:t>
      </w:r>
    </w:p>
    <w:p w:rsidR="000B4A1E" w:rsidRPr="00D00665" w:rsidRDefault="000B4A1E" w:rsidP="00517E51">
      <w:r w:rsidRPr="00D00665">
        <w:t xml:space="preserve">Contingent assets and liabilities are not recognised in the balance sheet but are disclosed by way of a note (refer to Note 34 </w:t>
      </w:r>
      <w:r w:rsidRPr="00D00665">
        <w:rPr>
          <w:i/>
        </w:rPr>
        <w:t>Contingent assets and contingent liabilities</w:t>
      </w:r>
      <w:r w:rsidRPr="00D00665">
        <w:t xml:space="preserve"> (State of Victoria)), and, if quantifiable, are measured at nominal value. Contingent assets and liabilities are presented inclusive of GST receivable or payable</w:t>
      </w:r>
      <w:r>
        <w:t>,</w:t>
      </w:r>
      <w:r w:rsidRPr="00D00665">
        <w:t xml:space="preserve"> respectively. </w:t>
      </w:r>
    </w:p>
    <w:p w:rsidR="000B4A1E" w:rsidRPr="00D00665" w:rsidRDefault="000B4A1E" w:rsidP="00517E51">
      <w:pPr>
        <w:pStyle w:val="Heading3Numbering"/>
      </w:pPr>
      <w:r w:rsidRPr="00D00665">
        <w:t>Service concession arrangements</w:t>
      </w:r>
    </w:p>
    <w:p w:rsidR="000B4A1E" w:rsidRPr="00D00665" w:rsidRDefault="000B4A1E" w:rsidP="00517E51">
      <w:r w:rsidRPr="00D00665">
        <w:t xml:space="preserve">The State sometimes enters into certain arrangements with private sector participants to design and construct or upgrade assets used to provide public services. These arrangements are typically complex and usually include the provision of operational and maintenance services for a specified period of time. These arrangements are often referred to as either public private partnerships (PPPs) or service concession arrangements (SCAs). </w:t>
      </w:r>
    </w:p>
    <w:p w:rsidR="000B4A1E" w:rsidRPr="00D00665" w:rsidRDefault="000B4A1E" w:rsidP="00517E51">
      <w:r w:rsidRPr="00D00665">
        <w:t>The SCAs usually take one of two main forms. In the more common form, the State pays the operator over the period of the arrangement, subject to specified performance criteria being met. At the date of commitment to the principal provisions of the arrangement, the estimated periodic payments are allocated between a component related to the design and construction or upgrading of the asset and components related to the ongoing operation and maintenance of the asset. The former component is accounted for as a lease payment in accordance with the lease policy (see Note 1(M)). The remaining components are accounted for as commitments for operating costs which are expensed in the comprehensive operating statement as they are incurred.</w:t>
      </w:r>
    </w:p>
    <w:p w:rsidR="000B4A1E" w:rsidRPr="00D00665" w:rsidRDefault="000B4A1E" w:rsidP="00517E51">
      <w:r w:rsidRPr="00D00665">
        <w:t xml:space="preserve">The other, less common form of SCA, is one in which the State grants to an operator, for a specified period of time, the right to collect fees from users of the SCA asset, in return for which the operator constructs the asset and has the obligation to supply agreed services, including maintenance of the asset for the period of the concession. These private sector entities typically lease land, and sometimes State works, from the State and construct infrastructure. At the end of the concession period, the land and state works, together with the constructed facilities, will be returned to the State. </w:t>
      </w:r>
    </w:p>
    <w:p w:rsidR="000B4A1E" w:rsidRPr="00D00665" w:rsidRDefault="000B4A1E" w:rsidP="00517E51">
      <w:r w:rsidRPr="00D00665">
        <w:t>Significant SCAs include the CityLink network, which has a nominal</w:t>
      </w:r>
      <w:r>
        <w:t xml:space="preserve"> term of 33.5 years expiring 15 </w:t>
      </w:r>
      <w:r w:rsidRPr="00D00665">
        <w:t>January 2034 and EastLink, with a nominal term of 35 years expiring 30 November 2043. There is currently no authoritative accounting guidance applicable to grantors (the State) on the recognition and measurement of the right of the State to receive assets from such concession arrangements. Due to the lack of such guidance, there has been no change to existing policy and those assets are not currently recognised.</w:t>
      </w:r>
    </w:p>
    <w:p w:rsidR="000B4A1E" w:rsidRPr="00D00665" w:rsidRDefault="000B4A1E">
      <w:pPr>
        <w:spacing w:after="0"/>
      </w:pPr>
      <w:r w:rsidRPr="00D00665">
        <w:br w:type="page"/>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Heading3Numbering"/>
      </w:pPr>
      <w:r w:rsidRPr="00D00665">
        <w:t>Accounting for the goods and services tax</w:t>
      </w:r>
    </w:p>
    <w:p w:rsidR="000B4A1E" w:rsidRPr="00D00665" w:rsidRDefault="000B4A1E" w:rsidP="00517E51">
      <w:r w:rsidRPr="00D00665">
        <w:t>Revenues, expenses and assets are recognised net of the amount of associated GST, except where the GST incurred is not recoverable from the taxation authority. In this case the GST payable is recognised as part of the cost of acquisition of an asset or part of an item of expense.</w:t>
      </w:r>
    </w:p>
    <w:p w:rsidR="000B4A1E" w:rsidRPr="00D00665" w:rsidRDefault="000B4A1E" w:rsidP="00517E51">
      <w:r w:rsidRPr="00D00665">
        <w:t>Receivables and payables are stated inclusive of GST receivable or payable. The net amount of GST recoverable from, or payable to, the taxation authority is included with other receivables or payables in the consolidated balance sheet.</w:t>
      </w:r>
    </w:p>
    <w:p w:rsidR="000B4A1E" w:rsidRPr="00D00665" w:rsidRDefault="000B4A1E" w:rsidP="00517E51">
      <w:r w:rsidRPr="00D00665">
        <w:t>Cash flows are presented on a gross basis. The GST components of cash flows arising from investing or financing activities which are recoverable from, or payable to, the taxation authority, are presented as an operating cash flow.</w:t>
      </w:r>
    </w:p>
    <w:p w:rsidR="000B4A1E" w:rsidRPr="00D00665" w:rsidRDefault="000B4A1E" w:rsidP="00517E51">
      <w:r w:rsidRPr="00D00665">
        <w:t>Commitments and contingent assets and liabilities are also stated inclusive of GST.</w:t>
      </w:r>
    </w:p>
    <w:p w:rsidR="000B4A1E" w:rsidRPr="00D00665" w:rsidRDefault="000B4A1E" w:rsidP="00517E51">
      <w:pPr>
        <w:pStyle w:val="Heading3Numbering"/>
      </w:pPr>
      <w:r w:rsidRPr="00D00665">
        <w:t>Foreign currency balances/transactions</w:t>
      </w:r>
    </w:p>
    <w:p w:rsidR="000B4A1E" w:rsidRPr="00D00665" w:rsidRDefault="000B4A1E" w:rsidP="00517E51">
      <w:r w:rsidRPr="00D00665">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w:t>
      </w:r>
      <w:r w:rsidRPr="00D00665">
        <w:noBreakHyphen/>
        <w:t xml:space="preserve">monetary assets carried at fair value that are denominated in foreign currencies are translated to the functional currency at the rates prevailing at the date when the fair value was determined. </w:t>
      </w:r>
    </w:p>
    <w:p w:rsidR="000B4A1E" w:rsidRPr="00D00665" w:rsidRDefault="000B4A1E" w:rsidP="00517E51">
      <w:r w:rsidRPr="00D00665">
        <w:t>Foreign currency translation differences are recognised in other economic flows in the consolidated comprehensive operating statement and accumulated in a separate component of equity, in the period in which they arise.</w:t>
      </w:r>
    </w:p>
    <w:p w:rsidR="000B4A1E" w:rsidRPr="00D00665" w:rsidRDefault="000B4A1E" w:rsidP="00517E51">
      <w:pPr>
        <w:pStyle w:val="Heading3Numbering"/>
      </w:pPr>
      <w:r w:rsidRPr="00D00665">
        <w:t>Australian Accounting Standards issued that are not yet effective</w:t>
      </w:r>
    </w:p>
    <w:p w:rsidR="000B4A1E" w:rsidRPr="00D00665" w:rsidRDefault="000B4A1E" w:rsidP="00517E51">
      <w:r w:rsidRPr="00D00665">
        <w:t>The following AASs have been issued by the AASB but are not yet effective. They become effective for the first consolidated financial statements for reporting periods commencing after the operative dates stated as follows:</w:t>
      </w:r>
    </w:p>
    <w:p w:rsidR="000B4A1E" w:rsidRPr="00D00665" w:rsidRDefault="000B4A1E" w:rsidP="00517E51">
      <w:pPr>
        <w:pStyle w:val="BulletText"/>
      </w:pPr>
      <w:r w:rsidRPr="00D00665">
        <w:t xml:space="preserve">AASB 9 </w:t>
      </w:r>
      <w:r w:rsidRPr="00D00665">
        <w:rPr>
          <w:i/>
        </w:rPr>
        <w:t>Financial Instruments</w:t>
      </w:r>
      <w:r w:rsidRPr="00D00665">
        <w:t>, operative from 1 January 2015 with early adoption permitted. This standard simplifies requirements for the classification and measurement of financial assets and replaces these requirements in AASB 139 </w:t>
      </w:r>
      <w:r w:rsidRPr="00D00665">
        <w:rPr>
          <w:i/>
        </w:rPr>
        <w:t>Financial Instruments: Recognition and Measurement</w:t>
      </w:r>
      <w:r w:rsidRPr="00D00665">
        <w:t>. AASB is currently considering further changes to AASB 9, and once finalised, the State will assess the reporting impacts.</w:t>
      </w:r>
    </w:p>
    <w:p w:rsidR="000B4A1E" w:rsidRPr="00D00665" w:rsidRDefault="000B4A1E" w:rsidP="00517E51">
      <w:pPr>
        <w:pStyle w:val="BulletText"/>
      </w:pPr>
      <w:r w:rsidRPr="00D00665">
        <w:t xml:space="preserve">AASB 10 </w:t>
      </w:r>
      <w:r w:rsidRPr="00D00665">
        <w:rPr>
          <w:i/>
        </w:rPr>
        <w:t>Consolidated Financial Statements</w:t>
      </w:r>
      <w:r w:rsidRPr="00D00665">
        <w:t xml:space="preserve">, operative from 1 January 2014 for NFP entities. Once applicable, this Standard replaces those requirements in AASB 127 </w:t>
      </w:r>
      <w:r w:rsidRPr="00D00665">
        <w:rPr>
          <w:i/>
        </w:rPr>
        <w:t>Consolidated and Separate Financial Statements</w:t>
      </w:r>
      <w:r w:rsidRPr="00D00665">
        <w:t xml:space="preserve"> and Interpretation 112 </w:t>
      </w:r>
      <w:r w:rsidRPr="00D00665">
        <w:rPr>
          <w:i/>
        </w:rPr>
        <w:t>Consolidation – Special Purpose Entities</w:t>
      </w:r>
      <w:r w:rsidRPr="00D00665">
        <w:t xml:space="preserve">. Similar to AASB 127, the new Standard focuses on </w:t>
      </w:r>
      <w:r>
        <w:t>‘</w:t>
      </w:r>
      <w:r w:rsidRPr="00D00665">
        <w:t>control</w:t>
      </w:r>
      <w:r>
        <w:t>’</w:t>
      </w:r>
      <w:r w:rsidRPr="00D00665">
        <w:t xml:space="preserve"> in determining whether an entity needs to consolidate another entity. However, the criteria to assess </w:t>
      </w:r>
      <w:r>
        <w:t>‘</w:t>
      </w:r>
      <w:r w:rsidRPr="00D00665">
        <w:t>control</w:t>
      </w:r>
      <w:r>
        <w:t>’</w:t>
      </w:r>
      <w:r w:rsidRPr="00D00665">
        <w:t xml:space="preserve"> under the new Standard have changed. Three criteria are required to assess whether control exists, being: the entity</w:t>
      </w:r>
      <w:r>
        <w:t>’</w:t>
      </w:r>
      <w:r w:rsidRPr="00D00665">
        <w:t>s right over an investee; the entity</w:t>
      </w:r>
      <w:r>
        <w:t>’</w:t>
      </w:r>
      <w:r w:rsidRPr="00D00665">
        <w:t xml:space="preserve">s exposure, or rights to variable returns from an investee; and the ability to affect those returns through power over an investee. The principles in AASB 10 are now being assessed by the AASB in a NFP context. Once finalised, the State will reassess its relationships with other entities and the potential consolidation implications. </w:t>
      </w:r>
    </w:p>
    <w:p w:rsidR="000B4A1E" w:rsidRPr="00D00665" w:rsidRDefault="000B4A1E">
      <w:pPr>
        <w:spacing w:after="0"/>
      </w:pPr>
      <w:r w:rsidRPr="00D00665">
        <w:br w:type="page"/>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pStyle w:val="BulletText"/>
      </w:pPr>
      <w:r w:rsidRPr="00D00665">
        <w:t xml:space="preserve">AASB 11 </w:t>
      </w:r>
      <w:r w:rsidRPr="00D00665">
        <w:rPr>
          <w:i/>
        </w:rPr>
        <w:t>Joint Arrangements</w:t>
      </w:r>
      <w:r w:rsidRPr="00D00665">
        <w:t xml:space="preserve">, operative from 1 January 2014 for NFP entities. This Standard requires entities that have an interest in arrangements that are jointly controlled to assess whether the arrangement is a joint operation or joint venture. If the arrangement is assessed to be a joint operation, it shall be accounted for in accordance with AASB 11. If the arrangement is assessed to be a joint venture, it shall be accounted for in accordance with AASB 128 </w:t>
      </w:r>
      <w:r w:rsidRPr="00D00665">
        <w:rPr>
          <w:i/>
        </w:rPr>
        <w:t>Investments in Associates and Joint Ventures</w:t>
      </w:r>
      <w:r w:rsidRPr="00D00665">
        <w:t xml:space="preserve"> (see below). AASB 11 replaces those requirements in AASB 131 </w:t>
      </w:r>
      <w:r w:rsidRPr="00D00665">
        <w:rPr>
          <w:i/>
        </w:rPr>
        <w:t>Interests in Joint Ventures</w:t>
      </w:r>
      <w:r w:rsidRPr="00D00665">
        <w:t>. The principles in AASB 11 are now being assessed by the AASB in a NFP context. Once finalised, the State will assess the potential implications of the Standard.</w:t>
      </w:r>
    </w:p>
    <w:p w:rsidR="000B4A1E" w:rsidRPr="00D00665" w:rsidRDefault="000B4A1E" w:rsidP="00517E51">
      <w:pPr>
        <w:pStyle w:val="BulletText"/>
      </w:pPr>
      <w:r w:rsidRPr="00D00665">
        <w:t xml:space="preserve">AASB 12 </w:t>
      </w:r>
      <w:r w:rsidRPr="00D00665">
        <w:rPr>
          <w:i/>
        </w:rPr>
        <w:t>Disclosure of Interests in Other Entities</w:t>
      </w:r>
      <w:r w:rsidRPr="00D00665">
        <w:t xml:space="preserve">, operative from 1 January 2014 for NFP entities. This Standard requires disclosure of information that enables users of financial statements to evaluate the nature of, and risks associated with, interests in other entities and the effects of those interests on the financial statements. This Standard replaces the disclosure requirements in AASB 127 </w:t>
      </w:r>
      <w:r w:rsidRPr="00D00665">
        <w:rPr>
          <w:i/>
        </w:rPr>
        <w:t>Separate Financial Statements</w:t>
      </w:r>
      <w:r w:rsidRPr="00D00665">
        <w:t xml:space="preserve"> and AASB 131 </w:t>
      </w:r>
      <w:r w:rsidRPr="00D00665">
        <w:rPr>
          <w:i/>
        </w:rPr>
        <w:t>Interests in Joint Ventures</w:t>
      </w:r>
      <w:r w:rsidRPr="00D00665">
        <w:t>. The principles in AASB 12 are now being assessed by the AASB in a NFP context. Once finalised, the State will assess the potential implications of the Standard.</w:t>
      </w:r>
    </w:p>
    <w:p w:rsidR="000B4A1E" w:rsidRPr="00D00665" w:rsidRDefault="000B4A1E" w:rsidP="00517E51">
      <w:pPr>
        <w:pStyle w:val="BulletText"/>
      </w:pPr>
      <w:r w:rsidRPr="00D00665">
        <w:t xml:space="preserve">AASB 13 </w:t>
      </w:r>
      <w:r w:rsidRPr="00D00665">
        <w:rPr>
          <w:i/>
        </w:rPr>
        <w:t>Fair Value Measurement</w:t>
      </w:r>
      <w:r w:rsidRPr="00D00665">
        <w:t xml:space="preserve">, operative for reporting periods beginning on or after 1 January 2013. This Standard streamlines the guidance for measuring assets and liabilities at fair value as well as the resultant disclosure requirements. </w:t>
      </w:r>
    </w:p>
    <w:p w:rsidR="000B4A1E" w:rsidRPr="00D00665" w:rsidRDefault="000B4A1E" w:rsidP="00517E51">
      <w:pPr>
        <w:ind w:left="360"/>
      </w:pPr>
      <w:r w:rsidRPr="00D00665">
        <w:t>One of the potential impacts relates to the valuation of non</w:t>
      </w:r>
      <w:r w:rsidRPr="00D00665">
        <w:noBreakHyphen/>
        <w:t>financial physical assets. AASB 13 requires assessing the assets</w:t>
      </w:r>
      <w:r>
        <w:t>’</w:t>
      </w:r>
      <w:r w:rsidRPr="00D00665">
        <w:t xml:space="preserve"> fair value based on its </w:t>
      </w:r>
      <w:r>
        <w:t>‘</w:t>
      </w:r>
      <w:r w:rsidRPr="00D00665">
        <w:t>highest and best use</w:t>
      </w:r>
      <w:r>
        <w:t>’</w:t>
      </w:r>
      <w:r w:rsidRPr="00D00665">
        <w:t xml:space="preserve"> from a market participant</w:t>
      </w:r>
      <w:r>
        <w:t>’</w:t>
      </w:r>
      <w:r w:rsidRPr="00D00665">
        <w:t xml:space="preserve">s perspective. For example, the current fair value of a building might vary if a market participant is able to identify better uses for the building. On the other hand, for assets subject to restrictive use, such as heritage buildings and botanic gardens, the fair value is unlikely to be affected by the new Standard. </w:t>
      </w:r>
    </w:p>
    <w:p w:rsidR="000B4A1E" w:rsidRPr="00D00665" w:rsidRDefault="000B4A1E" w:rsidP="00517E51">
      <w:pPr>
        <w:ind w:left="360"/>
      </w:pPr>
      <w:r w:rsidRPr="00D00665">
        <w:t xml:space="preserve">The disclosures on the </w:t>
      </w:r>
      <w:r>
        <w:t>‘</w:t>
      </w:r>
      <w:r w:rsidRPr="00D00665">
        <w:t>fair value hierarchy</w:t>
      </w:r>
      <w:r>
        <w:t>’</w:t>
      </w:r>
      <w:r w:rsidRPr="00D00665">
        <w:t xml:space="preserve"> first introduced for financial instruments is now extended to all assets and liabilities. </w:t>
      </w:r>
      <w:bookmarkStart w:id="18" w:name="OLE_LINK1"/>
      <w:bookmarkStart w:id="19" w:name="OLE_LINK2"/>
      <w:r w:rsidRPr="00D00665">
        <w:t xml:space="preserve">Disclosures for fair value measurements using unobservable inputs are relatively detailed compared to disclosures for fair value measurements using observable </w:t>
      </w:r>
      <w:bookmarkEnd w:id="18"/>
      <w:bookmarkEnd w:id="19"/>
      <w:r w:rsidRPr="00D00665">
        <w:t>inputs. Consequently, the Standard may increase the disclosures required for non</w:t>
      </w:r>
      <w:r w:rsidRPr="00D00665">
        <w:noBreakHyphen/>
        <w:t>financial physical assets measured using depreciated replacement cost.</w:t>
      </w:r>
    </w:p>
    <w:p w:rsidR="000B4A1E" w:rsidRPr="00D00665" w:rsidRDefault="000B4A1E" w:rsidP="00517E51">
      <w:pPr>
        <w:pStyle w:val="BulletText"/>
      </w:pPr>
      <w:r w:rsidRPr="00D00665">
        <w:t xml:space="preserve">AASB 119 </w:t>
      </w:r>
      <w:r w:rsidRPr="00D00665">
        <w:rPr>
          <w:i/>
        </w:rPr>
        <w:t>Employee Benefits</w:t>
      </w:r>
      <w:r w:rsidRPr="00D00665">
        <w:t xml:space="preserve">, operative for reporting periods beginning on or after 1 January 2013. This Standard replaces AASB 119 (December 2004, as amended), with revised accounting and disclosure requirements for employee benefits. </w:t>
      </w:r>
    </w:p>
    <w:p w:rsidR="000B4A1E" w:rsidRPr="00D00665" w:rsidRDefault="000B4A1E" w:rsidP="00517E51">
      <w:pPr>
        <w:ind w:left="360"/>
      </w:pPr>
      <w:r w:rsidRPr="00D00665">
        <w:t>The revised Standard changes the way defined benefit superannuation costs are presented in the comprehensive operating statement. More specifically, the revised AASB 119 requires a net interest cost to be calculated using the discount rate (a long</w:t>
      </w:r>
      <w:r w:rsidRPr="00D00665">
        <w:noBreakHyphen/>
        <w:t>term Commonwealth Government bond rate) without reference to the expected rate of investment return on plan assets, as was previously the case. This increases the reported net superannuation interest associated with the superannuation liabilities, and is estimated to negatively impact on the State and the general government sector</w:t>
      </w:r>
      <w:r>
        <w:t>’</w:t>
      </w:r>
      <w:r w:rsidRPr="00D00665">
        <w:t>s net result from transactions by approximately $600</w:t>
      </w:r>
      <w:r>
        <w:t> million</w:t>
      </w:r>
      <w:r w:rsidRPr="00D00665">
        <w:t>, as estimated in the 2013</w:t>
      </w:r>
      <w:r w:rsidRPr="00D00665">
        <w:noBreakHyphen/>
        <w:t xml:space="preserve">14 Budget Paper No. 5 </w:t>
      </w:r>
      <w:r w:rsidRPr="00D00665">
        <w:rPr>
          <w:i/>
        </w:rPr>
        <w:t>Statement of Finances</w:t>
      </w:r>
      <w:r w:rsidRPr="00D00665">
        <w:t xml:space="preserve">. </w:t>
      </w:r>
    </w:p>
    <w:p w:rsidR="000B4A1E" w:rsidRPr="00D00665" w:rsidRDefault="000B4A1E" w:rsidP="00517E51">
      <w:pPr>
        <w:ind w:left="360"/>
      </w:pPr>
      <w:r w:rsidRPr="00D00665">
        <w:t>However, the overall estimated cost of defined benefit superannuation liabilities will not change, as any increase in net superannuation interest will be offset by a corresponding increase in other comprehensive income to take into account the expected return on plan assets. The estimated superannuation liabilities will remain unchanged under the revised standard.</w:t>
      </w:r>
    </w:p>
    <w:p w:rsidR="000B4A1E" w:rsidRPr="00D00665" w:rsidRDefault="000B4A1E">
      <w:pPr>
        <w:spacing w:after="0"/>
      </w:pPr>
      <w:r w:rsidRPr="00D00665">
        <w:br w:type="page"/>
      </w:r>
    </w:p>
    <w:p w:rsidR="000B4A1E" w:rsidRPr="00D00665" w:rsidRDefault="000B4A1E" w:rsidP="00517E51">
      <w:pPr>
        <w:pStyle w:val="Heading2NotesContd"/>
        <w:rPr>
          <w:i/>
        </w:rPr>
      </w:pPr>
      <w:r w:rsidRPr="00D00665">
        <w:lastRenderedPageBreak/>
        <w:t>Note 1:</w:t>
      </w:r>
      <w:r w:rsidRPr="00D00665">
        <w:tab/>
        <w:t xml:space="preserve">Summary of significant accounting policies </w:t>
      </w:r>
      <w:r w:rsidRPr="00D00665">
        <w:rPr>
          <w:i/>
        </w:rPr>
        <w:t>(continued)</w:t>
      </w:r>
    </w:p>
    <w:p w:rsidR="000B4A1E" w:rsidRPr="00D00665" w:rsidRDefault="000B4A1E" w:rsidP="00517E51">
      <w:pPr>
        <w:ind w:left="360"/>
      </w:pPr>
      <w:r w:rsidRPr="00D00665">
        <w:t>The revised AASB 119 also tightens the requirements in classifying short</w:t>
      </w:r>
      <w:r w:rsidRPr="00D00665">
        <w:noBreakHyphen/>
        <w:t>term employee benefits. Currently all annual leave provisions are classified as short</w:t>
      </w:r>
      <w:r w:rsidRPr="00D00665">
        <w:noBreakHyphen/>
        <w:t>term employee benefits and measured on a non</w:t>
      </w:r>
      <w:r w:rsidRPr="00D00665">
        <w:noBreakHyphen/>
        <w:t>discounted basis. However, the revised AASB 119 only permits employee benefits that are expected to be settled wholly within 12 months to be classified as short</w:t>
      </w:r>
      <w:r w:rsidRPr="00D00665">
        <w:noBreakHyphen/>
        <w:t>term employee benefits. As a consequence, employee benefits that are not expected to be settled</w:t>
      </w:r>
      <w:r>
        <w:t xml:space="preserve"> wholly within 12 </w:t>
      </w:r>
      <w:r w:rsidRPr="00D00665">
        <w:t>months will be classified as long</w:t>
      </w:r>
      <w:r w:rsidRPr="00D00665">
        <w:noBreakHyphen/>
        <w:t>term employee benefits and will be measured at present value similar to long service leave.</w:t>
      </w:r>
    </w:p>
    <w:p w:rsidR="000B4A1E" w:rsidRPr="00D00665" w:rsidRDefault="000B4A1E" w:rsidP="00517E51">
      <w:pPr>
        <w:pStyle w:val="BulletText"/>
      </w:pPr>
      <w:r w:rsidRPr="00D00665">
        <w:t xml:space="preserve">AASB 127 </w:t>
      </w:r>
      <w:r w:rsidRPr="00D00665">
        <w:rPr>
          <w:i/>
        </w:rPr>
        <w:t>Separate Financial Statements</w:t>
      </w:r>
      <w:r w:rsidRPr="00D00665">
        <w:t>, operative from 1 January 2014 for NFP entities. This revised Standard prescribes the accounting and disclosure requirements for investments in subsidiaries, joint ventures and associates when an entity prepares separate financial statements. The principles in this revised Standard are now being assessed by the AASB in a NFP context. Once finalised, the State will assess the potential implications of the Standard.</w:t>
      </w:r>
    </w:p>
    <w:p w:rsidR="000B4A1E" w:rsidRPr="00D00665" w:rsidRDefault="000B4A1E" w:rsidP="00517E51">
      <w:pPr>
        <w:pStyle w:val="BulletText"/>
      </w:pPr>
      <w:r w:rsidRPr="00D00665">
        <w:t xml:space="preserve">AASB 128 </w:t>
      </w:r>
      <w:r w:rsidRPr="00D00665">
        <w:rPr>
          <w:i/>
        </w:rPr>
        <w:t>Investments in Associates and Joint Ventures</w:t>
      </w:r>
      <w:r w:rsidRPr="00D00665">
        <w:t>, operative from 1 January 2014 for NFP entities. This revised Standard sets out the requirements for the application of the equity method when accounting for investments in associates and joint ventures. The principles in this revised Standard are now being assessed by the AASB in a NFP context. Once finalised, the State will assess the potential implications of the Standard.</w:t>
      </w:r>
    </w:p>
    <w:p w:rsidR="000B4A1E" w:rsidRPr="00D00665" w:rsidRDefault="000B4A1E" w:rsidP="00517E51">
      <w:pPr>
        <w:pStyle w:val="BulletText"/>
      </w:pPr>
      <w:r w:rsidRPr="00D00665">
        <w:t xml:space="preserve">AASB 1055 </w:t>
      </w:r>
      <w:r w:rsidRPr="00D00665">
        <w:rPr>
          <w:i/>
        </w:rPr>
        <w:t>Budgetary Reporting</w:t>
      </w:r>
      <w:r w:rsidRPr="00D00665">
        <w:t>, operative from 1 January 2014. This Standard sets out the budgetary reporting requirements for the whole of government, the general government sector, as well as for NFP entities in the general government sector to the extent that separate budgetary information is presented to Parliament. From the whole of government and general government sector</w:t>
      </w:r>
      <w:r>
        <w:t>’</w:t>
      </w:r>
      <w:r w:rsidRPr="00D00665">
        <w:t xml:space="preserve">s perspective, this Standard replicates the budgetary disclosure requirements that currently exist in AASB 1049 and therefore will not result in any impacts on reporting. </w:t>
      </w:r>
    </w:p>
    <w:p w:rsidR="000B4A1E" w:rsidRPr="00D00665" w:rsidRDefault="000B4A1E" w:rsidP="00517E51">
      <w:r w:rsidRPr="00D00665">
        <w:t>Several other amending standards and AASB Interpretations have been issued that are applicable for future reporting periods which have insignificant impacts on public sector reporting.</w:t>
      </w:r>
    </w:p>
    <w:p w:rsidR="000B4A1E" w:rsidRPr="00D00665" w:rsidRDefault="000B4A1E" w:rsidP="00517E51">
      <w:pPr>
        <w:rPr>
          <w:rFonts w:ascii="Calibri" w:hAnsi="Calibri"/>
          <w:b/>
          <w:i/>
          <w:kern w:val="28"/>
          <w:sz w:val="26"/>
          <w:szCs w:val="22"/>
        </w:rPr>
      </w:pPr>
      <w:r w:rsidRPr="00D00665">
        <w:t>At this stage, there is no intention to early adopt the above accounting standards.</w:t>
      </w:r>
    </w:p>
    <w:p w:rsidR="000B4A1E" w:rsidRPr="00D00665" w:rsidRDefault="000B4A1E" w:rsidP="00517E51">
      <w:pPr>
        <w:keepNext/>
        <w:tabs>
          <w:tab w:val="left" w:pos="504"/>
          <w:tab w:val="num" w:pos="720"/>
        </w:tabs>
        <w:spacing w:before="240"/>
        <w:ind w:left="720" w:hanging="720"/>
        <w:outlineLvl w:val="2"/>
        <w:rPr>
          <w:rFonts w:ascii="Calibri" w:hAnsi="Calibri"/>
          <w:b/>
          <w:i/>
          <w:kern w:val="28"/>
          <w:sz w:val="26"/>
          <w:szCs w:val="22"/>
        </w:rPr>
      </w:pPr>
      <w:r w:rsidRPr="00D00665">
        <w:rPr>
          <w:rFonts w:ascii="Calibri" w:hAnsi="Calibri"/>
          <w:b/>
          <w:i/>
          <w:kern w:val="28"/>
          <w:sz w:val="26"/>
          <w:szCs w:val="22"/>
        </w:rPr>
        <w:t>Events after the reporting period</w:t>
      </w:r>
    </w:p>
    <w:p w:rsidR="000B4A1E" w:rsidRPr="00D00665" w:rsidRDefault="000B4A1E" w:rsidP="00517E51">
      <w:r w:rsidRPr="00D00665">
        <w:t xml:space="preserve">Assets, liabilities, revenues or expenses arise from past transactions or other past events. Adjustments are made to amounts recognised in the financial statements for events which occur after the reporting period and before the date the statements are authorised for issue, where those events provide information about conditions which existed at the reporting date. If required, note disclosure is made about events that occur between the end of the reporting period and the date the statements are authorised for issue where the events relate to conditions which arose after the reporting period that are considered to be of material interest (refer to Note 37 </w:t>
      </w:r>
      <w:r w:rsidRPr="00D00665">
        <w:rPr>
          <w:i/>
        </w:rPr>
        <w:t>Subsequent events</w:t>
      </w:r>
      <w:r w:rsidRPr="00D00665">
        <w:t>).</w:t>
      </w:r>
    </w:p>
    <w:p w:rsidR="000B4A1E" w:rsidRPr="00D00665" w:rsidRDefault="000B4A1E" w:rsidP="00517E51"/>
    <w:p w:rsidR="000B4A1E" w:rsidRPr="00D00665" w:rsidRDefault="000B4A1E" w:rsidP="00517E51">
      <w:pPr>
        <w:pStyle w:val="Heading2Notes"/>
      </w:pPr>
      <w:r w:rsidRPr="00D00665">
        <w:br w:type="page"/>
      </w:r>
      <w:bookmarkStart w:id="20" w:name="_Toc367947861"/>
      <w:r w:rsidRPr="00D00665">
        <w:lastRenderedPageBreak/>
        <w:t>Note 2:</w:t>
      </w:r>
      <w:r w:rsidRPr="00D00665">
        <w:tab/>
        <w:t>Disaggregated Information</w:t>
      </w:r>
      <w:bookmarkEnd w:id="20"/>
    </w:p>
    <w:p w:rsidR="000B4A1E" w:rsidRPr="00D00665" w:rsidRDefault="000B4A1E" w:rsidP="00517E51">
      <w:pPr>
        <w:pStyle w:val="Heading2"/>
      </w:pPr>
      <w:r w:rsidRPr="00D00665">
        <w:t>Disaggregated operating statement for the financial year ended 30 June</w:t>
      </w:r>
    </w:p>
    <w:p w:rsidR="000B4A1E" w:rsidRPr="003E2DBE" w:rsidRDefault="000B4A1E" w:rsidP="00517E51">
      <w:pPr>
        <w:pStyle w:val="million"/>
        <w:rPr>
          <w:sz w:val="21"/>
          <w:szCs w:val="21"/>
        </w:rPr>
      </w:pPr>
      <w:r w:rsidRPr="00D00665">
        <w:t>($</w:t>
      </w:r>
      <w:r>
        <w:t> million</w:t>
      </w:r>
      <w:r w:rsidR="00667BF1">
        <w:t>)</w:t>
      </w:r>
    </w:p>
    <w:tbl>
      <w:tblPr>
        <w:tblW w:w="9634" w:type="dxa"/>
        <w:tblInd w:w="29" w:type="dxa"/>
        <w:tblLayout w:type="fixed"/>
        <w:tblCellMar>
          <w:left w:w="43" w:type="dxa"/>
          <w:right w:w="43" w:type="dxa"/>
        </w:tblCellMar>
        <w:tblLook w:val="0000" w:firstRow="0" w:lastRow="0" w:firstColumn="0" w:lastColumn="0" w:noHBand="0" w:noVBand="0"/>
      </w:tblPr>
      <w:tblGrid>
        <w:gridCol w:w="5414"/>
        <w:gridCol w:w="172"/>
        <w:gridCol w:w="810"/>
        <w:gridCol w:w="1079"/>
        <w:gridCol w:w="268"/>
        <w:gridCol w:w="811"/>
        <w:gridCol w:w="1080"/>
      </w:tblGrid>
      <w:tr w:rsidR="000B4A1E" w:rsidRPr="003E2DBE" w:rsidTr="00517E51">
        <w:trPr>
          <w:trHeight w:val="455"/>
        </w:trPr>
        <w:tc>
          <w:tcPr>
            <w:tcW w:w="5414" w:type="dxa"/>
            <w:tcBorders>
              <w:top w:val="single" w:sz="12" w:space="0" w:color="auto"/>
              <w:left w:val="single" w:sz="12" w:space="0" w:color="auto"/>
              <w:bottom w:val="nil"/>
              <w:right w:val="nil"/>
            </w:tcBorders>
            <w:shd w:val="clear" w:color="auto" w:fill="000000"/>
          </w:tcPr>
          <w:p w:rsidR="000B4A1E" w:rsidRPr="003E2DBE" w:rsidRDefault="000B4A1E" w:rsidP="00517E51">
            <w:pPr>
              <w:pStyle w:val="Tabletext"/>
              <w:rPr>
                <w:sz w:val="19"/>
                <w:szCs w:val="20"/>
                <w:lang w:eastAsia="en-AU"/>
              </w:rPr>
            </w:pPr>
            <w:r w:rsidRPr="003E2DBE">
              <w:rPr>
                <w:sz w:val="19"/>
                <w:szCs w:val="20"/>
                <w:lang w:eastAsia="en-AU"/>
              </w:rPr>
              <w:t xml:space="preserve"> </w:t>
            </w:r>
          </w:p>
        </w:tc>
        <w:tc>
          <w:tcPr>
            <w:tcW w:w="172" w:type="dxa"/>
            <w:tcBorders>
              <w:top w:val="single" w:sz="12" w:space="0" w:color="auto"/>
              <w:left w:val="nil"/>
              <w:bottom w:val="nil"/>
              <w:right w:val="nil"/>
            </w:tcBorders>
            <w:shd w:val="clear" w:color="auto" w:fill="000000"/>
          </w:tcPr>
          <w:p w:rsidR="000B4A1E" w:rsidRPr="003E2DBE" w:rsidRDefault="000B4A1E" w:rsidP="00517E51">
            <w:pPr>
              <w:pStyle w:val="TabletextheadingCentred"/>
              <w:rPr>
                <w:sz w:val="19"/>
                <w:szCs w:val="20"/>
                <w:lang w:eastAsia="en-AU"/>
              </w:rPr>
            </w:pPr>
            <w:r w:rsidRPr="003E2DBE">
              <w:rPr>
                <w:sz w:val="19"/>
                <w:szCs w:val="20"/>
                <w:lang w:eastAsia="en-AU"/>
              </w:rPr>
              <w:t xml:space="preserve"> </w:t>
            </w:r>
          </w:p>
        </w:tc>
        <w:tc>
          <w:tcPr>
            <w:tcW w:w="1889" w:type="dxa"/>
            <w:gridSpan w:val="2"/>
            <w:tcBorders>
              <w:top w:val="single" w:sz="12" w:space="0" w:color="auto"/>
              <w:left w:val="nil"/>
              <w:bottom w:val="nil"/>
              <w:right w:val="nil"/>
            </w:tcBorders>
            <w:shd w:val="clear" w:color="auto" w:fill="000000"/>
          </w:tcPr>
          <w:p w:rsidR="000B4A1E" w:rsidRPr="003E2DBE" w:rsidRDefault="000B4A1E" w:rsidP="00517E51">
            <w:pPr>
              <w:pStyle w:val="TabletextheadingCentred"/>
              <w:rPr>
                <w:sz w:val="19"/>
                <w:szCs w:val="20"/>
                <w:lang w:eastAsia="en-AU"/>
              </w:rPr>
            </w:pPr>
            <w:r w:rsidRPr="003E2DBE">
              <w:rPr>
                <w:sz w:val="19"/>
                <w:szCs w:val="20"/>
                <w:lang w:eastAsia="en-AU"/>
              </w:rPr>
              <w:t xml:space="preserve">General </w:t>
            </w:r>
          </w:p>
          <w:p w:rsidR="000B4A1E" w:rsidRPr="003E2DBE" w:rsidRDefault="000B4A1E" w:rsidP="00517E51">
            <w:pPr>
              <w:pStyle w:val="TabletextheadingCentred"/>
              <w:rPr>
                <w:sz w:val="19"/>
                <w:szCs w:val="20"/>
                <w:lang w:eastAsia="en-AU"/>
              </w:rPr>
            </w:pPr>
            <w:r w:rsidRPr="003E2DBE">
              <w:rPr>
                <w:sz w:val="19"/>
                <w:szCs w:val="20"/>
                <w:lang w:eastAsia="en-AU"/>
              </w:rPr>
              <w:t>government sector</w:t>
            </w:r>
          </w:p>
        </w:tc>
        <w:tc>
          <w:tcPr>
            <w:tcW w:w="268" w:type="dxa"/>
            <w:tcBorders>
              <w:top w:val="single" w:sz="12" w:space="0" w:color="auto"/>
              <w:left w:val="nil"/>
              <w:bottom w:val="nil"/>
              <w:right w:val="nil"/>
            </w:tcBorders>
            <w:shd w:val="clear" w:color="auto" w:fill="000000"/>
          </w:tcPr>
          <w:p w:rsidR="000B4A1E" w:rsidRPr="003E2DBE" w:rsidRDefault="000B4A1E" w:rsidP="00517E51">
            <w:pPr>
              <w:pStyle w:val="TabletextheadingCentred"/>
              <w:rPr>
                <w:sz w:val="19"/>
                <w:szCs w:val="20"/>
                <w:lang w:eastAsia="en-AU"/>
              </w:rPr>
            </w:pPr>
            <w:r w:rsidRPr="003E2DBE">
              <w:rPr>
                <w:sz w:val="19"/>
                <w:szCs w:val="20"/>
                <w:lang w:eastAsia="en-AU"/>
              </w:rPr>
              <w:t xml:space="preserve"> </w:t>
            </w:r>
          </w:p>
        </w:tc>
        <w:tc>
          <w:tcPr>
            <w:tcW w:w="1891" w:type="dxa"/>
            <w:gridSpan w:val="2"/>
            <w:tcBorders>
              <w:top w:val="single" w:sz="12" w:space="0" w:color="auto"/>
              <w:left w:val="nil"/>
              <w:bottom w:val="nil"/>
              <w:right w:val="single" w:sz="12" w:space="0" w:color="auto"/>
            </w:tcBorders>
            <w:shd w:val="clear" w:color="auto" w:fill="000000"/>
          </w:tcPr>
          <w:p w:rsidR="000B4A1E" w:rsidRPr="003E2DBE" w:rsidRDefault="000B4A1E" w:rsidP="00517E51">
            <w:pPr>
              <w:pStyle w:val="TabletextheadingCentred"/>
              <w:rPr>
                <w:sz w:val="19"/>
                <w:szCs w:val="20"/>
                <w:lang w:eastAsia="en-AU"/>
              </w:rPr>
            </w:pPr>
            <w:r w:rsidRPr="003E2DBE">
              <w:rPr>
                <w:sz w:val="19"/>
                <w:szCs w:val="20"/>
                <w:lang w:eastAsia="en-AU"/>
              </w:rPr>
              <w:t>Public non-financial corporations</w:t>
            </w:r>
          </w:p>
        </w:tc>
      </w:tr>
      <w:tr w:rsidR="000B4A1E" w:rsidRPr="003E2DBE" w:rsidTr="00517E51">
        <w:trPr>
          <w:trHeight w:val="227"/>
        </w:trPr>
        <w:tc>
          <w:tcPr>
            <w:tcW w:w="5414" w:type="dxa"/>
            <w:tcBorders>
              <w:top w:val="nil"/>
              <w:left w:val="single" w:sz="12" w:space="0" w:color="auto"/>
              <w:bottom w:val="single" w:sz="12" w:space="0" w:color="auto"/>
              <w:right w:val="nil"/>
            </w:tcBorders>
            <w:shd w:val="clear" w:color="auto" w:fill="000000"/>
          </w:tcPr>
          <w:p w:rsidR="000B4A1E" w:rsidRPr="003E2DBE" w:rsidRDefault="000B4A1E" w:rsidP="00517E51">
            <w:pPr>
              <w:pStyle w:val="Tabletext"/>
              <w:rPr>
                <w:sz w:val="19"/>
                <w:szCs w:val="20"/>
                <w:lang w:eastAsia="en-AU"/>
              </w:rPr>
            </w:pPr>
            <w:r w:rsidRPr="003E2DBE">
              <w:rPr>
                <w:sz w:val="19"/>
                <w:szCs w:val="20"/>
                <w:lang w:eastAsia="en-AU"/>
              </w:rPr>
              <w:t xml:space="preserve"> </w:t>
            </w:r>
          </w:p>
        </w:tc>
        <w:tc>
          <w:tcPr>
            <w:tcW w:w="982" w:type="dxa"/>
            <w:gridSpan w:val="2"/>
            <w:tcBorders>
              <w:top w:val="nil"/>
              <w:left w:val="nil"/>
              <w:bottom w:val="single" w:sz="12" w:space="0" w:color="auto"/>
              <w:right w:val="nil"/>
            </w:tcBorders>
            <w:shd w:val="clear" w:color="auto" w:fill="000000"/>
          </w:tcPr>
          <w:p w:rsidR="000B4A1E" w:rsidRPr="003E2DBE" w:rsidRDefault="000B4A1E" w:rsidP="00517E51">
            <w:pPr>
              <w:pStyle w:val="Tabletextheading"/>
              <w:rPr>
                <w:sz w:val="19"/>
                <w:szCs w:val="20"/>
                <w:lang w:eastAsia="en-AU"/>
              </w:rPr>
            </w:pPr>
            <w:r w:rsidRPr="003E2DBE">
              <w:rPr>
                <w:sz w:val="19"/>
                <w:szCs w:val="20"/>
                <w:lang w:eastAsia="en-AU"/>
              </w:rPr>
              <w:t>2013</w:t>
            </w:r>
          </w:p>
        </w:tc>
        <w:tc>
          <w:tcPr>
            <w:tcW w:w="1079" w:type="dxa"/>
            <w:tcBorders>
              <w:top w:val="nil"/>
              <w:left w:val="nil"/>
              <w:bottom w:val="single" w:sz="12" w:space="0" w:color="auto"/>
              <w:right w:val="nil"/>
            </w:tcBorders>
            <w:shd w:val="clear" w:color="auto" w:fill="000000"/>
          </w:tcPr>
          <w:p w:rsidR="000B4A1E" w:rsidRPr="003E2DBE" w:rsidRDefault="000B4A1E" w:rsidP="00517E51">
            <w:pPr>
              <w:pStyle w:val="Tabletextheading"/>
              <w:rPr>
                <w:sz w:val="19"/>
                <w:szCs w:val="20"/>
                <w:lang w:eastAsia="en-AU"/>
              </w:rPr>
            </w:pPr>
            <w:r w:rsidRPr="003E2DBE">
              <w:rPr>
                <w:sz w:val="19"/>
                <w:szCs w:val="20"/>
                <w:lang w:eastAsia="en-AU"/>
              </w:rPr>
              <w:t>2012</w:t>
            </w:r>
          </w:p>
        </w:tc>
        <w:tc>
          <w:tcPr>
            <w:tcW w:w="1079" w:type="dxa"/>
            <w:gridSpan w:val="2"/>
            <w:tcBorders>
              <w:top w:val="nil"/>
              <w:left w:val="nil"/>
              <w:bottom w:val="single" w:sz="12" w:space="0" w:color="auto"/>
              <w:right w:val="nil"/>
            </w:tcBorders>
            <w:shd w:val="clear" w:color="auto" w:fill="000000"/>
          </w:tcPr>
          <w:p w:rsidR="000B4A1E" w:rsidRPr="003E2DBE" w:rsidRDefault="000B4A1E" w:rsidP="00517E51">
            <w:pPr>
              <w:pStyle w:val="Tabletextheading"/>
              <w:rPr>
                <w:sz w:val="19"/>
                <w:szCs w:val="20"/>
                <w:lang w:eastAsia="en-AU"/>
              </w:rPr>
            </w:pPr>
            <w:r w:rsidRPr="003E2DBE">
              <w:rPr>
                <w:sz w:val="19"/>
                <w:szCs w:val="20"/>
                <w:lang w:eastAsia="en-AU"/>
              </w:rPr>
              <w:t>2013</w:t>
            </w:r>
          </w:p>
        </w:tc>
        <w:tc>
          <w:tcPr>
            <w:tcW w:w="1080" w:type="dxa"/>
            <w:tcBorders>
              <w:top w:val="nil"/>
              <w:left w:val="nil"/>
              <w:bottom w:val="single" w:sz="12" w:space="0" w:color="auto"/>
              <w:right w:val="single" w:sz="12" w:space="0" w:color="auto"/>
            </w:tcBorders>
            <w:shd w:val="clear" w:color="auto" w:fill="000000"/>
          </w:tcPr>
          <w:p w:rsidR="000B4A1E" w:rsidRPr="003E2DBE" w:rsidRDefault="000B4A1E" w:rsidP="00517E51">
            <w:pPr>
              <w:pStyle w:val="Tabletextheading"/>
              <w:rPr>
                <w:sz w:val="19"/>
                <w:szCs w:val="20"/>
                <w:lang w:eastAsia="en-AU"/>
              </w:rPr>
            </w:pPr>
            <w:r w:rsidRPr="003E2DBE">
              <w:rPr>
                <w:sz w:val="19"/>
                <w:szCs w:val="20"/>
                <w:lang w:eastAsia="en-AU"/>
              </w:rPr>
              <w:t>2012</w:t>
            </w:r>
          </w:p>
        </w:tc>
      </w:tr>
      <w:tr w:rsidR="000B4A1E" w:rsidRPr="003E2DBE" w:rsidTr="00517E51">
        <w:trPr>
          <w:trHeight w:val="240"/>
        </w:trPr>
        <w:tc>
          <w:tcPr>
            <w:tcW w:w="5414" w:type="dxa"/>
            <w:tcBorders>
              <w:top w:val="single" w:sz="12" w:space="0" w:color="auto"/>
              <w:left w:val="nil"/>
              <w:bottom w:val="nil"/>
              <w:right w:val="nil"/>
            </w:tcBorders>
          </w:tcPr>
          <w:p w:rsidR="000B4A1E" w:rsidRPr="003E2DBE" w:rsidRDefault="000B4A1E" w:rsidP="00517E51">
            <w:pPr>
              <w:pStyle w:val="Tabletext"/>
              <w:rPr>
                <w:b/>
                <w:bCs/>
                <w:sz w:val="19"/>
                <w:szCs w:val="20"/>
                <w:lang w:eastAsia="en-AU"/>
              </w:rPr>
            </w:pPr>
            <w:r w:rsidRPr="003E2DBE">
              <w:rPr>
                <w:b/>
                <w:bCs/>
                <w:sz w:val="19"/>
                <w:szCs w:val="20"/>
                <w:lang w:eastAsia="en-AU"/>
              </w:rPr>
              <w:t>Revenue from transactions</w:t>
            </w:r>
          </w:p>
        </w:tc>
        <w:tc>
          <w:tcPr>
            <w:tcW w:w="982" w:type="dxa"/>
            <w:gridSpan w:val="2"/>
            <w:tcBorders>
              <w:top w:val="single" w:sz="12" w:space="0" w:color="auto"/>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tcBorders>
              <w:top w:val="single" w:sz="12" w:space="0" w:color="auto"/>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gridSpan w:val="2"/>
            <w:tcBorders>
              <w:top w:val="single" w:sz="12" w:space="0" w:color="auto"/>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80" w:type="dxa"/>
            <w:tcBorders>
              <w:top w:val="single" w:sz="12" w:space="0" w:color="auto"/>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Taxation revenue</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15 </w:t>
            </w:r>
            <w:r w:rsidRPr="003E2DBE">
              <w:rPr>
                <w:rFonts w:eastAsiaTheme="minorEastAsia" w:cs="Calibri"/>
                <w:sz w:val="19"/>
                <w:lang w:eastAsia="en-AU"/>
              </w:rPr>
              <w:t>530.7</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15 </w:t>
            </w:r>
            <w:r w:rsidRPr="003E2DBE">
              <w:rPr>
                <w:rFonts w:eastAsiaTheme="minorEastAsia" w:cs="Calibri"/>
                <w:sz w:val="19"/>
                <w:lang w:eastAsia="en-AU"/>
              </w:rPr>
              <w:t>026.9</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r>
      <w:tr w:rsidR="000B4A1E" w:rsidRPr="003E2DBE" w:rsidTr="00517E51">
        <w:trPr>
          <w:trHeight w:val="215"/>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Interest</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700.7</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412.6</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77.2</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131.7</w:t>
            </w:r>
          </w:p>
        </w:tc>
      </w:tr>
      <w:tr w:rsidR="000B4A1E" w:rsidRPr="003E2DBE" w:rsidTr="00517E51">
        <w:tc>
          <w:tcPr>
            <w:tcW w:w="5414" w:type="dxa"/>
            <w:tcBorders>
              <w:top w:val="nil"/>
              <w:left w:val="nil"/>
              <w:bottom w:val="nil"/>
              <w:right w:val="nil"/>
            </w:tcBorders>
          </w:tcPr>
          <w:p w:rsidR="000B4A1E" w:rsidRPr="003E2DBE" w:rsidRDefault="000B4A1E" w:rsidP="00517E51">
            <w:pPr>
              <w:pStyle w:val="Tabletext"/>
              <w:ind w:right="-133"/>
              <w:rPr>
                <w:sz w:val="19"/>
                <w:szCs w:val="20"/>
                <w:lang w:eastAsia="en-AU"/>
              </w:rPr>
            </w:pPr>
            <w:r w:rsidRPr="003E2DBE">
              <w:rPr>
                <w:sz w:val="19"/>
                <w:szCs w:val="20"/>
                <w:lang w:eastAsia="en-AU"/>
              </w:rPr>
              <w:t xml:space="preserve">Dividends and income tax equivalent and rate equivalent revenue </w:t>
            </w:r>
          </w:p>
        </w:tc>
        <w:tc>
          <w:tcPr>
            <w:tcW w:w="982" w:type="dxa"/>
            <w:gridSpan w:val="2"/>
            <w:tcBorders>
              <w:top w:val="nil"/>
              <w:left w:val="nil"/>
              <w:bottom w:val="nil"/>
              <w:right w:val="nil"/>
            </w:tcBorders>
          </w:tcPr>
          <w:p w:rsidR="000B4A1E" w:rsidRPr="003E2DBE" w:rsidRDefault="000B4A1E" w:rsidP="00517E51">
            <w:pPr>
              <w:pStyle w:val="TableofFigures"/>
              <w:ind w:right="-133"/>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341.7</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939.1</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144.2</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77.3</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Sales of goods and services</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6 </w:t>
            </w:r>
            <w:r w:rsidRPr="003E2DBE">
              <w:rPr>
                <w:rFonts w:eastAsiaTheme="minorEastAsia" w:cs="Calibri"/>
                <w:sz w:val="19"/>
                <w:lang w:eastAsia="en-AU"/>
              </w:rPr>
              <w:t>869.3</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6 </w:t>
            </w:r>
            <w:r w:rsidRPr="003E2DBE">
              <w:rPr>
                <w:rFonts w:eastAsiaTheme="minorEastAsia" w:cs="Calibri"/>
                <w:sz w:val="19"/>
                <w:lang w:eastAsia="en-AU"/>
              </w:rPr>
              <w:t>267.2</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4 </w:t>
            </w:r>
            <w:r w:rsidRPr="003E2DBE">
              <w:rPr>
                <w:rFonts w:eastAsiaTheme="minorEastAsia" w:cs="Calibri"/>
                <w:sz w:val="19"/>
                <w:lang w:eastAsia="en-AU"/>
              </w:rPr>
              <w:t>915.7</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4 </w:t>
            </w:r>
            <w:r w:rsidRPr="003E2DBE">
              <w:rPr>
                <w:rFonts w:eastAsiaTheme="minorEastAsia" w:cs="Calibri"/>
                <w:sz w:val="19"/>
                <w:lang w:eastAsia="en-AU"/>
              </w:rPr>
              <w:t>773.4</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Grants</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21 </w:t>
            </w:r>
            <w:r w:rsidRPr="003E2DBE">
              <w:rPr>
                <w:rFonts w:eastAsiaTheme="minorEastAsia" w:cs="Calibri"/>
                <w:sz w:val="19"/>
                <w:lang w:eastAsia="en-AU"/>
              </w:rPr>
              <w:t>902.2</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22 </w:t>
            </w:r>
            <w:r w:rsidRPr="003E2DBE">
              <w:rPr>
                <w:rFonts w:eastAsiaTheme="minorEastAsia" w:cs="Calibri"/>
                <w:sz w:val="19"/>
                <w:lang w:eastAsia="en-AU"/>
              </w:rPr>
              <w:t>599.8</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654.4</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517.1</w:t>
            </w:r>
          </w:p>
        </w:tc>
      </w:tr>
      <w:tr w:rsidR="000B4A1E" w:rsidRPr="003E2DBE" w:rsidTr="00517E51">
        <w:trPr>
          <w:trHeight w:val="227"/>
        </w:trPr>
        <w:tc>
          <w:tcPr>
            <w:tcW w:w="5414" w:type="dxa"/>
            <w:tcBorders>
              <w:top w:val="nil"/>
              <w:left w:val="nil"/>
              <w:bottom w:val="single" w:sz="6" w:space="0" w:color="auto"/>
              <w:right w:val="nil"/>
            </w:tcBorders>
          </w:tcPr>
          <w:p w:rsidR="000B4A1E" w:rsidRPr="003E2DBE" w:rsidRDefault="000B4A1E" w:rsidP="00517E51">
            <w:pPr>
              <w:pStyle w:val="Tabletext"/>
              <w:rPr>
                <w:sz w:val="19"/>
                <w:szCs w:val="20"/>
                <w:lang w:eastAsia="en-AU"/>
              </w:rPr>
            </w:pPr>
            <w:r w:rsidRPr="003E2DBE">
              <w:rPr>
                <w:sz w:val="19"/>
                <w:szCs w:val="20"/>
                <w:lang w:eastAsia="en-AU"/>
              </w:rPr>
              <w:t>Other revenue</w:t>
            </w:r>
          </w:p>
        </w:tc>
        <w:tc>
          <w:tcPr>
            <w:tcW w:w="982"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268.3</w:t>
            </w:r>
          </w:p>
        </w:tc>
        <w:tc>
          <w:tcPr>
            <w:tcW w:w="1079"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636.7</w:t>
            </w:r>
          </w:p>
        </w:tc>
        <w:tc>
          <w:tcPr>
            <w:tcW w:w="1079"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460.6</w:t>
            </w:r>
          </w:p>
        </w:tc>
        <w:tc>
          <w:tcPr>
            <w:tcW w:w="108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718.2</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b/>
                <w:bCs/>
                <w:sz w:val="19"/>
                <w:szCs w:val="20"/>
                <w:lang w:eastAsia="en-AU"/>
              </w:rPr>
            </w:pPr>
            <w:r w:rsidRPr="003E2DBE">
              <w:rPr>
                <w:b/>
                <w:bCs/>
                <w:sz w:val="19"/>
                <w:szCs w:val="20"/>
                <w:lang w:eastAsia="en-AU"/>
              </w:rPr>
              <w:t>Total revenue</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48 </w:t>
            </w:r>
            <w:r w:rsidRPr="003E2DBE">
              <w:rPr>
                <w:rFonts w:eastAsiaTheme="minorEastAsia" w:cs="Calibri"/>
                <w:b/>
                <w:bCs/>
                <w:sz w:val="19"/>
                <w:lang w:eastAsia="en-AU"/>
              </w:rPr>
              <w:t>612.9</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47 </w:t>
            </w:r>
            <w:r w:rsidRPr="003E2DBE">
              <w:rPr>
                <w:rFonts w:eastAsiaTheme="minorEastAsia" w:cs="Calibri"/>
                <w:b/>
                <w:bCs/>
                <w:sz w:val="19"/>
                <w:lang w:eastAsia="en-AU"/>
              </w:rPr>
              <w:t>882.3</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8 </w:t>
            </w:r>
            <w:r w:rsidRPr="003E2DBE">
              <w:rPr>
                <w:rFonts w:eastAsiaTheme="minorEastAsia" w:cs="Calibri"/>
                <w:b/>
                <w:bCs/>
                <w:sz w:val="19"/>
                <w:lang w:eastAsia="en-AU"/>
              </w:rPr>
              <w:t>252.0</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8 </w:t>
            </w:r>
            <w:r w:rsidRPr="003E2DBE">
              <w:rPr>
                <w:rFonts w:eastAsiaTheme="minorEastAsia" w:cs="Calibri"/>
                <w:b/>
                <w:bCs/>
                <w:sz w:val="19"/>
                <w:lang w:eastAsia="en-AU"/>
              </w:rPr>
              <w:t>217.6</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b/>
                <w:bCs/>
                <w:sz w:val="19"/>
                <w:szCs w:val="20"/>
                <w:lang w:eastAsia="en-AU"/>
              </w:rPr>
            </w:pPr>
            <w:r w:rsidRPr="003E2DBE">
              <w:rPr>
                <w:b/>
                <w:bCs/>
                <w:sz w:val="19"/>
                <w:szCs w:val="20"/>
                <w:lang w:eastAsia="en-AU"/>
              </w:rPr>
              <w:t>Expenses from transactions</w:t>
            </w:r>
          </w:p>
        </w:tc>
        <w:tc>
          <w:tcPr>
            <w:tcW w:w="982"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Employee expenses</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17 </w:t>
            </w:r>
            <w:r w:rsidRPr="003E2DBE">
              <w:rPr>
                <w:rFonts w:eastAsiaTheme="minorEastAsia" w:cs="Calibri"/>
                <w:sz w:val="19"/>
                <w:lang w:eastAsia="en-AU"/>
              </w:rPr>
              <w:t>788.5</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17 </w:t>
            </w:r>
            <w:r w:rsidRPr="003E2DBE">
              <w:rPr>
                <w:rFonts w:eastAsiaTheme="minorEastAsia" w:cs="Calibri"/>
                <w:sz w:val="19"/>
                <w:lang w:eastAsia="en-AU"/>
              </w:rPr>
              <w:t>120.1</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039.6</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986.7</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Superannuation interest expense</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446.3</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808.6</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2.5)</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0.2)</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Other superannuation</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924.0</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823.8</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92.9</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112.1</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Depreciation</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254.3</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126.5</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838.1</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716.1</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Interest expense</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775.3</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242.6</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001.4</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702.7</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vertAlign w:val="superscript"/>
                <w:lang w:eastAsia="en-AU"/>
              </w:rPr>
            </w:pPr>
            <w:r w:rsidRPr="003E2DBE">
              <w:rPr>
                <w:sz w:val="19"/>
                <w:szCs w:val="20"/>
                <w:lang w:eastAsia="en-AU"/>
              </w:rPr>
              <w:t>Other operating expenses</w:t>
            </w:r>
            <w:r w:rsidRPr="003E2DBE">
              <w:rPr>
                <w:sz w:val="19"/>
                <w:szCs w:val="20"/>
                <w:vertAlign w:val="superscript"/>
                <w:lang w:eastAsia="en-AU"/>
              </w:rPr>
              <w:t xml:space="preserve">  </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16 </w:t>
            </w:r>
            <w:r w:rsidRPr="003E2DBE">
              <w:rPr>
                <w:rFonts w:eastAsiaTheme="minorEastAsia" w:cs="Calibri"/>
                <w:sz w:val="19"/>
                <w:lang w:eastAsia="en-AU"/>
              </w:rPr>
              <w:t>094.1</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15 </w:t>
            </w:r>
            <w:r w:rsidRPr="003E2DBE">
              <w:rPr>
                <w:rFonts w:eastAsiaTheme="minorEastAsia" w:cs="Calibri"/>
                <w:sz w:val="19"/>
                <w:lang w:eastAsia="en-AU"/>
              </w:rPr>
              <w:t>955.6</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4 </w:t>
            </w:r>
            <w:r w:rsidRPr="003E2DBE">
              <w:rPr>
                <w:rFonts w:eastAsiaTheme="minorEastAsia" w:cs="Calibri"/>
                <w:sz w:val="19"/>
                <w:lang w:eastAsia="en-AU"/>
              </w:rPr>
              <w:t>263.0</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4 </w:t>
            </w:r>
            <w:r w:rsidRPr="003E2DBE">
              <w:rPr>
                <w:rFonts w:eastAsiaTheme="minorEastAsia" w:cs="Calibri"/>
                <w:sz w:val="19"/>
                <w:lang w:eastAsia="en-AU"/>
              </w:rPr>
              <w:t>412.4</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Grants and other transfers</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8 </w:t>
            </w:r>
            <w:r w:rsidRPr="003E2DBE">
              <w:rPr>
                <w:rFonts w:eastAsiaTheme="minorEastAsia" w:cs="Calibri"/>
                <w:sz w:val="19"/>
                <w:lang w:eastAsia="en-AU"/>
              </w:rPr>
              <w:t>013.9</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8 </w:t>
            </w:r>
            <w:r w:rsidRPr="003E2DBE">
              <w:rPr>
                <w:rFonts w:eastAsiaTheme="minorEastAsia" w:cs="Calibri"/>
                <w:sz w:val="19"/>
                <w:lang w:eastAsia="en-AU"/>
              </w:rPr>
              <w:t>233.8</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206.9</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254.1</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Other property expenses</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110.9</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93.4</w:t>
            </w:r>
          </w:p>
        </w:tc>
      </w:tr>
      <w:tr w:rsidR="000B4A1E" w:rsidRPr="003E2DBE" w:rsidTr="00517E51">
        <w:trPr>
          <w:trHeight w:val="227"/>
        </w:trPr>
        <w:tc>
          <w:tcPr>
            <w:tcW w:w="5414" w:type="dxa"/>
            <w:tcBorders>
              <w:top w:val="single" w:sz="6" w:space="0" w:color="auto"/>
              <w:left w:val="nil"/>
              <w:bottom w:val="single" w:sz="6" w:space="0" w:color="auto"/>
              <w:right w:val="nil"/>
            </w:tcBorders>
          </w:tcPr>
          <w:p w:rsidR="000B4A1E" w:rsidRPr="003E2DBE" w:rsidRDefault="000B4A1E" w:rsidP="00517E51">
            <w:pPr>
              <w:pStyle w:val="Tabletext"/>
              <w:rPr>
                <w:b/>
                <w:bCs/>
                <w:sz w:val="19"/>
                <w:szCs w:val="20"/>
                <w:lang w:eastAsia="en-AU"/>
              </w:rPr>
            </w:pPr>
            <w:r w:rsidRPr="003E2DBE">
              <w:rPr>
                <w:b/>
                <w:bCs/>
                <w:sz w:val="19"/>
                <w:szCs w:val="20"/>
                <w:lang w:eastAsia="en-AU"/>
              </w:rPr>
              <w:t>Total expenses</w:t>
            </w:r>
          </w:p>
        </w:tc>
        <w:tc>
          <w:tcPr>
            <w:tcW w:w="982"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48 </w:t>
            </w:r>
            <w:r w:rsidRPr="003E2DBE">
              <w:rPr>
                <w:rFonts w:eastAsiaTheme="minorEastAsia" w:cs="Calibri"/>
                <w:b/>
                <w:bCs/>
                <w:sz w:val="19"/>
                <w:lang w:eastAsia="en-AU"/>
              </w:rPr>
              <w:t>296.4</w:t>
            </w:r>
          </w:p>
        </w:tc>
        <w:tc>
          <w:tcPr>
            <w:tcW w:w="1079"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47 </w:t>
            </w:r>
            <w:r w:rsidRPr="003E2DBE">
              <w:rPr>
                <w:rFonts w:eastAsiaTheme="minorEastAsia" w:cs="Calibri"/>
                <w:b/>
                <w:bCs/>
                <w:sz w:val="19"/>
                <w:lang w:eastAsia="en-AU"/>
              </w:rPr>
              <w:t>311.0</w:t>
            </w:r>
          </w:p>
        </w:tc>
        <w:tc>
          <w:tcPr>
            <w:tcW w:w="1079"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8 </w:t>
            </w:r>
            <w:r w:rsidRPr="003E2DBE">
              <w:rPr>
                <w:rFonts w:eastAsiaTheme="minorEastAsia" w:cs="Calibri"/>
                <w:b/>
                <w:bCs/>
                <w:sz w:val="19"/>
                <w:lang w:eastAsia="en-AU"/>
              </w:rPr>
              <w:t>550.3</w:t>
            </w:r>
          </w:p>
        </w:tc>
        <w:tc>
          <w:tcPr>
            <w:tcW w:w="108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8 </w:t>
            </w:r>
            <w:r w:rsidRPr="003E2DBE">
              <w:rPr>
                <w:rFonts w:eastAsiaTheme="minorEastAsia" w:cs="Calibri"/>
                <w:b/>
                <w:bCs/>
                <w:sz w:val="19"/>
                <w:lang w:eastAsia="en-AU"/>
              </w:rPr>
              <w:t>277.3</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b/>
                <w:bCs/>
                <w:sz w:val="19"/>
                <w:szCs w:val="20"/>
                <w:lang w:eastAsia="en-AU"/>
              </w:rPr>
            </w:pPr>
            <w:r w:rsidRPr="003E2DBE">
              <w:rPr>
                <w:b/>
                <w:bCs/>
                <w:sz w:val="19"/>
                <w:szCs w:val="20"/>
                <w:lang w:eastAsia="en-AU"/>
              </w:rPr>
              <w:t>Net result from transactions</w:t>
            </w:r>
            <w:r>
              <w:rPr>
                <w:b/>
                <w:bCs/>
                <w:sz w:val="19"/>
                <w:szCs w:val="20"/>
                <w:lang w:eastAsia="en-AU"/>
              </w:rPr>
              <w:t xml:space="preserve"> – </w:t>
            </w:r>
            <w:r w:rsidRPr="003E2DBE">
              <w:rPr>
                <w:b/>
                <w:bCs/>
                <w:sz w:val="19"/>
                <w:szCs w:val="20"/>
                <w:lang w:eastAsia="en-AU"/>
              </w:rPr>
              <w:t>net operating balance</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316.4</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571.2</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298.2)</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59.7)</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b/>
                <w:bCs/>
                <w:sz w:val="19"/>
                <w:szCs w:val="20"/>
                <w:lang w:eastAsia="en-AU"/>
              </w:rPr>
            </w:pPr>
            <w:r w:rsidRPr="003E2DBE">
              <w:rPr>
                <w:b/>
                <w:bCs/>
                <w:sz w:val="19"/>
                <w:szCs w:val="20"/>
                <w:lang w:eastAsia="en-AU"/>
              </w:rPr>
              <w:t>Other economic flows included in net result</w:t>
            </w:r>
          </w:p>
        </w:tc>
        <w:tc>
          <w:tcPr>
            <w:tcW w:w="982"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Net gain/(loss) on disposal of non-financial assets</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20.8</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106.0)</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0.3</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4.4</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Net gain/(loss) on financial assets or liabilities at fair value</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19.3</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3.5)</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48.8)</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671.3)</w:t>
            </w:r>
          </w:p>
        </w:tc>
      </w:tr>
      <w:tr w:rsidR="000B4A1E" w:rsidRPr="003E2DBE" w:rsidTr="00517E51">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Net actuarial gain/(loss) of superannuation defined benefits plans</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7 </w:t>
            </w:r>
            <w:r w:rsidRPr="003E2DBE">
              <w:rPr>
                <w:rFonts w:eastAsiaTheme="minorEastAsia" w:cs="Calibri"/>
                <w:sz w:val="19"/>
                <w:lang w:eastAsia="en-AU"/>
              </w:rPr>
              <w:t>314.8</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(9</w:t>
            </w:r>
            <w:r w:rsidRPr="003E2DBE">
              <w:rPr>
                <w:rFonts w:eastAsiaTheme="minorEastAsia" w:cs="Calibri"/>
                <w:sz w:val="19"/>
                <w:lang w:eastAsia="en-AU"/>
              </w:rPr>
              <w:t xml:space="preserve"> 327.0)</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42.0</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62.2)</w:t>
            </w:r>
          </w:p>
        </w:tc>
      </w:tr>
      <w:tr w:rsidR="000B4A1E" w:rsidRPr="003E2DBE" w:rsidTr="00517E51">
        <w:trPr>
          <w:trHeight w:val="455"/>
        </w:trPr>
        <w:tc>
          <w:tcPr>
            <w:tcW w:w="5414" w:type="dxa"/>
            <w:tcBorders>
              <w:top w:val="nil"/>
              <w:left w:val="nil"/>
              <w:bottom w:val="nil"/>
              <w:right w:val="nil"/>
            </w:tcBorders>
          </w:tcPr>
          <w:p w:rsidR="000B4A1E" w:rsidRPr="003E2DBE" w:rsidRDefault="000B4A1E" w:rsidP="00517E51">
            <w:pPr>
              <w:pStyle w:val="Tabletext"/>
              <w:rPr>
                <w:rFonts w:eastAsiaTheme="minorEastAsia" w:cs="Calibri"/>
                <w:sz w:val="19"/>
                <w:lang w:eastAsia="en-AU"/>
              </w:rPr>
            </w:pPr>
            <w:r w:rsidRPr="003E2DBE">
              <w:rPr>
                <w:sz w:val="19"/>
                <w:szCs w:val="20"/>
                <w:lang w:eastAsia="en-AU"/>
              </w:rPr>
              <w:t>Share of net profit/(loss) from associates/</w:t>
            </w:r>
            <w:r w:rsidRPr="003E2DBE">
              <w:rPr>
                <w:rFonts w:eastAsiaTheme="minorEastAsia" w:cs="Calibri"/>
                <w:sz w:val="19"/>
                <w:lang w:eastAsia="en-AU"/>
              </w:rPr>
              <w:t>joint venture entities, excluding dividends</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4.8</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0.4)</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77.7)</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5.6</w:t>
            </w:r>
          </w:p>
        </w:tc>
      </w:tr>
      <w:tr w:rsidR="000B4A1E" w:rsidRPr="003E2DBE" w:rsidTr="00517E51">
        <w:trPr>
          <w:trHeight w:val="227"/>
        </w:trPr>
        <w:tc>
          <w:tcPr>
            <w:tcW w:w="5414" w:type="dxa"/>
            <w:tcBorders>
              <w:top w:val="nil"/>
              <w:left w:val="nil"/>
              <w:bottom w:val="single" w:sz="6" w:space="0" w:color="auto"/>
              <w:right w:val="nil"/>
            </w:tcBorders>
          </w:tcPr>
          <w:p w:rsidR="000B4A1E" w:rsidRPr="003E2DBE" w:rsidRDefault="000B4A1E" w:rsidP="00517E51">
            <w:pPr>
              <w:pStyle w:val="Tabletext"/>
              <w:rPr>
                <w:rFonts w:eastAsiaTheme="minorEastAsia" w:cs="Calibri"/>
                <w:sz w:val="19"/>
                <w:vertAlign w:val="superscript"/>
                <w:lang w:eastAsia="en-AU"/>
              </w:rPr>
            </w:pPr>
            <w:r w:rsidRPr="003E2DBE">
              <w:rPr>
                <w:bCs/>
                <w:sz w:val="19"/>
                <w:szCs w:val="20"/>
                <w:lang w:eastAsia="en-AU"/>
              </w:rPr>
              <w:t xml:space="preserve">Other gains/(losses) from other economic flows </w:t>
            </w:r>
            <w:r w:rsidRPr="003E2DBE">
              <w:rPr>
                <w:rFonts w:eastAsiaTheme="minorEastAsia" w:cs="Calibri"/>
                <w:sz w:val="19"/>
                <w:vertAlign w:val="superscript"/>
                <w:lang w:eastAsia="en-AU"/>
              </w:rPr>
              <w:t>(b)</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262.3)</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787.2)</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47.5</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557.7</w:t>
            </w:r>
          </w:p>
        </w:tc>
      </w:tr>
      <w:tr w:rsidR="000B4A1E" w:rsidRPr="003E2DBE" w:rsidTr="00517E51">
        <w:trPr>
          <w:trHeight w:val="227"/>
        </w:trPr>
        <w:tc>
          <w:tcPr>
            <w:tcW w:w="541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 w:val="19"/>
                <w:lang w:eastAsia="en-AU"/>
              </w:rPr>
            </w:pPr>
            <w:r w:rsidRPr="003E2DBE">
              <w:rPr>
                <w:b/>
                <w:bCs/>
                <w:sz w:val="19"/>
                <w:szCs w:val="20"/>
                <w:lang w:eastAsia="en-AU"/>
              </w:rPr>
              <w:t xml:space="preserve">Total other </w:t>
            </w:r>
            <w:r w:rsidRPr="003E2DBE">
              <w:rPr>
                <w:rFonts w:eastAsiaTheme="minorEastAsia" w:cs="Calibri"/>
                <w:b/>
                <w:bCs/>
                <w:sz w:val="19"/>
                <w:lang w:eastAsia="en-AU"/>
              </w:rPr>
              <w:t>economic flows included in net result</w:t>
            </w:r>
          </w:p>
        </w:tc>
        <w:tc>
          <w:tcPr>
            <w:tcW w:w="982"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bCs/>
                <w:sz w:val="19"/>
                <w:szCs w:val="20"/>
                <w:lang w:eastAsia="en-AU"/>
              </w:rPr>
              <w:t xml:space="preserve">7 </w:t>
            </w:r>
            <w:r w:rsidRPr="003E2DBE">
              <w:rPr>
                <w:rFonts w:eastAsiaTheme="minorEastAsia" w:cs="Calibri"/>
                <w:b/>
                <w:sz w:val="19"/>
                <w:lang w:eastAsia="en-AU"/>
              </w:rPr>
              <w:t>097.4</w:t>
            </w:r>
          </w:p>
        </w:tc>
        <w:tc>
          <w:tcPr>
            <w:tcW w:w="1079"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bCs/>
                <w:sz w:val="19"/>
                <w:szCs w:val="20"/>
                <w:lang w:eastAsia="en-AU"/>
              </w:rPr>
              <w:t>(10</w:t>
            </w:r>
            <w:r w:rsidRPr="003E2DBE">
              <w:rPr>
                <w:rFonts w:eastAsiaTheme="minorEastAsia" w:cs="Calibri"/>
                <w:b/>
                <w:sz w:val="19"/>
                <w:lang w:eastAsia="en-AU"/>
              </w:rPr>
              <w:t xml:space="preserve"> 224.2)</w:t>
            </w:r>
          </w:p>
        </w:tc>
        <w:tc>
          <w:tcPr>
            <w:tcW w:w="1079"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bCs/>
                <w:sz w:val="19"/>
                <w:szCs w:val="20"/>
                <w:lang w:eastAsia="en-AU"/>
              </w:rPr>
              <w:t xml:space="preserve">( </w:t>
            </w:r>
            <w:r w:rsidRPr="003E2DBE">
              <w:rPr>
                <w:rFonts w:eastAsiaTheme="minorEastAsia" w:cs="Calibri"/>
                <w:b/>
                <w:sz w:val="19"/>
                <w:lang w:eastAsia="en-AU"/>
              </w:rPr>
              <w:t>36.6)</w:t>
            </w:r>
          </w:p>
        </w:tc>
        <w:tc>
          <w:tcPr>
            <w:tcW w:w="108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bCs/>
                <w:sz w:val="19"/>
                <w:szCs w:val="20"/>
                <w:lang w:eastAsia="en-AU"/>
              </w:rPr>
              <w:t xml:space="preserve">( </w:t>
            </w:r>
            <w:r w:rsidRPr="003E2DBE">
              <w:rPr>
                <w:rFonts w:eastAsiaTheme="minorEastAsia" w:cs="Calibri"/>
                <w:b/>
                <w:sz w:val="19"/>
                <w:lang w:eastAsia="en-AU"/>
              </w:rPr>
              <w:t>165.8)</w:t>
            </w:r>
          </w:p>
        </w:tc>
      </w:tr>
      <w:tr w:rsidR="000B4A1E" w:rsidRPr="003E2DBE" w:rsidTr="00517E51">
        <w:trPr>
          <w:trHeight w:val="227"/>
        </w:trPr>
        <w:tc>
          <w:tcPr>
            <w:tcW w:w="5414" w:type="dxa"/>
            <w:tcBorders>
              <w:top w:val="single" w:sz="6" w:space="0" w:color="auto"/>
              <w:left w:val="nil"/>
              <w:bottom w:val="single" w:sz="6" w:space="0" w:color="auto"/>
              <w:right w:val="nil"/>
            </w:tcBorders>
          </w:tcPr>
          <w:p w:rsidR="000B4A1E" w:rsidRPr="003E2DBE" w:rsidRDefault="000B4A1E" w:rsidP="00517E51">
            <w:pPr>
              <w:pStyle w:val="Tabletext"/>
              <w:rPr>
                <w:b/>
                <w:bCs/>
                <w:sz w:val="19"/>
                <w:szCs w:val="20"/>
                <w:lang w:eastAsia="en-AU"/>
              </w:rPr>
            </w:pPr>
            <w:r w:rsidRPr="003E2DBE">
              <w:rPr>
                <w:b/>
                <w:bCs/>
                <w:sz w:val="19"/>
                <w:szCs w:val="20"/>
                <w:lang w:eastAsia="en-AU"/>
              </w:rPr>
              <w:t>Net result</w:t>
            </w:r>
          </w:p>
        </w:tc>
        <w:tc>
          <w:tcPr>
            <w:tcW w:w="982"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7 </w:t>
            </w:r>
            <w:r w:rsidRPr="003E2DBE">
              <w:rPr>
                <w:rFonts w:eastAsiaTheme="minorEastAsia" w:cs="Calibri"/>
                <w:b/>
                <w:bCs/>
                <w:sz w:val="19"/>
                <w:lang w:eastAsia="en-AU"/>
              </w:rPr>
              <w:t>413.8</w:t>
            </w:r>
          </w:p>
        </w:tc>
        <w:tc>
          <w:tcPr>
            <w:tcW w:w="1079"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(9</w:t>
            </w:r>
            <w:r w:rsidRPr="003E2DBE">
              <w:rPr>
                <w:rFonts w:eastAsiaTheme="minorEastAsia" w:cs="Calibri"/>
                <w:b/>
                <w:bCs/>
                <w:sz w:val="19"/>
                <w:lang w:eastAsia="en-AU"/>
              </w:rPr>
              <w:t xml:space="preserve"> 652.9)</w:t>
            </w:r>
          </w:p>
        </w:tc>
        <w:tc>
          <w:tcPr>
            <w:tcW w:w="1079"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334.8)</w:t>
            </w:r>
          </w:p>
        </w:tc>
        <w:tc>
          <w:tcPr>
            <w:tcW w:w="108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225.5)</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rFonts w:eastAsiaTheme="minorEastAsia" w:cs="Calibri"/>
                <w:b/>
                <w:bCs/>
                <w:sz w:val="19"/>
                <w:vertAlign w:val="superscript"/>
                <w:lang w:eastAsia="en-AU"/>
              </w:rPr>
            </w:pPr>
            <w:r w:rsidRPr="003E2DBE">
              <w:rPr>
                <w:b/>
                <w:bCs/>
                <w:sz w:val="19"/>
                <w:szCs w:val="20"/>
                <w:lang w:eastAsia="en-AU"/>
              </w:rPr>
              <w:t xml:space="preserve">Other economic flows – other comprehensive income </w:t>
            </w:r>
            <w:r w:rsidRPr="003E2DBE">
              <w:rPr>
                <w:b/>
                <w:bCs/>
                <w:sz w:val="19"/>
                <w:szCs w:val="20"/>
                <w:vertAlign w:val="superscript"/>
                <w:lang w:eastAsia="en-AU"/>
              </w:rPr>
              <w:t>(</w:t>
            </w:r>
            <w:r w:rsidRPr="003E2DBE">
              <w:rPr>
                <w:rFonts w:eastAsiaTheme="minorEastAsia" w:cs="Calibri"/>
                <w:b/>
                <w:bCs/>
                <w:sz w:val="19"/>
                <w:vertAlign w:val="superscript"/>
                <w:lang w:eastAsia="en-AU"/>
              </w:rPr>
              <w:t xml:space="preserve">a)(b) </w:t>
            </w:r>
          </w:p>
        </w:tc>
        <w:tc>
          <w:tcPr>
            <w:tcW w:w="982"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rFonts w:eastAsiaTheme="minorEastAsia" w:cs="Calibri"/>
                <w:b/>
                <w:bCs/>
                <w:sz w:val="19"/>
                <w:lang w:eastAsia="en-AU"/>
              </w:rPr>
            </w:pPr>
            <w:r w:rsidRPr="003E2DBE">
              <w:rPr>
                <w:sz w:val="19"/>
                <w:szCs w:val="20"/>
                <w:lang w:eastAsia="en-AU"/>
              </w:rPr>
              <w:t xml:space="preserve">Items that will not be reclassified </w:t>
            </w:r>
            <w:r w:rsidRPr="003E2DBE">
              <w:rPr>
                <w:rFonts w:eastAsiaTheme="minorEastAsia" w:cs="Calibri"/>
                <w:bCs/>
                <w:sz w:val="19"/>
                <w:lang w:eastAsia="en-AU"/>
              </w:rPr>
              <w:t>to net result</w:t>
            </w:r>
          </w:p>
        </w:tc>
        <w:tc>
          <w:tcPr>
            <w:tcW w:w="982"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Changes in non-financial assets revaluation surplus</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700.5</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006.2</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133.2)</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1.7)</w:t>
            </w:r>
          </w:p>
        </w:tc>
      </w:tr>
      <w:tr w:rsidR="000B4A1E" w:rsidRPr="003E2DBE" w:rsidTr="00517E51">
        <w:trPr>
          <w:trHeight w:val="455"/>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Net gain/(loss) on equity investments in other sector entities at proportional share of the carrying amount of net assets</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810.3)</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700.5)</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Other movements in equity</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869.4</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401.9</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582.9)</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209.7)</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bCs/>
                <w:sz w:val="19"/>
                <w:szCs w:val="20"/>
                <w:lang w:eastAsia="en-AU"/>
              </w:rPr>
            </w:pPr>
            <w:r w:rsidRPr="003E2DBE">
              <w:rPr>
                <w:bCs/>
                <w:sz w:val="19"/>
                <w:szCs w:val="20"/>
                <w:lang w:eastAsia="en-AU"/>
              </w:rPr>
              <w:t>Items that may be reclassified subsequently to net result</w:t>
            </w:r>
          </w:p>
        </w:tc>
        <w:tc>
          <w:tcPr>
            <w:tcW w:w="982" w:type="dxa"/>
            <w:gridSpan w:val="2"/>
            <w:tcBorders>
              <w:top w:val="nil"/>
              <w:left w:val="nil"/>
              <w:bottom w:val="nil"/>
              <w:right w:val="nil"/>
            </w:tcBorders>
          </w:tcPr>
          <w:p w:rsidR="000B4A1E" w:rsidRPr="003E2DBE" w:rsidRDefault="000B4A1E" w:rsidP="00517E51">
            <w:pPr>
              <w:pStyle w:val="TableofFigures"/>
              <w:rPr>
                <w:bCs/>
                <w:sz w:val="19"/>
                <w:szCs w:val="20"/>
                <w:lang w:eastAsia="en-AU"/>
              </w:rPr>
            </w:pPr>
          </w:p>
        </w:tc>
        <w:tc>
          <w:tcPr>
            <w:tcW w:w="1079" w:type="dxa"/>
            <w:tcBorders>
              <w:top w:val="nil"/>
              <w:left w:val="nil"/>
              <w:bottom w:val="nil"/>
              <w:right w:val="nil"/>
            </w:tcBorders>
          </w:tcPr>
          <w:p w:rsidR="000B4A1E" w:rsidRPr="003E2DBE" w:rsidRDefault="000B4A1E" w:rsidP="00517E51">
            <w:pPr>
              <w:pStyle w:val="TableofFigures"/>
              <w:rPr>
                <w:bCs/>
                <w:sz w:val="19"/>
                <w:szCs w:val="20"/>
                <w:lang w:eastAsia="en-AU"/>
              </w:rPr>
            </w:pPr>
          </w:p>
        </w:tc>
        <w:tc>
          <w:tcPr>
            <w:tcW w:w="1079" w:type="dxa"/>
            <w:gridSpan w:val="2"/>
            <w:tcBorders>
              <w:top w:val="nil"/>
              <w:left w:val="nil"/>
              <w:bottom w:val="nil"/>
              <w:right w:val="nil"/>
            </w:tcBorders>
          </w:tcPr>
          <w:p w:rsidR="000B4A1E" w:rsidRPr="003E2DBE" w:rsidRDefault="000B4A1E" w:rsidP="00517E51">
            <w:pPr>
              <w:pStyle w:val="TableofFigures"/>
              <w:rPr>
                <w:bCs/>
                <w:sz w:val="19"/>
                <w:szCs w:val="20"/>
                <w:lang w:eastAsia="en-AU"/>
              </w:rPr>
            </w:pPr>
          </w:p>
        </w:tc>
        <w:tc>
          <w:tcPr>
            <w:tcW w:w="1080" w:type="dxa"/>
            <w:tcBorders>
              <w:top w:val="nil"/>
              <w:left w:val="nil"/>
              <w:bottom w:val="nil"/>
              <w:right w:val="nil"/>
            </w:tcBorders>
          </w:tcPr>
          <w:p w:rsidR="000B4A1E" w:rsidRPr="003E2DBE" w:rsidRDefault="000B4A1E" w:rsidP="00517E51">
            <w:pPr>
              <w:pStyle w:val="TableofFigures"/>
              <w:rPr>
                <w:bCs/>
                <w:sz w:val="19"/>
                <w:szCs w:val="20"/>
                <w:lang w:eastAsia="en-AU"/>
              </w:rPr>
            </w:pPr>
          </w:p>
        </w:tc>
      </w:tr>
      <w:tr w:rsidR="000B4A1E" w:rsidRPr="003E2DBE" w:rsidTr="00517E51">
        <w:trPr>
          <w:trHeight w:val="227"/>
        </w:trPr>
        <w:tc>
          <w:tcPr>
            <w:tcW w:w="5414" w:type="dxa"/>
            <w:tcBorders>
              <w:top w:val="nil"/>
              <w:left w:val="nil"/>
              <w:bottom w:val="single" w:sz="6" w:space="0" w:color="auto"/>
              <w:right w:val="nil"/>
            </w:tcBorders>
          </w:tcPr>
          <w:p w:rsidR="000B4A1E" w:rsidRPr="003E2DBE" w:rsidRDefault="000B4A1E" w:rsidP="00517E51">
            <w:pPr>
              <w:pStyle w:val="Tabletext"/>
              <w:rPr>
                <w:bCs/>
                <w:sz w:val="19"/>
                <w:szCs w:val="20"/>
                <w:lang w:eastAsia="en-AU"/>
              </w:rPr>
            </w:pPr>
            <w:r w:rsidRPr="003E2DBE">
              <w:rPr>
                <w:bCs/>
                <w:sz w:val="19"/>
                <w:szCs w:val="20"/>
                <w:lang w:eastAsia="en-AU"/>
              </w:rPr>
              <w:t>Net gain/(loss) on financial assets at fair value</w:t>
            </w:r>
          </w:p>
        </w:tc>
        <w:tc>
          <w:tcPr>
            <w:tcW w:w="982"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bCs/>
                <w:sz w:val="19"/>
                <w:szCs w:val="20"/>
                <w:lang w:eastAsia="en-AU"/>
              </w:rPr>
              <w:t xml:space="preserve"> 20.1</w:t>
            </w:r>
          </w:p>
        </w:tc>
        <w:tc>
          <w:tcPr>
            <w:tcW w:w="1079"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bCs/>
                <w:sz w:val="19"/>
                <w:szCs w:val="20"/>
                <w:lang w:eastAsia="en-AU"/>
              </w:rPr>
              <w:t xml:space="preserve">( </w:t>
            </w:r>
            <w:r w:rsidRPr="003E2DBE">
              <w:rPr>
                <w:rFonts w:eastAsiaTheme="minorEastAsia" w:cs="Calibri"/>
                <w:sz w:val="19"/>
                <w:lang w:eastAsia="en-AU"/>
              </w:rPr>
              <w:t>15.3)</w:t>
            </w:r>
          </w:p>
        </w:tc>
        <w:tc>
          <w:tcPr>
            <w:tcW w:w="1079"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bCs/>
                <w:sz w:val="19"/>
                <w:szCs w:val="20"/>
                <w:lang w:eastAsia="en-AU"/>
              </w:rPr>
              <w:t xml:space="preserve"> 63.9</w:t>
            </w:r>
          </w:p>
        </w:tc>
        <w:tc>
          <w:tcPr>
            <w:tcW w:w="108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bCs/>
                <w:sz w:val="19"/>
                <w:szCs w:val="20"/>
                <w:lang w:eastAsia="en-AU"/>
              </w:rPr>
              <w:t xml:space="preserve">( </w:t>
            </w:r>
            <w:r w:rsidRPr="003E2DBE">
              <w:rPr>
                <w:rFonts w:eastAsiaTheme="minorEastAsia" w:cs="Calibri"/>
                <w:sz w:val="19"/>
                <w:lang w:eastAsia="en-AU"/>
              </w:rPr>
              <w:t>6.9)</w:t>
            </w:r>
          </w:p>
        </w:tc>
      </w:tr>
      <w:tr w:rsidR="000B4A1E" w:rsidRPr="003E2DBE" w:rsidTr="00517E51">
        <w:trPr>
          <w:trHeight w:val="227"/>
        </w:trPr>
        <w:tc>
          <w:tcPr>
            <w:tcW w:w="5414" w:type="dxa"/>
            <w:tcBorders>
              <w:top w:val="single" w:sz="6" w:space="0" w:color="auto"/>
              <w:left w:val="nil"/>
              <w:bottom w:val="single" w:sz="6" w:space="0" w:color="auto"/>
              <w:right w:val="nil"/>
            </w:tcBorders>
          </w:tcPr>
          <w:p w:rsidR="000B4A1E" w:rsidRPr="003E2DBE" w:rsidRDefault="000B4A1E" w:rsidP="00517E51">
            <w:pPr>
              <w:pStyle w:val="Tabletext"/>
              <w:rPr>
                <w:b/>
                <w:bCs/>
                <w:sz w:val="19"/>
                <w:szCs w:val="20"/>
                <w:lang w:eastAsia="en-AU"/>
              </w:rPr>
            </w:pPr>
            <w:r w:rsidRPr="003E2DBE">
              <w:rPr>
                <w:b/>
                <w:bCs/>
                <w:sz w:val="19"/>
                <w:szCs w:val="20"/>
                <w:lang w:eastAsia="en-AU"/>
              </w:rPr>
              <w:t>Total other economic flows – other comprehensive income</w:t>
            </w:r>
          </w:p>
        </w:tc>
        <w:tc>
          <w:tcPr>
            <w:tcW w:w="982"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sz w:val="19"/>
                <w:szCs w:val="20"/>
                <w:lang w:eastAsia="en-AU"/>
              </w:rPr>
              <w:t xml:space="preserve"> 779.7</w:t>
            </w:r>
          </w:p>
        </w:tc>
        <w:tc>
          <w:tcPr>
            <w:tcW w:w="1079"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sz w:val="19"/>
                <w:szCs w:val="20"/>
                <w:lang w:eastAsia="en-AU"/>
              </w:rPr>
              <w:t xml:space="preserve">1 </w:t>
            </w:r>
            <w:r w:rsidRPr="003E2DBE">
              <w:rPr>
                <w:rFonts w:eastAsiaTheme="minorEastAsia" w:cs="Calibri"/>
                <w:b/>
                <w:sz w:val="19"/>
                <w:lang w:eastAsia="en-AU"/>
              </w:rPr>
              <w:t>692.3</w:t>
            </w:r>
          </w:p>
        </w:tc>
        <w:tc>
          <w:tcPr>
            <w:tcW w:w="1079"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sz w:val="19"/>
                <w:szCs w:val="20"/>
                <w:lang w:eastAsia="en-AU"/>
              </w:rPr>
              <w:t xml:space="preserve">( </w:t>
            </w:r>
            <w:r w:rsidRPr="003E2DBE">
              <w:rPr>
                <w:rFonts w:eastAsiaTheme="minorEastAsia" w:cs="Calibri"/>
                <w:b/>
                <w:sz w:val="19"/>
                <w:lang w:eastAsia="en-AU"/>
              </w:rPr>
              <w:t>652.2)</w:t>
            </w:r>
          </w:p>
        </w:tc>
        <w:tc>
          <w:tcPr>
            <w:tcW w:w="108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sz w:val="19"/>
                <w:szCs w:val="20"/>
                <w:lang w:eastAsia="en-AU"/>
              </w:rPr>
              <w:t xml:space="preserve">( </w:t>
            </w:r>
            <w:r w:rsidRPr="003E2DBE">
              <w:rPr>
                <w:rFonts w:eastAsiaTheme="minorEastAsia" w:cs="Calibri"/>
                <w:b/>
                <w:sz w:val="19"/>
                <w:lang w:eastAsia="en-AU"/>
              </w:rPr>
              <w:t>218.3)</w:t>
            </w:r>
          </w:p>
        </w:tc>
      </w:tr>
      <w:tr w:rsidR="000B4A1E" w:rsidRPr="003E2DBE" w:rsidTr="00517E51">
        <w:trPr>
          <w:trHeight w:val="227"/>
        </w:trPr>
        <w:tc>
          <w:tcPr>
            <w:tcW w:w="5414" w:type="dxa"/>
            <w:tcBorders>
              <w:top w:val="single" w:sz="6" w:space="0" w:color="auto"/>
              <w:left w:val="nil"/>
              <w:bottom w:val="single" w:sz="12" w:space="0" w:color="auto"/>
              <w:right w:val="nil"/>
            </w:tcBorders>
          </w:tcPr>
          <w:p w:rsidR="000B4A1E" w:rsidRPr="003E2DBE" w:rsidRDefault="000B4A1E" w:rsidP="00517E51">
            <w:pPr>
              <w:pStyle w:val="Tabletext"/>
              <w:rPr>
                <w:b/>
                <w:bCs/>
                <w:sz w:val="19"/>
                <w:szCs w:val="20"/>
                <w:lang w:eastAsia="en-AU"/>
              </w:rPr>
            </w:pPr>
            <w:r w:rsidRPr="003E2DBE">
              <w:rPr>
                <w:b/>
                <w:bCs/>
                <w:sz w:val="19"/>
                <w:szCs w:val="20"/>
                <w:lang w:eastAsia="en-AU"/>
              </w:rPr>
              <w:t>Comprehensive result – total change in net worth</w:t>
            </w:r>
          </w:p>
        </w:tc>
        <w:tc>
          <w:tcPr>
            <w:tcW w:w="982"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8 </w:t>
            </w:r>
            <w:r w:rsidRPr="003E2DBE">
              <w:rPr>
                <w:rFonts w:eastAsiaTheme="minorEastAsia" w:cs="Calibri"/>
                <w:b/>
                <w:bCs/>
                <w:sz w:val="19"/>
                <w:lang w:eastAsia="en-AU"/>
              </w:rPr>
              <w:t>193.5</w:t>
            </w:r>
          </w:p>
        </w:tc>
        <w:tc>
          <w:tcPr>
            <w:tcW w:w="1079"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(7</w:t>
            </w:r>
            <w:r w:rsidRPr="003E2DBE">
              <w:rPr>
                <w:rFonts w:eastAsiaTheme="minorEastAsia" w:cs="Calibri"/>
                <w:b/>
                <w:bCs/>
                <w:sz w:val="19"/>
                <w:lang w:eastAsia="en-AU"/>
              </w:rPr>
              <w:t xml:space="preserve"> 960.6)</w:t>
            </w:r>
          </w:p>
        </w:tc>
        <w:tc>
          <w:tcPr>
            <w:tcW w:w="107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987.0)</w:t>
            </w:r>
          </w:p>
        </w:tc>
        <w:tc>
          <w:tcPr>
            <w:tcW w:w="108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443.8)</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b/>
                <w:bCs/>
                <w:sz w:val="19"/>
                <w:szCs w:val="20"/>
                <w:lang w:eastAsia="en-AU"/>
              </w:rPr>
            </w:pPr>
            <w:r w:rsidRPr="003E2DBE">
              <w:rPr>
                <w:b/>
                <w:bCs/>
                <w:sz w:val="19"/>
                <w:szCs w:val="20"/>
                <w:lang w:eastAsia="en-AU"/>
              </w:rPr>
              <w:t>FISCAL AGGREGATES</w:t>
            </w:r>
          </w:p>
        </w:tc>
        <w:tc>
          <w:tcPr>
            <w:tcW w:w="982"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b/>
                <w:bCs/>
                <w:sz w:val="19"/>
                <w:szCs w:val="20"/>
                <w:lang w:eastAsia="en-AU"/>
              </w:rPr>
            </w:pPr>
            <w:r w:rsidRPr="003E2DBE">
              <w:rPr>
                <w:b/>
                <w:bCs/>
                <w:sz w:val="19"/>
                <w:szCs w:val="20"/>
                <w:lang w:eastAsia="en-AU"/>
              </w:rPr>
              <w:t>Net operating balance</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316.4</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571.2</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298.2)</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59.7)</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0B4A1E">
            <w:pPr>
              <w:pStyle w:val="Tabletext"/>
              <w:ind w:left="29" w:hanging="29"/>
              <w:rPr>
                <w:b/>
                <w:bCs/>
                <w:sz w:val="19"/>
                <w:szCs w:val="20"/>
                <w:lang w:eastAsia="en-AU"/>
              </w:rPr>
            </w:pPr>
            <w:r w:rsidRPr="003E2DBE">
              <w:rPr>
                <w:b/>
                <w:bCs/>
                <w:sz w:val="19"/>
                <w:szCs w:val="20"/>
                <w:lang w:eastAsia="en-AU"/>
              </w:rPr>
              <w:t>Net acquisition of non-financial assets</w:t>
            </w:r>
          </w:p>
        </w:tc>
        <w:tc>
          <w:tcPr>
            <w:tcW w:w="982"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79"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Purchases of non-financial assets (including change in inventories)</w:t>
            </w:r>
          </w:p>
        </w:tc>
        <w:tc>
          <w:tcPr>
            <w:tcW w:w="982"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4 </w:t>
            </w:r>
            <w:r w:rsidRPr="003E2DBE">
              <w:rPr>
                <w:rFonts w:eastAsiaTheme="minorEastAsia" w:cs="Calibri"/>
                <w:sz w:val="19"/>
                <w:lang w:eastAsia="en-AU"/>
              </w:rPr>
              <w:t>133.2</w:t>
            </w:r>
          </w:p>
        </w:tc>
        <w:tc>
          <w:tcPr>
            <w:tcW w:w="1079"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3 </w:t>
            </w:r>
            <w:r w:rsidRPr="003E2DBE">
              <w:rPr>
                <w:rFonts w:eastAsiaTheme="minorEastAsia" w:cs="Calibri"/>
                <w:sz w:val="19"/>
                <w:lang w:eastAsia="en-AU"/>
              </w:rPr>
              <w:t>564.9</w:t>
            </w:r>
          </w:p>
        </w:tc>
        <w:tc>
          <w:tcPr>
            <w:tcW w:w="1079"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3 </w:t>
            </w:r>
            <w:r w:rsidRPr="003E2DBE">
              <w:rPr>
                <w:rFonts w:eastAsiaTheme="minorEastAsia" w:cs="Calibri"/>
                <w:sz w:val="19"/>
                <w:lang w:eastAsia="en-AU"/>
              </w:rPr>
              <w:t>702.5</w:t>
            </w:r>
          </w:p>
        </w:tc>
        <w:tc>
          <w:tcPr>
            <w:tcW w:w="108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3 </w:t>
            </w:r>
            <w:r w:rsidRPr="003E2DBE">
              <w:rPr>
                <w:rFonts w:eastAsiaTheme="minorEastAsia" w:cs="Calibri"/>
                <w:sz w:val="19"/>
                <w:lang w:eastAsia="en-AU"/>
              </w:rPr>
              <w:t>890.5</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Less: Sales of non-financial assets</w:t>
            </w:r>
          </w:p>
        </w:tc>
        <w:tc>
          <w:tcPr>
            <w:tcW w:w="982"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248.0)</w:t>
            </w:r>
          </w:p>
        </w:tc>
        <w:tc>
          <w:tcPr>
            <w:tcW w:w="1079"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167.1)</w:t>
            </w:r>
          </w:p>
        </w:tc>
        <w:tc>
          <w:tcPr>
            <w:tcW w:w="1079"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156.4)</w:t>
            </w:r>
          </w:p>
        </w:tc>
        <w:tc>
          <w:tcPr>
            <w:tcW w:w="108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122.2)</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Less: Depreciation and amortisation</w:t>
            </w:r>
          </w:p>
        </w:tc>
        <w:tc>
          <w:tcPr>
            <w:tcW w:w="982"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(2</w:t>
            </w:r>
            <w:r w:rsidRPr="003E2DBE">
              <w:rPr>
                <w:rFonts w:eastAsiaTheme="minorEastAsia" w:cs="Calibri"/>
                <w:sz w:val="19"/>
                <w:lang w:eastAsia="en-AU"/>
              </w:rPr>
              <w:t xml:space="preserve"> 254.3)</w:t>
            </w:r>
          </w:p>
        </w:tc>
        <w:tc>
          <w:tcPr>
            <w:tcW w:w="1079"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(2</w:t>
            </w:r>
            <w:r w:rsidRPr="003E2DBE">
              <w:rPr>
                <w:rFonts w:eastAsiaTheme="minorEastAsia" w:cs="Calibri"/>
                <w:sz w:val="19"/>
                <w:lang w:eastAsia="en-AU"/>
              </w:rPr>
              <w:t xml:space="preserve"> 126.5)</w:t>
            </w:r>
          </w:p>
        </w:tc>
        <w:tc>
          <w:tcPr>
            <w:tcW w:w="1079"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(1</w:t>
            </w:r>
            <w:r w:rsidRPr="003E2DBE">
              <w:rPr>
                <w:rFonts w:eastAsiaTheme="minorEastAsia" w:cs="Calibri"/>
                <w:sz w:val="19"/>
                <w:lang w:eastAsia="en-AU"/>
              </w:rPr>
              <w:t xml:space="preserve"> 838.1)</w:t>
            </w:r>
          </w:p>
        </w:tc>
        <w:tc>
          <w:tcPr>
            <w:tcW w:w="108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(1</w:t>
            </w:r>
            <w:r w:rsidRPr="003E2DBE">
              <w:rPr>
                <w:rFonts w:eastAsiaTheme="minorEastAsia" w:cs="Calibri"/>
                <w:sz w:val="19"/>
                <w:lang w:eastAsia="en-AU"/>
              </w:rPr>
              <w:t xml:space="preserve"> 716.1)</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sz w:val="19"/>
                <w:szCs w:val="20"/>
                <w:lang w:eastAsia="en-AU"/>
              </w:rPr>
            </w:pPr>
            <w:r w:rsidRPr="003E2DBE">
              <w:rPr>
                <w:sz w:val="19"/>
                <w:szCs w:val="20"/>
                <w:lang w:eastAsia="en-AU"/>
              </w:rPr>
              <w:t>Plus: Other movements in non-financial assets</w:t>
            </w:r>
          </w:p>
        </w:tc>
        <w:tc>
          <w:tcPr>
            <w:tcW w:w="982"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053.1</w:t>
            </w:r>
          </w:p>
        </w:tc>
        <w:tc>
          <w:tcPr>
            <w:tcW w:w="1079"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010.4</w:t>
            </w:r>
          </w:p>
        </w:tc>
        <w:tc>
          <w:tcPr>
            <w:tcW w:w="1079"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4 </w:t>
            </w:r>
            <w:r w:rsidRPr="003E2DBE">
              <w:rPr>
                <w:rFonts w:eastAsiaTheme="minorEastAsia" w:cs="Calibri"/>
                <w:sz w:val="19"/>
                <w:lang w:eastAsia="en-AU"/>
              </w:rPr>
              <w:t>473.3</w:t>
            </w:r>
          </w:p>
        </w:tc>
        <w:tc>
          <w:tcPr>
            <w:tcW w:w="108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312.1</w:t>
            </w:r>
          </w:p>
        </w:tc>
      </w:tr>
      <w:tr w:rsidR="000B4A1E" w:rsidRPr="003E2DBE" w:rsidTr="00517E51">
        <w:trPr>
          <w:trHeight w:val="227"/>
        </w:trPr>
        <w:tc>
          <w:tcPr>
            <w:tcW w:w="5414" w:type="dxa"/>
            <w:tcBorders>
              <w:top w:val="nil"/>
              <w:left w:val="nil"/>
              <w:bottom w:val="nil"/>
              <w:right w:val="nil"/>
            </w:tcBorders>
          </w:tcPr>
          <w:p w:rsidR="000B4A1E" w:rsidRPr="003E2DBE" w:rsidRDefault="000B4A1E" w:rsidP="00517E51">
            <w:pPr>
              <w:pStyle w:val="Tabletext"/>
              <w:rPr>
                <w:b/>
                <w:bCs/>
                <w:sz w:val="19"/>
                <w:szCs w:val="20"/>
                <w:lang w:eastAsia="en-AU"/>
              </w:rPr>
            </w:pPr>
            <w:r w:rsidRPr="003E2DBE">
              <w:rPr>
                <w:b/>
                <w:bCs/>
                <w:sz w:val="19"/>
                <w:szCs w:val="20"/>
                <w:lang w:eastAsia="en-AU"/>
              </w:rPr>
              <w:t>Less: Net acquisition of non-financial assets</w:t>
            </w:r>
          </w:p>
        </w:tc>
        <w:tc>
          <w:tcPr>
            <w:tcW w:w="982"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2 </w:t>
            </w:r>
            <w:r w:rsidRPr="003E2DBE">
              <w:rPr>
                <w:rFonts w:eastAsiaTheme="minorEastAsia" w:cs="Calibri"/>
                <w:b/>
                <w:bCs/>
                <w:sz w:val="19"/>
                <w:lang w:eastAsia="en-AU"/>
              </w:rPr>
              <w:t>684.0</w:t>
            </w:r>
          </w:p>
        </w:tc>
        <w:tc>
          <w:tcPr>
            <w:tcW w:w="1079"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2 </w:t>
            </w:r>
            <w:r w:rsidRPr="003E2DBE">
              <w:rPr>
                <w:rFonts w:eastAsiaTheme="minorEastAsia" w:cs="Calibri"/>
                <w:b/>
                <w:bCs/>
                <w:sz w:val="19"/>
                <w:lang w:eastAsia="en-AU"/>
              </w:rPr>
              <w:t>281.7</w:t>
            </w:r>
          </w:p>
        </w:tc>
        <w:tc>
          <w:tcPr>
            <w:tcW w:w="107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6 </w:t>
            </w:r>
            <w:r w:rsidRPr="003E2DBE">
              <w:rPr>
                <w:rFonts w:eastAsiaTheme="minorEastAsia" w:cs="Calibri"/>
                <w:b/>
                <w:bCs/>
                <w:sz w:val="19"/>
                <w:lang w:eastAsia="en-AU"/>
              </w:rPr>
              <w:t>181.4</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2 </w:t>
            </w:r>
            <w:r w:rsidRPr="003E2DBE">
              <w:rPr>
                <w:rFonts w:eastAsiaTheme="minorEastAsia" w:cs="Calibri"/>
                <w:b/>
                <w:bCs/>
                <w:sz w:val="19"/>
                <w:lang w:eastAsia="en-AU"/>
              </w:rPr>
              <w:t>364.2</w:t>
            </w:r>
          </w:p>
        </w:tc>
      </w:tr>
      <w:tr w:rsidR="000B4A1E" w:rsidRPr="003E2DBE" w:rsidTr="00517E51">
        <w:trPr>
          <w:trHeight w:val="227"/>
        </w:trPr>
        <w:tc>
          <w:tcPr>
            <w:tcW w:w="5414" w:type="dxa"/>
            <w:tcBorders>
              <w:top w:val="single" w:sz="6" w:space="0" w:color="auto"/>
              <w:left w:val="nil"/>
              <w:bottom w:val="single" w:sz="12" w:space="0" w:color="auto"/>
              <w:right w:val="nil"/>
            </w:tcBorders>
          </w:tcPr>
          <w:p w:rsidR="000B4A1E" w:rsidRPr="003E2DBE" w:rsidRDefault="000B4A1E" w:rsidP="00517E51">
            <w:pPr>
              <w:pStyle w:val="Tabletext"/>
              <w:rPr>
                <w:b/>
                <w:bCs/>
                <w:sz w:val="19"/>
                <w:szCs w:val="20"/>
                <w:lang w:eastAsia="en-AU"/>
              </w:rPr>
            </w:pPr>
            <w:r w:rsidRPr="003E2DBE">
              <w:rPr>
                <w:b/>
                <w:bCs/>
                <w:sz w:val="19"/>
                <w:szCs w:val="20"/>
                <w:lang w:eastAsia="en-AU"/>
              </w:rPr>
              <w:t>Net lending/(borrowing)</w:t>
            </w:r>
          </w:p>
        </w:tc>
        <w:tc>
          <w:tcPr>
            <w:tcW w:w="982"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(2</w:t>
            </w:r>
            <w:r w:rsidRPr="003E2DBE">
              <w:rPr>
                <w:rFonts w:eastAsiaTheme="minorEastAsia" w:cs="Calibri"/>
                <w:b/>
                <w:bCs/>
                <w:sz w:val="19"/>
                <w:lang w:eastAsia="en-AU"/>
              </w:rPr>
              <w:t xml:space="preserve"> 367.6)</w:t>
            </w:r>
          </w:p>
        </w:tc>
        <w:tc>
          <w:tcPr>
            <w:tcW w:w="1079"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(1</w:t>
            </w:r>
            <w:r w:rsidRPr="003E2DBE">
              <w:rPr>
                <w:rFonts w:eastAsiaTheme="minorEastAsia" w:cs="Calibri"/>
                <w:b/>
                <w:bCs/>
                <w:sz w:val="19"/>
                <w:lang w:eastAsia="en-AU"/>
              </w:rPr>
              <w:t xml:space="preserve"> 710.5)</w:t>
            </w:r>
          </w:p>
        </w:tc>
        <w:tc>
          <w:tcPr>
            <w:tcW w:w="107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(6</w:t>
            </w:r>
            <w:r w:rsidRPr="003E2DBE">
              <w:rPr>
                <w:rFonts w:eastAsiaTheme="minorEastAsia" w:cs="Calibri"/>
                <w:b/>
                <w:bCs/>
                <w:sz w:val="19"/>
                <w:lang w:eastAsia="en-AU"/>
              </w:rPr>
              <w:t xml:space="preserve"> 479.6)</w:t>
            </w:r>
          </w:p>
        </w:tc>
        <w:tc>
          <w:tcPr>
            <w:tcW w:w="108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(2</w:t>
            </w:r>
            <w:r w:rsidRPr="003E2DBE">
              <w:rPr>
                <w:rFonts w:eastAsiaTheme="minorEastAsia" w:cs="Calibri"/>
                <w:b/>
                <w:bCs/>
                <w:sz w:val="19"/>
                <w:lang w:eastAsia="en-AU"/>
              </w:rPr>
              <w:t xml:space="preserve"> 423.9)</w:t>
            </w:r>
          </w:p>
        </w:tc>
      </w:tr>
    </w:tbl>
    <w:p w:rsidR="000B4A1E" w:rsidRPr="00D00665" w:rsidRDefault="000B4A1E" w:rsidP="00517E51">
      <w:pPr>
        <w:pStyle w:val="Notes"/>
      </w:pPr>
      <w:r w:rsidRPr="00D00665">
        <w:t>Notes:</w:t>
      </w:r>
    </w:p>
    <w:p w:rsidR="000B4A1E" w:rsidRPr="00D00665" w:rsidRDefault="000B4A1E" w:rsidP="00517E51">
      <w:pPr>
        <w:pStyle w:val="Notes"/>
      </w:pPr>
      <w:r w:rsidRPr="00D00665">
        <w:t xml:space="preserve">(a) </w:t>
      </w:r>
      <w:r w:rsidRPr="00D00665">
        <w:tab/>
        <w:t xml:space="preserve">The changed item description </w:t>
      </w:r>
      <w:r>
        <w:t>‘</w:t>
      </w:r>
      <w:r w:rsidRPr="00D00665">
        <w:t>other economic flows – other comprehensive income</w:t>
      </w:r>
      <w:r>
        <w:t>’</w:t>
      </w:r>
      <w:r w:rsidRPr="00D00665">
        <w:t xml:space="preserve"> and related inclusion of sub headings are due to the new requirements of AASB 101 </w:t>
      </w:r>
      <w:r w:rsidRPr="00AD4A20">
        <w:rPr>
          <w:i w:val="0"/>
        </w:rPr>
        <w:t>Presentation of Financial Statements</w:t>
      </w:r>
      <w:r w:rsidRPr="00D00665">
        <w:t xml:space="preserve"> and AASB 1049 </w:t>
      </w:r>
      <w:r w:rsidRPr="00AD4A20">
        <w:rPr>
          <w:i w:val="0"/>
        </w:rPr>
        <w:t>Whole of Government and General Government Sector Financial Reporting</w:t>
      </w:r>
      <w:r w:rsidRPr="00D00665">
        <w:t>.</w:t>
      </w:r>
    </w:p>
    <w:p w:rsidR="000B4A1E" w:rsidRPr="00D00665" w:rsidRDefault="000B4A1E" w:rsidP="00517E51">
      <w:pPr>
        <w:pStyle w:val="Notes"/>
      </w:pPr>
      <w:r w:rsidRPr="00D00665">
        <w:t>(b)</w:t>
      </w:r>
      <w:r w:rsidRPr="00D00665">
        <w:tab/>
        <w:t>Restated balances at 30 June 2012. Refer to Note 36 of the financial statements.</w:t>
      </w:r>
    </w:p>
    <w:p w:rsidR="000B4A1E" w:rsidRPr="00D00665" w:rsidRDefault="000B4A1E" w:rsidP="00517E51">
      <w:pPr>
        <w:pStyle w:val="Heading2NotesContd"/>
        <w:spacing w:after="180"/>
      </w:pPr>
    </w:p>
    <w:p w:rsidR="000B4A1E" w:rsidRPr="00D00665" w:rsidRDefault="000B4A1E" w:rsidP="00517E51">
      <w:pPr>
        <w:pStyle w:val="Tableheading"/>
        <w:spacing w:before="320"/>
        <w:rPr>
          <w:sz w:val="32"/>
        </w:rPr>
      </w:pPr>
    </w:p>
    <w:p w:rsidR="000B4A1E" w:rsidRPr="003E2DBE" w:rsidRDefault="000B4A1E" w:rsidP="00517E51">
      <w:pPr>
        <w:pStyle w:val="million"/>
        <w:spacing w:before="120"/>
        <w:rPr>
          <w:rFonts w:ascii="Times New Roman" w:hAnsi="Times New Roman"/>
          <w:i w:val="0"/>
          <w:szCs w:val="20"/>
          <w:lang w:eastAsia="en-AU"/>
        </w:rPr>
      </w:pPr>
    </w:p>
    <w:tbl>
      <w:tblPr>
        <w:tblW w:w="9648" w:type="dxa"/>
        <w:tblInd w:w="29" w:type="dxa"/>
        <w:tblLayout w:type="fixed"/>
        <w:tblCellMar>
          <w:left w:w="43" w:type="dxa"/>
          <w:right w:w="43" w:type="dxa"/>
        </w:tblCellMar>
        <w:tblLook w:val="0000" w:firstRow="0" w:lastRow="0" w:firstColumn="0" w:lastColumn="0" w:noHBand="0" w:noVBand="0"/>
      </w:tblPr>
      <w:tblGrid>
        <w:gridCol w:w="284"/>
        <w:gridCol w:w="1324"/>
        <w:gridCol w:w="1608"/>
        <w:gridCol w:w="236"/>
        <w:gridCol w:w="1372"/>
        <w:gridCol w:w="1608"/>
        <w:gridCol w:w="242"/>
        <w:gridCol w:w="1366"/>
        <w:gridCol w:w="1608"/>
      </w:tblGrid>
      <w:tr w:rsidR="000B4A1E" w:rsidRPr="003E2DBE" w:rsidTr="00517E51">
        <w:tc>
          <w:tcPr>
            <w:tcW w:w="284" w:type="dxa"/>
            <w:tcBorders>
              <w:top w:val="single" w:sz="12" w:space="0" w:color="auto"/>
              <w:left w:val="single" w:sz="12" w:space="0" w:color="auto"/>
              <w:bottom w:val="nil"/>
              <w:right w:val="nil"/>
            </w:tcBorders>
            <w:shd w:val="clear" w:color="auto" w:fill="000000"/>
          </w:tcPr>
          <w:p w:rsidR="000B4A1E" w:rsidRPr="003E2DBE" w:rsidRDefault="000B4A1E" w:rsidP="00517E51">
            <w:pPr>
              <w:pStyle w:val="TabletextheadingCentred"/>
              <w:rPr>
                <w:sz w:val="19"/>
                <w:szCs w:val="20"/>
                <w:lang w:eastAsia="en-AU"/>
              </w:rPr>
            </w:pPr>
            <w:r w:rsidRPr="003E2DBE">
              <w:rPr>
                <w:sz w:val="19"/>
                <w:szCs w:val="20"/>
                <w:lang w:eastAsia="en-AU"/>
              </w:rPr>
              <w:t xml:space="preserve"> </w:t>
            </w:r>
          </w:p>
        </w:tc>
        <w:tc>
          <w:tcPr>
            <w:tcW w:w="2932" w:type="dxa"/>
            <w:gridSpan w:val="2"/>
            <w:tcBorders>
              <w:top w:val="single" w:sz="12" w:space="0" w:color="auto"/>
              <w:left w:val="nil"/>
              <w:bottom w:val="nil"/>
              <w:right w:val="nil"/>
            </w:tcBorders>
            <w:shd w:val="clear" w:color="auto" w:fill="000000"/>
          </w:tcPr>
          <w:p w:rsidR="000B4A1E" w:rsidRPr="003E2DBE" w:rsidRDefault="000B4A1E" w:rsidP="00517E51">
            <w:pPr>
              <w:pStyle w:val="TabletextheadingCentred"/>
              <w:rPr>
                <w:sz w:val="19"/>
                <w:szCs w:val="20"/>
                <w:lang w:eastAsia="en-AU"/>
              </w:rPr>
            </w:pPr>
            <w:r w:rsidRPr="003E2DBE">
              <w:rPr>
                <w:sz w:val="19"/>
                <w:szCs w:val="20"/>
                <w:lang w:eastAsia="en-AU"/>
              </w:rPr>
              <w:t xml:space="preserve">Public </w:t>
            </w:r>
          </w:p>
          <w:p w:rsidR="000B4A1E" w:rsidRPr="003E2DBE" w:rsidRDefault="000B4A1E" w:rsidP="00517E51">
            <w:pPr>
              <w:pStyle w:val="TabletextheadingCentred"/>
              <w:rPr>
                <w:sz w:val="19"/>
                <w:szCs w:val="20"/>
                <w:lang w:eastAsia="en-AU"/>
              </w:rPr>
            </w:pPr>
            <w:r w:rsidRPr="003E2DBE">
              <w:rPr>
                <w:sz w:val="19"/>
                <w:szCs w:val="20"/>
                <w:lang w:eastAsia="en-AU"/>
              </w:rPr>
              <w:t>financial corporations</w:t>
            </w:r>
          </w:p>
        </w:tc>
        <w:tc>
          <w:tcPr>
            <w:tcW w:w="236" w:type="dxa"/>
            <w:tcBorders>
              <w:top w:val="single" w:sz="12" w:space="0" w:color="auto"/>
              <w:left w:val="nil"/>
              <w:bottom w:val="nil"/>
              <w:right w:val="nil"/>
            </w:tcBorders>
            <w:shd w:val="clear" w:color="auto" w:fill="000000"/>
          </w:tcPr>
          <w:p w:rsidR="000B4A1E" w:rsidRPr="003E2DBE" w:rsidRDefault="000B4A1E" w:rsidP="00517E51">
            <w:pPr>
              <w:pStyle w:val="TabletextheadingCentred"/>
              <w:rPr>
                <w:sz w:val="19"/>
                <w:szCs w:val="20"/>
                <w:lang w:eastAsia="en-AU"/>
              </w:rPr>
            </w:pPr>
            <w:r w:rsidRPr="003E2DBE">
              <w:rPr>
                <w:sz w:val="19"/>
                <w:szCs w:val="20"/>
                <w:lang w:eastAsia="en-AU"/>
              </w:rPr>
              <w:t xml:space="preserve"> </w:t>
            </w:r>
          </w:p>
        </w:tc>
        <w:tc>
          <w:tcPr>
            <w:tcW w:w="2980" w:type="dxa"/>
            <w:gridSpan w:val="2"/>
            <w:tcBorders>
              <w:top w:val="single" w:sz="12" w:space="0" w:color="auto"/>
              <w:left w:val="nil"/>
              <w:bottom w:val="nil"/>
              <w:right w:val="nil"/>
            </w:tcBorders>
            <w:shd w:val="clear" w:color="auto" w:fill="000000"/>
          </w:tcPr>
          <w:p w:rsidR="000B4A1E" w:rsidRPr="003E2DBE" w:rsidRDefault="000B4A1E" w:rsidP="00517E51">
            <w:pPr>
              <w:pStyle w:val="TabletextheadingCentred"/>
              <w:rPr>
                <w:sz w:val="19"/>
                <w:szCs w:val="20"/>
                <w:lang w:eastAsia="en-AU"/>
              </w:rPr>
            </w:pPr>
          </w:p>
          <w:p w:rsidR="000B4A1E" w:rsidRPr="003E2DBE" w:rsidRDefault="000B4A1E" w:rsidP="00517E51">
            <w:pPr>
              <w:pStyle w:val="TabletextheadingCentred"/>
              <w:rPr>
                <w:sz w:val="19"/>
                <w:szCs w:val="20"/>
                <w:lang w:eastAsia="en-AU"/>
              </w:rPr>
            </w:pPr>
            <w:r w:rsidRPr="003E2DBE">
              <w:rPr>
                <w:sz w:val="19"/>
                <w:szCs w:val="20"/>
                <w:lang w:eastAsia="en-AU"/>
              </w:rPr>
              <w:t>Inter-sector eliminations</w:t>
            </w:r>
          </w:p>
        </w:tc>
        <w:tc>
          <w:tcPr>
            <w:tcW w:w="242" w:type="dxa"/>
            <w:tcBorders>
              <w:top w:val="single" w:sz="12" w:space="0" w:color="auto"/>
              <w:left w:val="nil"/>
              <w:bottom w:val="nil"/>
              <w:right w:val="nil"/>
            </w:tcBorders>
            <w:shd w:val="clear" w:color="auto" w:fill="000000"/>
          </w:tcPr>
          <w:p w:rsidR="000B4A1E" w:rsidRPr="003E2DBE" w:rsidRDefault="000B4A1E" w:rsidP="00517E51">
            <w:pPr>
              <w:pStyle w:val="TabletextheadingCentred"/>
              <w:rPr>
                <w:sz w:val="19"/>
                <w:szCs w:val="20"/>
                <w:lang w:eastAsia="en-AU"/>
              </w:rPr>
            </w:pPr>
            <w:r w:rsidRPr="003E2DBE">
              <w:rPr>
                <w:sz w:val="19"/>
                <w:szCs w:val="20"/>
                <w:lang w:eastAsia="en-AU"/>
              </w:rPr>
              <w:t xml:space="preserve"> </w:t>
            </w:r>
          </w:p>
        </w:tc>
        <w:tc>
          <w:tcPr>
            <w:tcW w:w="2974" w:type="dxa"/>
            <w:gridSpan w:val="2"/>
            <w:tcBorders>
              <w:top w:val="single" w:sz="12" w:space="0" w:color="auto"/>
              <w:left w:val="nil"/>
              <w:bottom w:val="nil"/>
              <w:right w:val="single" w:sz="12" w:space="0" w:color="auto"/>
            </w:tcBorders>
            <w:shd w:val="clear" w:color="auto" w:fill="000000"/>
          </w:tcPr>
          <w:p w:rsidR="000B4A1E" w:rsidRPr="003E2DBE" w:rsidRDefault="000B4A1E" w:rsidP="00517E51">
            <w:pPr>
              <w:pStyle w:val="TabletextheadingCentred"/>
              <w:rPr>
                <w:sz w:val="19"/>
                <w:szCs w:val="20"/>
                <w:lang w:eastAsia="en-AU"/>
              </w:rPr>
            </w:pPr>
          </w:p>
          <w:p w:rsidR="000B4A1E" w:rsidRPr="003E2DBE" w:rsidRDefault="000B4A1E" w:rsidP="00517E51">
            <w:pPr>
              <w:pStyle w:val="TabletextheadingCentred"/>
              <w:rPr>
                <w:sz w:val="19"/>
                <w:szCs w:val="20"/>
                <w:lang w:eastAsia="en-AU"/>
              </w:rPr>
            </w:pPr>
            <w:r w:rsidRPr="003E2DBE">
              <w:rPr>
                <w:sz w:val="19"/>
                <w:szCs w:val="20"/>
                <w:lang w:eastAsia="en-AU"/>
              </w:rPr>
              <w:t>Consolidated</w:t>
            </w:r>
          </w:p>
        </w:tc>
      </w:tr>
      <w:tr w:rsidR="000B4A1E" w:rsidRPr="003E2DBE" w:rsidTr="00517E51">
        <w:tc>
          <w:tcPr>
            <w:tcW w:w="1608" w:type="dxa"/>
            <w:gridSpan w:val="2"/>
            <w:tcBorders>
              <w:top w:val="nil"/>
              <w:left w:val="single" w:sz="12" w:space="0" w:color="auto"/>
              <w:bottom w:val="single" w:sz="12" w:space="0" w:color="auto"/>
              <w:right w:val="nil"/>
            </w:tcBorders>
            <w:shd w:val="clear" w:color="auto" w:fill="000000"/>
          </w:tcPr>
          <w:p w:rsidR="000B4A1E" w:rsidRPr="003E2DBE" w:rsidRDefault="000B4A1E" w:rsidP="00517E51">
            <w:pPr>
              <w:pStyle w:val="Tabletextheading"/>
              <w:rPr>
                <w:sz w:val="19"/>
                <w:szCs w:val="20"/>
                <w:lang w:eastAsia="en-AU"/>
              </w:rPr>
            </w:pPr>
            <w:r w:rsidRPr="003E2DBE">
              <w:rPr>
                <w:sz w:val="19"/>
                <w:szCs w:val="20"/>
                <w:lang w:eastAsia="en-AU"/>
              </w:rPr>
              <w:t>2013</w:t>
            </w:r>
          </w:p>
        </w:tc>
        <w:tc>
          <w:tcPr>
            <w:tcW w:w="1608" w:type="dxa"/>
            <w:tcBorders>
              <w:top w:val="nil"/>
              <w:left w:val="nil"/>
              <w:bottom w:val="single" w:sz="12" w:space="0" w:color="auto"/>
              <w:right w:val="nil"/>
            </w:tcBorders>
            <w:shd w:val="clear" w:color="auto" w:fill="000000"/>
          </w:tcPr>
          <w:p w:rsidR="000B4A1E" w:rsidRPr="003E2DBE" w:rsidRDefault="000B4A1E" w:rsidP="00517E51">
            <w:pPr>
              <w:pStyle w:val="Tabletextheading"/>
              <w:rPr>
                <w:sz w:val="19"/>
                <w:szCs w:val="20"/>
                <w:lang w:eastAsia="en-AU"/>
              </w:rPr>
            </w:pPr>
            <w:r w:rsidRPr="003E2DBE">
              <w:rPr>
                <w:sz w:val="19"/>
                <w:szCs w:val="20"/>
                <w:lang w:eastAsia="en-AU"/>
              </w:rPr>
              <w:t>2012</w:t>
            </w:r>
          </w:p>
        </w:tc>
        <w:tc>
          <w:tcPr>
            <w:tcW w:w="1608" w:type="dxa"/>
            <w:gridSpan w:val="2"/>
            <w:tcBorders>
              <w:top w:val="nil"/>
              <w:left w:val="nil"/>
              <w:bottom w:val="single" w:sz="12" w:space="0" w:color="auto"/>
              <w:right w:val="nil"/>
            </w:tcBorders>
            <w:shd w:val="clear" w:color="auto" w:fill="000000"/>
          </w:tcPr>
          <w:p w:rsidR="000B4A1E" w:rsidRPr="003E2DBE" w:rsidRDefault="000B4A1E" w:rsidP="00517E51">
            <w:pPr>
              <w:pStyle w:val="Tabletextheading"/>
              <w:rPr>
                <w:sz w:val="19"/>
                <w:szCs w:val="20"/>
                <w:lang w:eastAsia="en-AU"/>
              </w:rPr>
            </w:pPr>
            <w:r w:rsidRPr="003E2DBE">
              <w:rPr>
                <w:sz w:val="19"/>
                <w:szCs w:val="20"/>
                <w:lang w:eastAsia="en-AU"/>
              </w:rPr>
              <w:t>2013</w:t>
            </w:r>
          </w:p>
        </w:tc>
        <w:tc>
          <w:tcPr>
            <w:tcW w:w="1608" w:type="dxa"/>
            <w:tcBorders>
              <w:top w:val="nil"/>
              <w:left w:val="nil"/>
              <w:bottom w:val="single" w:sz="12" w:space="0" w:color="auto"/>
              <w:right w:val="nil"/>
            </w:tcBorders>
            <w:shd w:val="clear" w:color="auto" w:fill="000000"/>
          </w:tcPr>
          <w:p w:rsidR="000B4A1E" w:rsidRPr="003E2DBE" w:rsidRDefault="000B4A1E" w:rsidP="00517E51">
            <w:pPr>
              <w:pStyle w:val="Tabletextheading"/>
              <w:rPr>
                <w:sz w:val="19"/>
                <w:szCs w:val="20"/>
                <w:lang w:eastAsia="en-AU"/>
              </w:rPr>
            </w:pPr>
            <w:r w:rsidRPr="003E2DBE">
              <w:rPr>
                <w:sz w:val="19"/>
                <w:szCs w:val="20"/>
                <w:lang w:eastAsia="en-AU"/>
              </w:rPr>
              <w:t>2012</w:t>
            </w:r>
          </w:p>
        </w:tc>
        <w:tc>
          <w:tcPr>
            <w:tcW w:w="1608" w:type="dxa"/>
            <w:gridSpan w:val="2"/>
            <w:tcBorders>
              <w:top w:val="nil"/>
              <w:left w:val="nil"/>
              <w:bottom w:val="single" w:sz="12" w:space="0" w:color="auto"/>
              <w:right w:val="nil"/>
            </w:tcBorders>
            <w:shd w:val="clear" w:color="auto" w:fill="000000"/>
          </w:tcPr>
          <w:p w:rsidR="000B4A1E" w:rsidRPr="003E2DBE" w:rsidRDefault="000B4A1E" w:rsidP="00517E51">
            <w:pPr>
              <w:pStyle w:val="Tabletextheading"/>
              <w:rPr>
                <w:sz w:val="19"/>
                <w:szCs w:val="20"/>
                <w:lang w:eastAsia="en-AU"/>
              </w:rPr>
            </w:pPr>
            <w:r w:rsidRPr="003E2DBE">
              <w:rPr>
                <w:sz w:val="19"/>
                <w:szCs w:val="20"/>
                <w:lang w:eastAsia="en-AU"/>
              </w:rPr>
              <w:t>2013</w:t>
            </w:r>
          </w:p>
        </w:tc>
        <w:tc>
          <w:tcPr>
            <w:tcW w:w="1608" w:type="dxa"/>
            <w:tcBorders>
              <w:top w:val="nil"/>
              <w:left w:val="nil"/>
              <w:bottom w:val="single" w:sz="12" w:space="0" w:color="auto"/>
              <w:right w:val="single" w:sz="12" w:space="0" w:color="auto"/>
            </w:tcBorders>
            <w:shd w:val="clear" w:color="auto" w:fill="000000"/>
          </w:tcPr>
          <w:p w:rsidR="000B4A1E" w:rsidRPr="003E2DBE" w:rsidRDefault="000B4A1E" w:rsidP="00517E51">
            <w:pPr>
              <w:pStyle w:val="Tabletextheading"/>
              <w:rPr>
                <w:sz w:val="19"/>
                <w:szCs w:val="20"/>
                <w:lang w:eastAsia="en-AU"/>
              </w:rPr>
            </w:pPr>
            <w:r w:rsidRPr="003E2DBE">
              <w:rPr>
                <w:sz w:val="19"/>
                <w:szCs w:val="20"/>
                <w:lang w:eastAsia="en-AU"/>
              </w:rPr>
              <w:t>2012</w:t>
            </w:r>
          </w:p>
        </w:tc>
      </w:tr>
      <w:tr w:rsidR="000B4A1E" w:rsidRPr="003E2DBE" w:rsidTr="00517E51">
        <w:tc>
          <w:tcPr>
            <w:tcW w:w="1608" w:type="dxa"/>
            <w:gridSpan w:val="2"/>
            <w:tcBorders>
              <w:top w:val="single" w:sz="12" w:space="0" w:color="auto"/>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single" w:sz="12" w:space="0" w:color="auto"/>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single" w:sz="12" w:space="0" w:color="auto"/>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single" w:sz="12" w:space="0" w:color="auto"/>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single" w:sz="12" w:space="0" w:color="auto"/>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single" w:sz="12" w:space="0" w:color="auto"/>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346.0)</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251.0)</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15 </w:t>
            </w:r>
            <w:r w:rsidRPr="003E2DBE">
              <w:rPr>
                <w:rFonts w:eastAsiaTheme="minorEastAsia" w:cs="Calibri"/>
                <w:sz w:val="19"/>
                <w:lang w:eastAsia="en-AU"/>
              </w:rPr>
              <w:t>184.7</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14 </w:t>
            </w:r>
            <w:r w:rsidRPr="003E2DBE">
              <w:rPr>
                <w:rFonts w:eastAsiaTheme="minorEastAsia" w:cs="Calibri"/>
                <w:sz w:val="19"/>
                <w:lang w:eastAsia="en-AU"/>
              </w:rPr>
              <w:t>775.9</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388.6</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406.7</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(2</w:t>
            </w:r>
            <w:r w:rsidRPr="003E2DBE">
              <w:rPr>
                <w:rFonts w:eastAsiaTheme="minorEastAsia" w:cs="Calibri"/>
                <w:sz w:val="19"/>
                <w:lang w:eastAsia="en-AU"/>
              </w:rPr>
              <w:t xml:space="preserve"> 196.1)</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(1</w:t>
            </w:r>
            <w:r w:rsidRPr="003E2DBE">
              <w:rPr>
                <w:rFonts w:eastAsiaTheme="minorEastAsia" w:cs="Calibri"/>
                <w:sz w:val="19"/>
                <w:lang w:eastAsia="en-AU"/>
              </w:rPr>
              <w:t xml:space="preserve"> 735.2)</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970.4</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215.8</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460.1</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482.6</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(1</w:t>
            </w:r>
            <w:r w:rsidRPr="003E2DBE">
              <w:rPr>
                <w:rFonts w:eastAsiaTheme="minorEastAsia" w:cs="Calibri"/>
                <w:sz w:val="19"/>
                <w:lang w:eastAsia="en-AU"/>
              </w:rPr>
              <w:t xml:space="preserve"> 335.1)</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927.8)</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610.9</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571.1</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3 </w:t>
            </w:r>
            <w:r w:rsidRPr="003E2DBE">
              <w:rPr>
                <w:rFonts w:eastAsiaTheme="minorEastAsia" w:cs="Calibri"/>
                <w:sz w:val="19"/>
                <w:lang w:eastAsia="en-AU"/>
              </w:rPr>
              <w:t>723.3</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3 </w:t>
            </w:r>
            <w:r w:rsidRPr="003E2DBE">
              <w:rPr>
                <w:rFonts w:eastAsiaTheme="minorEastAsia" w:cs="Calibri"/>
                <w:sz w:val="19"/>
                <w:lang w:eastAsia="en-AU"/>
              </w:rPr>
              <w:t>628.6</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(2</w:t>
            </w:r>
            <w:r w:rsidRPr="003E2DBE">
              <w:rPr>
                <w:rFonts w:eastAsiaTheme="minorEastAsia" w:cs="Calibri"/>
                <w:sz w:val="19"/>
                <w:lang w:eastAsia="en-AU"/>
              </w:rPr>
              <w:t xml:space="preserve"> 611.2)</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(2</w:t>
            </w:r>
            <w:r w:rsidRPr="003E2DBE">
              <w:rPr>
                <w:rFonts w:eastAsiaTheme="minorEastAsia" w:cs="Calibri"/>
                <w:sz w:val="19"/>
                <w:lang w:eastAsia="en-AU"/>
              </w:rPr>
              <w:t xml:space="preserve"> 059.6)</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12 </w:t>
            </w:r>
            <w:r w:rsidRPr="003E2DBE">
              <w:rPr>
                <w:rFonts w:eastAsiaTheme="minorEastAsia" w:cs="Calibri"/>
                <w:sz w:val="19"/>
                <w:lang w:eastAsia="en-AU"/>
              </w:rPr>
              <w:t>896.9</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12 </w:t>
            </w:r>
            <w:r w:rsidRPr="003E2DBE">
              <w:rPr>
                <w:rFonts w:eastAsiaTheme="minorEastAsia" w:cs="Calibri"/>
                <w:sz w:val="19"/>
                <w:lang w:eastAsia="en-AU"/>
              </w:rPr>
              <w:t>609.6</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2.9</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1.0</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(2</w:t>
            </w:r>
            <w:r w:rsidRPr="003E2DBE">
              <w:rPr>
                <w:rFonts w:eastAsiaTheme="minorEastAsia" w:cs="Calibri"/>
                <w:sz w:val="19"/>
                <w:lang w:eastAsia="en-AU"/>
              </w:rPr>
              <w:t xml:space="preserve"> 769.0)</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(2</w:t>
            </w:r>
            <w:r w:rsidRPr="003E2DBE">
              <w:rPr>
                <w:rFonts w:eastAsiaTheme="minorEastAsia" w:cs="Calibri"/>
                <w:sz w:val="19"/>
                <w:lang w:eastAsia="en-AU"/>
              </w:rPr>
              <w:t xml:space="preserve"> 641.2)</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21 </w:t>
            </w:r>
            <w:r w:rsidRPr="003E2DBE">
              <w:rPr>
                <w:rFonts w:eastAsiaTheme="minorEastAsia" w:cs="Calibri"/>
                <w:sz w:val="19"/>
                <w:lang w:eastAsia="en-AU"/>
              </w:rPr>
              <w:t>790.4</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22 </w:t>
            </w:r>
            <w:r w:rsidRPr="003E2DBE">
              <w:rPr>
                <w:rFonts w:eastAsiaTheme="minorEastAsia" w:cs="Calibri"/>
                <w:sz w:val="19"/>
                <w:lang w:eastAsia="en-AU"/>
              </w:rPr>
              <w:t>476.7</w:t>
            </w:r>
          </w:p>
        </w:tc>
      </w:tr>
      <w:tr w:rsidR="000B4A1E" w:rsidRPr="003E2DBE" w:rsidTr="00517E51">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20.7</w:t>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20.4</w:t>
            </w:r>
          </w:p>
        </w:tc>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566.7)</w:t>
            </w:r>
          </w:p>
        </w:tc>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749.6</w:t>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808.6</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6 </w:t>
            </w:r>
            <w:r w:rsidRPr="003E2DBE">
              <w:rPr>
                <w:rFonts w:eastAsiaTheme="minorEastAsia" w:cs="Calibri"/>
                <w:b/>
                <w:bCs/>
                <w:sz w:val="19"/>
                <w:lang w:eastAsia="en-AU"/>
              </w:rPr>
              <w:t>595.5</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6 </w:t>
            </w:r>
            <w:r w:rsidRPr="003E2DBE">
              <w:rPr>
                <w:rFonts w:eastAsiaTheme="minorEastAsia" w:cs="Calibri"/>
                <w:b/>
                <w:bCs/>
                <w:sz w:val="19"/>
                <w:lang w:eastAsia="en-AU"/>
              </w:rPr>
              <w:t>539.3</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(9</w:t>
            </w:r>
            <w:r w:rsidRPr="003E2DBE">
              <w:rPr>
                <w:rFonts w:eastAsiaTheme="minorEastAsia" w:cs="Calibri"/>
                <w:b/>
                <w:bCs/>
                <w:sz w:val="19"/>
                <w:lang w:eastAsia="en-AU"/>
              </w:rPr>
              <w:t xml:space="preserve"> 257.4)</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(8</w:t>
            </w:r>
            <w:r w:rsidRPr="003E2DBE">
              <w:rPr>
                <w:rFonts w:eastAsiaTheme="minorEastAsia" w:cs="Calibri"/>
                <w:b/>
                <w:bCs/>
                <w:sz w:val="19"/>
                <w:lang w:eastAsia="en-AU"/>
              </w:rPr>
              <w:t xml:space="preserve"> 181.4)</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54 </w:t>
            </w:r>
            <w:r w:rsidRPr="003E2DBE">
              <w:rPr>
                <w:rFonts w:eastAsiaTheme="minorEastAsia" w:cs="Calibri"/>
                <w:b/>
                <w:bCs/>
                <w:sz w:val="19"/>
                <w:lang w:eastAsia="en-AU"/>
              </w:rPr>
              <w:t>203.0</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54 </w:t>
            </w:r>
            <w:r w:rsidRPr="003E2DBE">
              <w:rPr>
                <w:rFonts w:eastAsiaTheme="minorEastAsia" w:cs="Calibri"/>
                <w:b/>
                <w:bCs/>
                <w:sz w:val="19"/>
                <w:lang w:eastAsia="en-AU"/>
              </w:rPr>
              <w:t>457.8</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302.4</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286.1</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335.5)</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335.7)</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18 </w:t>
            </w:r>
            <w:r w:rsidRPr="003E2DBE">
              <w:rPr>
                <w:rFonts w:eastAsiaTheme="minorEastAsia" w:cs="Calibri"/>
                <w:sz w:val="19"/>
                <w:lang w:eastAsia="en-AU"/>
              </w:rPr>
              <w:t>794.9</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18 </w:t>
            </w:r>
            <w:r w:rsidRPr="003E2DBE">
              <w:rPr>
                <w:rFonts w:eastAsiaTheme="minorEastAsia" w:cs="Calibri"/>
                <w:sz w:val="19"/>
                <w:lang w:eastAsia="en-AU"/>
              </w:rPr>
              <w:t>057.2</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443.8</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808.4</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23.3</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25.4</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040.1</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961.3</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39.3</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37.8</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4 </w:t>
            </w:r>
            <w:r w:rsidRPr="003E2DBE">
              <w:rPr>
                <w:rFonts w:eastAsiaTheme="minorEastAsia" w:cs="Calibri"/>
                <w:sz w:val="19"/>
                <w:lang w:eastAsia="en-AU"/>
              </w:rPr>
              <w:t>131.6</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3 </w:t>
            </w:r>
            <w:r w:rsidRPr="003E2DBE">
              <w:rPr>
                <w:rFonts w:eastAsiaTheme="minorEastAsia" w:cs="Calibri"/>
                <w:sz w:val="19"/>
                <w:lang w:eastAsia="en-AU"/>
              </w:rPr>
              <w:t>880.4</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957.9</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856.1</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(2</w:t>
            </w:r>
            <w:r w:rsidRPr="003E2DBE">
              <w:rPr>
                <w:rFonts w:eastAsiaTheme="minorEastAsia" w:cs="Calibri"/>
                <w:sz w:val="19"/>
                <w:lang w:eastAsia="en-AU"/>
              </w:rPr>
              <w:t xml:space="preserve"> 196.1)</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(1</w:t>
            </w:r>
            <w:r w:rsidRPr="003E2DBE">
              <w:rPr>
                <w:rFonts w:eastAsiaTheme="minorEastAsia" w:cs="Calibri"/>
                <w:sz w:val="19"/>
                <w:lang w:eastAsia="en-AU"/>
              </w:rPr>
              <w:t xml:space="preserve"> 671.7)</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538.6</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129.6</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5 </w:t>
            </w:r>
            <w:r w:rsidRPr="003E2DBE">
              <w:rPr>
                <w:rFonts w:eastAsiaTheme="minorEastAsia" w:cs="Calibri"/>
                <w:sz w:val="19"/>
                <w:lang w:eastAsia="en-AU"/>
              </w:rPr>
              <w:t>234.0</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5 </w:t>
            </w:r>
            <w:r w:rsidRPr="003E2DBE">
              <w:rPr>
                <w:rFonts w:eastAsiaTheme="minorEastAsia" w:cs="Calibri"/>
                <w:sz w:val="19"/>
                <w:lang w:eastAsia="en-AU"/>
              </w:rPr>
              <w:t>258.6</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(2</w:t>
            </w:r>
            <w:r w:rsidRPr="003E2DBE">
              <w:rPr>
                <w:rFonts w:eastAsiaTheme="minorEastAsia" w:cs="Calibri"/>
                <w:sz w:val="19"/>
                <w:lang w:eastAsia="en-AU"/>
              </w:rPr>
              <w:t xml:space="preserve"> 248.6)</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(2</w:t>
            </w:r>
            <w:r w:rsidRPr="003E2DBE">
              <w:rPr>
                <w:rFonts w:eastAsiaTheme="minorEastAsia" w:cs="Calibri"/>
                <w:sz w:val="19"/>
                <w:lang w:eastAsia="en-AU"/>
              </w:rPr>
              <w:t xml:space="preserve"> 393.5)</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23 </w:t>
            </w:r>
            <w:r w:rsidRPr="003E2DBE">
              <w:rPr>
                <w:rFonts w:eastAsiaTheme="minorEastAsia" w:cs="Calibri"/>
                <w:sz w:val="19"/>
                <w:lang w:eastAsia="en-AU"/>
              </w:rPr>
              <w:t>342.6</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23 </w:t>
            </w:r>
            <w:r w:rsidRPr="003E2DBE">
              <w:rPr>
                <w:rFonts w:eastAsiaTheme="minorEastAsia" w:cs="Calibri"/>
                <w:sz w:val="19"/>
                <w:lang w:eastAsia="en-AU"/>
              </w:rPr>
              <w:t>233.0</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(2</w:t>
            </w:r>
            <w:r w:rsidRPr="003E2DBE">
              <w:rPr>
                <w:rFonts w:eastAsiaTheme="minorEastAsia" w:cs="Calibri"/>
                <w:sz w:val="19"/>
                <w:lang w:eastAsia="en-AU"/>
              </w:rPr>
              <w:t xml:space="preserve"> 822.6)</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(2</w:t>
            </w:r>
            <w:r w:rsidRPr="003E2DBE">
              <w:rPr>
                <w:rFonts w:eastAsiaTheme="minorEastAsia" w:cs="Calibri"/>
                <w:sz w:val="19"/>
                <w:lang w:eastAsia="en-AU"/>
              </w:rPr>
              <w:t xml:space="preserve"> 852.6)</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5 </w:t>
            </w:r>
            <w:r w:rsidRPr="003E2DBE">
              <w:rPr>
                <w:rFonts w:eastAsiaTheme="minorEastAsia" w:cs="Calibri"/>
                <w:sz w:val="19"/>
                <w:lang w:eastAsia="en-AU"/>
              </w:rPr>
              <w:t>398.3</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5 </w:t>
            </w:r>
            <w:r w:rsidRPr="003E2DBE">
              <w:rPr>
                <w:rFonts w:eastAsiaTheme="minorEastAsia" w:cs="Calibri"/>
                <w:sz w:val="19"/>
                <w:lang w:eastAsia="en-AU"/>
              </w:rPr>
              <w:t>635.4</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17.2</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15.6</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128.1)</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109.0)</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r>
      <w:tr w:rsidR="000B4A1E" w:rsidRPr="003E2DBE" w:rsidTr="00517E51">
        <w:tc>
          <w:tcPr>
            <w:tcW w:w="160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7 </w:t>
            </w:r>
            <w:r w:rsidRPr="003E2DBE">
              <w:rPr>
                <w:rFonts w:eastAsiaTheme="minorEastAsia" w:cs="Calibri"/>
                <w:b/>
                <w:bCs/>
                <w:sz w:val="19"/>
                <w:lang w:eastAsia="en-AU"/>
              </w:rPr>
              <w:t>574.0</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7 </w:t>
            </w:r>
            <w:r w:rsidRPr="003E2DBE">
              <w:rPr>
                <w:rFonts w:eastAsiaTheme="minorEastAsia" w:cs="Calibri"/>
                <w:b/>
                <w:bCs/>
                <w:sz w:val="19"/>
                <w:lang w:eastAsia="en-AU"/>
              </w:rPr>
              <w:t>479.5</w:t>
            </w:r>
          </w:p>
        </w:tc>
        <w:tc>
          <w:tcPr>
            <w:tcW w:w="160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(7</w:t>
            </w:r>
            <w:r w:rsidRPr="003E2DBE">
              <w:rPr>
                <w:rFonts w:eastAsiaTheme="minorEastAsia" w:cs="Calibri"/>
                <w:b/>
                <w:bCs/>
                <w:sz w:val="19"/>
                <w:lang w:eastAsia="en-AU"/>
              </w:rPr>
              <w:t xml:space="preserve"> 730.9)</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(7</w:t>
            </w:r>
            <w:r w:rsidRPr="003E2DBE">
              <w:rPr>
                <w:rFonts w:eastAsiaTheme="minorEastAsia" w:cs="Calibri"/>
                <w:b/>
                <w:bCs/>
                <w:sz w:val="19"/>
                <w:lang w:eastAsia="en-AU"/>
              </w:rPr>
              <w:t xml:space="preserve"> 362.5)</w:t>
            </w:r>
          </w:p>
        </w:tc>
        <w:tc>
          <w:tcPr>
            <w:tcW w:w="160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56 </w:t>
            </w:r>
            <w:r w:rsidRPr="003E2DBE">
              <w:rPr>
                <w:rFonts w:eastAsiaTheme="minorEastAsia" w:cs="Calibri"/>
                <w:b/>
                <w:bCs/>
                <w:sz w:val="19"/>
                <w:lang w:eastAsia="en-AU"/>
              </w:rPr>
              <w:t>689.8</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55 </w:t>
            </w:r>
            <w:r w:rsidRPr="003E2DBE">
              <w:rPr>
                <w:rFonts w:eastAsiaTheme="minorEastAsia" w:cs="Calibri"/>
                <w:b/>
                <w:bCs/>
                <w:sz w:val="19"/>
                <w:lang w:eastAsia="en-AU"/>
              </w:rPr>
              <w:t>705.3</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978.5)</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940.3)</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(1</w:t>
            </w:r>
            <w:r w:rsidRPr="003E2DBE">
              <w:rPr>
                <w:rFonts w:eastAsiaTheme="minorEastAsia" w:cs="Calibri"/>
                <w:b/>
                <w:bCs/>
                <w:sz w:val="19"/>
                <w:lang w:eastAsia="en-AU"/>
              </w:rPr>
              <w:t xml:space="preserve"> 526.5)</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818.9)</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(2</w:t>
            </w:r>
            <w:r w:rsidRPr="003E2DBE">
              <w:rPr>
                <w:rFonts w:eastAsiaTheme="minorEastAsia" w:cs="Calibri"/>
                <w:b/>
                <w:bCs/>
                <w:sz w:val="19"/>
                <w:lang w:eastAsia="en-AU"/>
              </w:rPr>
              <w:t xml:space="preserve"> 486.8)</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(1</w:t>
            </w:r>
            <w:r w:rsidRPr="003E2DBE">
              <w:rPr>
                <w:rFonts w:eastAsiaTheme="minorEastAsia" w:cs="Calibri"/>
                <w:b/>
                <w:bCs/>
                <w:sz w:val="19"/>
                <w:lang w:eastAsia="en-AU"/>
              </w:rPr>
              <w:t xml:space="preserve"> 247.6)</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0.1)</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21.0</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101.6)</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3 </w:t>
            </w:r>
            <w:r w:rsidRPr="003E2DBE">
              <w:rPr>
                <w:rFonts w:eastAsiaTheme="minorEastAsia" w:cs="Calibri"/>
                <w:sz w:val="19"/>
                <w:lang w:eastAsia="en-AU"/>
              </w:rPr>
              <w:t>168.3</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(2</w:t>
            </w:r>
            <w:r w:rsidRPr="003E2DBE">
              <w:rPr>
                <w:rFonts w:eastAsiaTheme="minorEastAsia" w:cs="Calibri"/>
                <w:sz w:val="19"/>
                <w:lang w:eastAsia="en-AU"/>
              </w:rPr>
              <w:t xml:space="preserve"> 574.9)</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29.6</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3 </w:t>
            </w:r>
            <w:r w:rsidRPr="003E2DBE">
              <w:rPr>
                <w:rFonts w:eastAsiaTheme="minorEastAsia" w:cs="Calibri"/>
                <w:sz w:val="19"/>
                <w:lang w:eastAsia="en-AU"/>
              </w:rPr>
              <w:t>168.5</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(3</w:t>
            </w:r>
            <w:r w:rsidRPr="003E2DBE">
              <w:rPr>
                <w:rFonts w:eastAsiaTheme="minorEastAsia" w:cs="Calibri"/>
                <w:sz w:val="19"/>
                <w:lang w:eastAsia="en-AU"/>
              </w:rPr>
              <w:t xml:space="preserve"> 249.7)</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w:t>
            </w:r>
            <w:r>
              <w:rPr>
                <w:sz w:val="19"/>
                <w:szCs w:val="20"/>
                <w:lang w:eastAsia="en-AU"/>
              </w:rPr>
              <w:br/>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7 </w:t>
            </w:r>
            <w:r w:rsidRPr="003E2DBE">
              <w:rPr>
                <w:rFonts w:eastAsiaTheme="minorEastAsia" w:cs="Calibri"/>
                <w:sz w:val="19"/>
                <w:lang w:eastAsia="en-AU"/>
              </w:rPr>
              <w:t>356.8</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(9</w:t>
            </w:r>
            <w:r w:rsidRPr="003E2DBE">
              <w:rPr>
                <w:rFonts w:eastAsiaTheme="minorEastAsia" w:cs="Calibri"/>
                <w:sz w:val="19"/>
                <w:lang w:eastAsia="en-AU"/>
              </w:rPr>
              <w:t xml:space="preserve"> 389.2)</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10.6)</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83.4)</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5.1</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069.9</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920.8)</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694.6</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828.6)</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549.7</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(1</w:t>
            </w:r>
            <w:r w:rsidRPr="003E2DBE">
              <w:rPr>
                <w:rFonts w:eastAsiaTheme="minorEastAsia" w:cs="Calibri"/>
                <w:sz w:val="19"/>
                <w:lang w:eastAsia="en-AU"/>
              </w:rPr>
              <w:t xml:space="preserve"> 979.0)</w:t>
            </w:r>
          </w:p>
        </w:tc>
      </w:tr>
      <w:tr w:rsidR="000B4A1E" w:rsidRPr="003E2DBE" w:rsidTr="00517E51">
        <w:tc>
          <w:tcPr>
            <w:tcW w:w="160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bCs/>
                <w:sz w:val="19"/>
                <w:szCs w:val="20"/>
                <w:lang w:eastAsia="en-AU"/>
              </w:rPr>
              <w:t xml:space="preserve">4 </w:t>
            </w:r>
            <w:r w:rsidRPr="003E2DBE">
              <w:rPr>
                <w:rFonts w:eastAsiaTheme="minorEastAsia" w:cs="Calibri"/>
                <w:b/>
                <w:sz w:val="19"/>
                <w:lang w:eastAsia="en-AU"/>
              </w:rPr>
              <w:t>238.1</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bCs/>
                <w:sz w:val="19"/>
                <w:szCs w:val="20"/>
                <w:lang w:eastAsia="en-AU"/>
              </w:rPr>
              <w:t>(3</w:t>
            </w:r>
            <w:r w:rsidRPr="003E2DBE">
              <w:rPr>
                <w:rFonts w:eastAsiaTheme="minorEastAsia" w:cs="Calibri"/>
                <w:b/>
                <w:sz w:val="19"/>
                <w:lang w:eastAsia="en-AU"/>
              </w:rPr>
              <w:t xml:space="preserve"> 495.7)</w:t>
            </w:r>
          </w:p>
        </w:tc>
        <w:tc>
          <w:tcPr>
            <w:tcW w:w="160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bCs/>
                <w:sz w:val="19"/>
                <w:szCs w:val="20"/>
                <w:lang w:eastAsia="en-AU"/>
              </w:rPr>
              <w:t xml:space="preserve"> 713.6</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bCs/>
                <w:sz w:val="19"/>
                <w:szCs w:val="20"/>
                <w:lang w:eastAsia="en-AU"/>
              </w:rPr>
              <w:t xml:space="preserve">( </w:t>
            </w:r>
            <w:r w:rsidRPr="003E2DBE">
              <w:rPr>
                <w:rFonts w:eastAsiaTheme="minorEastAsia" w:cs="Calibri"/>
                <w:b/>
                <w:sz w:val="19"/>
                <w:lang w:eastAsia="en-AU"/>
              </w:rPr>
              <w:t>828.6)</w:t>
            </w:r>
          </w:p>
        </w:tc>
        <w:tc>
          <w:tcPr>
            <w:tcW w:w="160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bCs/>
                <w:sz w:val="19"/>
                <w:szCs w:val="20"/>
                <w:lang w:eastAsia="en-AU"/>
              </w:rPr>
              <w:t xml:space="preserve">12 </w:t>
            </w:r>
            <w:r w:rsidRPr="003E2DBE">
              <w:rPr>
                <w:rFonts w:eastAsiaTheme="minorEastAsia" w:cs="Calibri"/>
                <w:b/>
                <w:sz w:val="19"/>
                <w:lang w:eastAsia="en-AU"/>
              </w:rPr>
              <w:t>012.6</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 w:val="19"/>
                <w:lang w:eastAsia="en-AU"/>
              </w:rPr>
            </w:pPr>
            <w:r w:rsidRPr="003E2DBE">
              <w:rPr>
                <w:b/>
                <w:bCs/>
                <w:sz w:val="19"/>
                <w:szCs w:val="20"/>
                <w:lang w:eastAsia="en-AU"/>
              </w:rPr>
              <w:t>(14</w:t>
            </w:r>
            <w:r w:rsidRPr="003E2DBE">
              <w:rPr>
                <w:rFonts w:eastAsiaTheme="minorEastAsia" w:cs="Calibri"/>
                <w:b/>
                <w:sz w:val="19"/>
                <w:lang w:eastAsia="en-AU"/>
              </w:rPr>
              <w:t xml:space="preserve"> 714.3)</w:t>
            </w:r>
          </w:p>
        </w:tc>
      </w:tr>
      <w:tr w:rsidR="000B4A1E" w:rsidRPr="003E2DBE" w:rsidTr="00517E51">
        <w:tc>
          <w:tcPr>
            <w:tcW w:w="160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3 </w:t>
            </w:r>
            <w:r w:rsidRPr="003E2DBE">
              <w:rPr>
                <w:rFonts w:eastAsiaTheme="minorEastAsia" w:cs="Calibri"/>
                <w:b/>
                <w:bCs/>
                <w:sz w:val="19"/>
                <w:lang w:eastAsia="en-AU"/>
              </w:rPr>
              <w:t>259.7</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(4</w:t>
            </w:r>
            <w:r w:rsidRPr="003E2DBE">
              <w:rPr>
                <w:rFonts w:eastAsiaTheme="minorEastAsia" w:cs="Calibri"/>
                <w:b/>
                <w:bCs/>
                <w:sz w:val="19"/>
                <w:lang w:eastAsia="en-AU"/>
              </w:rPr>
              <w:t xml:space="preserve"> 436.0)</w:t>
            </w:r>
          </w:p>
        </w:tc>
        <w:tc>
          <w:tcPr>
            <w:tcW w:w="160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812.9)</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(1</w:t>
            </w:r>
            <w:r w:rsidRPr="003E2DBE">
              <w:rPr>
                <w:rFonts w:eastAsiaTheme="minorEastAsia" w:cs="Calibri"/>
                <w:b/>
                <w:bCs/>
                <w:sz w:val="19"/>
                <w:lang w:eastAsia="en-AU"/>
              </w:rPr>
              <w:t xml:space="preserve"> 647.5)</w:t>
            </w:r>
          </w:p>
        </w:tc>
        <w:tc>
          <w:tcPr>
            <w:tcW w:w="160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9 </w:t>
            </w:r>
            <w:r w:rsidRPr="003E2DBE">
              <w:rPr>
                <w:rFonts w:eastAsiaTheme="minorEastAsia" w:cs="Calibri"/>
                <w:b/>
                <w:bCs/>
                <w:sz w:val="19"/>
                <w:lang w:eastAsia="en-AU"/>
              </w:rPr>
              <w:t>525.8</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(15</w:t>
            </w:r>
            <w:r w:rsidRPr="003E2DBE">
              <w:rPr>
                <w:rFonts w:eastAsiaTheme="minorEastAsia" w:cs="Calibri"/>
                <w:b/>
                <w:bCs/>
                <w:sz w:val="19"/>
                <w:lang w:eastAsia="en-AU"/>
              </w:rPr>
              <w:t xml:space="preserve"> 961.9)</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( 1.0</w:t>
            </w:r>
            <w:r w:rsidRPr="003E2DBE">
              <w:rPr>
                <w:rFonts w:eastAsiaTheme="minorEastAsia" w:cs="Calibri"/>
                <w:sz w:val="19"/>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3.7</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229.1</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21.7</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795.4</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030.0</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w:t>
            </w:r>
            <w:r>
              <w:rPr>
                <w:sz w:val="19"/>
                <w:szCs w:val="20"/>
                <w:lang w:eastAsia="en-AU"/>
              </w:rPr>
              <w:br/>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810.3</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700.5</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0.4)</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82.9</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20.0</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369.3</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211.7</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b/>
                <w:bCs/>
                <w:sz w:val="19"/>
                <w:szCs w:val="20"/>
                <w:lang w:eastAsia="en-AU"/>
              </w:rPr>
            </w:pPr>
          </w:p>
        </w:tc>
        <w:tc>
          <w:tcPr>
            <w:tcW w:w="1608" w:type="dxa"/>
            <w:tcBorders>
              <w:top w:val="nil"/>
              <w:left w:val="nil"/>
              <w:bottom w:val="nil"/>
              <w:right w:val="nil"/>
            </w:tcBorders>
          </w:tcPr>
          <w:p w:rsidR="000B4A1E" w:rsidRPr="003E2DBE" w:rsidRDefault="000B4A1E" w:rsidP="00517E51">
            <w:pPr>
              <w:pStyle w:val="TableofFigures"/>
              <w:rPr>
                <w:b/>
                <w:bCs/>
                <w:sz w:val="19"/>
                <w:szCs w:val="20"/>
                <w:lang w:eastAsia="en-AU"/>
              </w:rPr>
            </w:pPr>
          </w:p>
        </w:tc>
        <w:tc>
          <w:tcPr>
            <w:tcW w:w="1608" w:type="dxa"/>
            <w:gridSpan w:val="2"/>
            <w:tcBorders>
              <w:top w:val="nil"/>
              <w:left w:val="nil"/>
              <w:bottom w:val="nil"/>
              <w:right w:val="nil"/>
            </w:tcBorders>
          </w:tcPr>
          <w:p w:rsidR="000B4A1E" w:rsidRPr="003E2DBE" w:rsidRDefault="000B4A1E" w:rsidP="00517E51">
            <w:pPr>
              <w:pStyle w:val="TableofFigures"/>
              <w:rPr>
                <w:b/>
                <w:bCs/>
                <w:sz w:val="19"/>
                <w:szCs w:val="20"/>
                <w:lang w:eastAsia="en-AU"/>
              </w:rPr>
            </w:pPr>
          </w:p>
        </w:tc>
        <w:tc>
          <w:tcPr>
            <w:tcW w:w="1608" w:type="dxa"/>
            <w:tcBorders>
              <w:top w:val="nil"/>
              <w:left w:val="nil"/>
              <w:bottom w:val="nil"/>
              <w:right w:val="nil"/>
            </w:tcBorders>
          </w:tcPr>
          <w:p w:rsidR="000B4A1E" w:rsidRPr="003E2DBE" w:rsidRDefault="000B4A1E" w:rsidP="00517E51">
            <w:pPr>
              <w:pStyle w:val="TableofFigures"/>
              <w:rPr>
                <w:b/>
                <w:bCs/>
                <w:sz w:val="19"/>
                <w:szCs w:val="20"/>
                <w:lang w:eastAsia="en-AU"/>
              </w:rPr>
            </w:pPr>
          </w:p>
        </w:tc>
        <w:tc>
          <w:tcPr>
            <w:tcW w:w="1608" w:type="dxa"/>
            <w:gridSpan w:val="2"/>
            <w:tcBorders>
              <w:top w:val="nil"/>
              <w:left w:val="nil"/>
              <w:bottom w:val="nil"/>
              <w:right w:val="nil"/>
            </w:tcBorders>
          </w:tcPr>
          <w:p w:rsidR="000B4A1E" w:rsidRPr="003E2DBE" w:rsidRDefault="000B4A1E" w:rsidP="00517E51">
            <w:pPr>
              <w:pStyle w:val="TableofFigures"/>
              <w:rPr>
                <w:b/>
                <w:bCs/>
                <w:sz w:val="19"/>
                <w:szCs w:val="20"/>
                <w:lang w:eastAsia="en-AU"/>
              </w:rPr>
            </w:pPr>
          </w:p>
        </w:tc>
        <w:tc>
          <w:tcPr>
            <w:tcW w:w="1608" w:type="dxa"/>
            <w:tcBorders>
              <w:top w:val="nil"/>
              <w:left w:val="nil"/>
              <w:bottom w:val="nil"/>
              <w:right w:val="nil"/>
            </w:tcBorders>
          </w:tcPr>
          <w:p w:rsidR="000B4A1E" w:rsidRPr="003E2DBE" w:rsidRDefault="000B4A1E" w:rsidP="00517E51">
            <w:pPr>
              <w:pStyle w:val="TableofFigures"/>
              <w:rPr>
                <w:b/>
                <w:bCs/>
                <w:sz w:val="19"/>
                <w:szCs w:val="20"/>
                <w:lang w:eastAsia="en-AU"/>
              </w:rPr>
            </w:pPr>
          </w:p>
        </w:tc>
      </w:tr>
      <w:tr w:rsidR="000B4A1E" w:rsidRPr="003E2DBE" w:rsidTr="00517E51">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b/>
                <w:bCs/>
                <w:sz w:val="19"/>
                <w:szCs w:val="20"/>
                <w:lang w:eastAsia="en-AU"/>
              </w:rPr>
              <w:t>..</w:t>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b/>
                <w:bCs/>
                <w:sz w:val="19"/>
                <w:szCs w:val="20"/>
                <w:lang w:eastAsia="en-AU"/>
              </w:rPr>
              <w:t>..</w:t>
            </w:r>
          </w:p>
        </w:tc>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b/>
                <w:bCs/>
                <w:sz w:val="19"/>
                <w:szCs w:val="20"/>
                <w:lang w:eastAsia="en-AU"/>
              </w:rPr>
              <w:t>..</w:t>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b/>
                <w:bCs/>
                <w:sz w:val="19"/>
                <w:szCs w:val="20"/>
                <w:lang w:eastAsia="en-AU"/>
              </w:rPr>
              <w:t>..</w:t>
            </w:r>
          </w:p>
        </w:tc>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b/>
                <w:bCs/>
                <w:sz w:val="19"/>
                <w:szCs w:val="20"/>
                <w:lang w:eastAsia="en-AU"/>
              </w:rPr>
              <w:t xml:space="preserve"> </w:t>
            </w:r>
            <w:r w:rsidRPr="003E2DBE">
              <w:rPr>
                <w:bCs/>
                <w:sz w:val="19"/>
                <w:szCs w:val="20"/>
                <w:lang w:eastAsia="en-AU"/>
              </w:rPr>
              <w:t>84.0</w:t>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b/>
                <w:bCs/>
                <w:sz w:val="19"/>
                <w:szCs w:val="20"/>
                <w:lang w:eastAsia="en-AU"/>
              </w:rPr>
              <w:t xml:space="preserve">( </w:t>
            </w:r>
            <w:r w:rsidRPr="003E2DBE">
              <w:rPr>
                <w:rFonts w:eastAsiaTheme="minorEastAsia" w:cs="Calibri"/>
                <w:sz w:val="19"/>
                <w:lang w:eastAsia="en-AU"/>
              </w:rPr>
              <w:t>22.2)</w:t>
            </w:r>
          </w:p>
        </w:tc>
      </w:tr>
      <w:tr w:rsidR="000B4A1E" w:rsidRPr="003E2DBE" w:rsidTr="00517E51">
        <w:tc>
          <w:tcPr>
            <w:tcW w:w="160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1.0)</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3.3</w:t>
            </w:r>
          </w:p>
        </w:tc>
        <w:tc>
          <w:tcPr>
            <w:tcW w:w="160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122.3</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742.2</w:t>
            </w:r>
          </w:p>
        </w:tc>
        <w:tc>
          <w:tcPr>
            <w:tcW w:w="160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248.7</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2 </w:t>
            </w:r>
            <w:r w:rsidRPr="003E2DBE">
              <w:rPr>
                <w:rFonts w:eastAsiaTheme="minorEastAsia" w:cs="Calibri"/>
                <w:sz w:val="19"/>
                <w:lang w:eastAsia="en-AU"/>
              </w:rPr>
              <w:t>219.5</w:t>
            </w:r>
          </w:p>
        </w:tc>
      </w:tr>
      <w:tr w:rsidR="000B4A1E" w:rsidRPr="003E2DBE" w:rsidTr="00517E51">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3 </w:t>
            </w:r>
            <w:r w:rsidRPr="003E2DBE">
              <w:rPr>
                <w:rFonts w:eastAsiaTheme="minorEastAsia" w:cs="Calibri"/>
                <w:b/>
                <w:bCs/>
                <w:sz w:val="19"/>
                <w:lang w:eastAsia="en-AU"/>
              </w:rPr>
              <w:t>258.7</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(4</w:t>
            </w:r>
            <w:r w:rsidRPr="003E2DBE">
              <w:rPr>
                <w:rFonts w:eastAsiaTheme="minorEastAsia" w:cs="Calibri"/>
                <w:b/>
                <w:bCs/>
                <w:sz w:val="19"/>
                <w:lang w:eastAsia="en-AU"/>
              </w:rPr>
              <w:t xml:space="preserve"> 432.7)</w:t>
            </w:r>
          </w:p>
        </w:tc>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309.3</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905.3)</w:t>
            </w:r>
          </w:p>
        </w:tc>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10 </w:t>
            </w:r>
            <w:r w:rsidRPr="003E2DBE">
              <w:rPr>
                <w:rFonts w:eastAsiaTheme="minorEastAsia" w:cs="Calibri"/>
                <w:b/>
                <w:bCs/>
                <w:sz w:val="19"/>
                <w:lang w:eastAsia="en-AU"/>
              </w:rPr>
              <w:t>774.5</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(13</w:t>
            </w:r>
            <w:r w:rsidRPr="003E2DBE">
              <w:rPr>
                <w:rFonts w:eastAsiaTheme="minorEastAsia" w:cs="Calibri"/>
                <w:b/>
                <w:bCs/>
                <w:sz w:val="19"/>
                <w:lang w:eastAsia="en-AU"/>
              </w:rPr>
              <w:t xml:space="preserve"> 742.4)</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978.5)</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940.3)</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(1</w:t>
            </w:r>
            <w:r w:rsidRPr="003E2DBE">
              <w:rPr>
                <w:rFonts w:eastAsiaTheme="minorEastAsia" w:cs="Calibri"/>
                <w:b/>
                <w:bCs/>
                <w:sz w:val="19"/>
                <w:lang w:eastAsia="en-AU"/>
              </w:rPr>
              <w:t xml:space="preserve"> 526.5)</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818.9)</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(2</w:t>
            </w:r>
            <w:r w:rsidRPr="003E2DBE">
              <w:rPr>
                <w:rFonts w:eastAsiaTheme="minorEastAsia" w:cs="Calibri"/>
                <w:b/>
                <w:bCs/>
                <w:sz w:val="19"/>
                <w:lang w:eastAsia="en-AU"/>
              </w:rPr>
              <w:t xml:space="preserve"> 486.8)</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(1</w:t>
            </w:r>
            <w:r w:rsidRPr="003E2DBE">
              <w:rPr>
                <w:rFonts w:eastAsiaTheme="minorEastAsia" w:cs="Calibri"/>
                <w:b/>
                <w:bCs/>
                <w:sz w:val="19"/>
                <w:lang w:eastAsia="en-AU"/>
              </w:rPr>
              <w:t xml:space="preserve"> 247.6)</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19"/>
                <w:szCs w:val="20"/>
                <w:lang w:eastAsia="en-AU"/>
              </w:rPr>
            </w:pPr>
            <w:r w:rsidRPr="003E2DBE">
              <w:rPr>
                <w:sz w:val="19"/>
                <w:szCs w:val="20"/>
                <w:lang w:eastAsia="en-AU"/>
              </w:rPr>
              <w:t xml:space="preserve">  </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sz w:val="19"/>
                <w:szCs w:val="20"/>
                <w:lang w:eastAsia="en-AU"/>
              </w:rPr>
            </w:pPr>
            <w:r w:rsidRPr="003E2DBE">
              <w:rPr>
                <w:sz w:val="19"/>
                <w:szCs w:val="20"/>
                <w:lang w:eastAsia="en-AU"/>
              </w:rPr>
              <w:t xml:space="preserve"> 74.4</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58.6</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312.2)</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7 </w:t>
            </w:r>
            <w:r w:rsidRPr="003E2DBE">
              <w:rPr>
                <w:rFonts w:eastAsiaTheme="minorEastAsia" w:cs="Calibri"/>
                <w:sz w:val="19"/>
                <w:lang w:eastAsia="en-AU"/>
              </w:rPr>
              <w:t>597.8</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7 </w:t>
            </w:r>
            <w:r w:rsidRPr="003E2DBE">
              <w:rPr>
                <w:rFonts w:eastAsiaTheme="minorEastAsia" w:cs="Calibri"/>
                <w:sz w:val="19"/>
                <w:lang w:eastAsia="en-AU"/>
              </w:rPr>
              <w:t>514.0</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1.9)</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2.6)</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406.3)</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291.9)</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39.3)</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 </w:t>
            </w:r>
            <w:r w:rsidRPr="003E2DBE">
              <w:rPr>
                <w:rFonts w:eastAsiaTheme="minorEastAsia" w:cs="Calibri"/>
                <w:sz w:val="19"/>
                <w:lang w:eastAsia="en-AU"/>
              </w:rPr>
              <w:t>37.8)</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(4</w:t>
            </w:r>
            <w:r w:rsidRPr="003E2DBE">
              <w:rPr>
                <w:rFonts w:eastAsiaTheme="minorEastAsia" w:cs="Calibri"/>
                <w:sz w:val="19"/>
                <w:lang w:eastAsia="en-AU"/>
              </w:rPr>
              <w:t xml:space="preserve"> 131.6)</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(3</w:t>
            </w:r>
            <w:r w:rsidRPr="003E2DBE">
              <w:rPr>
                <w:rFonts w:eastAsiaTheme="minorEastAsia" w:cs="Calibri"/>
                <w:sz w:val="19"/>
                <w:lang w:eastAsia="en-AU"/>
              </w:rPr>
              <w:t xml:space="preserve"> 880.4)</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5 </w:t>
            </w:r>
            <w:r w:rsidRPr="003E2DBE">
              <w:rPr>
                <w:rFonts w:eastAsiaTheme="minorEastAsia" w:cs="Calibri"/>
                <w:sz w:val="19"/>
                <w:lang w:eastAsia="en-AU"/>
              </w:rPr>
              <w:t>526.4</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lang w:eastAsia="en-AU"/>
              </w:rPr>
            </w:pPr>
            <w:r w:rsidRPr="003E2DBE">
              <w:rPr>
                <w:sz w:val="19"/>
                <w:szCs w:val="20"/>
                <w:lang w:eastAsia="en-AU"/>
              </w:rPr>
              <w:t xml:space="preserve">1 </w:t>
            </w:r>
            <w:r w:rsidRPr="003E2DBE">
              <w:rPr>
                <w:rFonts w:eastAsiaTheme="minorEastAsia" w:cs="Calibri"/>
                <w:sz w:val="19"/>
                <w:lang w:eastAsia="en-AU"/>
              </w:rPr>
              <w:t>322.4</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33.2</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18.2</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312.2)</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8 </w:t>
            </w:r>
            <w:r w:rsidRPr="003E2DBE">
              <w:rPr>
                <w:rFonts w:eastAsiaTheme="minorEastAsia" w:cs="Calibri"/>
                <w:b/>
                <w:bCs/>
                <w:sz w:val="19"/>
                <w:lang w:eastAsia="en-AU"/>
              </w:rPr>
              <w:t>586.3</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4 </w:t>
            </w:r>
            <w:r w:rsidRPr="003E2DBE">
              <w:rPr>
                <w:rFonts w:eastAsiaTheme="minorEastAsia" w:cs="Calibri"/>
                <w:b/>
                <w:bCs/>
                <w:sz w:val="19"/>
                <w:lang w:eastAsia="en-AU"/>
              </w:rPr>
              <w:t>664.1</w:t>
            </w:r>
          </w:p>
        </w:tc>
      </w:tr>
      <w:tr w:rsidR="000B4A1E" w:rsidRPr="003E2DBE" w:rsidTr="00517E51">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(1</w:t>
            </w:r>
            <w:r w:rsidRPr="003E2DBE">
              <w:rPr>
                <w:rFonts w:eastAsiaTheme="minorEastAsia" w:cs="Calibri"/>
                <w:b/>
                <w:bCs/>
                <w:sz w:val="19"/>
                <w:lang w:eastAsia="en-AU"/>
              </w:rPr>
              <w:t xml:space="preserve"> 011.7)</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958.5)</w:t>
            </w:r>
          </w:p>
        </w:tc>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color w:val="0000FF"/>
                <w:sz w:val="19"/>
                <w:lang w:eastAsia="en-AU"/>
              </w:rPr>
            </w:pPr>
            <w:r w:rsidRPr="003E2DBE">
              <w:rPr>
                <w:b/>
                <w:bCs/>
                <w:sz w:val="19"/>
                <w:szCs w:val="20"/>
                <w:lang w:eastAsia="en-AU"/>
              </w:rPr>
              <w:t>(1</w:t>
            </w:r>
            <w:r w:rsidRPr="003E2DBE">
              <w:rPr>
                <w:rFonts w:eastAsiaTheme="minorEastAsia" w:cs="Calibri"/>
                <w:b/>
                <w:bCs/>
                <w:sz w:val="19"/>
                <w:lang w:eastAsia="en-AU"/>
              </w:rPr>
              <w:t xml:space="preserve"> 214.3)</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 xml:space="preserve">( </w:t>
            </w:r>
            <w:r w:rsidRPr="003E2DBE">
              <w:rPr>
                <w:rFonts w:eastAsiaTheme="minorEastAsia" w:cs="Calibri"/>
                <w:b/>
                <w:bCs/>
                <w:sz w:val="19"/>
                <w:lang w:eastAsia="en-AU"/>
              </w:rPr>
              <w:t>818.9)</w:t>
            </w:r>
          </w:p>
        </w:tc>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(11</w:t>
            </w:r>
            <w:r w:rsidRPr="003E2DBE">
              <w:rPr>
                <w:rFonts w:eastAsiaTheme="minorEastAsia" w:cs="Calibri"/>
                <w:b/>
                <w:bCs/>
                <w:sz w:val="19"/>
                <w:lang w:eastAsia="en-AU"/>
              </w:rPr>
              <w:t xml:space="preserve"> 073.1)</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lang w:eastAsia="en-AU"/>
              </w:rPr>
            </w:pPr>
            <w:r w:rsidRPr="003E2DBE">
              <w:rPr>
                <w:b/>
                <w:bCs/>
                <w:sz w:val="19"/>
                <w:szCs w:val="20"/>
                <w:lang w:eastAsia="en-AU"/>
              </w:rPr>
              <w:t>(5</w:t>
            </w:r>
            <w:r w:rsidRPr="003E2DBE">
              <w:rPr>
                <w:rFonts w:eastAsiaTheme="minorEastAsia" w:cs="Calibri"/>
                <w:b/>
                <w:bCs/>
                <w:sz w:val="19"/>
                <w:lang w:eastAsia="en-AU"/>
              </w:rPr>
              <w:t xml:space="preserve"> 911.7)</w:t>
            </w:r>
          </w:p>
        </w:tc>
      </w:tr>
    </w:tbl>
    <w:p w:rsidR="000B4A1E" w:rsidRPr="00D00665" w:rsidRDefault="000B4A1E" w:rsidP="00517E51">
      <w:pPr>
        <w:pStyle w:val="Notes"/>
      </w:pPr>
    </w:p>
    <w:p w:rsidR="000B4A1E" w:rsidRPr="00D00665" w:rsidRDefault="000B4A1E" w:rsidP="00517E51">
      <w:pPr>
        <w:pStyle w:val="Heading2NotesContd"/>
        <w:spacing w:before="120"/>
      </w:pPr>
      <w:r w:rsidRPr="00D00665">
        <w:br w:type="page"/>
      </w:r>
      <w:r w:rsidRPr="00D00665">
        <w:lastRenderedPageBreak/>
        <w:t>Note 2:</w:t>
      </w:r>
      <w:r w:rsidRPr="00D00665">
        <w:tab/>
        <w:t>Disaggregated balance sheet as at 30 June</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2984"/>
        <w:gridCol w:w="180"/>
        <w:gridCol w:w="869"/>
        <w:gridCol w:w="1123"/>
        <w:gridCol w:w="887"/>
        <w:gridCol w:w="236"/>
        <w:gridCol w:w="485"/>
        <w:gridCol w:w="638"/>
        <w:gridCol w:w="1123"/>
        <w:gridCol w:w="669"/>
        <w:gridCol w:w="454"/>
      </w:tblGrid>
      <w:tr w:rsidR="000B4A1E" w:rsidRPr="003E2DBE" w:rsidTr="00517E51">
        <w:tc>
          <w:tcPr>
            <w:tcW w:w="298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 xml:space="preserve"> </w:t>
            </w:r>
          </w:p>
        </w:tc>
        <w:tc>
          <w:tcPr>
            <w:tcW w:w="180"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20"/>
                <w:lang w:eastAsia="en-AU"/>
              </w:rPr>
            </w:pPr>
            <w:r w:rsidRPr="003E2DBE">
              <w:rPr>
                <w:rFonts w:eastAsiaTheme="minorEastAsia"/>
                <w:sz w:val="20"/>
                <w:lang w:eastAsia="en-AU"/>
              </w:rPr>
              <w:t xml:space="preserve"> </w:t>
            </w:r>
          </w:p>
        </w:tc>
        <w:tc>
          <w:tcPr>
            <w:tcW w:w="2879" w:type="dxa"/>
            <w:gridSpan w:val="3"/>
            <w:tcBorders>
              <w:top w:val="single" w:sz="4" w:space="0" w:color="auto"/>
              <w:left w:val="nil"/>
              <w:bottom w:val="nil"/>
              <w:right w:val="nil"/>
            </w:tcBorders>
            <w:shd w:val="clear" w:color="auto" w:fill="000000"/>
          </w:tcPr>
          <w:p w:rsidR="000B4A1E" w:rsidRPr="003E2DBE" w:rsidRDefault="000B4A1E" w:rsidP="00517E51">
            <w:pPr>
              <w:pStyle w:val="Tabletextheading"/>
              <w:jc w:val="center"/>
              <w:rPr>
                <w:rFonts w:eastAsiaTheme="minorEastAsia" w:cs="Calibri"/>
                <w:iCs/>
                <w:sz w:val="20"/>
                <w:szCs w:val="22"/>
                <w:lang w:eastAsia="en-AU"/>
              </w:rPr>
            </w:pPr>
            <w:r w:rsidRPr="003E2DBE">
              <w:rPr>
                <w:rFonts w:eastAsiaTheme="minorEastAsia"/>
                <w:sz w:val="20"/>
                <w:lang w:eastAsia="en-AU"/>
              </w:rPr>
              <w:t xml:space="preserve">General </w:t>
            </w:r>
          </w:p>
          <w:p w:rsidR="000B4A1E" w:rsidRPr="003E2DBE" w:rsidRDefault="000B4A1E" w:rsidP="00517E51">
            <w:pPr>
              <w:pStyle w:val="Tabletextheading"/>
              <w:jc w:val="center"/>
              <w:rPr>
                <w:rFonts w:eastAsiaTheme="minorEastAsia"/>
                <w:sz w:val="20"/>
                <w:lang w:eastAsia="en-AU"/>
              </w:rPr>
            </w:pPr>
            <w:r w:rsidRPr="003E2DBE">
              <w:rPr>
                <w:rFonts w:eastAsiaTheme="minorEastAsia"/>
                <w:sz w:val="20"/>
                <w:lang w:eastAsia="en-AU"/>
              </w:rPr>
              <w:t>government sector</w:t>
            </w:r>
          </w:p>
        </w:tc>
        <w:tc>
          <w:tcPr>
            <w:tcW w:w="236" w:type="dxa"/>
            <w:tcBorders>
              <w:top w:val="single" w:sz="4" w:space="0" w:color="auto"/>
              <w:left w:val="nil"/>
              <w:bottom w:val="nil"/>
              <w:right w:val="nil"/>
            </w:tcBorders>
            <w:shd w:val="clear" w:color="auto" w:fill="000000"/>
          </w:tcPr>
          <w:p w:rsidR="000B4A1E" w:rsidRPr="003E2DBE" w:rsidRDefault="000B4A1E" w:rsidP="00517E51">
            <w:pPr>
              <w:pStyle w:val="Tabletextheading"/>
              <w:jc w:val="center"/>
              <w:rPr>
                <w:rFonts w:eastAsiaTheme="minorEastAsia" w:cs="Calibri"/>
                <w:iCs/>
                <w:sz w:val="20"/>
                <w:szCs w:val="22"/>
                <w:lang w:eastAsia="en-AU"/>
              </w:rPr>
            </w:pPr>
            <w:r w:rsidRPr="003E2DBE">
              <w:rPr>
                <w:rFonts w:eastAsiaTheme="minorEastAsia"/>
                <w:sz w:val="20"/>
                <w:lang w:eastAsia="en-AU"/>
              </w:rPr>
              <w:t xml:space="preserve"> </w:t>
            </w:r>
          </w:p>
        </w:tc>
        <w:tc>
          <w:tcPr>
            <w:tcW w:w="485" w:type="dxa"/>
            <w:tcBorders>
              <w:top w:val="single" w:sz="4" w:space="0" w:color="auto"/>
              <w:left w:val="nil"/>
              <w:bottom w:val="nil"/>
              <w:right w:val="nil"/>
            </w:tcBorders>
            <w:shd w:val="clear" w:color="auto" w:fill="000000"/>
          </w:tcPr>
          <w:p w:rsidR="000B4A1E" w:rsidRPr="003E2DBE" w:rsidRDefault="000B4A1E" w:rsidP="00517E51">
            <w:pPr>
              <w:pStyle w:val="Tabletextheading"/>
              <w:jc w:val="center"/>
              <w:rPr>
                <w:rFonts w:eastAsiaTheme="minorEastAsia" w:cs="Calibri"/>
                <w:iCs/>
                <w:sz w:val="20"/>
                <w:szCs w:val="22"/>
                <w:lang w:eastAsia="en-AU"/>
              </w:rPr>
            </w:pPr>
            <w:r w:rsidRPr="003E2DBE">
              <w:rPr>
                <w:rFonts w:eastAsiaTheme="minorEastAsia"/>
                <w:sz w:val="20"/>
                <w:lang w:eastAsia="en-AU"/>
              </w:rPr>
              <w:t xml:space="preserve"> </w:t>
            </w:r>
          </w:p>
        </w:tc>
        <w:tc>
          <w:tcPr>
            <w:tcW w:w="2430" w:type="dxa"/>
            <w:gridSpan w:val="3"/>
            <w:tcBorders>
              <w:top w:val="single" w:sz="4" w:space="0" w:color="auto"/>
              <w:left w:val="nil"/>
              <w:bottom w:val="nil"/>
              <w:right w:val="nil"/>
            </w:tcBorders>
            <w:shd w:val="clear" w:color="auto" w:fill="000000"/>
          </w:tcPr>
          <w:p w:rsidR="000B4A1E" w:rsidRPr="003E2DBE" w:rsidRDefault="000B4A1E" w:rsidP="00517E51">
            <w:pPr>
              <w:pStyle w:val="Tabletextheading"/>
              <w:jc w:val="center"/>
              <w:rPr>
                <w:rFonts w:eastAsiaTheme="minorEastAsia"/>
                <w:sz w:val="20"/>
                <w:lang w:eastAsia="en-AU"/>
              </w:rPr>
            </w:pPr>
            <w:r w:rsidRPr="003E2DBE">
              <w:rPr>
                <w:rFonts w:eastAsiaTheme="minorEastAsia"/>
                <w:sz w:val="20"/>
                <w:lang w:eastAsia="en-AU"/>
              </w:rPr>
              <w:t>Public non-financial corporations</w:t>
            </w:r>
          </w:p>
        </w:tc>
        <w:tc>
          <w:tcPr>
            <w:tcW w:w="454"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
              <w:rPr>
                <w:rFonts w:eastAsiaTheme="minorEastAsia"/>
                <w:sz w:val="20"/>
                <w:lang w:eastAsia="en-AU"/>
              </w:rPr>
            </w:pPr>
            <w:r w:rsidRPr="003E2DBE">
              <w:rPr>
                <w:rFonts w:eastAsiaTheme="minorEastAsia"/>
                <w:sz w:val="20"/>
                <w:lang w:eastAsia="en-AU"/>
              </w:rPr>
              <w:t xml:space="preserve"> </w:t>
            </w:r>
          </w:p>
        </w:tc>
      </w:tr>
      <w:tr w:rsidR="000B4A1E" w:rsidRPr="003E2DBE" w:rsidTr="00517E51">
        <w:tc>
          <w:tcPr>
            <w:tcW w:w="2984"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 xml:space="preserve"> </w:t>
            </w:r>
          </w:p>
        </w:tc>
        <w:tc>
          <w:tcPr>
            <w:tcW w:w="1049"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0"/>
                <w:lang w:eastAsia="en-AU"/>
              </w:rPr>
            </w:pPr>
            <w:r w:rsidRPr="003E2DBE">
              <w:rPr>
                <w:rFonts w:eastAsiaTheme="minorEastAsia"/>
                <w:sz w:val="20"/>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0"/>
                <w:vertAlign w:val="superscript"/>
                <w:lang w:eastAsia="en-AU"/>
              </w:rPr>
            </w:pPr>
            <w:r w:rsidRPr="003E2DBE">
              <w:rPr>
                <w:rFonts w:eastAsiaTheme="minorEastAsia"/>
                <w:sz w:val="20"/>
                <w:lang w:eastAsia="en-AU"/>
              </w:rPr>
              <w:t>2012</w:t>
            </w:r>
            <w:r>
              <w:rPr>
                <w:rFonts w:eastAsiaTheme="minorEastAsia"/>
                <w:sz w:val="20"/>
                <w:lang w:eastAsia="en-AU"/>
              </w:rPr>
              <w:t xml:space="preserve"> </w:t>
            </w:r>
            <w:r w:rsidRPr="003E2DBE">
              <w:rPr>
                <w:rFonts w:eastAsiaTheme="minorEastAsia"/>
                <w:sz w:val="20"/>
                <w:vertAlign w:val="superscript"/>
                <w:lang w:eastAsia="en-AU"/>
              </w:rPr>
              <w:t>(a)</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0"/>
                <w:vertAlign w:val="superscript"/>
                <w:lang w:eastAsia="en-AU"/>
              </w:rPr>
            </w:pPr>
            <w:r w:rsidRPr="003E2DBE">
              <w:rPr>
                <w:rFonts w:eastAsiaTheme="minorEastAsia"/>
                <w:sz w:val="20"/>
                <w:lang w:eastAsia="en-AU"/>
              </w:rPr>
              <w:t>2011</w:t>
            </w:r>
            <w:r>
              <w:rPr>
                <w:rFonts w:eastAsiaTheme="minorEastAsia"/>
                <w:sz w:val="20"/>
                <w:lang w:eastAsia="en-AU"/>
              </w:rPr>
              <w:t xml:space="preserve"> </w:t>
            </w:r>
            <w:r w:rsidRPr="003E2DBE">
              <w:rPr>
                <w:rFonts w:eastAsiaTheme="minorEastAsia"/>
                <w:sz w:val="20"/>
                <w:vertAlign w:val="superscript"/>
                <w:lang w:eastAsia="en-AU"/>
              </w:rPr>
              <w:t>(a)</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0"/>
                <w:lang w:eastAsia="en-AU"/>
              </w:rPr>
            </w:pPr>
            <w:r w:rsidRPr="003E2DBE">
              <w:rPr>
                <w:rFonts w:eastAsiaTheme="minorEastAsia"/>
                <w:sz w:val="20"/>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0"/>
                <w:vertAlign w:val="superscript"/>
                <w:lang w:eastAsia="en-AU"/>
              </w:rPr>
            </w:pPr>
            <w:r w:rsidRPr="003E2DBE">
              <w:rPr>
                <w:rFonts w:eastAsiaTheme="minorEastAsia"/>
                <w:sz w:val="20"/>
                <w:lang w:eastAsia="en-AU"/>
              </w:rPr>
              <w:t>2012</w:t>
            </w:r>
            <w:r>
              <w:rPr>
                <w:rFonts w:eastAsiaTheme="minorEastAsia"/>
                <w:sz w:val="20"/>
                <w:lang w:eastAsia="en-AU"/>
              </w:rPr>
              <w:t xml:space="preserve"> </w:t>
            </w:r>
            <w:r w:rsidRPr="003E2DBE">
              <w:rPr>
                <w:rFonts w:eastAsiaTheme="minorEastAsia"/>
                <w:sz w:val="20"/>
                <w:vertAlign w:val="superscript"/>
                <w:lang w:eastAsia="en-AU"/>
              </w:rPr>
              <w:t>(a)</w:t>
            </w:r>
          </w:p>
        </w:tc>
        <w:tc>
          <w:tcPr>
            <w:tcW w:w="1123" w:type="dxa"/>
            <w:gridSpan w:val="2"/>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sz w:val="20"/>
                <w:vertAlign w:val="superscript"/>
                <w:lang w:eastAsia="en-AU"/>
              </w:rPr>
            </w:pPr>
            <w:r w:rsidRPr="003E2DBE">
              <w:rPr>
                <w:rFonts w:eastAsiaTheme="minorEastAsia"/>
                <w:sz w:val="20"/>
                <w:lang w:eastAsia="en-AU"/>
              </w:rPr>
              <w:t>2011</w:t>
            </w:r>
            <w:r>
              <w:rPr>
                <w:rFonts w:eastAsiaTheme="minorEastAsia"/>
                <w:sz w:val="20"/>
                <w:lang w:eastAsia="en-AU"/>
              </w:rPr>
              <w:t xml:space="preserve"> </w:t>
            </w:r>
            <w:r w:rsidRPr="003E2DBE">
              <w:rPr>
                <w:rFonts w:eastAsiaTheme="minorEastAsia"/>
                <w:sz w:val="20"/>
                <w:vertAlign w:val="superscript"/>
                <w:lang w:eastAsia="en-AU"/>
              </w:rPr>
              <w:t>(a)</w:t>
            </w:r>
          </w:p>
        </w:tc>
      </w:tr>
      <w:tr w:rsidR="000B4A1E" w:rsidRPr="003E2DBE" w:rsidTr="00517E51">
        <w:tc>
          <w:tcPr>
            <w:tcW w:w="2984" w:type="dxa"/>
            <w:tcBorders>
              <w:top w:val="single" w:sz="4" w:space="0" w:color="auto"/>
              <w:left w:val="nil"/>
              <w:bottom w:val="nil"/>
              <w:right w:val="nil"/>
            </w:tcBorders>
          </w:tcPr>
          <w:p w:rsidR="000B4A1E" w:rsidRPr="003E2DBE" w:rsidRDefault="000B4A1E" w:rsidP="00517E51">
            <w:pPr>
              <w:pStyle w:val="Tabletext"/>
              <w:rPr>
                <w:rFonts w:eastAsiaTheme="minorEastAsia"/>
                <w:b/>
                <w:bCs/>
                <w:sz w:val="20"/>
                <w:lang w:eastAsia="en-AU"/>
              </w:rPr>
            </w:pPr>
            <w:r w:rsidRPr="003E2DBE">
              <w:rPr>
                <w:rFonts w:eastAsiaTheme="minorEastAsia"/>
                <w:b/>
                <w:bCs/>
                <w:sz w:val="20"/>
                <w:lang w:eastAsia="en-AU"/>
              </w:rPr>
              <w:t>Assets</w:t>
            </w:r>
          </w:p>
        </w:tc>
        <w:tc>
          <w:tcPr>
            <w:tcW w:w="1049"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b/>
                <w:bCs/>
                <w:sz w:val="20"/>
                <w:lang w:eastAsia="en-AU"/>
              </w:rPr>
            </w:pPr>
            <w:r w:rsidRPr="003E2DBE">
              <w:rPr>
                <w:rFonts w:eastAsiaTheme="minorEastAsia"/>
                <w:b/>
                <w:bCs/>
                <w:sz w:val="20"/>
                <w:lang w:eastAsia="en-AU"/>
              </w:rPr>
              <w:t>Financial assets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Cash and deposits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3 962.0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5 001.3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3 667.6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797.9</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773.8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768.7</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Advances paid</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4 626.8</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301.0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289.5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50.4</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46.1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82.9</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Receivables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5 061.0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3 833.5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3 616.0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1 312.3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1 375.9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977.6</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Investments, loans and placements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3 383.4</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2 220.8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2 367.8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1 056.2</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1 064.3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1 717.6</w:t>
            </w:r>
          </w:p>
        </w:tc>
      </w:tr>
      <w:tr w:rsidR="000B4A1E" w:rsidRPr="003E2DBE" w:rsidTr="00517E51">
        <w:tc>
          <w:tcPr>
            <w:tcW w:w="3164" w:type="dxa"/>
            <w:gridSpan w:val="2"/>
            <w:tcBorders>
              <w:top w:val="nil"/>
              <w:left w:val="nil"/>
              <w:bottom w:val="nil"/>
              <w:right w:val="nil"/>
            </w:tcBorders>
          </w:tcPr>
          <w:p w:rsidR="000B4A1E" w:rsidRPr="003E2DBE" w:rsidRDefault="000B4A1E" w:rsidP="00517E51">
            <w:pPr>
              <w:pStyle w:val="Tabletext"/>
              <w:rPr>
                <w:rFonts w:eastAsiaTheme="minorEastAsia"/>
                <w:sz w:val="20"/>
                <w:vertAlign w:val="superscript"/>
                <w:lang w:eastAsia="en-AU"/>
              </w:rPr>
            </w:pPr>
            <w:r w:rsidRPr="003E2DBE">
              <w:rPr>
                <w:rFonts w:eastAsiaTheme="minorEastAsia"/>
                <w:sz w:val="20"/>
                <w:lang w:eastAsia="en-AU"/>
              </w:rPr>
              <w:t xml:space="preserve">Loans receivable from non-financial public sector </w:t>
            </w:r>
            <w:r w:rsidRPr="003E2DBE">
              <w:rPr>
                <w:rFonts w:eastAsiaTheme="minorEastAsia"/>
                <w:sz w:val="20"/>
                <w:vertAlign w:val="superscript"/>
                <w:lang w:eastAsia="en-AU"/>
              </w:rPr>
              <w:t>(b)</w:t>
            </w:r>
          </w:p>
        </w:tc>
        <w:tc>
          <w:tcPr>
            <w:tcW w:w="869"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Investments accounted for using the equity method</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49.4</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44.3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35.1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1 319.2</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1 337.1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0"/>
                <w:szCs w:val="22"/>
                <w:lang w:eastAsia="en-AU"/>
              </w:rPr>
            </w:pPr>
            <w:r w:rsidRPr="003E2DBE">
              <w:rPr>
                <w:rFonts w:eastAsiaTheme="minorEastAsia"/>
                <w:sz w:val="20"/>
                <w:lang w:eastAsia="en-AU"/>
              </w:rPr>
              <w:t>1 157.4</w:t>
            </w:r>
          </w:p>
        </w:tc>
      </w:tr>
      <w:tr w:rsidR="000B4A1E" w:rsidRPr="003E2DBE" w:rsidTr="00517E51">
        <w:tc>
          <w:tcPr>
            <w:tcW w:w="2984" w:type="dxa"/>
            <w:tcBorders>
              <w:top w:val="nil"/>
              <w:left w:val="nil"/>
              <w:bottom w:val="single" w:sz="6" w:space="0" w:color="auto"/>
              <w:right w:val="nil"/>
            </w:tcBorders>
          </w:tcPr>
          <w:p w:rsidR="000B4A1E" w:rsidRPr="003E2DBE" w:rsidRDefault="000B4A1E" w:rsidP="00517E51">
            <w:pPr>
              <w:pStyle w:val="Tabletext"/>
              <w:rPr>
                <w:rFonts w:eastAsiaTheme="minorEastAsia"/>
                <w:sz w:val="20"/>
                <w:vertAlign w:val="superscript"/>
                <w:lang w:eastAsia="en-AU"/>
              </w:rPr>
            </w:pPr>
            <w:r w:rsidRPr="003E2DBE">
              <w:rPr>
                <w:rFonts w:eastAsiaTheme="minorEastAsia"/>
                <w:sz w:val="20"/>
                <w:lang w:eastAsia="en-AU"/>
              </w:rPr>
              <w:t>Investments in other sector entities</w:t>
            </w:r>
            <w:r w:rsidRPr="003E2DBE">
              <w:rPr>
                <w:rFonts w:eastAsiaTheme="minorEastAsia"/>
                <w:sz w:val="20"/>
                <w:vertAlign w:val="superscript"/>
                <w:lang w:eastAsia="en-AU"/>
              </w:rPr>
              <w:t xml:space="preserve"> </w:t>
            </w:r>
          </w:p>
        </w:tc>
        <w:tc>
          <w:tcPr>
            <w:tcW w:w="1049"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69 489.5</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67 513.8</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65 763.5</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r>
      <w:tr w:rsidR="000B4A1E" w:rsidRPr="003E2DBE" w:rsidTr="00517E51">
        <w:tc>
          <w:tcPr>
            <w:tcW w:w="2984" w:type="dxa"/>
            <w:tcBorders>
              <w:top w:val="nil"/>
              <w:left w:val="nil"/>
              <w:bottom w:val="single" w:sz="6" w:space="0" w:color="auto"/>
              <w:right w:val="nil"/>
            </w:tcBorders>
          </w:tcPr>
          <w:p w:rsidR="000B4A1E" w:rsidRPr="003E2DBE" w:rsidRDefault="000B4A1E" w:rsidP="00517E51">
            <w:pPr>
              <w:pStyle w:val="Tabletext"/>
              <w:rPr>
                <w:rFonts w:eastAsiaTheme="minorEastAsia"/>
                <w:b/>
                <w:bCs/>
                <w:sz w:val="20"/>
                <w:lang w:eastAsia="en-AU"/>
              </w:rPr>
            </w:pPr>
            <w:r w:rsidRPr="003E2DBE">
              <w:rPr>
                <w:rFonts w:eastAsiaTheme="minorEastAsia"/>
                <w:b/>
                <w:bCs/>
                <w:sz w:val="20"/>
                <w:lang w:eastAsia="en-AU"/>
              </w:rPr>
              <w:t>Total financial assets</w:t>
            </w:r>
          </w:p>
        </w:tc>
        <w:tc>
          <w:tcPr>
            <w:tcW w:w="1049"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86 572.1</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78 914.7</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75 739.5</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4 536.0</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4 597.2</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4 704.2</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b/>
                <w:bCs/>
                <w:sz w:val="20"/>
                <w:lang w:eastAsia="en-AU"/>
              </w:rPr>
            </w:pPr>
            <w:r w:rsidRPr="003E2DBE">
              <w:rPr>
                <w:rFonts w:eastAsiaTheme="minorEastAsia"/>
                <w:b/>
                <w:bCs/>
                <w:sz w:val="20"/>
                <w:lang w:eastAsia="en-AU"/>
              </w:rPr>
              <w:t>Non-financial assets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Inventories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192.1</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296.2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273.4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678.9</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704.4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768.3</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Non-financial assets held for sale</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142.1</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149.2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73.2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4.5</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11.2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3.2</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Land, buildings, infrastructure, plant and equipment</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100 804.0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97 796.6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93 935.9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88 605.2</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82 099.8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79 672.7</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Other non-financial assets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954.3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744.0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796.8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1 065.3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1 100.5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1 028.1</w:t>
            </w:r>
          </w:p>
        </w:tc>
      </w:tr>
      <w:tr w:rsidR="000B4A1E" w:rsidRPr="003E2DBE" w:rsidTr="00517E51">
        <w:tc>
          <w:tcPr>
            <w:tcW w:w="298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20"/>
                <w:lang w:eastAsia="en-AU"/>
              </w:rPr>
            </w:pPr>
            <w:r w:rsidRPr="003E2DBE">
              <w:rPr>
                <w:rFonts w:eastAsiaTheme="minorEastAsia"/>
                <w:b/>
                <w:bCs/>
                <w:sz w:val="20"/>
                <w:lang w:eastAsia="en-AU"/>
              </w:rPr>
              <w:t>Total non-financial assets</w:t>
            </w:r>
          </w:p>
        </w:tc>
        <w:tc>
          <w:tcPr>
            <w:tcW w:w="1049"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102 092.5</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98 986.0</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95 079.2</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90 353.9</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83 916.0</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81 472.4</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b/>
                <w:bCs/>
                <w:sz w:val="20"/>
                <w:lang w:eastAsia="en-AU"/>
              </w:rPr>
            </w:pPr>
            <w:r w:rsidRPr="003E2DBE">
              <w:rPr>
                <w:rFonts w:eastAsiaTheme="minorEastAsia"/>
                <w:b/>
                <w:bCs/>
                <w:sz w:val="20"/>
                <w:lang w:eastAsia="en-AU"/>
              </w:rPr>
              <w:t>Total assets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188 664.6</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177 900.7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170 818.7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94 889.9</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88 513.1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86 176.5</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b/>
                <w:bCs/>
                <w:sz w:val="20"/>
                <w:lang w:eastAsia="en-AU"/>
              </w:rPr>
            </w:pPr>
            <w:r w:rsidRPr="003E2DBE">
              <w:rPr>
                <w:rFonts w:eastAsiaTheme="minorEastAsia"/>
                <w:b/>
                <w:bCs/>
                <w:sz w:val="20"/>
                <w:lang w:eastAsia="en-AU"/>
              </w:rPr>
              <w:t>Liabilities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p>
        </w:tc>
      </w:tr>
      <w:tr w:rsidR="000B4A1E" w:rsidRPr="003E2DBE" w:rsidTr="00517E51">
        <w:tc>
          <w:tcPr>
            <w:tcW w:w="3164" w:type="dxa"/>
            <w:gridSpan w:val="2"/>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 xml:space="preserve">Deposits held and advances received </w:t>
            </w:r>
          </w:p>
        </w:tc>
        <w:tc>
          <w:tcPr>
            <w:tcW w:w="869"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449.0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366.2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427.4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420.0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393.3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363.6</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Payables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5 958.4</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5 100.8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4 929.2</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1 568.6</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1 668.3</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1 260.1</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 xml:space="preserve">Borrowings </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31 345.3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22 393.9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17 734.4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16 249.7</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10 867.7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10 097.9</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Employee benefits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5 208.8</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5 043.2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4 519.9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326.4</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322.1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291.1</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Superannuation</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25 142.5</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32 597.5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22 780.3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83.0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153.3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62.9</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Other provisions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603.3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635.5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704.7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8 702.0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8 631.6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9 301.6</w:t>
            </w:r>
          </w:p>
        </w:tc>
      </w:tr>
      <w:tr w:rsidR="000B4A1E" w:rsidRPr="003E2DBE" w:rsidTr="00517E51">
        <w:tc>
          <w:tcPr>
            <w:tcW w:w="298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20"/>
                <w:lang w:eastAsia="en-AU"/>
              </w:rPr>
            </w:pPr>
            <w:r w:rsidRPr="003E2DBE">
              <w:rPr>
                <w:rFonts w:eastAsiaTheme="minorEastAsia"/>
                <w:b/>
                <w:bCs/>
                <w:sz w:val="20"/>
                <w:lang w:eastAsia="en-AU"/>
              </w:rPr>
              <w:t>Total liabilities</w:t>
            </w:r>
          </w:p>
        </w:tc>
        <w:tc>
          <w:tcPr>
            <w:tcW w:w="1049"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68 707.4</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66 137.0</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51 095.9</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27 349.7</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22 036.4</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21 377.2</w:t>
            </w:r>
          </w:p>
        </w:tc>
      </w:tr>
      <w:tr w:rsidR="000B4A1E" w:rsidRPr="003E2DBE" w:rsidTr="00517E51">
        <w:tc>
          <w:tcPr>
            <w:tcW w:w="298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sz w:val="20"/>
                <w:vertAlign w:val="superscript"/>
                <w:lang w:eastAsia="en-AU"/>
              </w:rPr>
            </w:pPr>
            <w:r w:rsidRPr="003E2DBE">
              <w:rPr>
                <w:rFonts w:eastAsiaTheme="minorEastAsia"/>
                <w:b/>
                <w:bCs/>
                <w:sz w:val="20"/>
                <w:lang w:eastAsia="en-AU"/>
              </w:rPr>
              <w:t xml:space="preserve">Net assets </w:t>
            </w:r>
            <w:r w:rsidRPr="003E2DBE">
              <w:rPr>
                <w:rFonts w:eastAsiaTheme="minorEastAsia"/>
                <w:b/>
                <w:bCs/>
                <w:sz w:val="20"/>
                <w:vertAlign w:val="superscript"/>
                <w:lang w:eastAsia="en-AU"/>
              </w:rPr>
              <w:t>(c)</w:t>
            </w:r>
          </w:p>
        </w:tc>
        <w:tc>
          <w:tcPr>
            <w:tcW w:w="104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119 957.2</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111 763.7</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119 722.8</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67 540.2</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66 476.7</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64 799.4</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Accumulated surplus/(deficit)</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43 174.7</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34 808.2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44 048.9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4 863.3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5 830.0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6 583.2</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Other reserves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76 732.5</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76 905.5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75 625.4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62 676.9</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60 646.7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58 216.2</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Non-controlling interest</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50.0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50.0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48.5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r>
      <w:tr w:rsidR="000B4A1E" w:rsidRPr="003E2DBE" w:rsidTr="00517E51">
        <w:tc>
          <w:tcPr>
            <w:tcW w:w="298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sz w:val="20"/>
                <w:vertAlign w:val="superscript"/>
                <w:lang w:eastAsia="en-AU"/>
              </w:rPr>
            </w:pPr>
            <w:r w:rsidRPr="003E2DBE">
              <w:rPr>
                <w:rFonts w:eastAsiaTheme="minorEastAsia"/>
                <w:b/>
                <w:bCs/>
                <w:sz w:val="20"/>
                <w:lang w:eastAsia="en-AU"/>
              </w:rPr>
              <w:t xml:space="preserve">Net worth </w:t>
            </w:r>
            <w:r w:rsidRPr="003E2DBE">
              <w:rPr>
                <w:rFonts w:eastAsiaTheme="minorEastAsia"/>
                <w:b/>
                <w:bCs/>
                <w:sz w:val="20"/>
                <w:vertAlign w:val="superscript"/>
                <w:lang w:eastAsia="en-AU"/>
              </w:rPr>
              <w:t>(c)</w:t>
            </w:r>
          </w:p>
        </w:tc>
        <w:tc>
          <w:tcPr>
            <w:tcW w:w="104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119 957.2</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111 763.7</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119 722.8</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67 540.2</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66 476.7</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64 799.4</w:t>
            </w:r>
          </w:p>
        </w:tc>
      </w:tr>
      <w:tr w:rsidR="000B4A1E" w:rsidRPr="003E2DBE" w:rsidTr="00517E51">
        <w:trPr>
          <w:trHeight w:hRule="exact" w:val="120"/>
        </w:trPr>
        <w:tc>
          <w:tcPr>
            <w:tcW w:w="2984" w:type="dxa"/>
            <w:tcBorders>
              <w:top w:val="nil"/>
              <w:left w:val="nil"/>
              <w:bottom w:val="nil"/>
              <w:right w:val="nil"/>
            </w:tcBorders>
          </w:tcPr>
          <w:p w:rsidR="000B4A1E" w:rsidRPr="003E2DBE" w:rsidRDefault="000B4A1E" w:rsidP="00517E51">
            <w:pPr>
              <w:pStyle w:val="Tabletext"/>
              <w:rPr>
                <w:rFonts w:eastAsiaTheme="minorEastAsia"/>
                <w:b/>
                <w:bCs/>
                <w:sz w:val="20"/>
                <w:lang w:eastAsia="en-AU"/>
              </w:rPr>
            </w:pPr>
            <w:r w:rsidRPr="003E2DBE">
              <w:rPr>
                <w:rFonts w:eastAsiaTheme="minorEastAsia"/>
                <w:b/>
                <w:bCs/>
                <w:sz w:val="20"/>
                <w:lang w:eastAsia="en-AU"/>
              </w:rPr>
              <w:t xml:space="preserve"> </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b/>
                <w:bCs/>
                <w:sz w:val="20"/>
                <w:lang w:eastAsia="en-AU"/>
              </w:rPr>
            </w:pPr>
            <w:r w:rsidRPr="003E2DBE">
              <w:rPr>
                <w:rFonts w:eastAsiaTheme="minorEastAsia"/>
                <w:b/>
                <w:bCs/>
                <w:sz w:val="20"/>
                <w:lang w:eastAsia="en-AU"/>
              </w:rPr>
              <w:t>FISCAL AGGREGATES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 xml:space="preserve">Net financial worth </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17 864.7</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12 777.7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24 643.6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(22 813.7)</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(17 439.3)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(16 673.0)</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Net financial liabilities</w:t>
            </w:r>
          </w:p>
        </w:tc>
        <w:tc>
          <w:tcPr>
            <w:tcW w:w="104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51 624.7</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54 736.1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41 119.9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22 813.7</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17 439.3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16 673.0</w:t>
            </w:r>
          </w:p>
        </w:tc>
      </w:tr>
      <w:tr w:rsidR="000B4A1E" w:rsidRPr="003E2DBE" w:rsidTr="00517E51">
        <w:tc>
          <w:tcPr>
            <w:tcW w:w="2984" w:type="dxa"/>
            <w:tcBorders>
              <w:top w:val="nil"/>
              <w:left w:val="nil"/>
              <w:bottom w:val="single" w:sz="12" w:space="0" w:color="auto"/>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 xml:space="preserve">Net debt </w:t>
            </w:r>
          </w:p>
        </w:tc>
        <w:tc>
          <w:tcPr>
            <w:tcW w:w="1049"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19 822.1</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15 236.9</w:t>
            </w:r>
          </w:p>
        </w:tc>
        <w:tc>
          <w:tcPr>
            <w:tcW w:w="1123"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11 836.8</w:t>
            </w:r>
          </w:p>
        </w:tc>
        <w:tc>
          <w:tcPr>
            <w:tcW w:w="1123"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14 765.3</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9 376.9</w:t>
            </w:r>
          </w:p>
        </w:tc>
        <w:tc>
          <w:tcPr>
            <w:tcW w:w="1123"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7 892.3</w:t>
            </w:r>
          </w:p>
        </w:tc>
      </w:tr>
    </w:tbl>
    <w:p w:rsidR="000B4A1E" w:rsidRPr="00D00665" w:rsidRDefault="000B4A1E" w:rsidP="00517E51">
      <w:pPr>
        <w:pStyle w:val="Notes"/>
      </w:pPr>
      <w:r w:rsidRPr="00D00665">
        <w:t>Notes:</w:t>
      </w:r>
    </w:p>
    <w:p w:rsidR="000B4A1E" w:rsidRPr="00D00665" w:rsidRDefault="000B4A1E" w:rsidP="00517E51">
      <w:pPr>
        <w:pStyle w:val="Notes"/>
      </w:pPr>
      <w:r w:rsidRPr="00D00665">
        <w:t>(a)</w:t>
      </w:r>
      <w:r w:rsidRPr="00D00665">
        <w:tab/>
        <w:t>Restated balances at 30 June 2012 and 1 July 2011. Refer to Note 36 of the financial statements.</w:t>
      </w:r>
    </w:p>
    <w:p w:rsidR="000B4A1E" w:rsidRPr="00D00665" w:rsidRDefault="000B4A1E" w:rsidP="00517E51">
      <w:pPr>
        <w:pStyle w:val="Notes"/>
      </w:pPr>
      <w:r w:rsidRPr="00D00665">
        <w:t>(b)</w:t>
      </w:r>
      <w:r w:rsidRPr="00D00665">
        <w:tab/>
        <w:t>Loans receivable from the non</w:t>
      </w:r>
      <w:r w:rsidRPr="00D00665">
        <w:noBreakHyphen/>
        <w:t>financial public sector are reported at amortised cost.</w:t>
      </w:r>
    </w:p>
    <w:p w:rsidR="000B4A1E" w:rsidRPr="00D00665" w:rsidRDefault="000B4A1E" w:rsidP="00517E51">
      <w:pPr>
        <w:pStyle w:val="Notes"/>
      </w:pPr>
      <w:r w:rsidRPr="00D00665">
        <w:t>(c)</w:t>
      </w:r>
      <w:r w:rsidRPr="00D00665">
        <w:tab/>
        <w:t>The net assets and net worth of the public financial corporation sector incorporate the impact of Treasury Corporation of Victoria</w:t>
      </w:r>
      <w:r>
        <w:t>’</w:t>
      </w:r>
      <w:r w:rsidRPr="00D00665">
        <w:t>s external loan liabilities being reported at market value while the corresponding assets, that is lending to the non</w:t>
      </w:r>
      <w:r w:rsidRPr="00D00665">
        <w:noBreakHyphen/>
        <w:t xml:space="preserve">financial public sector, being reported at amortised cost. This mismatch has contributed to the negative net asset position of the sector. </w:t>
      </w:r>
    </w:p>
    <w:p w:rsidR="000B4A1E" w:rsidRPr="00D00665" w:rsidRDefault="000B4A1E" w:rsidP="00517E51">
      <w:pPr>
        <w:spacing w:after="0"/>
      </w:pPr>
      <w:r w:rsidRPr="00D00665">
        <w:br w:type="page"/>
      </w:r>
    </w:p>
    <w:p w:rsidR="000B4A1E" w:rsidRPr="00D00665" w:rsidRDefault="000B4A1E" w:rsidP="00517E51">
      <w:pPr>
        <w:pStyle w:val="Heading2NotesContd"/>
        <w:spacing w:after="0"/>
      </w:pPr>
    </w:p>
    <w:p w:rsidR="000B4A1E" w:rsidRPr="00AD4A20" w:rsidRDefault="000B4A1E" w:rsidP="00517E51">
      <w:pPr>
        <w:pStyle w:val="million"/>
        <w:rPr>
          <w:sz w:val="16"/>
        </w:rPr>
      </w:pPr>
    </w:p>
    <w:p w:rsidR="000B4A1E" w:rsidRDefault="000B4A1E" w:rsidP="00517E51">
      <w:pPr>
        <w:pStyle w:val="million"/>
        <w:spacing w:before="20"/>
        <w:rPr>
          <w:rFonts w:ascii="Times New Roman" w:hAnsi="Times New Roman"/>
          <w:i w:val="0"/>
          <w:szCs w:val="20"/>
          <w:lang w:eastAsia="en-AU"/>
        </w:rPr>
      </w:pPr>
    </w:p>
    <w:tbl>
      <w:tblPr>
        <w:tblW w:w="9365" w:type="dxa"/>
        <w:tblInd w:w="29" w:type="dxa"/>
        <w:tblLayout w:type="fixed"/>
        <w:tblCellMar>
          <w:left w:w="43" w:type="dxa"/>
          <w:right w:w="43" w:type="dxa"/>
        </w:tblCellMar>
        <w:tblLook w:val="0000" w:firstRow="0" w:lastRow="0" w:firstColumn="0" w:lastColumn="0" w:noHBand="0" w:noVBand="0"/>
      </w:tblPr>
      <w:tblGrid>
        <w:gridCol w:w="236"/>
        <w:gridCol w:w="912"/>
        <w:gridCol w:w="1166"/>
        <w:gridCol w:w="1007"/>
        <w:gridCol w:w="151"/>
        <w:gridCol w:w="1190"/>
        <w:gridCol w:w="1079"/>
        <w:gridCol w:w="110"/>
        <w:gridCol w:w="236"/>
        <w:gridCol w:w="982"/>
        <w:gridCol w:w="1106"/>
        <w:gridCol w:w="1016"/>
        <w:gridCol w:w="174"/>
      </w:tblGrid>
      <w:tr w:rsidR="000B4A1E" w:rsidRPr="003E2DBE" w:rsidTr="00517E51">
        <w:tc>
          <w:tcPr>
            <w:tcW w:w="236" w:type="dxa"/>
            <w:tcBorders>
              <w:top w:val="single" w:sz="4" w:space="0" w:color="auto"/>
              <w:left w:val="single" w:sz="4" w:space="0" w:color="auto"/>
              <w:bottom w:val="single" w:sz="4" w:space="0" w:color="auto"/>
              <w:right w:val="nil"/>
            </w:tcBorders>
            <w:shd w:val="clear" w:color="auto" w:fill="000000"/>
          </w:tcPr>
          <w:p w:rsidR="000B4A1E" w:rsidRPr="003E2DBE" w:rsidRDefault="000B4A1E" w:rsidP="00517E51">
            <w:pPr>
              <w:pStyle w:val="Tabletextheading"/>
              <w:rPr>
                <w:rFonts w:eastAsiaTheme="minorEastAsia"/>
                <w:sz w:val="20"/>
                <w:lang w:eastAsia="en-AU"/>
              </w:rPr>
            </w:pPr>
            <w:r w:rsidRPr="003E2DBE">
              <w:rPr>
                <w:rFonts w:eastAsiaTheme="minorEastAsia"/>
                <w:sz w:val="20"/>
                <w:lang w:eastAsia="en-AU"/>
              </w:rPr>
              <w:t xml:space="preserve"> </w:t>
            </w:r>
          </w:p>
        </w:tc>
        <w:tc>
          <w:tcPr>
            <w:tcW w:w="3085" w:type="dxa"/>
            <w:gridSpan w:val="3"/>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
              <w:jc w:val="center"/>
              <w:rPr>
                <w:rFonts w:eastAsiaTheme="minorEastAsia" w:cs="Calibri"/>
                <w:iCs/>
                <w:sz w:val="20"/>
                <w:szCs w:val="22"/>
                <w:lang w:eastAsia="en-AU"/>
              </w:rPr>
            </w:pPr>
            <w:r w:rsidRPr="003E2DBE">
              <w:rPr>
                <w:rFonts w:eastAsiaTheme="minorEastAsia"/>
                <w:sz w:val="20"/>
                <w:lang w:eastAsia="en-AU"/>
              </w:rPr>
              <w:t xml:space="preserve">Public </w:t>
            </w:r>
          </w:p>
          <w:p w:rsidR="000B4A1E" w:rsidRPr="003E2DBE" w:rsidRDefault="000B4A1E" w:rsidP="00517E51">
            <w:pPr>
              <w:pStyle w:val="Tabletextheading"/>
              <w:jc w:val="center"/>
              <w:rPr>
                <w:rFonts w:eastAsiaTheme="minorEastAsia"/>
                <w:sz w:val="20"/>
                <w:lang w:eastAsia="en-AU"/>
              </w:rPr>
            </w:pPr>
            <w:r w:rsidRPr="003E2DBE">
              <w:rPr>
                <w:rFonts w:eastAsiaTheme="minorEastAsia"/>
                <w:sz w:val="20"/>
                <w:lang w:eastAsia="en-AU"/>
              </w:rPr>
              <w:t xml:space="preserve">financial </w:t>
            </w:r>
            <w:r w:rsidRPr="003E2DBE">
              <w:rPr>
                <w:sz w:val="20"/>
              </w:rPr>
              <w:t>corporations</w:t>
            </w:r>
          </w:p>
        </w:tc>
        <w:tc>
          <w:tcPr>
            <w:tcW w:w="151"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0"/>
                <w:lang w:eastAsia="en-AU"/>
              </w:rPr>
            </w:pPr>
            <w:r w:rsidRPr="003E2DBE">
              <w:rPr>
                <w:rFonts w:eastAsiaTheme="minorEastAsia"/>
                <w:sz w:val="20"/>
                <w:lang w:eastAsia="en-AU"/>
              </w:rPr>
              <w:t xml:space="preserve"> </w:t>
            </w:r>
          </w:p>
        </w:tc>
        <w:tc>
          <w:tcPr>
            <w:tcW w:w="2269" w:type="dxa"/>
            <w:gridSpan w:val="2"/>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
              <w:jc w:val="center"/>
              <w:rPr>
                <w:rFonts w:eastAsiaTheme="minorEastAsia"/>
                <w:sz w:val="20"/>
                <w:lang w:eastAsia="en-AU"/>
              </w:rPr>
            </w:pPr>
          </w:p>
          <w:p w:rsidR="000B4A1E" w:rsidRPr="003E2DBE" w:rsidRDefault="000B4A1E" w:rsidP="00517E51">
            <w:pPr>
              <w:pStyle w:val="Tabletextheading"/>
              <w:jc w:val="center"/>
              <w:rPr>
                <w:rFonts w:eastAsiaTheme="minorEastAsia"/>
                <w:sz w:val="20"/>
                <w:lang w:eastAsia="en-AU"/>
              </w:rPr>
            </w:pPr>
            <w:r w:rsidRPr="003E2DBE">
              <w:rPr>
                <w:rFonts w:eastAsiaTheme="minorEastAsia"/>
                <w:sz w:val="20"/>
                <w:lang w:eastAsia="en-AU"/>
              </w:rPr>
              <w:t>Inter-sector eliminations</w:t>
            </w:r>
          </w:p>
        </w:tc>
        <w:tc>
          <w:tcPr>
            <w:tcW w:w="110"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
              <w:jc w:val="center"/>
              <w:rPr>
                <w:rFonts w:eastAsiaTheme="minorEastAsia" w:cs="Calibri"/>
                <w:iCs/>
                <w:sz w:val="20"/>
                <w:szCs w:val="22"/>
                <w:lang w:eastAsia="en-AU"/>
              </w:rPr>
            </w:pPr>
            <w:r w:rsidRPr="003E2DBE">
              <w:rPr>
                <w:rFonts w:eastAsiaTheme="minorEastAsia"/>
                <w:sz w:val="20"/>
                <w:lang w:eastAsia="en-AU"/>
              </w:rPr>
              <w:t xml:space="preserve"> </w:t>
            </w:r>
          </w:p>
        </w:tc>
        <w:tc>
          <w:tcPr>
            <w:tcW w:w="236"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0"/>
                <w:lang w:eastAsia="en-AU"/>
              </w:rPr>
            </w:pPr>
            <w:r w:rsidRPr="003E2DBE">
              <w:rPr>
                <w:rFonts w:eastAsiaTheme="minorEastAsia"/>
                <w:sz w:val="20"/>
                <w:lang w:eastAsia="en-AU"/>
              </w:rPr>
              <w:t xml:space="preserve"> </w:t>
            </w:r>
          </w:p>
        </w:tc>
        <w:tc>
          <w:tcPr>
            <w:tcW w:w="3104" w:type="dxa"/>
            <w:gridSpan w:val="3"/>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0"/>
                <w:lang w:eastAsia="en-AU"/>
              </w:rPr>
            </w:pPr>
          </w:p>
          <w:p w:rsidR="000B4A1E" w:rsidRPr="003E2DBE" w:rsidRDefault="000B4A1E" w:rsidP="00517E51">
            <w:pPr>
              <w:pStyle w:val="Tabletextheading"/>
              <w:jc w:val="center"/>
              <w:rPr>
                <w:rFonts w:eastAsiaTheme="minorEastAsia"/>
                <w:sz w:val="20"/>
                <w:lang w:eastAsia="en-AU"/>
              </w:rPr>
            </w:pPr>
            <w:r w:rsidRPr="003E2DBE">
              <w:rPr>
                <w:rFonts w:eastAsiaTheme="minorEastAsia"/>
                <w:sz w:val="20"/>
                <w:lang w:eastAsia="en-AU"/>
              </w:rPr>
              <w:t>Consolidated</w:t>
            </w:r>
          </w:p>
        </w:tc>
        <w:tc>
          <w:tcPr>
            <w:tcW w:w="174" w:type="dxa"/>
            <w:tcBorders>
              <w:top w:val="single" w:sz="4" w:space="0" w:color="auto"/>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sz w:val="20"/>
                <w:lang w:eastAsia="en-AU"/>
              </w:rPr>
            </w:pPr>
            <w:r w:rsidRPr="003E2DBE">
              <w:rPr>
                <w:rFonts w:eastAsiaTheme="minorEastAsia"/>
                <w:sz w:val="20"/>
                <w:lang w:eastAsia="en-AU"/>
              </w:rPr>
              <w:t xml:space="preserve"> </w:t>
            </w:r>
          </w:p>
        </w:tc>
      </w:tr>
      <w:tr w:rsidR="000B4A1E" w:rsidRPr="003E2DBE" w:rsidTr="001A39E7">
        <w:tc>
          <w:tcPr>
            <w:tcW w:w="1148" w:type="dxa"/>
            <w:gridSpan w:val="2"/>
            <w:tcBorders>
              <w:top w:val="single" w:sz="4" w:space="0" w:color="auto"/>
              <w:left w:val="single" w:sz="4" w:space="0" w:color="auto"/>
              <w:bottom w:val="single" w:sz="4" w:space="0" w:color="auto"/>
              <w:right w:val="nil"/>
            </w:tcBorders>
            <w:shd w:val="solid" w:color="000000" w:fill="auto"/>
          </w:tcPr>
          <w:p w:rsidR="000B4A1E" w:rsidRPr="003E2DBE" w:rsidRDefault="000B4A1E" w:rsidP="00517E51">
            <w:pPr>
              <w:pStyle w:val="Tabletextheading"/>
              <w:rPr>
                <w:rFonts w:eastAsiaTheme="minorEastAsia"/>
                <w:sz w:val="20"/>
                <w:lang w:eastAsia="en-AU"/>
              </w:rPr>
            </w:pPr>
            <w:r w:rsidRPr="003E2DBE">
              <w:rPr>
                <w:rFonts w:eastAsiaTheme="minorEastAsia"/>
                <w:sz w:val="20"/>
                <w:lang w:eastAsia="en-AU"/>
              </w:rPr>
              <w:t>2013</w:t>
            </w:r>
          </w:p>
        </w:tc>
        <w:tc>
          <w:tcPr>
            <w:tcW w:w="1166" w:type="dxa"/>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sz w:val="20"/>
                <w:lang w:eastAsia="en-AU"/>
              </w:rPr>
            </w:pPr>
            <w:r w:rsidRPr="003E2DBE">
              <w:rPr>
                <w:rFonts w:eastAsiaTheme="minorEastAsia"/>
                <w:sz w:val="20"/>
                <w:lang w:eastAsia="en-AU"/>
              </w:rPr>
              <w:t>2012</w:t>
            </w:r>
          </w:p>
        </w:tc>
        <w:tc>
          <w:tcPr>
            <w:tcW w:w="1158" w:type="dxa"/>
            <w:gridSpan w:val="2"/>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sz w:val="20"/>
                <w:lang w:eastAsia="en-AU"/>
              </w:rPr>
            </w:pPr>
            <w:r w:rsidRPr="003E2DBE">
              <w:rPr>
                <w:rFonts w:eastAsiaTheme="minorEastAsia"/>
                <w:sz w:val="20"/>
                <w:lang w:eastAsia="en-AU"/>
              </w:rPr>
              <w:t>2013</w:t>
            </w:r>
          </w:p>
        </w:tc>
        <w:tc>
          <w:tcPr>
            <w:tcW w:w="1190" w:type="dxa"/>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sz w:val="20"/>
                <w:vertAlign w:val="superscript"/>
                <w:lang w:eastAsia="en-AU"/>
              </w:rPr>
            </w:pPr>
            <w:r w:rsidRPr="003E2DBE">
              <w:rPr>
                <w:rFonts w:eastAsiaTheme="minorEastAsia"/>
                <w:sz w:val="20"/>
                <w:lang w:eastAsia="en-AU"/>
              </w:rPr>
              <w:t>2012</w:t>
            </w:r>
            <w:r>
              <w:rPr>
                <w:rFonts w:eastAsiaTheme="minorEastAsia"/>
                <w:sz w:val="20"/>
                <w:lang w:eastAsia="en-AU"/>
              </w:rPr>
              <w:t xml:space="preserve"> </w:t>
            </w:r>
            <w:r w:rsidRPr="003E2DBE">
              <w:rPr>
                <w:rFonts w:eastAsiaTheme="minorEastAsia"/>
                <w:sz w:val="20"/>
                <w:vertAlign w:val="superscript"/>
                <w:lang w:eastAsia="en-AU"/>
              </w:rPr>
              <w:t>(a)</w:t>
            </w:r>
          </w:p>
        </w:tc>
        <w:tc>
          <w:tcPr>
            <w:tcW w:w="1189" w:type="dxa"/>
            <w:gridSpan w:val="2"/>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sz w:val="20"/>
                <w:vertAlign w:val="superscript"/>
                <w:lang w:eastAsia="en-AU"/>
              </w:rPr>
            </w:pPr>
            <w:r w:rsidRPr="003E2DBE">
              <w:rPr>
                <w:rFonts w:eastAsiaTheme="minorEastAsia"/>
                <w:sz w:val="20"/>
                <w:lang w:eastAsia="en-AU"/>
              </w:rPr>
              <w:t>2011</w:t>
            </w:r>
            <w:r>
              <w:rPr>
                <w:rFonts w:eastAsiaTheme="minorEastAsia"/>
                <w:sz w:val="20"/>
                <w:lang w:eastAsia="en-AU"/>
              </w:rPr>
              <w:t xml:space="preserve"> </w:t>
            </w:r>
            <w:r w:rsidRPr="003E2DBE">
              <w:rPr>
                <w:rFonts w:eastAsiaTheme="minorEastAsia"/>
                <w:sz w:val="20"/>
                <w:vertAlign w:val="superscript"/>
                <w:lang w:eastAsia="en-AU"/>
              </w:rPr>
              <w:t>(a)</w:t>
            </w:r>
          </w:p>
        </w:tc>
        <w:tc>
          <w:tcPr>
            <w:tcW w:w="1218" w:type="dxa"/>
            <w:gridSpan w:val="2"/>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sz w:val="20"/>
                <w:lang w:eastAsia="en-AU"/>
              </w:rPr>
            </w:pPr>
            <w:r w:rsidRPr="003E2DBE">
              <w:rPr>
                <w:rFonts w:eastAsiaTheme="minorEastAsia"/>
                <w:sz w:val="20"/>
                <w:lang w:eastAsia="en-AU"/>
              </w:rPr>
              <w:t>2013</w:t>
            </w:r>
          </w:p>
        </w:tc>
        <w:tc>
          <w:tcPr>
            <w:tcW w:w="1106" w:type="dxa"/>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sz w:val="20"/>
                <w:vertAlign w:val="superscript"/>
                <w:lang w:eastAsia="en-AU"/>
              </w:rPr>
            </w:pPr>
            <w:r w:rsidRPr="003E2DBE">
              <w:rPr>
                <w:rFonts w:eastAsiaTheme="minorEastAsia"/>
                <w:sz w:val="20"/>
                <w:lang w:eastAsia="en-AU"/>
              </w:rPr>
              <w:t>2012</w:t>
            </w:r>
            <w:r>
              <w:rPr>
                <w:rFonts w:eastAsiaTheme="minorEastAsia"/>
                <w:sz w:val="20"/>
                <w:lang w:eastAsia="en-AU"/>
              </w:rPr>
              <w:t xml:space="preserve"> </w:t>
            </w:r>
            <w:r w:rsidRPr="003E2DBE">
              <w:rPr>
                <w:rFonts w:eastAsiaTheme="minorEastAsia"/>
                <w:sz w:val="20"/>
                <w:vertAlign w:val="superscript"/>
                <w:lang w:eastAsia="en-AU"/>
              </w:rPr>
              <w:t>(a)</w:t>
            </w:r>
          </w:p>
        </w:tc>
        <w:tc>
          <w:tcPr>
            <w:tcW w:w="1190" w:type="dxa"/>
            <w:gridSpan w:val="2"/>
            <w:tcBorders>
              <w:top w:val="single" w:sz="4" w:space="0" w:color="auto"/>
              <w:left w:val="nil"/>
              <w:bottom w:val="single" w:sz="4" w:space="0" w:color="auto"/>
              <w:right w:val="single" w:sz="4" w:space="0" w:color="auto"/>
            </w:tcBorders>
            <w:shd w:val="solid" w:color="000000" w:fill="auto"/>
          </w:tcPr>
          <w:p w:rsidR="000B4A1E" w:rsidRPr="003E2DBE" w:rsidRDefault="000B4A1E" w:rsidP="00517E51">
            <w:pPr>
              <w:pStyle w:val="Tabletextheading"/>
              <w:rPr>
                <w:rFonts w:eastAsiaTheme="minorEastAsia"/>
                <w:sz w:val="20"/>
                <w:vertAlign w:val="superscript"/>
                <w:lang w:eastAsia="en-AU"/>
              </w:rPr>
            </w:pPr>
            <w:r w:rsidRPr="003E2DBE">
              <w:rPr>
                <w:rFonts w:eastAsiaTheme="minorEastAsia"/>
                <w:sz w:val="20"/>
                <w:lang w:eastAsia="en-AU"/>
              </w:rPr>
              <w:t>2011</w:t>
            </w:r>
            <w:r>
              <w:rPr>
                <w:rFonts w:eastAsiaTheme="minorEastAsia"/>
                <w:sz w:val="20"/>
                <w:lang w:eastAsia="en-AU"/>
              </w:rPr>
              <w:t xml:space="preserve"> </w:t>
            </w:r>
            <w:r w:rsidRPr="003E2DBE">
              <w:rPr>
                <w:rFonts w:eastAsiaTheme="minorEastAsia"/>
                <w:sz w:val="20"/>
                <w:vertAlign w:val="superscript"/>
                <w:lang w:eastAsia="en-AU"/>
              </w:rPr>
              <w:t>(a)</w:t>
            </w:r>
          </w:p>
        </w:tc>
      </w:tr>
      <w:tr w:rsidR="000B4A1E" w:rsidRPr="003E2DBE" w:rsidTr="001A39E7">
        <w:tc>
          <w:tcPr>
            <w:tcW w:w="1148"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66" w:type="dxa"/>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58"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90" w:type="dxa"/>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89"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218"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06" w:type="dxa"/>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90"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4 158.4</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5 045.2</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(2 665.4)</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(4 764.7)</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(3 991.6)</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6 252.9</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6 055.6</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5 165.1</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1 674.5</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1 530.9</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(4 624.4)</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( 258.5)</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( 272.7)</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1 727.3</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1 619.5</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1 537.6</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3 122.3</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2 082.2</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(1 623.7)</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(1 831.4)</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( 559.6)</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7 871.9</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5 460.2</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5 918.6</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23 935.9</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24 424.8</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(2 407.1)</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(2 584.6)</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(2 031.8)</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25 968.4</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25 125.3</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25 502.1</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33 501.6</w:t>
            </w:r>
            <w:r>
              <w:rPr>
                <w:rFonts w:eastAsiaTheme="minorEastAsia"/>
                <w:sz w:val="20"/>
                <w:lang w:eastAsia="en-AU"/>
              </w:rPr>
              <w:br/>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28 176.6</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(33 501.6)</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(28 176.6)</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(22 828.2)</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r>
              <w:rPr>
                <w:rFonts w:eastAsiaTheme="minorEastAsia"/>
                <w:sz w:val="20"/>
                <w:lang w:eastAsia="en-AU"/>
              </w:rPr>
              <w:br/>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297.4</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283.4</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208.9</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1 666.1</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1 664.7</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cs="Calibri"/>
                <w:sz w:val="20"/>
                <w:szCs w:val="22"/>
                <w:lang w:eastAsia="en-AU"/>
              </w:rPr>
            </w:pPr>
            <w:r w:rsidRPr="003E2DBE">
              <w:rPr>
                <w:rFonts w:eastAsiaTheme="minorEastAsia"/>
                <w:sz w:val="20"/>
                <w:lang w:eastAsia="en-AU"/>
              </w:rPr>
              <w:t>1 401.3</w:t>
            </w:r>
          </w:p>
        </w:tc>
      </w:tr>
      <w:tr w:rsidR="000B4A1E" w:rsidRPr="003E2DBE" w:rsidTr="001A39E7">
        <w:tc>
          <w:tcPr>
            <w:tcW w:w="114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66" w:type="dxa"/>
            <w:tcBorders>
              <w:top w:val="nil"/>
              <w:left w:val="nil"/>
              <w:bottom w:val="single" w:sz="6"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5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(69 489.5)</w:t>
            </w:r>
          </w:p>
        </w:tc>
        <w:tc>
          <w:tcPr>
            <w:tcW w:w="1190" w:type="dxa"/>
            <w:tcBorders>
              <w:top w:val="nil"/>
              <w:left w:val="nil"/>
              <w:bottom w:val="single" w:sz="6"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(67 513.8)</w:t>
            </w:r>
          </w:p>
        </w:tc>
        <w:tc>
          <w:tcPr>
            <w:tcW w:w="1189"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(65 763.5)</w:t>
            </w:r>
          </w:p>
        </w:tc>
        <w:tc>
          <w:tcPr>
            <w:tcW w:w="121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color w:val="0000FF"/>
                <w:szCs w:val="22"/>
                <w:lang w:eastAsia="en-AU"/>
              </w:rPr>
            </w:pPr>
            <w:r>
              <w:rPr>
                <w:rFonts w:eastAsiaTheme="minorEastAsia"/>
                <w:sz w:val="20"/>
                <w:lang w:eastAsia="en-AU"/>
              </w:rPr>
              <w:t>..</w:t>
            </w:r>
          </w:p>
        </w:tc>
        <w:tc>
          <w:tcPr>
            <w:tcW w:w="1106"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color w:val="0000FF"/>
                <w:szCs w:val="22"/>
                <w:lang w:eastAsia="en-AU"/>
              </w:rPr>
            </w:pPr>
            <w:r>
              <w:rPr>
                <w:rFonts w:eastAsiaTheme="minorEastAsia"/>
                <w:sz w:val="20"/>
                <w:lang w:eastAsia="en-AU"/>
              </w:rPr>
              <w:t>..</w:t>
            </w:r>
          </w:p>
        </w:tc>
        <w:tc>
          <w:tcPr>
            <w:tcW w:w="1190"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color w:val="0000FF"/>
                <w:szCs w:val="22"/>
                <w:lang w:eastAsia="en-AU"/>
              </w:rPr>
            </w:pPr>
            <w:r>
              <w:rPr>
                <w:rFonts w:eastAsiaTheme="minorEastAsia"/>
                <w:sz w:val="20"/>
                <w:lang w:eastAsia="en-AU"/>
              </w:rPr>
              <w:t>..</w:t>
            </w:r>
          </w:p>
        </w:tc>
      </w:tr>
      <w:tr w:rsidR="000B4A1E" w:rsidRPr="003E2DBE" w:rsidTr="001A39E7">
        <w:tc>
          <w:tcPr>
            <w:tcW w:w="114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66 392.7</w:t>
            </w:r>
          </w:p>
        </w:tc>
        <w:tc>
          <w:tcPr>
            <w:tcW w:w="1166" w:type="dxa"/>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61 259.7</w:t>
            </w:r>
          </w:p>
        </w:tc>
        <w:tc>
          <w:tcPr>
            <w:tcW w:w="115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(114 014.2)</w:t>
            </w:r>
          </w:p>
        </w:tc>
        <w:tc>
          <w:tcPr>
            <w:tcW w:w="1190" w:type="dxa"/>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(104 846.2)</w:t>
            </w:r>
          </w:p>
        </w:tc>
        <w:tc>
          <w:tcPr>
            <w:tcW w:w="1189"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(95 238.4)</w:t>
            </w:r>
          </w:p>
        </w:tc>
        <w:tc>
          <w:tcPr>
            <w:tcW w:w="121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43 486.5</w:t>
            </w:r>
          </w:p>
        </w:tc>
        <w:tc>
          <w:tcPr>
            <w:tcW w:w="1106" w:type="dxa"/>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39 925.3</w:t>
            </w:r>
          </w:p>
        </w:tc>
        <w:tc>
          <w:tcPr>
            <w:tcW w:w="1190"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39 524.8</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871.0</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1 000.6</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1 041.8</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26.4</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9.8</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173.0</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170.3</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77.7</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63.8</w:t>
            </w:r>
            <w:r>
              <w:rPr>
                <w:rFonts w:eastAsiaTheme="minorEastAsia"/>
                <w:sz w:val="20"/>
                <w:lang w:eastAsia="en-AU"/>
              </w:rPr>
              <w:br/>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78.4</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( 4.1)</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( 4.1)</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189 473.0</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179 970.6</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173 681.6</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1 710.2</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2 452.1</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(1 676.7)</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(2 441.6)</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(1 679.9)</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2 053.1</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1 855.0</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1 824.3</w:t>
            </w:r>
          </w:p>
        </w:tc>
      </w:tr>
      <w:tr w:rsidR="000B4A1E" w:rsidRPr="003E2DBE" w:rsidTr="001A39E7">
        <w:tc>
          <w:tcPr>
            <w:tcW w:w="114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1 800.4</w:t>
            </w:r>
          </w:p>
        </w:tc>
        <w:tc>
          <w:tcPr>
            <w:tcW w:w="1166"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2 540.3</w:t>
            </w:r>
          </w:p>
        </w:tc>
        <w:tc>
          <w:tcPr>
            <w:tcW w:w="115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(1 676.7)</w:t>
            </w:r>
          </w:p>
        </w:tc>
        <w:tc>
          <w:tcPr>
            <w:tcW w:w="119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(2 445.8)</w:t>
            </w:r>
          </w:p>
        </w:tc>
        <w:tc>
          <w:tcPr>
            <w:tcW w:w="1189"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(1 684.0)</w:t>
            </w:r>
          </w:p>
        </w:tc>
        <w:tc>
          <w:tcPr>
            <w:tcW w:w="121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192 570.0</w:t>
            </w:r>
          </w:p>
        </w:tc>
        <w:tc>
          <w:tcPr>
            <w:tcW w:w="1106"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182 996.5</w:t>
            </w:r>
          </w:p>
        </w:tc>
        <w:tc>
          <w:tcPr>
            <w:tcW w:w="11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176 625.3</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68 193.1</w:t>
            </w:r>
          </w:p>
        </w:tc>
        <w:tc>
          <w:tcPr>
            <w:tcW w:w="1166" w:type="dxa"/>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63 800.1</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(115 691.0)</w:t>
            </w:r>
          </w:p>
        </w:tc>
        <w:tc>
          <w:tcPr>
            <w:tcW w:w="1190" w:type="dxa"/>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(107 292.0)</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(96 922.5)</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236 056.6</w:t>
            </w:r>
          </w:p>
        </w:tc>
        <w:tc>
          <w:tcPr>
            <w:tcW w:w="1106" w:type="dxa"/>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222 921.8</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216 150.1</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5 986.4</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6 376.8</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(4 766.5)</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(6 116.0)</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(4 311.4)</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2 088.9</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1 020.3</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1 240.3</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2 138.5</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1 492.5</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(1 159.6)</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(1 966.9)</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( 569.6)</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8 506.0</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6 294.7</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7 082.2</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38 303.9</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36 894.2</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(38 461.9)</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(29 518.1)</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(24 846.4)</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47 437.0</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40 637.7</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32 791.2</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89.5</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77.1</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5 624.7</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5 442.4</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4 874.8</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25 225.4</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32 750.8</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22 843.2</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22 527.5</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22 627.1</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(8 290.4)</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(7 975.9)</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(8 206.6)</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23 542.4</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23 918.3</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20 719.8</w:t>
            </w:r>
          </w:p>
        </w:tc>
      </w:tr>
      <w:tr w:rsidR="000B4A1E" w:rsidRPr="003E2DBE" w:rsidTr="001A39E7">
        <w:tc>
          <w:tcPr>
            <w:tcW w:w="114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69 045.9</w:t>
            </w:r>
          </w:p>
        </w:tc>
        <w:tc>
          <w:tcPr>
            <w:tcW w:w="1166"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67 467.7</w:t>
            </w:r>
          </w:p>
        </w:tc>
        <w:tc>
          <w:tcPr>
            <w:tcW w:w="115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(52 678.5)</w:t>
            </w:r>
          </w:p>
        </w:tc>
        <w:tc>
          <w:tcPr>
            <w:tcW w:w="119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(45 576.9)</w:t>
            </w:r>
          </w:p>
        </w:tc>
        <w:tc>
          <w:tcPr>
            <w:tcW w:w="1189"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(37 934.1)</w:t>
            </w:r>
          </w:p>
        </w:tc>
        <w:tc>
          <w:tcPr>
            <w:tcW w:w="121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112 424.5</w:t>
            </w:r>
          </w:p>
        </w:tc>
        <w:tc>
          <w:tcPr>
            <w:tcW w:w="1106"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110 064.2</w:t>
            </w:r>
          </w:p>
        </w:tc>
        <w:tc>
          <w:tcPr>
            <w:tcW w:w="11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89 551.6</w:t>
            </w:r>
          </w:p>
        </w:tc>
      </w:tr>
      <w:tr w:rsidR="000B4A1E" w:rsidRPr="003E2DBE" w:rsidTr="001A39E7">
        <w:tc>
          <w:tcPr>
            <w:tcW w:w="114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( 852.8)</w:t>
            </w:r>
          </w:p>
        </w:tc>
        <w:tc>
          <w:tcPr>
            <w:tcW w:w="116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(3 667.7)</w:t>
            </w:r>
          </w:p>
        </w:tc>
        <w:tc>
          <w:tcPr>
            <w:tcW w:w="115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(63 012.5)</w:t>
            </w:r>
          </w:p>
        </w:tc>
        <w:tc>
          <w:tcPr>
            <w:tcW w:w="119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(61 715.1)</w:t>
            </w:r>
          </w:p>
        </w:tc>
        <w:tc>
          <w:tcPr>
            <w:tcW w:w="118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(58 988.4)</w:t>
            </w:r>
          </w:p>
        </w:tc>
        <w:tc>
          <w:tcPr>
            <w:tcW w:w="121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123 632.1</w:t>
            </w:r>
          </w:p>
        </w:tc>
        <w:tc>
          <w:tcPr>
            <w:tcW w:w="110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112 857.6</w:t>
            </w:r>
          </w:p>
        </w:tc>
        <w:tc>
          <w:tcPr>
            <w:tcW w:w="119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126 598.5</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(1 765.4)</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(4 675.8)</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( 919.5)</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(1 350.4)</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( 382.2)</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45 353.0</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34 612.0</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50 364.5</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912.6</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1 008.1</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(62 093.0)</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(60 364.7)</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(58 606.2)</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78 229.1</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78 195.6</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76 185.5</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50.0</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50.0</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48.5</w:t>
            </w:r>
          </w:p>
        </w:tc>
      </w:tr>
      <w:tr w:rsidR="000B4A1E" w:rsidRPr="003E2DBE" w:rsidTr="001A39E7">
        <w:tc>
          <w:tcPr>
            <w:tcW w:w="114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( 852.8)</w:t>
            </w:r>
          </w:p>
        </w:tc>
        <w:tc>
          <w:tcPr>
            <w:tcW w:w="116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(3 667.7)</w:t>
            </w:r>
          </w:p>
        </w:tc>
        <w:tc>
          <w:tcPr>
            <w:tcW w:w="115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(63 012.5)</w:t>
            </w:r>
          </w:p>
        </w:tc>
        <w:tc>
          <w:tcPr>
            <w:tcW w:w="119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(61 715.1)</w:t>
            </w:r>
          </w:p>
        </w:tc>
        <w:tc>
          <w:tcPr>
            <w:tcW w:w="118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(58 988.4)</w:t>
            </w:r>
          </w:p>
        </w:tc>
        <w:tc>
          <w:tcPr>
            <w:tcW w:w="121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123 632.1</w:t>
            </w:r>
          </w:p>
        </w:tc>
        <w:tc>
          <w:tcPr>
            <w:tcW w:w="110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112 857.6</w:t>
            </w:r>
          </w:p>
        </w:tc>
        <w:tc>
          <w:tcPr>
            <w:tcW w:w="119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126 598.5</w:t>
            </w:r>
          </w:p>
        </w:tc>
      </w:tr>
      <w:tr w:rsidR="000B4A1E" w:rsidRPr="003E2DBE" w:rsidTr="001A39E7">
        <w:trPr>
          <w:trHeight w:hRule="exact" w:val="120"/>
        </w:trPr>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xml:space="preserve">  </w:t>
            </w:r>
          </w:p>
        </w:tc>
        <w:tc>
          <w:tcPr>
            <w:tcW w:w="1166" w:type="dxa"/>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xml:space="preserve">  </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xml:space="preserve">  </w:t>
            </w:r>
          </w:p>
        </w:tc>
        <w:tc>
          <w:tcPr>
            <w:tcW w:w="1190" w:type="dxa"/>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xml:space="preserve">  </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xml:space="preserve">  </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xml:space="preserve">  </w:t>
            </w:r>
          </w:p>
        </w:tc>
        <w:tc>
          <w:tcPr>
            <w:tcW w:w="1106" w:type="dxa"/>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xml:space="preserve">  </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b/>
                <w:bCs/>
                <w:sz w:val="20"/>
                <w:lang w:eastAsia="en-AU"/>
              </w:rPr>
            </w:pPr>
            <w:r w:rsidRPr="003E2DBE">
              <w:rPr>
                <w:rFonts w:eastAsiaTheme="minorEastAsia"/>
                <w:b/>
                <w:bCs/>
                <w:sz w:val="20"/>
                <w:lang w:eastAsia="en-AU"/>
              </w:rPr>
              <w:t xml:space="preserve">  </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(2 653.2)</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(6 208.0)</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(61 335.7)</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(59 269.3)</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(57 304.4)</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(68 937.9)</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(70 138.9)</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(50 026.8)</w:t>
            </w:r>
          </w:p>
        </w:tc>
      </w:tr>
      <w:tr w:rsidR="000B4A1E" w:rsidRPr="003E2DBE" w:rsidTr="001A39E7">
        <w:tc>
          <w:tcPr>
            <w:tcW w:w="114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2 653.2</w:t>
            </w:r>
          </w:p>
        </w:tc>
        <w:tc>
          <w:tcPr>
            <w:tcW w:w="116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6 208.0</w:t>
            </w:r>
          </w:p>
        </w:tc>
        <w:tc>
          <w:tcPr>
            <w:tcW w:w="115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(8 153.7)</w:t>
            </w:r>
          </w:p>
        </w:tc>
        <w:tc>
          <w:tcPr>
            <w:tcW w:w="1190"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(8 244.5)</w:t>
            </w:r>
          </w:p>
        </w:tc>
        <w:tc>
          <w:tcPr>
            <w:tcW w:w="1189"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(8 459.1)</w:t>
            </w:r>
          </w:p>
        </w:tc>
        <w:tc>
          <w:tcPr>
            <w:tcW w:w="1218"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68 937.9</w:t>
            </w:r>
          </w:p>
        </w:tc>
        <w:tc>
          <w:tcPr>
            <w:tcW w:w="1106"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70 138.9</w:t>
            </w:r>
          </w:p>
        </w:tc>
        <w:tc>
          <w:tcPr>
            <w:tcW w:w="1190" w:type="dxa"/>
            <w:gridSpan w:val="2"/>
            <w:tcBorders>
              <w:top w:val="nil"/>
              <w:left w:val="nil"/>
              <w:bottom w:val="nil"/>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50 026.8</w:t>
            </w:r>
          </w:p>
        </w:tc>
      </w:tr>
      <w:tr w:rsidR="000B4A1E" w:rsidRPr="003E2DBE" w:rsidTr="001A39E7">
        <w:tc>
          <w:tcPr>
            <w:tcW w:w="1148"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(18 980.1)</w:t>
            </w:r>
          </w:p>
        </w:tc>
        <w:tc>
          <w:tcPr>
            <w:tcW w:w="1166" w:type="dxa"/>
            <w:tcBorders>
              <w:top w:val="nil"/>
              <w:left w:val="nil"/>
              <w:bottom w:val="single" w:sz="12"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(15 906.5)</w:t>
            </w:r>
          </w:p>
        </w:tc>
        <w:tc>
          <w:tcPr>
            <w:tcW w:w="1158"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cs="Calibri"/>
                <w:sz w:val="20"/>
                <w:szCs w:val="22"/>
                <w:lang w:eastAsia="en-AU"/>
              </w:rPr>
            </w:pPr>
            <w:r w:rsidRPr="003E2DBE">
              <w:rPr>
                <w:rFonts w:eastAsiaTheme="minorEastAsia"/>
                <w:sz w:val="20"/>
                <w:lang w:eastAsia="en-AU"/>
              </w:rPr>
              <w:t>( 30.0</w:t>
            </w:r>
            <w:r w:rsidRPr="003E2DBE">
              <w:rPr>
                <w:rFonts w:eastAsiaTheme="minorEastAsia" w:cs="Calibri"/>
                <w:sz w:val="20"/>
                <w:szCs w:val="22"/>
                <w:lang w:eastAsia="en-AU"/>
              </w:rPr>
              <w:t>)</w:t>
            </w:r>
          </w:p>
        </w:tc>
        <w:tc>
          <w:tcPr>
            <w:tcW w:w="1190" w:type="dxa"/>
            <w:tcBorders>
              <w:top w:val="nil"/>
              <w:left w:val="nil"/>
              <w:bottom w:val="single" w:sz="12"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xml:space="preserve"> 150.2</w:t>
            </w:r>
          </w:p>
        </w:tc>
        <w:tc>
          <w:tcPr>
            <w:tcW w:w="1189"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( 33.6)</w:t>
            </w:r>
          </w:p>
        </w:tc>
        <w:tc>
          <w:tcPr>
            <w:tcW w:w="1218"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15 577.3</w:t>
            </w:r>
          </w:p>
        </w:tc>
        <w:tc>
          <w:tcPr>
            <w:tcW w:w="1106" w:type="dxa"/>
            <w:tcBorders>
              <w:top w:val="nil"/>
              <w:left w:val="nil"/>
              <w:bottom w:val="single" w:sz="12"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8 857.6</w:t>
            </w:r>
          </w:p>
        </w:tc>
        <w:tc>
          <w:tcPr>
            <w:tcW w:w="1190"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20"/>
                <w:lang w:eastAsia="en-AU"/>
              </w:rPr>
            </w:pPr>
            <w:r w:rsidRPr="003E2DBE">
              <w:rPr>
                <w:rFonts w:eastAsiaTheme="minorEastAsia"/>
                <w:sz w:val="20"/>
                <w:lang w:eastAsia="en-AU"/>
              </w:rPr>
              <w:t>1 826.7</w:t>
            </w:r>
          </w:p>
        </w:tc>
      </w:tr>
    </w:tbl>
    <w:p w:rsidR="000B4A1E" w:rsidRPr="00D00665" w:rsidRDefault="000B4A1E" w:rsidP="00517E51">
      <w:pPr>
        <w:pStyle w:val="million"/>
      </w:pPr>
    </w:p>
    <w:p w:rsidR="000B4A1E" w:rsidRPr="00D00665" w:rsidRDefault="000B4A1E" w:rsidP="00517E51">
      <w:pPr>
        <w:pStyle w:val="million"/>
      </w:pPr>
    </w:p>
    <w:p w:rsidR="000B4A1E" w:rsidRPr="00D00665" w:rsidRDefault="000B4A1E" w:rsidP="00517E51">
      <w:pPr>
        <w:pStyle w:val="Heading2NotesContd"/>
        <w:spacing w:before="120"/>
      </w:pPr>
      <w:r w:rsidRPr="00D00665">
        <w:br w:type="page"/>
      </w:r>
      <w:r w:rsidRPr="00D00665">
        <w:lastRenderedPageBreak/>
        <w:t>Note 2:</w:t>
      </w:r>
      <w:r w:rsidRPr="00D00665">
        <w:tab/>
        <w:t>Disaggregated cash flow statement for the financial year ended 30 June</w:t>
      </w:r>
    </w:p>
    <w:p w:rsidR="000B4A1E" w:rsidRPr="000C0301"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234"/>
        <w:gridCol w:w="90"/>
        <w:gridCol w:w="270"/>
        <w:gridCol w:w="811"/>
        <w:gridCol w:w="1081"/>
        <w:gridCol w:w="268"/>
        <w:gridCol w:w="813"/>
        <w:gridCol w:w="1081"/>
      </w:tblGrid>
      <w:tr w:rsidR="000B4A1E" w:rsidRPr="000C0301" w:rsidTr="00517E51">
        <w:tc>
          <w:tcPr>
            <w:tcW w:w="5324" w:type="dxa"/>
            <w:gridSpan w:val="2"/>
            <w:tcBorders>
              <w:top w:val="single" w:sz="12" w:space="0" w:color="auto"/>
              <w:left w:val="single" w:sz="12" w:space="0" w:color="auto"/>
              <w:bottom w:val="nil"/>
              <w:right w:val="nil"/>
            </w:tcBorders>
            <w:shd w:val="clear" w:color="auto" w:fill="000000"/>
          </w:tcPr>
          <w:p w:rsidR="000B4A1E" w:rsidRPr="000C0301" w:rsidRDefault="000B4A1E" w:rsidP="00517E51">
            <w:pPr>
              <w:pStyle w:val="Tabletext"/>
              <w:rPr>
                <w:sz w:val="21"/>
                <w:lang w:eastAsia="en-AU"/>
              </w:rPr>
            </w:pPr>
            <w:r w:rsidRPr="000C0301">
              <w:rPr>
                <w:sz w:val="21"/>
                <w:lang w:eastAsia="en-AU"/>
              </w:rPr>
              <w:t xml:space="preserve"> </w:t>
            </w:r>
          </w:p>
        </w:tc>
        <w:tc>
          <w:tcPr>
            <w:tcW w:w="270" w:type="dxa"/>
            <w:tcBorders>
              <w:top w:val="single" w:sz="12" w:space="0" w:color="auto"/>
              <w:left w:val="nil"/>
              <w:bottom w:val="nil"/>
              <w:right w:val="nil"/>
            </w:tcBorders>
            <w:shd w:val="clear" w:color="auto" w:fill="000000"/>
          </w:tcPr>
          <w:p w:rsidR="000B4A1E" w:rsidRPr="000C0301" w:rsidRDefault="000B4A1E" w:rsidP="00517E51">
            <w:pPr>
              <w:pStyle w:val="TabletextheadingCentred"/>
              <w:rPr>
                <w:sz w:val="21"/>
                <w:lang w:eastAsia="en-AU"/>
              </w:rPr>
            </w:pPr>
            <w:r w:rsidRPr="000C0301">
              <w:rPr>
                <w:sz w:val="21"/>
                <w:lang w:eastAsia="en-AU"/>
              </w:rPr>
              <w:t xml:space="preserve"> </w:t>
            </w:r>
          </w:p>
        </w:tc>
        <w:tc>
          <w:tcPr>
            <w:tcW w:w="1892" w:type="dxa"/>
            <w:gridSpan w:val="2"/>
            <w:tcBorders>
              <w:top w:val="single" w:sz="12" w:space="0" w:color="auto"/>
              <w:left w:val="nil"/>
              <w:bottom w:val="nil"/>
              <w:right w:val="nil"/>
            </w:tcBorders>
            <w:shd w:val="clear" w:color="auto" w:fill="000000"/>
          </w:tcPr>
          <w:p w:rsidR="000B4A1E" w:rsidRPr="000C0301" w:rsidRDefault="000B4A1E" w:rsidP="00517E51">
            <w:pPr>
              <w:pStyle w:val="TabletextheadingCentred"/>
              <w:rPr>
                <w:sz w:val="21"/>
                <w:lang w:eastAsia="en-AU"/>
              </w:rPr>
            </w:pPr>
            <w:r w:rsidRPr="000C0301">
              <w:rPr>
                <w:sz w:val="21"/>
                <w:lang w:eastAsia="en-AU"/>
              </w:rPr>
              <w:t xml:space="preserve">General </w:t>
            </w:r>
          </w:p>
          <w:p w:rsidR="000B4A1E" w:rsidRPr="000C0301" w:rsidRDefault="000B4A1E" w:rsidP="00517E51">
            <w:pPr>
              <w:pStyle w:val="TabletextheadingCentred"/>
              <w:rPr>
                <w:sz w:val="21"/>
                <w:lang w:eastAsia="en-AU"/>
              </w:rPr>
            </w:pPr>
            <w:r w:rsidRPr="000C0301">
              <w:rPr>
                <w:sz w:val="21"/>
                <w:lang w:eastAsia="en-AU"/>
              </w:rPr>
              <w:t>government sector</w:t>
            </w:r>
          </w:p>
        </w:tc>
        <w:tc>
          <w:tcPr>
            <w:tcW w:w="268" w:type="dxa"/>
            <w:tcBorders>
              <w:top w:val="single" w:sz="12" w:space="0" w:color="auto"/>
              <w:left w:val="nil"/>
              <w:bottom w:val="nil"/>
              <w:right w:val="nil"/>
            </w:tcBorders>
            <w:shd w:val="clear" w:color="auto" w:fill="000000"/>
          </w:tcPr>
          <w:p w:rsidR="000B4A1E" w:rsidRPr="000C0301" w:rsidRDefault="000B4A1E" w:rsidP="00517E51">
            <w:pPr>
              <w:pStyle w:val="TabletextheadingCentred"/>
              <w:rPr>
                <w:sz w:val="21"/>
                <w:lang w:eastAsia="en-AU"/>
              </w:rPr>
            </w:pPr>
            <w:r w:rsidRPr="000C0301">
              <w:rPr>
                <w:sz w:val="21"/>
                <w:lang w:eastAsia="en-AU"/>
              </w:rPr>
              <w:t xml:space="preserve"> </w:t>
            </w:r>
          </w:p>
        </w:tc>
        <w:tc>
          <w:tcPr>
            <w:tcW w:w="1894" w:type="dxa"/>
            <w:gridSpan w:val="2"/>
            <w:tcBorders>
              <w:top w:val="single" w:sz="12" w:space="0" w:color="auto"/>
              <w:left w:val="nil"/>
              <w:bottom w:val="nil"/>
              <w:right w:val="single" w:sz="12" w:space="0" w:color="auto"/>
            </w:tcBorders>
            <w:shd w:val="clear" w:color="auto" w:fill="000000"/>
          </w:tcPr>
          <w:p w:rsidR="000B4A1E" w:rsidRPr="000C0301" w:rsidRDefault="000B4A1E" w:rsidP="00517E51">
            <w:pPr>
              <w:pStyle w:val="TabletextheadingCentred"/>
              <w:rPr>
                <w:sz w:val="21"/>
                <w:lang w:eastAsia="en-AU"/>
              </w:rPr>
            </w:pPr>
            <w:r w:rsidRPr="000C0301">
              <w:rPr>
                <w:sz w:val="21"/>
                <w:lang w:eastAsia="en-AU"/>
              </w:rPr>
              <w:t>Public non-financial corporations</w:t>
            </w:r>
          </w:p>
        </w:tc>
      </w:tr>
      <w:tr w:rsidR="000B4A1E" w:rsidRPr="000C0301" w:rsidTr="00517E51">
        <w:tc>
          <w:tcPr>
            <w:tcW w:w="5324" w:type="dxa"/>
            <w:gridSpan w:val="2"/>
            <w:tcBorders>
              <w:top w:val="nil"/>
              <w:left w:val="single" w:sz="12" w:space="0" w:color="auto"/>
              <w:bottom w:val="single" w:sz="12" w:space="0" w:color="auto"/>
              <w:right w:val="nil"/>
            </w:tcBorders>
            <w:shd w:val="clear" w:color="auto" w:fill="000000"/>
          </w:tcPr>
          <w:p w:rsidR="000B4A1E" w:rsidRPr="000C0301" w:rsidRDefault="000B4A1E" w:rsidP="00517E51">
            <w:pPr>
              <w:pStyle w:val="Tabletext"/>
              <w:rPr>
                <w:sz w:val="21"/>
                <w:lang w:eastAsia="en-AU"/>
              </w:rPr>
            </w:pPr>
            <w:r w:rsidRPr="000C0301">
              <w:rPr>
                <w:sz w:val="21"/>
                <w:lang w:eastAsia="en-AU"/>
              </w:rPr>
              <w:t xml:space="preserve"> </w:t>
            </w:r>
          </w:p>
        </w:tc>
        <w:tc>
          <w:tcPr>
            <w:tcW w:w="1081" w:type="dxa"/>
            <w:gridSpan w:val="2"/>
            <w:tcBorders>
              <w:top w:val="nil"/>
              <w:left w:val="nil"/>
              <w:bottom w:val="single" w:sz="12" w:space="0" w:color="auto"/>
              <w:right w:val="nil"/>
            </w:tcBorders>
            <w:shd w:val="clear" w:color="auto" w:fill="000000"/>
          </w:tcPr>
          <w:p w:rsidR="000B4A1E" w:rsidRPr="000C0301" w:rsidRDefault="000B4A1E" w:rsidP="00517E51">
            <w:pPr>
              <w:pStyle w:val="Tabletextheading"/>
              <w:rPr>
                <w:sz w:val="21"/>
                <w:lang w:eastAsia="en-AU"/>
              </w:rPr>
            </w:pPr>
            <w:r w:rsidRPr="000C0301">
              <w:rPr>
                <w:sz w:val="21"/>
                <w:lang w:eastAsia="en-AU"/>
              </w:rPr>
              <w:t>2013</w:t>
            </w:r>
          </w:p>
        </w:tc>
        <w:tc>
          <w:tcPr>
            <w:tcW w:w="1081" w:type="dxa"/>
            <w:tcBorders>
              <w:top w:val="nil"/>
              <w:left w:val="nil"/>
              <w:bottom w:val="single" w:sz="12" w:space="0" w:color="auto"/>
              <w:right w:val="nil"/>
            </w:tcBorders>
            <w:shd w:val="clear" w:color="auto" w:fill="000000"/>
          </w:tcPr>
          <w:p w:rsidR="000B4A1E" w:rsidRPr="000C0301" w:rsidRDefault="000B4A1E" w:rsidP="00517E51">
            <w:pPr>
              <w:pStyle w:val="Tabletextheading"/>
              <w:rPr>
                <w:sz w:val="21"/>
                <w:lang w:eastAsia="en-AU"/>
              </w:rPr>
            </w:pPr>
            <w:r w:rsidRPr="000C0301">
              <w:rPr>
                <w:sz w:val="21"/>
                <w:lang w:eastAsia="en-AU"/>
              </w:rPr>
              <w:t>2012</w:t>
            </w:r>
          </w:p>
        </w:tc>
        <w:tc>
          <w:tcPr>
            <w:tcW w:w="1081" w:type="dxa"/>
            <w:gridSpan w:val="2"/>
            <w:tcBorders>
              <w:top w:val="nil"/>
              <w:left w:val="nil"/>
              <w:bottom w:val="single" w:sz="12" w:space="0" w:color="auto"/>
              <w:right w:val="nil"/>
            </w:tcBorders>
            <w:shd w:val="clear" w:color="auto" w:fill="000000"/>
          </w:tcPr>
          <w:p w:rsidR="000B4A1E" w:rsidRPr="000C0301" w:rsidRDefault="000B4A1E" w:rsidP="00517E51">
            <w:pPr>
              <w:pStyle w:val="Tabletextheading"/>
              <w:rPr>
                <w:sz w:val="21"/>
                <w:lang w:eastAsia="en-AU"/>
              </w:rPr>
            </w:pPr>
            <w:r w:rsidRPr="000C0301">
              <w:rPr>
                <w:sz w:val="21"/>
                <w:lang w:eastAsia="en-AU"/>
              </w:rPr>
              <w:t>2013</w:t>
            </w:r>
          </w:p>
        </w:tc>
        <w:tc>
          <w:tcPr>
            <w:tcW w:w="1081" w:type="dxa"/>
            <w:tcBorders>
              <w:top w:val="nil"/>
              <w:left w:val="nil"/>
              <w:bottom w:val="single" w:sz="12" w:space="0" w:color="auto"/>
              <w:right w:val="single" w:sz="12" w:space="0" w:color="auto"/>
            </w:tcBorders>
            <w:shd w:val="clear" w:color="auto" w:fill="000000"/>
          </w:tcPr>
          <w:p w:rsidR="000B4A1E" w:rsidRPr="000C0301" w:rsidRDefault="000B4A1E" w:rsidP="00517E51">
            <w:pPr>
              <w:pStyle w:val="Tabletextheading"/>
              <w:rPr>
                <w:sz w:val="21"/>
                <w:lang w:eastAsia="en-AU"/>
              </w:rPr>
            </w:pPr>
            <w:r w:rsidRPr="000C0301">
              <w:rPr>
                <w:sz w:val="21"/>
                <w:lang w:eastAsia="en-AU"/>
              </w:rPr>
              <w:t>2012</w:t>
            </w:r>
          </w:p>
        </w:tc>
      </w:tr>
      <w:tr w:rsidR="000B4A1E" w:rsidRPr="000C0301" w:rsidTr="00517E51">
        <w:tc>
          <w:tcPr>
            <w:tcW w:w="5324" w:type="dxa"/>
            <w:gridSpan w:val="2"/>
            <w:tcBorders>
              <w:top w:val="single" w:sz="12" w:space="0" w:color="auto"/>
              <w:left w:val="nil"/>
              <w:bottom w:val="nil"/>
              <w:right w:val="nil"/>
            </w:tcBorders>
          </w:tcPr>
          <w:p w:rsidR="000B4A1E" w:rsidRPr="000C0301" w:rsidRDefault="000B4A1E" w:rsidP="00517E51">
            <w:pPr>
              <w:pStyle w:val="Tabletext"/>
              <w:rPr>
                <w:b/>
                <w:bCs/>
                <w:sz w:val="21"/>
                <w:lang w:eastAsia="en-AU"/>
              </w:rPr>
            </w:pPr>
            <w:r w:rsidRPr="000C0301">
              <w:rPr>
                <w:b/>
                <w:bCs/>
                <w:sz w:val="21"/>
                <w:lang w:eastAsia="en-AU"/>
              </w:rPr>
              <w:t>Cash flows from operating activities</w:t>
            </w:r>
          </w:p>
        </w:tc>
        <w:tc>
          <w:tcPr>
            <w:tcW w:w="1081" w:type="dxa"/>
            <w:gridSpan w:val="2"/>
            <w:tcBorders>
              <w:top w:val="single" w:sz="12" w:space="0" w:color="auto"/>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single" w:sz="12" w:space="0" w:color="auto"/>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gridSpan w:val="2"/>
            <w:tcBorders>
              <w:top w:val="single" w:sz="12" w:space="0" w:color="auto"/>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single" w:sz="12" w:space="0" w:color="auto"/>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b/>
                <w:bCs/>
                <w:sz w:val="21"/>
                <w:lang w:eastAsia="en-AU"/>
              </w:rPr>
            </w:pPr>
            <w:r w:rsidRPr="000C0301">
              <w:rPr>
                <w:b/>
                <w:bCs/>
                <w:sz w:val="21"/>
                <w:lang w:eastAsia="en-AU"/>
              </w:rPr>
              <w:t>Receipts</w:t>
            </w:r>
          </w:p>
        </w:tc>
        <w:tc>
          <w:tcPr>
            <w:tcW w:w="1081" w:type="dxa"/>
            <w:gridSpan w:val="2"/>
            <w:tcBorders>
              <w:top w:val="nil"/>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nil"/>
              <w:left w:val="nil"/>
              <w:bottom w:val="nil"/>
              <w:right w:val="nil"/>
            </w:tcBorders>
            <w:shd w:val="solid" w:color="FFFFFF" w:fill="auto"/>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gridSpan w:val="2"/>
            <w:tcBorders>
              <w:top w:val="nil"/>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nil"/>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Taxes received</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15 </w:t>
            </w:r>
            <w:r w:rsidRPr="000C0301">
              <w:rPr>
                <w:rFonts w:eastAsiaTheme="minorEastAsia" w:cs="Calibri"/>
                <w:sz w:val="21"/>
                <w:szCs w:val="22"/>
                <w:lang w:eastAsia="en-AU"/>
              </w:rPr>
              <w:t>231.9</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15 </w:t>
            </w:r>
            <w:r w:rsidRPr="000C0301">
              <w:rPr>
                <w:rFonts w:eastAsiaTheme="minorEastAsia" w:cs="Calibri"/>
                <w:sz w:val="21"/>
                <w:szCs w:val="22"/>
                <w:lang w:eastAsia="en-AU"/>
              </w:rPr>
              <w:t>609.7</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Grants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21 </w:t>
            </w:r>
            <w:r w:rsidRPr="000C0301">
              <w:rPr>
                <w:rFonts w:eastAsiaTheme="minorEastAsia" w:cs="Calibri"/>
                <w:sz w:val="21"/>
                <w:szCs w:val="22"/>
                <w:lang w:eastAsia="en-AU"/>
              </w:rPr>
              <w:t>991.9</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22 </w:t>
            </w:r>
            <w:r w:rsidRPr="000C0301">
              <w:rPr>
                <w:rFonts w:eastAsiaTheme="minorEastAsia" w:cs="Calibri"/>
                <w:sz w:val="21"/>
                <w:szCs w:val="22"/>
                <w:lang w:eastAsia="en-AU"/>
              </w:rPr>
              <w:t>588.8</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2 </w:t>
            </w:r>
            <w:r w:rsidRPr="000C0301">
              <w:rPr>
                <w:rFonts w:eastAsiaTheme="minorEastAsia" w:cs="Calibri"/>
                <w:sz w:val="21"/>
                <w:szCs w:val="22"/>
                <w:lang w:eastAsia="en-AU"/>
              </w:rPr>
              <w:t>727.2</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2 </w:t>
            </w:r>
            <w:r w:rsidRPr="000C0301">
              <w:rPr>
                <w:rFonts w:eastAsiaTheme="minorEastAsia" w:cs="Calibri"/>
                <w:sz w:val="21"/>
                <w:szCs w:val="22"/>
                <w:lang w:eastAsia="en-AU"/>
              </w:rPr>
              <w:t>626.0</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rFonts w:eastAsiaTheme="minorEastAsia" w:cs="Calibri"/>
                <w:color w:val="000000"/>
                <w:szCs w:val="22"/>
                <w:vertAlign w:val="superscript"/>
                <w:lang w:eastAsia="en-AU"/>
              </w:rPr>
            </w:pPr>
            <w:r w:rsidRPr="000C0301">
              <w:rPr>
                <w:sz w:val="21"/>
                <w:lang w:eastAsia="en-AU"/>
              </w:rPr>
              <w:t>Sales of goods and services</w:t>
            </w:r>
            <w:r w:rsidRPr="000C0301">
              <w:rPr>
                <w:sz w:val="21"/>
                <w:vertAlign w:val="superscript"/>
                <w:lang w:eastAsia="en-AU"/>
              </w:rPr>
              <w:t xml:space="preserve"> (a)(</w:t>
            </w:r>
            <w:r w:rsidRPr="000C0301">
              <w:rPr>
                <w:rFonts w:eastAsiaTheme="minorEastAsia" w:cs="Calibri"/>
                <w:color w:val="000000"/>
                <w:szCs w:val="22"/>
                <w:vertAlign w:val="superscript"/>
                <w:lang w:eastAsia="en-AU"/>
              </w:rPr>
              <w:t>b)</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7 </w:t>
            </w:r>
            <w:r w:rsidRPr="000C0301">
              <w:rPr>
                <w:rFonts w:eastAsiaTheme="minorEastAsia" w:cs="Calibri"/>
                <w:sz w:val="21"/>
                <w:szCs w:val="22"/>
                <w:lang w:eastAsia="en-AU"/>
              </w:rPr>
              <w:t>132.3</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7 </w:t>
            </w:r>
            <w:r w:rsidRPr="000C0301">
              <w:rPr>
                <w:rFonts w:eastAsiaTheme="minorEastAsia" w:cs="Calibri"/>
                <w:sz w:val="21"/>
                <w:szCs w:val="22"/>
                <w:lang w:eastAsia="en-AU"/>
              </w:rPr>
              <w:t>033.0</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5 </w:t>
            </w:r>
            <w:r w:rsidRPr="000C0301">
              <w:rPr>
                <w:rFonts w:eastAsiaTheme="minorEastAsia" w:cs="Calibri"/>
                <w:sz w:val="21"/>
                <w:szCs w:val="22"/>
                <w:lang w:eastAsia="en-AU"/>
              </w:rPr>
              <w:t>490.5</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5 </w:t>
            </w:r>
            <w:r w:rsidRPr="000C0301">
              <w:rPr>
                <w:rFonts w:eastAsiaTheme="minorEastAsia" w:cs="Calibri"/>
                <w:sz w:val="21"/>
                <w:szCs w:val="22"/>
                <w:lang w:eastAsia="en-AU"/>
              </w:rPr>
              <w:t>046.6</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Interest received</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674.8</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418.5</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64.2</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86.0</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vertAlign w:val="superscript"/>
                <w:lang w:eastAsia="en-AU"/>
              </w:rPr>
            </w:pPr>
            <w:r w:rsidRPr="000C0301">
              <w:rPr>
                <w:sz w:val="21"/>
                <w:lang w:eastAsia="en-AU"/>
              </w:rPr>
              <w:t>Dividends and income tax equivalent and rate equivalent receipts</w:t>
            </w:r>
            <w:r w:rsidRPr="000C0301">
              <w:rPr>
                <w:sz w:val="21"/>
                <w:vertAlign w:val="superscript"/>
                <w:lang w:eastAsia="en-AU"/>
              </w:rPr>
              <w:t xml:space="preserve"> </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1 </w:t>
            </w:r>
            <w:r w:rsidRPr="000C0301">
              <w:rPr>
                <w:rFonts w:eastAsiaTheme="minorEastAsia" w:cs="Calibri"/>
                <w:sz w:val="21"/>
                <w:szCs w:val="22"/>
                <w:lang w:eastAsia="en-AU"/>
              </w:rPr>
              <w:t>198.9</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919.2</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144.1</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76.9</w:t>
            </w:r>
          </w:p>
        </w:tc>
      </w:tr>
      <w:tr w:rsidR="000B4A1E" w:rsidRPr="000C0301" w:rsidTr="00517E51">
        <w:tc>
          <w:tcPr>
            <w:tcW w:w="5324" w:type="dxa"/>
            <w:gridSpan w:val="2"/>
            <w:tcBorders>
              <w:top w:val="nil"/>
              <w:left w:val="nil"/>
              <w:bottom w:val="single" w:sz="6" w:space="0" w:color="auto"/>
              <w:right w:val="nil"/>
            </w:tcBorders>
          </w:tcPr>
          <w:p w:rsidR="000B4A1E" w:rsidRPr="000C0301" w:rsidRDefault="000B4A1E" w:rsidP="00517E51">
            <w:pPr>
              <w:pStyle w:val="Tabletext"/>
              <w:rPr>
                <w:rFonts w:eastAsiaTheme="minorEastAsia" w:cs="Calibri"/>
                <w:color w:val="000000"/>
                <w:szCs w:val="22"/>
                <w:vertAlign w:val="superscript"/>
                <w:lang w:eastAsia="en-AU"/>
              </w:rPr>
            </w:pPr>
            <w:r w:rsidRPr="000C0301">
              <w:rPr>
                <w:sz w:val="21"/>
                <w:lang w:eastAsia="en-AU"/>
              </w:rPr>
              <w:t xml:space="preserve">Other receipts </w:t>
            </w:r>
            <w:r w:rsidRPr="000C0301">
              <w:rPr>
                <w:rFonts w:eastAsiaTheme="minorEastAsia" w:cs="Calibri"/>
                <w:color w:val="000000"/>
                <w:szCs w:val="22"/>
                <w:vertAlign w:val="superscript"/>
                <w:lang w:eastAsia="en-AU"/>
              </w:rPr>
              <w:t>(b)</w:t>
            </w:r>
          </w:p>
        </w:tc>
        <w:tc>
          <w:tcPr>
            <w:tcW w:w="1081" w:type="dxa"/>
            <w:gridSpan w:val="2"/>
            <w:tcBorders>
              <w:top w:val="nil"/>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1 </w:t>
            </w:r>
            <w:r w:rsidRPr="000C0301">
              <w:rPr>
                <w:rFonts w:eastAsiaTheme="minorEastAsia" w:cs="Calibri"/>
                <w:sz w:val="21"/>
                <w:szCs w:val="22"/>
                <w:lang w:eastAsia="en-AU"/>
              </w:rPr>
              <w:t>728.8</w:t>
            </w:r>
          </w:p>
        </w:tc>
        <w:tc>
          <w:tcPr>
            <w:tcW w:w="1081" w:type="dxa"/>
            <w:tcBorders>
              <w:top w:val="nil"/>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1 </w:t>
            </w:r>
            <w:r w:rsidRPr="000C0301">
              <w:rPr>
                <w:rFonts w:eastAsiaTheme="minorEastAsia" w:cs="Calibri"/>
                <w:sz w:val="21"/>
                <w:szCs w:val="22"/>
                <w:lang w:eastAsia="en-AU"/>
              </w:rPr>
              <w:t>480.1</w:t>
            </w:r>
          </w:p>
        </w:tc>
        <w:tc>
          <w:tcPr>
            <w:tcW w:w="1081" w:type="dxa"/>
            <w:gridSpan w:val="2"/>
            <w:tcBorders>
              <w:top w:val="nil"/>
              <w:left w:val="nil"/>
              <w:bottom w:val="single" w:sz="6" w:space="0" w:color="auto"/>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198.9</w:t>
            </w:r>
          </w:p>
        </w:tc>
        <w:tc>
          <w:tcPr>
            <w:tcW w:w="1081" w:type="dxa"/>
            <w:tcBorders>
              <w:top w:val="nil"/>
              <w:left w:val="nil"/>
              <w:bottom w:val="single" w:sz="6" w:space="0" w:color="auto"/>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339.4</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b/>
                <w:bCs/>
                <w:sz w:val="21"/>
                <w:lang w:eastAsia="en-AU"/>
              </w:rPr>
            </w:pPr>
            <w:r w:rsidRPr="000C0301">
              <w:rPr>
                <w:b/>
                <w:bCs/>
                <w:sz w:val="21"/>
                <w:lang w:eastAsia="en-AU"/>
              </w:rPr>
              <w:t>Total receipts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47 </w:t>
            </w:r>
            <w:r w:rsidRPr="000C0301">
              <w:rPr>
                <w:rFonts w:eastAsiaTheme="minorEastAsia" w:cs="Calibri"/>
                <w:b/>
                <w:bCs/>
                <w:sz w:val="21"/>
                <w:szCs w:val="22"/>
                <w:lang w:eastAsia="en-AU"/>
              </w:rPr>
              <w:t>958.7</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48 </w:t>
            </w:r>
            <w:r w:rsidRPr="000C0301">
              <w:rPr>
                <w:rFonts w:eastAsiaTheme="minorEastAsia" w:cs="Calibri"/>
                <w:b/>
                <w:bCs/>
                <w:sz w:val="21"/>
                <w:szCs w:val="22"/>
                <w:lang w:eastAsia="en-AU"/>
              </w:rPr>
              <w:t>049.3</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8 </w:t>
            </w:r>
            <w:r w:rsidRPr="000C0301">
              <w:rPr>
                <w:rFonts w:eastAsiaTheme="minorEastAsia" w:cs="Calibri"/>
                <w:b/>
                <w:bCs/>
                <w:sz w:val="21"/>
                <w:szCs w:val="22"/>
                <w:lang w:eastAsia="en-AU"/>
              </w:rPr>
              <w:t>624.8</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8 </w:t>
            </w:r>
            <w:r w:rsidRPr="000C0301">
              <w:rPr>
                <w:rFonts w:eastAsiaTheme="minorEastAsia" w:cs="Calibri"/>
                <w:b/>
                <w:bCs/>
                <w:sz w:val="21"/>
                <w:szCs w:val="22"/>
                <w:lang w:eastAsia="en-AU"/>
              </w:rPr>
              <w:t>174.9</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b/>
                <w:bCs/>
                <w:sz w:val="21"/>
                <w:lang w:eastAsia="en-AU"/>
              </w:rPr>
            </w:pPr>
            <w:r w:rsidRPr="000C0301">
              <w:rPr>
                <w:b/>
                <w:bCs/>
                <w:sz w:val="21"/>
                <w:lang w:eastAsia="en-AU"/>
              </w:rPr>
              <w:t>Payments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nil"/>
              <w:left w:val="nil"/>
              <w:bottom w:val="nil"/>
              <w:right w:val="nil"/>
            </w:tcBorders>
            <w:shd w:val="solid" w:color="FFFFFF" w:fill="auto"/>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gridSpan w:val="2"/>
            <w:tcBorders>
              <w:top w:val="nil"/>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nil"/>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Payments for employees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(17</w:t>
            </w:r>
            <w:r w:rsidRPr="000C0301">
              <w:rPr>
                <w:rFonts w:eastAsiaTheme="minorEastAsia" w:cs="Calibri"/>
                <w:sz w:val="21"/>
                <w:szCs w:val="22"/>
                <w:lang w:eastAsia="en-AU"/>
              </w:rPr>
              <w:t xml:space="preserve"> 563.6)</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(16</w:t>
            </w:r>
            <w:r w:rsidRPr="000C0301">
              <w:rPr>
                <w:rFonts w:eastAsiaTheme="minorEastAsia" w:cs="Calibri"/>
                <w:sz w:val="21"/>
                <w:szCs w:val="22"/>
                <w:lang w:eastAsia="en-AU"/>
              </w:rPr>
              <w:t xml:space="preserve"> 790.4)</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(1</w:t>
            </w:r>
            <w:r w:rsidRPr="000C0301">
              <w:rPr>
                <w:rFonts w:eastAsiaTheme="minorEastAsia" w:cs="Calibri"/>
                <w:sz w:val="21"/>
                <w:szCs w:val="22"/>
                <w:lang w:eastAsia="en-AU"/>
              </w:rPr>
              <w:t xml:space="preserve"> 035.0)</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962.5)</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Superannuation</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(2</w:t>
            </w:r>
            <w:r w:rsidRPr="000C0301">
              <w:rPr>
                <w:rFonts w:eastAsiaTheme="minorEastAsia" w:cs="Calibri"/>
                <w:sz w:val="21"/>
                <w:szCs w:val="22"/>
                <w:lang w:eastAsia="en-AU"/>
              </w:rPr>
              <w:t xml:space="preserve"> 510.5)</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(2</w:t>
            </w:r>
            <w:r w:rsidRPr="000C0301">
              <w:rPr>
                <w:rFonts w:eastAsiaTheme="minorEastAsia" w:cs="Calibri"/>
                <w:sz w:val="21"/>
                <w:szCs w:val="22"/>
                <w:lang w:eastAsia="en-AU"/>
              </w:rPr>
              <w:t xml:space="preserve"> 142.4)</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118.7)</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83.6)</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Interest paid</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(1</w:t>
            </w:r>
            <w:r w:rsidRPr="000C0301">
              <w:rPr>
                <w:rFonts w:eastAsiaTheme="minorEastAsia" w:cs="Calibri"/>
                <w:sz w:val="21"/>
                <w:szCs w:val="22"/>
                <w:lang w:eastAsia="en-AU"/>
              </w:rPr>
              <w:t xml:space="preserve"> 702.6)</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(1</w:t>
            </w:r>
            <w:r w:rsidRPr="000C0301">
              <w:rPr>
                <w:rFonts w:eastAsiaTheme="minorEastAsia" w:cs="Calibri"/>
                <w:sz w:val="21"/>
                <w:szCs w:val="22"/>
                <w:lang w:eastAsia="en-AU"/>
              </w:rPr>
              <w:t xml:space="preserve"> 182.0)</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961.6)</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641.8)</w:t>
            </w:r>
          </w:p>
        </w:tc>
      </w:tr>
      <w:tr w:rsidR="000B4A1E" w:rsidRPr="000C0301" w:rsidTr="00517E51">
        <w:tc>
          <w:tcPr>
            <w:tcW w:w="5324" w:type="dxa"/>
            <w:gridSpan w:val="2"/>
            <w:tcBorders>
              <w:top w:val="nil"/>
              <w:left w:val="nil"/>
              <w:bottom w:val="nil"/>
              <w:right w:val="nil"/>
            </w:tcBorders>
            <w:shd w:val="solid" w:color="FFFFFF" w:fill="auto"/>
          </w:tcPr>
          <w:p w:rsidR="000B4A1E" w:rsidRPr="000C0301" w:rsidRDefault="000B4A1E" w:rsidP="00517E51">
            <w:pPr>
              <w:pStyle w:val="Tabletext"/>
              <w:rPr>
                <w:rFonts w:eastAsiaTheme="minorEastAsia" w:cs="Calibri"/>
                <w:color w:val="000000"/>
                <w:szCs w:val="22"/>
                <w:vertAlign w:val="superscript"/>
                <w:lang w:eastAsia="en-AU"/>
              </w:rPr>
            </w:pPr>
            <w:r w:rsidRPr="000C0301">
              <w:rPr>
                <w:sz w:val="21"/>
                <w:lang w:eastAsia="en-AU"/>
              </w:rPr>
              <w:t xml:space="preserve">Grants and subsidies </w:t>
            </w:r>
            <w:r w:rsidRPr="000C0301">
              <w:rPr>
                <w:rFonts w:eastAsiaTheme="minorEastAsia" w:cs="Calibri"/>
                <w:color w:val="000000"/>
                <w:szCs w:val="22"/>
                <w:vertAlign w:val="superscript"/>
                <w:lang w:eastAsia="en-AU"/>
              </w:rPr>
              <w:t>(b)</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(8</w:t>
            </w:r>
            <w:r w:rsidRPr="000C0301">
              <w:rPr>
                <w:rFonts w:eastAsiaTheme="minorEastAsia" w:cs="Calibri"/>
                <w:sz w:val="21"/>
                <w:szCs w:val="22"/>
                <w:lang w:eastAsia="en-AU"/>
              </w:rPr>
              <w:t xml:space="preserve"> 196.5)</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(8</w:t>
            </w:r>
            <w:r w:rsidRPr="000C0301">
              <w:rPr>
                <w:rFonts w:eastAsiaTheme="minorEastAsia" w:cs="Calibri"/>
                <w:sz w:val="21"/>
                <w:szCs w:val="22"/>
                <w:lang w:eastAsia="en-AU"/>
              </w:rPr>
              <w:t xml:space="preserve"> 125.6)</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189.9)</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169.1)</w:t>
            </w:r>
          </w:p>
        </w:tc>
      </w:tr>
      <w:tr w:rsidR="000B4A1E" w:rsidRPr="000C0301" w:rsidTr="00517E51">
        <w:tc>
          <w:tcPr>
            <w:tcW w:w="5324" w:type="dxa"/>
            <w:gridSpan w:val="2"/>
            <w:tcBorders>
              <w:top w:val="nil"/>
              <w:left w:val="nil"/>
              <w:bottom w:val="nil"/>
              <w:right w:val="nil"/>
            </w:tcBorders>
            <w:shd w:val="solid" w:color="FFFFFF" w:fill="auto"/>
          </w:tcPr>
          <w:p w:rsidR="000B4A1E" w:rsidRPr="000C0301" w:rsidRDefault="000B4A1E" w:rsidP="00517E51">
            <w:pPr>
              <w:pStyle w:val="Tabletext"/>
              <w:rPr>
                <w:sz w:val="21"/>
                <w:vertAlign w:val="superscript"/>
                <w:lang w:eastAsia="en-AU"/>
              </w:rPr>
            </w:pPr>
            <w:r w:rsidRPr="000C0301">
              <w:rPr>
                <w:sz w:val="21"/>
                <w:lang w:eastAsia="en-AU"/>
              </w:rPr>
              <w:t xml:space="preserve">Goods and services </w:t>
            </w:r>
            <w:r w:rsidRPr="000C0301">
              <w:rPr>
                <w:sz w:val="21"/>
                <w:vertAlign w:val="superscript"/>
                <w:lang w:eastAsia="en-AU"/>
              </w:rPr>
              <w:t>(a)</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(15</w:t>
            </w:r>
            <w:r w:rsidRPr="000C0301">
              <w:rPr>
                <w:rFonts w:eastAsiaTheme="minorEastAsia" w:cs="Calibri"/>
                <w:sz w:val="21"/>
                <w:szCs w:val="22"/>
                <w:lang w:eastAsia="en-AU"/>
              </w:rPr>
              <w:t xml:space="preserve"> 692.1)</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(16</w:t>
            </w:r>
            <w:r w:rsidRPr="000C0301">
              <w:rPr>
                <w:rFonts w:eastAsiaTheme="minorEastAsia" w:cs="Calibri"/>
                <w:sz w:val="21"/>
                <w:szCs w:val="22"/>
                <w:lang w:eastAsia="en-AU"/>
              </w:rPr>
              <w:t xml:space="preserve"> 549.9)</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(3</w:t>
            </w:r>
            <w:r w:rsidRPr="000C0301">
              <w:rPr>
                <w:rFonts w:eastAsiaTheme="minorEastAsia" w:cs="Calibri"/>
                <w:sz w:val="21"/>
                <w:szCs w:val="22"/>
                <w:lang w:eastAsia="en-AU"/>
              </w:rPr>
              <w:t xml:space="preserve"> 375.8)</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(3</w:t>
            </w:r>
            <w:r w:rsidRPr="000C0301">
              <w:rPr>
                <w:rFonts w:eastAsiaTheme="minorEastAsia" w:cs="Calibri"/>
                <w:sz w:val="21"/>
                <w:szCs w:val="22"/>
                <w:lang w:eastAsia="en-AU"/>
              </w:rPr>
              <w:t xml:space="preserve"> 270.8)</w:t>
            </w:r>
          </w:p>
        </w:tc>
      </w:tr>
      <w:tr w:rsidR="000B4A1E" w:rsidRPr="000C0301" w:rsidTr="00517E51">
        <w:tc>
          <w:tcPr>
            <w:tcW w:w="5324" w:type="dxa"/>
            <w:gridSpan w:val="2"/>
            <w:tcBorders>
              <w:top w:val="nil"/>
              <w:left w:val="nil"/>
              <w:bottom w:val="nil"/>
              <w:right w:val="nil"/>
            </w:tcBorders>
            <w:shd w:val="solid" w:color="FFFFFF" w:fill="auto"/>
          </w:tcPr>
          <w:p w:rsidR="000B4A1E" w:rsidRPr="000C0301" w:rsidRDefault="000B4A1E" w:rsidP="00517E51">
            <w:pPr>
              <w:pStyle w:val="Tabletext"/>
              <w:rPr>
                <w:rFonts w:eastAsiaTheme="minorEastAsia" w:cs="Calibri"/>
                <w:color w:val="000000"/>
                <w:szCs w:val="22"/>
                <w:vertAlign w:val="superscript"/>
                <w:lang w:eastAsia="en-AU"/>
              </w:rPr>
            </w:pPr>
            <w:r w:rsidRPr="000C0301">
              <w:rPr>
                <w:sz w:val="21"/>
                <w:lang w:eastAsia="en-AU"/>
              </w:rPr>
              <w:t xml:space="preserve">Other payments </w:t>
            </w:r>
            <w:r w:rsidRPr="000C0301">
              <w:rPr>
                <w:rFonts w:eastAsiaTheme="minorEastAsia" w:cs="Calibri"/>
                <w:color w:val="000000"/>
                <w:szCs w:val="22"/>
                <w:vertAlign w:val="superscript"/>
                <w:lang w:eastAsia="en-AU"/>
              </w:rPr>
              <w:t>(b)</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601.2)</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501.5)</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(1</w:t>
            </w:r>
            <w:r w:rsidRPr="000C0301">
              <w:rPr>
                <w:rFonts w:eastAsiaTheme="minorEastAsia" w:cs="Calibri"/>
                <w:sz w:val="21"/>
                <w:szCs w:val="22"/>
                <w:lang w:eastAsia="en-AU"/>
              </w:rPr>
              <w:t xml:space="preserve"> 467.3)</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(1</w:t>
            </w:r>
            <w:r w:rsidRPr="000C0301">
              <w:rPr>
                <w:rFonts w:eastAsiaTheme="minorEastAsia" w:cs="Calibri"/>
                <w:sz w:val="21"/>
                <w:szCs w:val="22"/>
                <w:lang w:eastAsia="en-AU"/>
              </w:rPr>
              <w:t xml:space="preserve"> 652.6)</w:t>
            </w:r>
          </w:p>
        </w:tc>
      </w:tr>
      <w:tr w:rsidR="000B4A1E" w:rsidRPr="000C0301" w:rsidTr="00517E51">
        <w:tc>
          <w:tcPr>
            <w:tcW w:w="5324" w:type="dxa"/>
            <w:gridSpan w:val="2"/>
            <w:tcBorders>
              <w:top w:val="single" w:sz="6" w:space="0" w:color="auto"/>
              <w:left w:val="nil"/>
              <w:bottom w:val="single" w:sz="6" w:space="0" w:color="auto"/>
              <w:right w:val="nil"/>
            </w:tcBorders>
            <w:shd w:val="solid" w:color="FFFFFF" w:fill="auto"/>
          </w:tcPr>
          <w:p w:rsidR="000B4A1E" w:rsidRPr="000C0301" w:rsidRDefault="000B4A1E" w:rsidP="00517E51">
            <w:pPr>
              <w:pStyle w:val="Tabletext"/>
              <w:rPr>
                <w:b/>
                <w:bCs/>
                <w:sz w:val="21"/>
                <w:lang w:eastAsia="en-AU"/>
              </w:rPr>
            </w:pPr>
            <w:r w:rsidRPr="000C0301">
              <w:rPr>
                <w:b/>
                <w:bCs/>
                <w:sz w:val="21"/>
                <w:lang w:eastAsia="en-AU"/>
              </w:rPr>
              <w:t>Total payments</w:t>
            </w:r>
          </w:p>
        </w:tc>
        <w:tc>
          <w:tcPr>
            <w:tcW w:w="1081" w:type="dxa"/>
            <w:gridSpan w:val="2"/>
            <w:tcBorders>
              <w:top w:val="single" w:sz="6" w:space="0" w:color="auto"/>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b/>
                <w:sz w:val="21"/>
                <w:szCs w:val="22"/>
                <w:lang w:eastAsia="en-AU"/>
              </w:rPr>
            </w:pPr>
            <w:r w:rsidRPr="000C0301">
              <w:rPr>
                <w:b/>
                <w:sz w:val="21"/>
                <w:lang w:eastAsia="en-AU"/>
              </w:rPr>
              <w:t>(46</w:t>
            </w:r>
            <w:r w:rsidRPr="000C0301">
              <w:rPr>
                <w:rFonts w:eastAsiaTheme="minorEastAsia" w:cs="Calibri"/>
                <w:b/>
                <w:sz w:val="21"/>
                <w:szCs w:val="22"/>
                <w:lang w:eastAsia="en-AU"/>
              </w:rPr>
              <w:t xml:space="preserve"> 266.4)</w:t>
            </w:r>
          </w:p>
        </w:tc>
        <w:tc>
          <w:tcPr>
            <w:tcW w:w="1081" w:type="dxa"/>
            <w:tcBorders>
              <w:top w:val="single" w:sz="6" w:space="0" w:color="auto"/>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b/>
                <w:sz w:val="21"/>
                <w:szCs w:val="22"/>
                <w:lang w:eastAsia="en-AU"/>
              </w:rPr>
            </w:pPr>
            <w:r w:rsidRPr="000C0301">
              <w:rPr>
                <w:b/>
                <w:sz w:val="21"/>
                <w:lang w:eastAsia="en-AU"/>
              </w:rPr>
              <w:t>(45</w:t>
            </w:r>
            <w:r w:rsidRPr="000C0301">
              <w:rPr>
                <w:rFonts w:eastAsiaTheme="minorEastAsia" w:cs="Calibri"/>
                <w:b/>
                <w:sz w:val="21"/>
                <w:szCs w:val="22"/>
                <w:lang w:eastAsia="en-AU"/>
              </w:rPr>
              <w:t xml:space="preserve"> 291.8)</w:t>
            </w:r>
          </w:p>
        </w:tc>
        <w:tc>
          <w:tcPr>
            <w:tcW w:w="1081" w:type="dxa"/>
            <w:gridSpan w:val="2"/>
            <w:tcBorders>
              <w:top w:val="single" w:sz="6" w:space="0" w:color="auto"/>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b/>
                <w:sz w:val="21"/>
                <w:szCs w:val="22"/>
                <w:lang w:eastAsia="en-AU"/>
              </w:rPr>
            </w:pPr>
            <w:r w:rsidRPr="000C0301">
              <w:rPr>
                <w:b/>
                <w:sz w:val="21"/>
                <w:lang w:eastAsia="en-AU"/>
              </w:rPr>
              <w:t>(7</w:t>
            </w:r>
            <w:r w:rsidRPr="000C0301">
              <w:rPr>
                <w:rFonts w:eastAsiaTheme="minorEastAsia" w:cs="Calibri"/>
                <w:b/>
                <w:sz w:val="21"/>
                <w:szCs w:val="22"/>
                <w:lang w:eastAsia="en-AU"/>
              </w:rPr>
              <w:t xml:space="preserve"> 148.3)</w:t>
            </w:r>
          </w:p>
        </w:tc>
        <w:tc>
          <w:tcPr>
            <w:tcW w:w="1081" w:type="dxa"/>
            <w:tcBorders>
              <w:top w:val="single" w:sz="6" w:space="0" w:color="auto"/>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b/>
                <w:sz w:val="21"/>
                <w:szCs w:val="22"/>
                <w:lang w:eastAsia="en-AU"/>
              </w:rPr>
            </w:pPr>
            <w:r w:rsidRPr="000C0301">
              <w:rPr>
                <w:b/>
                <w:sz w:val="21"/>
                <w:lang w:eastAsia="en-AU"/>
              </w:rPr>
              <w:t>(6</w:t>
            </w:r>
            <w:r w:rsidRPr="000C0301">
              <w:rPr>
                <w:rFonts w:eastAsiaTheme="minorEastAsia" w:cs="Calibri"/>
                <w:b/>
                <w:sz w:val="21"/>
                <w:szCs w:val="22"/>
                <w:lang w:eastAsia="en-AU"/>
              </w:rPr>
              <w:t xml:space="preserve"> 780.4)</w:t>
            </w:r>
          </w:p>
        </w:tc>
      </w:tr>
      <w:tr w:rsidR="000B4A1E" w:rsidRPr="000C0301" w:rsidTr="00517E51">
        <w:tc>
          <w:tcPr>
            <w:tcW w:w="5324" w:type="dxa"/>
            <w:gridSpan w:val="2"/>
            <w:tcBorders>
              <w:top w:val="nil"/>
              <w:left w:val="nil"/>
              <w:bottom w:val="nil"/>
              <w:right w:val="nil"/>
            </w:tcBorders>
            <w:shd w:val="solid" w:color="FFFFFF" w:fill="auto"/>
          </w:tcPr>
          <w:p w:rsidR="000B4A1E" w:rsidRPr="000C0301" w:rsidRDefault="000B4A1E" w:rsidP="00517E51">
            <w:pPr>
              <w:pStyle w:val="Tabletext"/>
              <w:rPr>
                <w:b/>
                <w:bCs/>
                <w:sz w:val="21"/>
                <w:lang w:eastAsia="en-AU"/>
              </w:rPr>
            </w:pPr>
            <w:r w:rsidRPr="000C0301">
              <w:rPr>
                <w:b/>
                <w:bCs/>
                <w:sz w:val="21"/>
                <w:lang w:eastAsia="en-AU"/>
              </w:rPr>
              <w:t xml:space="preserve">Net cash flows from operating activities </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1 </w:t>
            </w:r>
            <w:r w:rsidRPr="000C0301">
              <w:rPr>
                <w:rFonts w:eastAsiaTheme="minorEastAsia" w:cs="Calibri"/>
                <w:b/>
                <w:bCs/>
                <w:sz w:val="21"/>
                <w:szCs w:val="22"/>
                <w:lang w:eastAsia="en-AU"/>
              </w:rPr>
              <w:t>692.3</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2 </w:t>
            </w:r>
            <w:r w:rsidRPr="000C0301">
              <w:rPr>
                <w:rFonts w:eastAsiaTheme="minorEastAsia" w:cs="Calibri"/>
                <w:b/>
                <w:bCs/>
                <w:sz w:val="21"/>
                <w:szCs w:val="22"/>
                <w:lang w:eastAsia="en-AU"/>
              </w:rPr>
              <w:t>757.5</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1 </w:t>
            </w:r>
            <w:r w:rsidRPr="000C0301">
              <w:rPr>
                <w:rFonts w:eastAsiaTheme="minorEastAsia" w:cs="Calibri"/>
                <w:b/>
                <w:bCs/>
                <w:sz w:val="21"/>
                <w:szCs w:val="22"/>
                <w:lang w:eastAsia="en-AU"/>
              </w:rPr>
              <w:t>476.5</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1 </w:t>
            </w:r>
            <w:r w:rsidRPr="000C0301">
              <w:rPr>
                <w:rFonts w:eastAsiaTheme="minorEastAsia" w:cs="Calibri"/>
                <w:b/>
                <w:bCs/>
                <w:sz w:val="21"/>
                <w:szCs w:val="22"/>
                <w:lang w:eastAsia="en-AU"/>
              </w:rPr>
              <w:t>394.6</w:t>
            </w:r>
          </w:p>
        </w:tc>
      </w:tr>
      <w:tr w:rsidR="000B4A1E" w:rsidRPr="000C0301" w:rsidTr="00517E51">
        <w:tc>
          <w:tcPr>
            <w:tcW w:w="5324" w:type="dxa"/>
            <w:gridSpan w:val="2"/>
            <w:tcBorders>
              <w:top w:val="nil"/>
              <w:left w:val="nil"/>
              <w:bottom w:val="nil"/>
              <w:right w:val="nil"/>
            </w:tcBorders>
            <w:shd w:val="solid" w:color="FFFFFF" w:fill="auto"/>
          </w:tcPr>
          <w:p w:rsidR="000B4A1E" w:rsidRPr="000C0301" w:rsidRDefault="000B4A1E" w:rsidP="00517E51">
            <w:pPr>
              <w:pStyle w:val="Tabletext"/>
              <w:rPr>
                <w:b/>
                <w:bCs/>
                <w:sz w:val="21"/>
                <w:lang w:eastAsia="en-AU"/>
              </w:rPr>
            </w:pPr>
            <w:r w:rsidRPr="000C0301">
              <w:rPr>
                <w:b/>
                <w:bCs/>
                <w:sz w:val="21"/>
                <w:lang w:eastAsia="en-AU"/>
              </w:rPr>
              <w:t>Cash flows from investing activities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nil"/>
              <w:left w:val="nil"/>
              <w:bottom w:val="nil"/>
              <w:right w:val="nil"/>
            </w:tcBorders>
            <w:shd w:val="solid" w:color="FFFFFF" w:fill="auto"/>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nil"/>
              <w:left w:val="nil"/>
              <w:bottom w:val="nil"/>
              <w:right w:val="nil"/>
            </w:tcBorders>
            <w:shd w:val="solid" w:color="FFFFFF" w:fill="auto"/>
          </w:tcPr>
          <w:p w:rsidR="000B4A1E" w:rsidRPr="000C0301" w:rsidRDefault="000B4A1E" w:rsidP="00517E51">
            <w:pPr>
              <w:pStyle w:val="TableofFigures"/>
              <w:rPr>
                <w:sz w:val="21"/>
                <w:lang w:eastAsia="en-AU"/>
              </w:rPr>
            </w:pPr>
            <w:r w:rsidRPr="000C0301">
              <w:rPr>
                <w:sz w:val="21"/>
                <w:lang w:eastAsia="en-AU"/>
              </w:rPr>
              <w:t xml:space="preserve">  </w:t>
            </w:r>
          </w:p>
        </w:tc>
      </w:tr>
      <w:tr w:rsidR="000B4A1E" w:rsidRPr="000C0301" w:rsidTr="00517E51">
        <w:tc>
          <w:tcPr>
            <w:tcW w:w="5324" w:type="dxa"/>
            <w:gridSpan w:val="2"/>
            <w:tcBorders>
              <w:top w:val="nil"/>
              <w:left w:val="nil"/>
              <w:bottom w:val="nil"/>
              <w:right w:val="nil"/>
            </w:tcBorders>
            <w:shd w:val="solid" w:color="FFFFFF" w:fill="auto"/>
          </w:tcPr>
          <w:p w:rsidR="000B4A1E" w:rsidRPr="000C0301" w:rsidRDefault="000B4A1E" w:rsidP="00517E51">
            <w:pPr>
              <w:pStyle w:val="Tabletext"/>
              <w:rPr>
                <w:sz w:val="21"/>
                <w:lang w:eastAsia="en-AU"/>
              </w:rPr>
            </w:pPr>
            <w:r w:rsidRPr="000C0301">
              <w:rPr>
                <w:sz w:val="21"/>
                <w:lang w:eastAsia="en-AU"/>
              </w:rPr>
              <w:t>Purchases of non-financial assets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(4</w:t>
            </w:r>
            <w:r w:rsidRPr="000C0301">
              <w:rPr>
                <w:rFonts w:eastAsiaTheme="minorEastAsia" w:cs="Calibri"/>
                <w:sz w:val="21"/>
                <w:szCs w:val="22"/>
                <w:lang w:eastAsia="en-AU"/>
              </w:rPr>
              <w:t xml:space="preserve"> 133.2)</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(3</w:t>
            </w:r>
            <w:r w:rsidRPr="000C0301">
              <w:rPr>
                <w:rFonts w:eastAsiaTheme="minorEastAsia" w:cs="Calibri"/>
                <w:sz w:val="21"/>
                <w:szCs w:val="22"/>
                <w:lang w:eastAsia="en-AU"/>
              </w:rPr>
              <w:t xml:space="preserve"> 564.9)</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(3</w:t>
            </w:r>
            <w:r w:rsidRPr="000C0301">
              <w:rPr>
                <w:rFonts w:eastAsiaTheme="minorEastAsia" w:cs="Calibri"/>
                <w:sz w:val="21"/>
                <w:szCs w:val="22"/>
                <w:lang w:eastAsia="en-AU"/>
              </w:rPr>
              <w:t xml:space="preserve"> 702.5)</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(3</w:t>
            </w:r>
            <w:r w:rsidRPr="000C0301">
              <w:rPr>
                <w:rFonts w:eastAsiaTheme="minorEastAsia" w:cs="Calibri"/>
                <w:sz w:val="21"/>
                <w:szCs w:val="22"/>
                <w:lang w:eastAsia="en-AU"/>
              </w:rPr>
              <w:t xml:space="preserve"> 890.5)</w:t>
            </w:r>
          </w:p>
        </w:tc>
      </w:tr>
      <w:tr w:rsidR="000B4A1E" w:rsidRPr="000C0301" w:rsidTr="00517E51">
        <w:tc>
          <w:tcPr>
            <w:tcW w:w="5324" w:type="dxa"/>
            <w:gridSpan w:val="2"/>
            <w:tcBorders>
              <w:top w:val="nil"/>
              <w:left w:val="nil"/>
              <w:bottom w:val="single" w:sz="6" w:space="0" w:color="auto"/>
              <w:right w:val="nil"/>
            </w:tcBorders>
            <w:shd w:val="solid" w:color="FFFFFF" w:fill="auto"/>
          </w:tcPr>
          <w:p w:rsidR="000B4A1E" w:rsidRPr="000C0301" w:rsidRDefault="000B4A1E" w:rsidP="00517E51">
            <w:pPr>
              <w:pStyle w:val="Tabletext"/>
              <w:rPr>
                <w:sz w:val="21"/>
                <w:lang w:eastAsia="en-AU"/>
              </w:rPr>
            </w:pPr>
            <w:r w:rsidRPr="000C0301">
              <w:rPr>
                <w:sz w:val="21"/>
                <w:lang w:eastAsia="en-AU"/>
              </w:rPr>
              <w:t>Sales of non-financial assets</w:t>
            </w:r>
          </w:p>
        </w:tc>
        <w:tc>
          <w:tcPr>
            <w:tcW w:w="1081" w:type="dxa"/>
            <w:gridSpan w:val="2"/>
            <w:tcBorders>
              <w:top w:val="nil"/>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248.0</w:t>
            </w:r>
          </w:p>
        </w:tc>
        <w:tc>
          <w:tcPr>
            <w:tcW w:w="1081" w:type="dxa"/>
            <w:tcBorders>
              <w:top w:val="nil"/>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167.1</w:t>
            </w:r>
          </w:p>
        </w:tc>
        <w:tc>
          <w:tcPr>
            <w:tcW w:w="1081" w:type="dxa"/>
            <w:gridSpan w:val="2"/>
            <w:tcBorders>
              <w:top w:val="nil"/>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156.4</w:t>
            </w:r>
          </w:p>
        </w:tc>
        <w:tc>
          <w:tcPr>
            <w:tcW w:w="1081" w:type="dxa"/>
            <w:tcBorders>
              <w:top w:val="nil"/>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122.2</w:t>
            </w:r>
          </w:p>
        </w:tc>
      </w:tr>
      <w:tr w:rsidR="000B4A1E" w:rsidRPr="000C0301" w:rsidTr="00517E51">
        <w:tc>
          <w:tcPr>
            <w:tcW w:w="5324" w:type="dxa"/>
            <w:gridSpan w:val="2"/>
            <w:tcBorders>
              <w:top w:val="nil"/>
              <w:left w:val="nil"/>
              <w:bottom w:val="nil"/>
              <w:right w:val="nil"/>
            </w:tcBorders>
            <w:shd w:val="solid" w:color="FFFFFF" w:fill="auto"/>
          </w:tcPr>
          <w:p w:rsidR="000B4A1E" w:rsidRPr="000C0301" w:rsidRDefault="000B4A1E" w:rsidP="00517E51">
            <w:pPr>
              <w:pStyle w:val="Tabletext"/>
              <w:rPr>
                <w:sz w:val="21"/>
                <w:lang w:eastAsia="en-AU"/>
              </w:rPr>
            </w:pPr>
            <w:r w:rsidRPr="000C0301">
              <w:rPr>
                <w:sz w:val="21"/>
                <w:lang w:eastAsia="en-AU"/>
              </w:rPr>
              <w:t>Cash flows from investments in non-financial assets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(3</w:t>
            </w:r>
            <w:r w:rsidRPr="000C0301">
              <w:rPr>
                <w:rFonts w:eastAsiaTheme="minorEastAsia" w:cs="Calibri"/>
                <w:sz w:val="21"/>
                <w:szCs w:val="22"/>
                <w:lang w:eastAsia="en-AU"/>
              </w:rPr>
              <w:t xml:space="preserve"> 885.2)</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(3</w:t>
            </w:r>
            <w:r w:rsidRPr="000C0301">
              <w:rPr>
                <w:rFonts w:eastAsiaTheme="minorEastAsia" w:cs="Calibri"/>
                <w:sz w:val="21"/>
                <w:szCs w:val="22"/>
                <w:lang w:eastAsia="en-AU"/>
              </w:rPr>
              <w:t xml:space="preserve"> 397.9)</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(3</w:t>
            </w:r>
            <w:r w:rsidRPr="000C0301">
              <w:rPr>
                <w:rFonts w:eastAsiaTheme="minorEastAsia" w:cs="Calibri"/>
                <w:sz w:val="21"/>
                <w:szCs w:val="22"/>
                <w:lang w:eastAsia="en-AU"/>
              </w:rPr>
              <w:t xml:space="preserve"> 546.1)</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(3</w:t>
            </w:r>
            <w:r w:rsidRPr="000C0301">
              <w:rPr>
                <w:rFonts w:eastAsiaTheme="minorEastAsia" w:cs="Calibri"/>
                <w:sz w:val="21"/>
                <w:szCs w:val="22"/>
                <w:lang w:eastAsia="en-AU"/>
              </w:rPr>
              <w:t xml:space="preserve"> 768.2)</w:t>
            </w:r>
          </w:p>
        </w:tc>
      </w:tr>
      <w:tr w:rsidR="000B4A1E" w:rsidRPr="000C0301" w:rsidTr="00517E51">
        <w:tc>
          <w:tcPr>
            <w:tcW w:w="5234" w:type="dxa"/>
            <w:tcBorders>
              <w:top w:val="nil"/>
              <w:left w:val="nil"/>
              <w:bottom w:val="single" w:sz="6" w:space="0" w:color="auto"/>
              <w:right w:val="nil"/>
            </w:tcBorders>
          </w:tcPr>
          <w:p w:rsidR="000B4A1E" w:rsidRPr="000C0301" w:rsidRDefault="000B4A1E" w:rsidP="00517E51">
            <w:pPr>
              <w:pStyle w:val="Tabletext"/>
              <w:rPr>
                <w:sz w:val="21"/>
                <w:lang w:eastAsia="en-AU"/>
              </w:rPr>
            </w:pPr>
            <w:r w:rsidRPr="000C0301">
              <w:rPr>
                <w:sz w:val="21"/>
                <w:lang w:eastAsia="en-AU"/>
              </w:rPr>
              <w:t>Net cash flows from investments in financial assets for policy purposes</w:t>
            </w:r>
          </w:p>
        </w:tc>
        <w:tc>
          <w:tcPr>
            <w:tcW w:w="1171" w:type="dxa"/>
            <w:gridSpan w:val="3"/>
            <w:tcBorders>
              <w:top w:val="nil"/>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(1</w:t>
            </w:r>
            <w:r w:rsidRPr="000C0301">
              <w:rPr>
                <w:rFonts w:eastAsiaTheme="minorEastAsia" w:cs="Calibri"/>
                <w:sz w:val="21"/>
                <w:szCs w:val="22"/>
                <w:lang w:eastAsia="en-AU"/>
              </w:rPr>
              <w:t xml:space="preserve"> 316.8)</w:t>
            </w:r>
          </w:p>
        </w:tc>
        <w:tc>
          <w:tcPr>
            <w:tcW w:w="1081" w:type="dxa"/>
            <w:tcBorders>
              <w:top w:val="nil"/>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(1</w:t>
            </w:r>
            <w:r w:rsidRPr="000C0301">
              <w:rPr>
                <w:rFonts w:eastAsiaTheme="minorEastAsia" w:cs="Calibri"/>
                <w:sz w:val="21"/>
                <w:szCs w:val="22"/>
                <w:lang w:eastAsia="en-AU"/>
              </w:rPr>
              <w:t xml:space="preserve"> 831.1)</w:t>
            </w:r>
          </w:p>
        </w:tc>
        <w:tc>
          <w:tcPr>
            <w:tcW w:w="1081" w:type="dxa"/>
            <w:gridSpan w:val="2"/>
            <w:tcBorders>
              <w:top w:val="nil"/>
              <w:left w:val="nil"/>
              <w:bottom w:val="single" w:sz="6" w:space="0" w:color="auto"/>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45.0)</w:t>
            </w:r>
          </w:p>
        </w:tc>
        <w:tc>
          <w:tcPr>
            <w:tcW w:w="1081" w:type="dxa"/>
            <w:tcBorders>
              <w:top w:val="nil"/>
              <w:left w:val="nil"/>
              <w:bottom w:val="single" w:sz="6" w:space="0" w:color="auto"/>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13.2</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b/>
                <w:bCs/>
                <w:sz w:val="21"/>
                <w:lang w:eastAsia="en-AU"/>
              </w:rPr>
            </w:pPr>
            <w:r w:rsidRPr="000C0301">
              <w:rPr>
                <w:b/>
                <w:bCs/>
                <w:sz w:val="21"/>
                <w:lang w:eastAsia="en-AU"/>
              </w:rPr>
              <w:t>Sub-total</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(5</w:t>
            </w:r>
            <w:r w:rsidRPr="000C0301">
              <w:rPr>
                <w:rFonts w:eastAsiaTheme="minorEastAsia" w:cs="Calibri"/>
                <w:b/>
                <w:bCs/>
                <w:sz w:val="21"/>
                <w:szCs w:val="22"/>
                <w:lang w:eastAsia="en-AU"/>
              </w:rPr>
              <w:t xml:space="preserve"> 202.0)</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(5</w:t>
            </w:r>
            <w:r w:rsidRPr="000C0301">
              <w:rPr>
                <w:rFonts w:eastAsiaTheme="minorEastAsia" w:cs="Calibri"/>
                <w:b/>
                <w:bCs/>
                <w:sz w:val="21"/>
                <w:szCs w:val="22"/>
                <w:lang w:eastAsia="en-AU"/>
              </w:rPr>
              <w:t xml:space="preserve"> 228.9)</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(3</w:t>
            </w:r>
            <w:r w:rsidRPr="000C0301">
              <w:rPr>
                <w:rFonts w:eastAsiaTheme="minorEastAsia" w:cs="Calibri"/>
                <w:b/>
                <w:bCs/>
                <w:sz w:val="21"/>
                <w:szCs w:val="22"/>
                <w:lang w:eastAsia="en-AU"/>
              </w:rPr>
              <w:t xml:space="preserve"> 591.1)</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(3</w:t>
            </w:r>
            <w:r w:rsidRPr="000C0301">
              <w:rPr>
                <w:rFonts w:eastAsiaTheme="minorEastAsia" w:cs="Calibri"/>
                <w:b/>
                <w:bCs/>
                <w:sz w:val="21"/>
                <w:szCs w:val="22"/>
                <w:lang w:eastAsia="en-AU"/>
              </w:rPr>
              <w:t xml:space="preserve"> 755.1)</w:t>
            </w:r>
          </w:p>
        </w:tc>
      </w:tr>
      <w:tr w:rsidR="000B4A1E" w:rsidRPr="000C0301" w:rsidTr="00517E51">
        <w:tc>
          <w:tcPr>
            <w:tcW w:w="5324" w:type="dxa"/>
            <w:gridSpan w:val="2"/>
            <w:tcBorders>
              <w:top w:val="nil"/>
              <w:left w:val="nil"/>
              <w:bottom w:val="single" w:sz="6" w:space="0" w:color="auto"/>
              <w:right w:val="nil"/>
            </w:tcBorders>
          </w:tcPr>
          <w:p w:rsidR="000B4A1E" w:rsidRPr="000C0301" w:rsidRDefault="000B4A1E" w:rsidP="00517E51">
            <w:pPr>
              <w:pStyle w:val="Tabletext"/>
              <w:rPr>
                <w:rFonts w:eastAsiaTheme="minorEastAsia" w:cs="Calibri"/>
                <w:szCs w:val="22"/>
                <w:lang w:eastAsia="en-AU"/>
              </w:rPr>
            </w:pPr>
            <w:r w:rsidRPr="000C0301">
              <w:rPr>
                <w:sz w:val="21"/>
                <w:lang w:eastAsia="en-AU"/>
              </w:rPr>
              <w:t xml:space="preserve">Net cash flows from investments in financial assets for liquidity management purposes </w:t>
            </w:r>
            <w:r w:rsidRPr="000C0301">
              <w:rPr>
                <w:rFonts w:eastAsiaTheme="minorEastAsia" w:cs="Calibri"/>
                <w:szCs w:val="22"/>
                <w:vertAlign w:val="superscript"/>
                <w:lang w:eastAsia="en-AU"/>
              </w:rPr>
              <w:t>(c)</w:t>
            </w:r>
          </w:p>
        </w:tc>
        <w:tc>
          <w:tcPr>
            <w:tcW w:w="1081" w:type="dxa"/>
            <w:gridSpan w:val="2"/>
            <w:tcBorders>
              <w:top w:val="nil"/>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(1</w:t>
            </w:r>
            <w:r w:rsidRPr="000C0301">
              <w:rPr>
                <w:rFonts w:eastAsiaTheme="minorEastAsia" w:cs="Calibri"/>
                <w:sz w:val="21"/>
                <w:szCs w:val="22"/>
                <w:lang w:eastAsia="en-AU"/>
              </w:rPr>
              <w:t xml:space="preserve"> 174.0)</w:t>
            </w:r>
          </w:p>
        </w:tc>
        <w:tc>
          <w:tcPr>
            <w:tcW w:w="1081" w:type="dxa"/>
            <w:tcBorders>
              <w:top w:val="nil"/>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126.8</w:t>
            </w:r>
          </w:p>
        </w:tc>
        <w:tc>
          <w:tcPr>
            <w:tcW w:w="1081" w:type="dxa"/>
            <w:gridSpan w:val="2"/>
            <w:tcBorders>
              <w:top w:val="nil"/>
              <w:left w:val="nil"/>
              <w:bottom w:val="single" w:sz="6" w:space="0" w:color="auto"/>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12.3</w:t>
            </w:r>
          </w:p>
        </w:tc>
        <w:tc>
          <w:tcPr>
            <w:tcW w:w="1081" w:type="dxa"/>
            <w:tcBorders>
              <w:top w:val="nil"/>
              <w:left w:val="nil"/>
              <w:bottom w:val="single" w:sz="6" w:space="0" w:color="auto"/>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91.7)</w:t>
            </w:r>
          </w:p>
        </w:tc>
      </w:tr>
      <w:tr w:rsidR="000B4A1E" w:rsidRPr="000C0301" w:rsidTr="00517E51">
        <w:tc>
          <w:tcPr>
            <w:tcW w:w="5324" w:type="dxa"/>
            <w:gridSpan w:val="2"/>
            <w:tcBorders>
              <w:top w:val="single" w:sz="6" w:space="0" w:color="auto"/>
              <w:left w:val="nil"/>
              <w:bottom w:val="nil"/>
              <w:right w:val="nil"/>
            </w:tcBorders>
          </w:tcPr>
          <w:p w:rsidR="000B4A1E" w:rsidRPr="000C0301" w:rsidRDefault="000B4A1E" w:rsidP="00517E51">
            <w:pPr>
              <w:pStyle w:val="Tabletext"/>
              <w:rPr>
                <w:b/>
                <w:bCs/>
                <w:sz w:val="21"/>
                <w:lang w:eastAsia="en-AU"/>
              </w:rPr>
            </w:pPr>
            <w:r w:rsidRPr="000C0301">
              <w:rPr>
                <w:b/>
                <w:bCs/>
                <w:sz w:val="21"/>
                <w:lang w:eastAsia="en-AU"/>
              </w:rPr>
              <w:t>Net cash flows from investing activities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(6</w:t>
            </w:r>
            <w:r w:rsidRPr="000C0301">
              <w:rPr>
                <w:rFonts w:eastAsiaTheme="minorEastAsia" w:cs="Calibri"/>
                <w:b/>
                <w:bCs/>
                <w:sz w:val="21"/>
                <w:szCs w:val="22"/>
                <w:lang w:eastAsia="en-AU"/>
              </w:rPr>
              <w:t xml:space="preserve"> 375.9)</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(5</w:t>
            </w:r>
            <w:r w:rsidRPr="000C0301">
              <w:rPr>
                <w:rFonts w:eastAsiaTheme="minorEastAsia" w:cs="Calibri"/>
                <w:b/>
                <w:bCs/>
                <w:sz w:val="21"/>
                <w:szCs w:val="22"/>
                <w:lang w:eastAsia="en-AU"/>
              </w:rPr>
              <w:t xml:space="preserve"> 102.1)</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(3</w:t>
            </w:r>
            <w:r w:rsidRPr="000C0301">
              <w:rPr>
                <w:rFonts w:eastAsiaTheme="minorEastAsia" w:cs="Calibri"/>
                <w:b/>
                <w:bCs/>
                <w:sz w:val="21"/>
                <w:szCs w:val="22"/>
                <w:lang w:eastAsia="en-AU"/>
              </w:rPr>
              <w:t xml:space="preserve"> 578.8)</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(3</w:t>
            </w:r>
            <w:r w:rsidRPr="000C0301">
              <w:rPr>
                <w:rFonts w:eastAsiaTheme="minorEastAsia" w:cs="Calibri"/>
                <w:b/>
                <w:bCs/>
                <w:sz w:val="21"/>
                <w:szCs w:val="22"/>
                <w:lang w:eastAsia="en-AU"/>
              </w:rPr>
              <w:t xml:space="preserve"> 846.8)</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b/>
                <w:bCs/>
                <w:sz w:val="21"/>
                <w:lang w:eastAsia="en-AU"/>
              </w:rPr>
            </w:pPr>
            <w:r w:rsidRPr="000C0301">
              <w:rPr>
                <w:b/>
                <w:bCs/>
                <w:sz w:val="21"/>
                <w:lang w:eastAsia="en-AU"/>
              </w:rPr>
              <w:t>Cash flows from financing activities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nil"/>
              <w:left w:val="nil"/>
              <w:bottom w:val="nil"/>
              <w:right w:val="nil"/>
            </w:tcBorders>
            <w:shd w:val="solid" w:color="FFFFFF" w:fill="auto"/>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gridSpan w:val="2"/>
            <w:tcBorders>
              <w:top w:val="nil"/>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nil"/>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Advances received (net)</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0.2)</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0.5)</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6.6</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8.1</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Net borrowings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3 </w:t>
            </w:r>
            <w:r w:rsidRPr="000C0301">
              <w:rPr>
                <w:rFonts w:eastAsiaTheme="minorEastAsia" w:cs="Calibri"/>
                <w:sz w:val="21"/>
                <w:szCs w:val="22"/>
                <w:lang w:eastAsia="en-AU"/>
              </w:rPr>
              <w:t>561.5</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3 </w:t>
            </w:r>
            <w:r w:rsidRPr="000C0301">
              <w:rPr>
                <w:rFonts w:eastAsiaTheme="minorEastAsia" w:cs="Calibri"/>
                <w:sz w:val="21"/>
                <w:szCs w:val="22"/>
                <w:lang w:eastAsia="en-AU"/>
              </w:rPr>
              <w:t>739.5</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1 </w:t>
            </w:r>
            <w:r w:rsidRPr="000C0301">
              <w:rPr>
                <w:rFonts w:eastAsiaTheme="minorEastAsia" w:cs="Calibri"/>
                <w:sz w:val="21"/>
                <w:szCs w:val="22"/>
                <w:lang w:eastAsia="en-AU"/>
              </w:rPr>
              <w:t>053.3</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822.4</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Deposits received (net)</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82.9</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60.7)</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20.1</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21.6</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Other financing (net)</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Pr>
                <w:sz w:val="21"/>
                <w:lang w:eastAsia="en-AU"/>
              </w:rPr>
              <w:t>..</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color w:val="0000FF"/>
                <w:szCs w:val="22"/>
                <w:lang w:eastAsia="en-AU"/>
              </w:rPr>
            </w:pPr>
            <w:r>
              <w:rPr>
                <w:sz w:val="21"/>
                <w:lang w:eastAsia="en-AU"/>
              </w:rPr>
              <w:t>..</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1 </w:t>
            </w:r>
            <w:r w:rsidRPr="000C0301">
              <w:rPr>
                <w:rFonts w:eastAsiaTheme="minorEastAsia" w:cs="Calibri"/>
                <w:sz w:val="21"/>
                <w:szCs w:val="22"/>
                <w:lang w:eastAsia="en-AU"/>
              </w:rPr>
              <w:t>046.5</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1 </w:t>
            </w:r>
            <w:r w:rsidRPr="000C0301">
              <w:rPr>
                <w:rFonts w:eastAsiaTheme="minorEastAsia" w:cs="Calibri"/>
                <w:sz w:val="21"/>
                <w:szCs w:val="22"/>
                <w:lang w:eastAsia="en-AU"/>
              </w:rPr>
              <w:t>605.2</w:t>
            </w:r>
          </w:p>
        </w:tc>
      </w:tr>
      <w:tr w:rsidR="000B4A1E" w:rsidRPr="000C0301" w:rsidTr="00517E51">
        <w:tc>
          <w:tcPr>
            <w:tcW w:w="5324" w:type="dxa"/>
            <w:gridSpan w:val="2"/>
            <w:tcBorders>
              <w:top w:val="single" w:sz="6" w:space="0" w:color="auto"/>
              <w:left w:val="nil"/>
              <w:bottom w:val="single" w:sz="6" w:space="0" w:color="auto"/>
              <w:right w:val="nil"/>
            </w:tcBorders>
          </w:tcPr>
          <w:p w:rsidR="000B4A1E" w:rsidRPr="000C0301" w:rsidRDefault="000B4A1E" w:rsidP="00517E51">
            <w:pPr>
              <w:pStyle w:val="Tabletext"/>
              <w:rPr>
                <w:b/>
                <w:bCs/>
                <w:sz w:val="21"/>
                <w:lang w:eastAsia="en-AU"/>
              </w:rPr>
            </w:pPr>
            <w:r w:rsidRPr="000C0301">
              <w:rPr>
                <w:b/>
                <w:bCs/>
                <w:sz w:val="21"/>
                <w:lang w:eastAsia="en-AU"/>
              </w:rPr>
              <w:t>Net cash flows from financing activities</w:t>
            </w:r>
          </w:p>
        </w:tc>
        <w:tc>
          <w:tcPr>
            <w:tcW w:w="1081" w:type="dxa"/>
            <w:gridSpan w:val="2"/>
            <w:tcBorders>
              <w:top w:val="single" w:sz="6" w:space="0" w:color="auto"/>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3 </w:t>
            </w:r>
            <w:r w:rsidRPr="000C0301">
              <w:rPr>
                <w:rFonts w:eastAsiaTheme="minorEastAsia" w:cs="Calibri"/>
                <w:b/>
                <w:bCs/>
                <w:sz w:val="21"/>
                <w:szCs w:val="22"/>
                <w:lang w:eastAsia="en-AU"/>
              </w:rPr>
              <w:t>644.2</w:t>
            </w:r>
          </w:p>
        </w:tc>
        <w:tc>
          <w:tcPr>
            <w:tcW w:w="1081" w:type="dxa"/>
            <w:tcBorders>
              <w:top w:val="single" w:sz="6" w:space="0" w:color="auto"/>
              <w:left w:val="nil"/>
              <w:bottom w:val="single" w:sz="6" w:space="0" w:color="auto"/>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3 </w:t>
            </w:r>
            <w:r w:rsidRPr="000C0301">
              <w:rPr>
                <w:rFonts w:eastAsiaTheme="minorEastAsia" w:cs="Calibri"/>
                <w:b/>
                <w:bCs/>
                <w:sz w:val="21"/>
                <w:szCs w:val="22"/>
                <w:lang w:eastAsia="en-AU"/>
              </w:rPr>
              <w:t>678.3</w:t>
            </w:r>
          </w:p>
        </w:tc>
        <w:tc>
          <w:tcPr>
            <w:tcW w:w="1081" w:type="dxa"/>
            <w:gridSpan w:val="2"/>
            <w:tcBorders>
              <w:top w:val="single" w:sz="6" w:space="0" w:color="auto"/>
              <w:left w:val="nil"/>
              <w:bottom w:val="single" w:sz="6" w:space="0" w:color="auto"/>
              <w:right w:val="nil"/>
            </w:tcBorders>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2 </w:t>
            </w:r>
            <w:r w:rsidRPr="000C0301">
              <w:rPr>
                <w:rFonts w:eastAsiaTheme="minorEastAsia" w:cs="Calibri"/>
                <w:b/>
                <w:bCs/>
                <w:sz w:val="21"/>
                <w:szCs w:val="22"/>
                <w:lang w:eastAsia="en-AU"/>
              </w:rPr>
              <w:t>126.5</w:t>
            </w:r>
          </w:p>
        </w:tc>
        <w:tc>
          <w:tcPr>
            <w:tcW w:w="1081" w:type="dxa"/>
            <w:tcBorders>
              <w:top w:val="single" w:sz="6" w:space="0" w:color="auto"/>
              <w:left w:val="nil"/>
              <w:bottom w:val="single" w:sz="6" w:space="0" w:color="auto"/>
              <w:right w:val="nil"/>
            </w:tcBorders>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2 </w:t>
            </w:r>
            <w:r w:rsidRPr="000C0301">
              <w:rPr>
                <w:rFonts w:eastAsiaTheme="minorEastAsia" w:cs="Calibri"/>
                <w:b/>
                <w:bCs/>
                <w:sz w:val="21"/>
                <w:szCs w:val="22"/>
                <w:lang w:eastAsia="en-AU"/>
              </w:rPr>
              <w:t>457.3</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b/>
                <w:bCs/>
                <w:sz w:val="21"/>
                <w:lang w:eastAsia="en-AU"/>
              </w:rPr>
            </w:pPr>
            <w:r w:rsidRPr="000C0301">
              <w:rPr>
                <w:b/>
                <w:bCs/>
                <w:sz w:val="21"/>
                <w:lang w:eastAsia="en-AU"/>
              </w:rPr>
              <w:t>Net increase/(decrease) in cash and cash equivalents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(1</w:t>
            </w:r>
            <w:r w:rsidRPr="000C0301">
              <w:rPr>
                <w:rFonts w:eastAsiaTheme="minorEastAsia" w:cs="Calibri"/>
                <w:sz w:val="21"/>
                <w:szCs w:val="22"/>
                <w:lang w:eastAsia="en-AU"/>
              </w:rPr>
              <w:t xml:space="preserve"> 039.4)</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1 </w:t>
            </w:r>
            <w:r w:rsidRPr="000C0301">
              <w:rPr>
                <w:rFonts w:eastAsiaTheme="minorEastAsia" w:cs="Calibri"/>
                <w:sz w:val="21"/>
                <w:szCs w:val="22"/>
                <w:lang w:eastAsia="en-AU"/>
              </w:rPr>
              <w:t>333.7</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24.1</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5.1</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Cash and cash equivalents at beginning of reporting period</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5 </w:t>
            </w:r>
            <w:r w:rsidRPr="000C0301">
              <w:rPr>
                <w:rFonts w:eastAsiaTheme="minorEastAsia" w:cs="Calibri"/>
                <w:sz w:val="21"/>
                <w:szCs w:val="22"/>
                <w:lang w:eastAsia="en-AU"/>
              </w:rPr>
              <w:t>001.3</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3 </w:t>
            </w:r>
            <w:r w:rsidRPr="000C0301">
              <w:rPr>
                <w:rFonts w:eastAsiaTheme="minorEastAsia" w:cs="Calibri"/>
                <w:sz w:val="21"/>
                <w:szCs w:val="22"/>
                <w:lang w:eastAsia="en-AU"/>
              </w:rPr>
              <w:t>667.6</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773.8</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768.7</w:t>
            </w:r>
          </w:p>
        </w:tc>
      </w:tr>
      <w:tr w:rsidR="000B4A1E" w:rsidRPr="000C0301" w:rsidTr="00517E51">
        <w:tc>
          <w:tcPr>
            <w:tcW w:w="5324" w:type="dxa"/>
            <w:gridSpan w:val="2"/>
            <w:tcBorders>
              <w:top w:val="single" w:sz="6" w:space="0" w:color="auto"/>
              <w:left w:val="nil"/>
              <w:bottom w:val="single" w:sz="12" w:space="0" w:color="auto"/>
              <w:right w:val="nil"/>
            </w:tcBorders>
          </w:tcPr>
          <w:p w:rsidR="000B4A1E" w:rsidRPr="000C0301" w:rsidRDefault="000B4A1E" w:rsidP="00517E51">
            <w:pPr>
              <w:pStyle w:val="Tabletext"/>
              <w:rPr>
                <w:rFonts w:eastAsiaTheme="minorEastAsia" w:cs="Calibri"/>
                <w:b/>
                <w:bCs/>
                <w:szCs w:val="22"/>
                <w:vertAlign w:val="superscript"/>
                <w:lang w:eastAsia="en-AU"/>
              </w:rPr>
            </w:pPr>
            <w:r w:rsidRPr="000C0301">
              <w:rPr>
                <w:b/>
                <w:bCs/>
                <w:sz w:val="21"/>
                <w:lang w:eastAsia="en-AU"/>
              </w:rPr>
              <w:t xml:space="preserve">Cash and cash equivalents at end of reporting period </w:t>
            </w:r>
            <w:r w:rsidRPr="000C0301">
              <w:rPr>
                <w:rFonts w:eastAsiaTheme="minorEastAsia" w:cs="Calibri"/>
                <w:b/>
                <w:bCs/>
                <w:szCs w:val="22"/>
                <w:vertAlign w:val="superscript"/>
                <w:lang w:eastAsia="en-AU"/>
              </w:rPr>
              <w:t>(c)</w:t>
            </w:r>
          </w:p>
        </w:tc>
        <w:tc>
          <w:tcPr>
            <w:tcW w:w="1081" w:type="dxa"/>
            <w:gridSpan w:val="2"/>
            <w:tcBorders>
              <w:top w:val="single" w:sz="6" w:space="0" w:color="auto"/>
              <w:left w:val="nil"/>
              <w:bottom w:val="single" w:sz="12" w:space="0" w:color="auto"/>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3 </w:t>
            </w:r>
            <w:r w:rsidRPr="000C0301">
              <w:rPr>
                <w:rFonts w:eastAsiaTheme="minorEastAsia" w:cs="Calibri"/>
                <w:b/>
                <w:bCs/>
                <w:sz w:val="21"/>
                <w:szCs w:val="22"/>
                <w:lang w:eastAsia="en-AU"/>
              </w:rPr>
              <w:t>962.0</w:t>
            </w:r>
          </w:p>
        </w:tc>
        <w:tc>
          <w:tcPr>
            <w:tcW w:w="1081" w:type="dxa"/>
            <w:tcBorders>
              <w:top w:val="single" w:sz="6" w:space="0" w:color="auto"/>
              <w:left w:val="nil"/>
              <w:bottom w:val="single" w:sz="12" w:space="0" w:color="auto"/>
              <w:right w:val="nil"/>
            </w:tcBorders>
            <w:shd w:val="solid" w:color="FFFFFF" w:fill="auto"/>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5 </w:t>
            </w:r>
            <w:r w:rsidRPr="000C0301">
              <w:rPr>
                <w:rFonts w:eastAsiaTheme="minorEastAsia" w:cs="Calibri"/>
                <w:b/>
                <w:bCs/>
                <w:sz w:val="21"/>
                <w:szCs w:val="22"/>
                <w:lang w:eastAsia="en-AU"/>
              </w:rPr>
              <w:t>001.3</w:t>
            </w:r>
          </w:p>
        </w:tc>
        <w:tc>
          <w:tcPr>
            <w:tcW w:w="1081" w:type="dxa"/>
            <w:gridSpan w:val="2"/>
            <w:tcBorders>
              <w:top w:val="single" w:sz="6" w:space="0" w:color="auto"/>
              <w:left w:val="nil"/>
              <w:bottom w:val="single" w:sz="12" w:space="0" w:color="auto"/>
              <w:right w:val="nil"/>
            </w:tcBorders>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 797.9</w:t>
            </w:r>
          </w:p>
        </w:tc>
        <w:tc>
          <w:tcPr>
            <w:tcW w:w="1081" w:type="dxa"/>
            <w:tcBorders>
              <w:top w:val="single" w:sz="6" w:space="0" w:color="auto"/>
              <w:left w:val="nil"/>
              <w:bottom w:val="single" w:sz="12" w:space="0" w:color="auto"/>
              <w:right w:val="nil"/>
            </w:tcBorders>
          </w:tcPr>
          <w:p w:rsidR="000B4A1E" w:rsidRPr="000C0301" w:rsidRDefault="000B4A1E" w:rsidP="00517E51">
            <w:pPr>
              <w:pStyle w:val="TableofFigures"/>
              <w:rPr>
                <w:rFonts w:eastAsiaTheme="minorEastAsia" w:cs="Calibri"/>
                <w:b/>
                <w:bCs/>
                <w:sz w:val="21"/>
                <w:szCs w:val="22"/>
                <w:lang w:eastAsia="en-AU"/>
              </w:rPr>
            </w:pPr>
            <w:r w:rsidRPr="000C0301">
              <w:rPr>
                <w:b/>
                <w:bCs/>
                <w:sz w:val="21"/>
                <w:lang w:eastAsia="en-AU"/>
              </w:rPr>
              <w:t xml:space="preserve"> 773.8</w:t>
            </w:r>
          </w:p>
        </w:tc>
      </w:tr>
      <w:tr w:rsidR="000B4A1E" w:rsidRPr="000C0301" w:rsidTr="00517E51">
        <w:trPr>
          <w:trHeight w:hRule="exact" w:val="120"/>
        </w:trPr>
        <w:tc>
          <w:tcPr>
            <w:tcW w:w="5324" w:type="dxa"/>
            <w:gridSpan w:val="2"/>
            <w:tcBorders>
              <w:top w:val="nil"/>
              <w:left w:val="nil"/>
              <w:bottom w:val="nil"/>
              <w:right w:val="nil"/>
            </w:tcBorders>
          </w:tcPr>
          <w:p w:rsidR="000B4A1E" w:rsidRPr="000C0301" w:rsidRDefault="000B4A1E" w:rsidP="00517E51">
            <w:pPr>
              <w:pStyle w:val="Tabletext"/>
              <w:rPr>
                <w:b/>
                <w:bCs/>
                <w:sz w:val="21"/>
                <w:lang w:eastAsia="en-AU"/>
              </w:rPr>
            </w:pPr>
            <w:r w:rsidRPr="000C0301">
              <w:rPr>
                <w:b/>
                <w:bCs/>
                <w:sz w:val="21"/>
                <w:lang w:eastAsia="en-AU"/>
              </w:rPr>
              <w:t xml:space="preserve">         </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nil"/>
              <w:left w:val="nil"/>
              <w:bottom w:val="nil"/>
              <w:right w:val="nil"/>
            </w:tcBorders>
            <w:shd w:val="solid" w:color="FFFFFF" w:fill="auto"/>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gridSpan w:val="2"/>
            <w:tcBorders>
              <w:top w:val="nil"/>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nil"/>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b/>
                <w:bCs/>
                <w:sz w:val="21"/>
                <w:lang w:eastAsia="en-AU"/>
              </w:rPr>
            </w:pPr>
            <w:r w:rsidRPr="000C0301">
              <w:rPr>
                <w:b/>
                <w:bCs/>
                <w:sz w:val="21"/>
                <w:lang w:eastAsia="en-AU"/>
              </w:rPr>
              <w:t>FISCAL AGGREGATES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nil"/>
              <w:left w:val="nil"/>
              <w:bottom w:val="nil"/>
              <w:right w:val="nil"/>
            </w:tcBorders>
            <w:shd w:val="solid" w:color="FFFFFF" w:fill="auto"/>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gridSpan w:val="2"/>
            <w:tcBorders>
              <w:top w:val="nil"/>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c>
          <w:tcPr>
            <w:tcW w:w="1081" w:type="dxa"/>
            <w:tcBorders>
              <w:top w:val="nil"/>
              <w:left w:val="nil"/>
              <w:bottom w:val="nil"/>
              <w:right w:val="nil"/>
            </w:tcBorders>
          </w:tcPr>
          <w:p w:rsidR="000B4A1E" w:rsidRPr="000C0301" w:rsidRDefault="000B4A1E" w:rsidP="00517E51">
            <w:pPr>
              <w:pStyle w:val="TableofFigures"/>
              <w:rPr>
                <w:sz w:val="21"/>
                <w:lang w:eastAsia="en-AU"/>
              </w:rPr>
            </w:pPr>
            <w:r w:rsidRPr="000C0301">
              <w:rPr>
                <w:sz w:val="21"/>
                <w:lang w:eastAsia="en-AU"/>
              </w:rPr>
              <w:t xml:space="preserve">  </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Net cash flows from operating activities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1 </w:t>
            </w:r>
            <w:r w:rsidRPr="000C0301">
              <w:rPr>
                <w:rFonts w:eastAsiaTheme="minorEastAsia" w:cs="Calibri"/>
                <w:sz w:val="21"/>
                <w:szCs w:val="22"/>
                <w:lang w:eastAsia="en-AU"/>
              </w:rPr>
              <w:t>692.3</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2 </w:t>
            </w:r>
            <w:r w:rsidRPr="000C0301">
              <w:rPr>
                <w:rFonts w:eastAsiaTheme="minorEastAsia" w:cs="Calibri"/>
                <w:sz w:val="21"/>
                <w:szCs w:val="22"/>
                <w:lang w:eastAsia="en-AU"/>
              </w:rPr>
              <w:t>757.5</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1 </w:t>
            </w:r>
            <w:r w:rsidRPr="000C0301">
              <w:rPr>
                <w:rFonts w:eastAsiaTheme="minorEastAsia" w:cs="Calibri"/>
                <w:sz w:val="21"/>
                <w:szCs w:val="22"/>
                <w:lang w:eastAsia="en-AU"/>
              </w:rPr>
              <w:t>476.5</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1 </w:t>
            </w:r>
            <w:r w:rsidRPr="000C0301">
              <w:rPr>
                <w:rFonts w:eastAsiaTheme="minorEastAsia" w:cs="Calibri"/>
                <w:sz w:val="21"/>
                <w:szCs w:val="22"/>
                <w:lang w:eastAsia="en-AU"/>
              </w:rPr>
              <w:t>394.6</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Dividends paid</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720.3)</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 xml:space="preserve">( </w:t>
            </w:r>
            <w:r w:rsidRPr="000C0301">
              <w:rPr>
                <w:rFonts w:eastAsiaTheme="minorEastAsia" w:cs="Calibri"/>
                <w:sz w:val="21"/>
                <w:szCs w:val="22"/>
                <w:lang w:eastAsia="en-AU"/>
              </w:rPr>
              <w:t>305.9)</w:t>
            </w:r>
          </w:p>
        </w:tc>
      </w:tr>
      <w:tr w:rsidR="000B4A1E" w:rsidRPr="000C0301" w:rsidTr="00517E51">
        <w:tc>
          <w:tcPr>
            <w:tcW w:w="5324" w:type="dxa"/>
            <w:gridSpan w:val="2"/>
            <w:tcBorders>
              <w:top w:val="nil"/>
              <w:left w:val="nil"/>
              <w:bottom w:val="nil"/>
              <w:right w:val="nil"/>
            </w:tcBorders>
          </w:tcPr>
          <w:p w:rsidR="000B4A1E" w:rsidRPr="000C0301" w:rsidRDefault="000B4A1E" w:rsidP="00517E51">
            <w:pPr>
              <w:pStyle w:val="Tabletext"/>
              <w:rPr>
                <w:sz w:val="21"/>
                <w:lang w:eastAsia="en-AU"/>
              </w:rPr>
            </w:pPr>
            <w:r w:rsidRPr="000C0301">
              <w:rPr>
                <w:sz w:val="21"/>
                <w:lang w:eastAsia="en-AU"/>
              </w:rPr>
              <w:t>Net cash flows from investments in non-financial assets</w:t>
            </w:r>
          </w:p>
        </w:tc>
        <w:tc>
          <w:tcPr>
            <w:tcW w:w="1081" w:type="dxa"/>
            <w:gridSpan w:val="2"/>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(3</w:t>
            </w:r>
            <w:r w:rsidRPr="000C0301">
              <w:rPr>
                <w:rFonts w:eastAsiaTheme="minorEastAsia" w:cs="Calibri"/>
                <w:sz w:val="21"/>
                <w:szCs w:val="22"/>
                <w:lang w:eastAsia="en-AU"/>
              </w:rPr>
              <w:t xml:space="preserve"> 885.2)</w:t>
            </w:r>
          </w:p>
        </w:tc>
        <w:tc>
          <w:tcPr>
            <w:tcW w:w="1081" w:type="dxa"/>
            <w:tcBorders>
              <w:top w:val="nil"/>
              <w:left w:val="nil"/>
              <w:bottom w:val="nil"/>
              <w:right w:val="nil"/>
            </w:tcBorders>
            <w:shd w:val="solid" w:color="FFFFFF" w:fill="auto"/>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(3</w:t>
            </w:r>
            <w:r w:rsidRPr="000C0301">
              <w:rPr>
                <w:rFonts w:eastAsiaTheme="minorEastAsia" w:cs="Calibri"/>
                <w:sz w:val="21"/>
                <w:szCs w:val="22"/>
                <w:lang w:eastAsia="en-AU"/>
              </w:rPr>
              <w:t xml:space="preserve"> 397.9)</w:t>
            </w:r>
          </w:p>
        </w:tc>
        <w:tc>
          <w:tcPr>
            <w:tcW w:w="1081" w:type="dxa"/>
            <w:gridSpan w:val="2"/>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(3</w:t>
            </w:r>
            <w:r w:rsidRPr="000C0301">
              <w:rPr>
                <w:rFonts w:eastAsiaTheme="minorEastAsia" w:cs="Calibri"/>
                <w:sz w:val="21"/>
                <w:szCs w:val="22"/>
                <w:lang w:eastAsia="en-AU"/>
              </w:rPr>
              <w:t xml:space="preserve"> 546.1)</w:t>
            </w:r>
          </w:p>
        </w:tc>
        <w:tc>
          <w:tcPr>
            <w:tcW w:w="1081" w:type="dxa"/>
            <w:tcBorders>
              <w:top w:val="nil"/>
              <w:left w:val="nil"/>
              <w:bottom w:val="nil"/>
              <w:right w:val="nil"/>
            </w:tcBorders>
          </w:tcPr>
          <w:p w:rsidR="000B4A1E" w:rsidRPr="000C0301" w:rsidRDefault="000B4A1E" w:rsidP="00517E51">
            <w:pPr>
              <w:pStyle w:val="TableofFigures"/>
              <w:rPr>
                <w:rFonts w:eastAsiaTheme="minorEastAsia" w:cs="Calibri"/>
                <w:sz w:val="21"/>
                <w:szCs w:val="22"/>
                <w:lang w:eastAsia="en-AU"/>
              </w:rPr>
            </w:pPr>
            <w:r w:rsidRPr="000C0301">
              <w:rPr>
                <w:sz w:val="21"/>
                <w:lang w:eastAsia="en-AU"/>
              </w:rPr>
              <w:t>(3</w:t>
            </w:r>
            <w:r w:rsidRPr="000C0301">
              <w:rPr>
                <w:rFonts w:eastAsiaTheme="minorEastAsia" w:cs="Calibri"/>
                <w:sz w:val="21"/>
                <w:szCs w:val="22"/>
                <w:lang w:eastAsia="en-AU"/>
              </w:rPr>
              <w:t xml:space="preserve"> 768.2)</w:t>
            </w:r>
          </w:p>
        </w:tc>
      </w:tr>
      <w:tr w:rsidR="000B4A1E" w:rsidRPr="000C0301" w:rsidTr="00517E51">
        <w:tc>
          <w:tcPr>
            <w:tcW w:w="5324" w:type="dxa"/>
            <w:gridSpan w:val="2"/>
            <w:tcBorders>
              <w:top w:val="single" w:sz="6" w:space="0" w:color="auto"/>
              <w:left w:val="nil"/>
              <w:bottom w:val="single" w:sz="12" w:space="0" w:color="auto"/>
              <w:right w:val="nil"/>
            </w:tcBorders>
          </w:tcPr>
          <w:p w:rsidR="000B4A1E" w:rsidRPr="000C0301" w:rsidRDefault="000B4A1E" w:rsidP="00517E51">
            <w:pPr>
              <w:pStyle w:val="Tabletext"/>
              <w:rPr>
                <w:b/>
                <w:bCs/>
                <w:sz w:val="21"/>
                <w:lang w:eastAsia="en-AU"/>
              </w:rPr>
            </w:pPr>
            <w:r w:rsidRPr="000C0301">
              <w:rPr>
                <w:b/>
                <w:bCs/>
                <w:sz w:val="21"/>
                <w:lang w:eastAsia="en-AU"/>
              </w:rPr>
              <w:t>Cash surplus/(deficit)</w:t>
            </w:r>
          </w:p>
        </w:tc>
        <w:tc>
          <w:tcPr>
            <w:tcW w:w="1081" w:type="dxa"/>
            <w:gridSpan w:val="2"/>
            <w:tcBorders>
              <w:top w:val="single" w:sz="6" w:space="0" w:color="auto"/>
              <w:left w:val="nil"/>
              <w:bottom w:val="single" w:sz="12" w:space="0" w:color="auto"/>
              <w:right w:val="nil"/>
            </w:tcBorders>
            <w:shd w:val="solid" w:color="FFFFFF" w:fill="auto"/>
          </w:tcPr>
          <w:p w:rsidR="000B4A1E" w:rsidRPr="000C0301" w:rsidRDefault="000B4A1E" w:rsidP="00517E51">
            <w:pPr>
              <w:pStyle w:val="TableofFigures"/>
              <w:rPr>
                <w:rFonts w:eastAsiaTheme="minorEastAsia" w:cs="Calibri"/>
                <w:b/>
                <w:sz w:val="21"/>
                <w:szCs w:val="22"/>
                <w:lang w:eastAsia="en-AU"/>
              </w:rPr>
            </w:pPr>
            <w:r w:rsidRPr="000C0301">
              <w:rPr>
                <w:b/>
                <w:sz w:val="21"/>
                <w:lang w:eastAsia="en-AU"/>
              </w:rPr>
              <w:t>(2</w:t>
            </w:r>
            <w:r w:rsidRPr="000C0301">
              <w:rPr>
                <w:rFonts w:eastAsiaTheme="minorEastAsia" w:cs="Calibri"/>
                <w:b/>
                <w:sz w:val="21"/>
                <w:szCs w:val="22"/>
                <w:lang w:eastAsia="en-AU"/>
              </w:rPr>
              <w:t xml:space="preserve"> 192.9)</w:t>
            </w:r>
          </w:p>
        </w:tc>
        <w:tc>
          <w:tcPr>
            <w:tcW w:w="1081" w:type="dxa"/>
            <w:tcBorders>
              <w:top w:val="single" w:sz="6" w:space="0" w:color="auto"/>
              <w:left w:val="nil"/>
              <w:bottom w:val="single" w:sz="12" w:space="0" w:color="auto"/>
              <w:right w:val="nil"/>
            </w:tcBorders>
            <w:shd w:val="solid" w:color="FFFFFF" w:fill="auto"/>
          </w:tcPr>
          <w:p w:rsidR="000B4A1E" w:rsidRPr="000C0301" w:rsidRDefault="000B4A1E" w:rsidP="00517E51">
            <w:pPr>
              <w:pStyle w:val="TableofFigures"/>
              <w:rPr>
                <w:rFonts w:eastAsiaTheme="minorEastAsia" w:cs="Calibri"/>
                <w:b/>
                <w:sz w:val="21"/>
                <w:szCs w:val="22"/>
                <w:lang w:eastAsia="en-AU"/>
              </w:rPr>
            </w:pPr>
            <w:r w:rsidRPr="000C0301">
              <w:rPr>
                <w:b/>
                <w:sz w:val="21"/>
                <w:lang w:eastAsia="en-AU"/>
              </w:rPr>
              <w:t xml:space="preserve">( </w:t>
            </w:r>
            <w:r w:rsidRPr="000C0301">
              <w:rPr>
                <w:rFonts w:eastAsiaTheme="minorEastAsia" w:cs="Calibri"/>
                <w:b/>
                <w:sz w:val="21"/>
                <w:szCs w:val="22"/>
                <w:lang w:eastAsia="en-AU"/>
              </w:rPr>
              <w:t>640.3)</w:t>
            </w:r>
          </w:p>
        </w:tc>
        <w:tc>
          <w:tcPr>
            <w:tcW w:w="1081" w:type="dxa"/>
            <w:gridSpan w:val="2"/>
            <w:tcBorders>
              <w:top w:val="single" w:sz="6" w:space="0" w:color="auto"/>
              <w:left w:val="nil"/>
              <w:bottom w:val="single" w:sz="12" w:space="0" w:color="auto"/>
              <w:right w:val="nil"/>
            </w:tcBorders>
          </w:tcPr>
          <w:p w:rsidR="000B4A1E" w:rsidRPr="000C0301" w:rsidRDefault="000B4A1E" w:rsidP="00517E51">
            <w:pPr>
              <w:pStyle w:val="TableofFigures"/>
              <w:rPr>
                <w:rFonts w:eastAsiaTheme="minorEastAsia" w:cs="Calibri"/>
                <w:b/>
                <w:sz w:val="21"/>
                <w:szCs w:val="22"/>
                <w:lang w:eastAsia="en-AU"/>
              </w:rPr>
            </w:pPr>
            <w:r w:rsidRPr="000C0301">
              <w:rPr>
                <w:b/>
                <w:sz w:val="21"/>
                <w:lang w:eastAsia="en-AU"/>
              </w:rPr>
              <w:t>(2</w:t>
            </w:r>
            <w:r w:rsidRPr="000C0301">
              <w:rPr>
                <w:rFonts w:eastAsiaTheme="minorEastAsia" w:cs="Calibri"/>
                <w:b/>
                <w:sz w:val="21"/>
                <w:szCs w:val="22"/>
                <w:lang w:eastAsia="en-AU"/>
              </w:rPr>
              <w:t xml:space="preserve"> 789.9)</w:t>
            </w:r>
          </w:p>
        </w:tc>
        <w:tc>
          <w:tcPr>
            <w:tcW w:w="1081" w:type="dxa"/>
            <w:tcBorders>
              <w:top w:val="single" w:sz="6" w:space="0" w:color="auto"/>
              <w:left w:val="nil"/>
              <w:bottom w:val="single" w:sz="12" w:space="0" w:color="auto"/>
              <w:right w:val="nil"/>
            </w:tcBorders>
          </w:tcPr>
          <w:p w:rsidR="000B4A1E" w:rsidRPr="000C0301" w:rsidRDefault="000B4A1E" w:rsidP="00517E51">
            <w:pPr>
              <w:pStyle w:val="TableofFigures"/>
              <w:rPr>
                <w:rFonts w:eastAsiaTheme="minorEastAsia" w:cs="Calibri"/>
                <w:b/>
                <w:sz w:val="21"/>
                <w:szCs w:val="22"/>
                <w:lang w:eastAsia="en-AU"/>
              </w:rPr>
            </w:pPr>
            <w:r w:rsidRPr="000C0301">
              <w:rPr>
                <w:b/>
                <w:sz w:val="21"/>
                <w:lang w:eastAsia="en-AU"/>
              </w:rPr>
              <w:t>(2</w:t>
            </w:r>
            <w:r w:rsidRPr="000C0301">
              <w:rPr>
                <w:rFonts w:eastAsiaTheme="minorEastAsia" w:cs="Calibri"/>
                <w:b/>
                <w:sz w:val="21"/>
                <w:szCs w:val="22"/>
                <w:lang w:eastAsia="en-AU"/>
              </w:rPr>
              <w:t xml:space="preserve"> 679.6)</w:t>
            </w:r>
          </w:p>
        </w:tc>
      </w:tr>
    </w:tbl>
    <w:p w:rsidR="000B4A1E" w:rsidRPr="00D00665" w:rsidRDefault="000B4A1E" w:rsidP="00517E51">
      <w:pPr>
        <w:pStyle w:val="Notes"/>
      </w:pPr>
      <w:r w:rsidRPr="00D00665">
        <w:t>Note:</w:t>
      </w:r>
    </w:p>
    <w:p w:rsidR="000B4A1E" w:rsidRDefault="000B4A1E" w:rsidP="00517E51">
      <w:pPr>
        <w:pStyle w:val="Notes"/>
      </w:pPr>
      <w:r w:rsidRPr="00D00665">
        <w:t>(a)</w:t>
      </w:r>
      <w:r w:rsidRPr="00D00665">
        <w:tab/>
        <w:t>These items are inclusive of goods and services tax.</w:t>
      </w:r>
    </w:p>
    <w:p w:rsidR="000B4A1E" w:rsidRPr="00D00665" w:rsidRDefault="000B4A1E" w:rsidP="00517E51">
      <w:pPr>
        <w:pStyle w:val="Notes"/>
      </w:pPr>
      <w:r>
        <w:t>(b)</w:t>
      </w:r>
      <w:r>
        <w:tab/>
      </w:r>
      <w:r w:rsidRPr="000C0301">
        <w:t>Restatement of previously published information relates to restated balances at 30 June 2012 and 1 July 2011. Refer to Not</w:t>
      </w:r>
      <w:r>
        <w:t>e 36 of the Financial Statements.</w:t>
      </w:r>
    </w:p>
    <w:p w:rsidR="000B4A1E" w:rsidRPr="00D00665" w:rsidRDefault="000B4A1E" w:rsidP="00517E51">
      <w:pPr>
        <w:pStyle w:val="Notes"/>
      </w:pPr>
      <w:r w:rsidRPr="00D00665">
        <w:t>(</w:t>
      </w:r>
      <w:r>
        <w:t>c</w:t>
      </w:r>
      <w:r w:rsidRPr="00D00665">
        <w:t>)</w:t>
      </w:r>
      <w:r w:rsidRPr="00D00665">
        <w:tab/>
        <w:t>Review of Cash Investments in 2012-13 has reclassified some Australian Dollar Term Deposits held in 2011-12 to Cash and Deposits.</w:t>
      </w:r>
    </w:p>
    <w:p w:rsidR="000B4A1E" w:rsidRPr="00D00665" w:rsidRDefault="000B4A1E">
      <w:pPr>
        <w:spacing w:after="0"/>
        <w:rPr>
          <w:rFonts w:ascii="Calibri" w:hAnsi="Calibri"/>
          <w:b/>
          <w:sz w:val="28"/>
          <w:szCs w:val="22"/>
        </w:rPr>
      </w:pPr>
      <w:r w:rsidRPr="00D00665">
        <w:br w:type="page"/>
      </w:r>
    </w:p>
    <w:p w:rsidR="000B4A1E" w:rsidRPr="00D00665" w:rsidRDefault="000B4A1E" w:rsidP="00517E51">
      <w:pPr>
        <w:pStyle w:val="Heading2NotesContd"/>
        <w:spacing w:before="400" w:after="0"/>
      </w:pPr>
    </w:p>
    <w:p w:rsidR="000B4A1E" w:rsidRPr="003E2DBE" w:rsidRDefault="000B4A1E" w:rsidP="00517E51">
      <w:pPr>
        <w:pStyle w:val="million"/>
        <w:spacing w:before="240"/>
        <w:rPr>
          <w:rFonts w:ascii="Times New Roman" w:hAnsi="Times New Roman"/>
          <w:i w:val="0"/>
          <w:szCs w:val="20"/>
          <w:lang w:eastAsia="en-AU"/>
        </w:rPr>
      </w:pPr>
    </w:p>
    <w:tbl>
      <w:tblPr>
        <w:tblW w:w="9648" w:type="dxa"/>
        <w:tblInd w:w="29" w:type="dxa"/>
        <w:tblLayout w:type="fixed"/>
        <w:tblCellMar>
          <w:left w:w="43" w:type="dxa"/>
          <w:right w:w="43" w:type="dxa"/>
        </w:tblCellMar>
        <w:tblLook w:val="0000" w:firstRow="0" w:lastRow="0" w:firstColumn="0" w:lastColumn="0" w:noHBand="0" w:noVBand="0"/>
      </w:tblPr>
      <w:tblGrid>
        <w:gridCol w:w="284"/>
        <w:gridCol w:w="1324"/>
        <w:gridCol w:w="1608"/>
        <w:gridCol w:w="236"/>
        <w:gridCol w:w="1372"/>
        <w:gridCol w:w="1608"/>
        <w:gridCol w:w="242"/>
        <w:gridCol w:w="1366"/>
        <w:gridCol w:w="1608"/>
      </w:tblGrid>
      <w:tr w:rsidR="000B4A1E" w:rsidRPr="003E2DBE" w:rsidTr="00517E51">
        <w:tc>
          <w:tcPr>
            <w:tcW w:w="284" w:type="dxa"/>
            <w:tcBorders>
              <w:top w:val="single" w:sz="12" w:space="0" w:color="auto"/>
              <w:left w:val="single" w:sz="12" w:space="0" w:color="auto"/>
              <w:bottom w:val="nil"/>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2932" w:type="dxa"/>
            <w:gridSpan w:val="2"/>
            <w:tcBorders>
              <w:top w:val="single" w:sz="12" w:space="0" w:color="auto"/>
              <w:left w:val="nil"/>
              <w:bottom w:val="nil"/>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Public </w:t>
            </w:r>
          </w:p>
          <w:p w:rsidR="000B4A1E" w:rsidRPr="003E2DBE" w:rsidRDefault="000B4A1E" w:rsidP="00517E51">
            <w:pPr>
              <w:pStyle w:val="TabletextheadingCentred"/>
              <w:rPr>
                <w:sz w:val="21"/>
                <w:lang w:eastAsia="en-AU"/>
              </w:rPr>
            </w:pPr>
            <w:r w:rsidRPr="003E2DBE">
              <w:rPr>
                <w:sz w:val="21"/>
                <w:lang w:eastAsia="en-AU"/>
              </w:rPr>
              <w:t>financial corporations</w:t>
            </w:r>
          </w:p>
        </w:tc>
        <w:tc>
          <w:tcPr>
            <w:tcW w:w="236" w:type="dxa"/>
            <w:tcBorders>
              <w:top w:val="single" w:sz="12" w:space="0" w:color="auto"/>
              <w:left w:val="nil"/>
              <w:bottom w:val="nil"/>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2980" w:type="dxa"/>
            <w:gridSpan w:val="2"/>
            <w:tcBorders>
              <w:top w:val="single" w:sz="12" w:space="0" w:color="auto"/>
              <w:left w:val="nil"/>
              <w:bottom w:val="nil"/>
              <w:right w:val="nil"/>
            </w:tcBorders>
            <w:shd w:val="clear" w:color="auto" w:fill="000000"/>
          </w:tcPr>
          <w:p w:rsidR="000B4A1E" w:rsidRPr="003E2DBE" w:rsidRDefault="000B4A1E" w:rsidP="00517E51">
            <w:pPr>
              <w:pStyle w:val="TabletextheadingCentred"/>
              <w:rPr>
                <w:sz w:val="21"/>
                <w:lang w:eastAsia="en-AU"/>
              </w:rPr>
            </w:pPr>
          </w:p>
          <w:p w:rsidR="000B4A1E" w:rsidRPr="003E2DBE" w:rsidRDefault="000B4A1E" w:rsidP="00517E51">
            <w:pPr>
              <w:pStyle w:val="TabletextheadingCentred"/>
              <w:rPr>
                <w:sz w:val="21"/>
                <w:lang w:eastAsia="en-AU"/>
              </w:rPr>
            </w:pPr>
            <w:r w:rsidRPr="003E2DBE">
              <w:rPr>
                <w:sz w:val="21"/>
                <w:lang w:eastAsia="en-AU"/>
              </w:rPr>
              <w:t>Inter-sector eliminations</w:t>
            </w:r>
          </w:p>
        </w:tc>
        <w:tc>
          <w:tcPr>
            <w:tcW w:w="242" w:type="dxa"/>
            <w:tcBorders>
              <w:top w:val="single" w:sz="12" w:space="0" w:color="auto"/>
              <w:left w:val="nil"/>
              <w:bottom w:val="nil"/>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2974" w:type="dxa"/>
            <w:gridSpan w:val="2"/>
            <w:tcBorders>
              <w:top w:val="single" w:sz="12" w:space="0" w:color="auto"/>
              <w:left w:val="nil"/>
              <w:bottom w:val="nil"/>
              <w:right w:val="single" w:sz="12" w:space="0" w:color="auto"/>
            </w:tcBorders>
            <w:shd w:val="clear" w:color="auto" w:fill="000000"/>
          </w:tcPr>
          <w:p w:rsidR="000B4A1E" w:rsidRPr="003E2DBE" w:rsidRDefault="000B4A1E" w:rsidP="00517E51">
            <w:pPr>
              <w:pStyle w:val="TabletextheadingCentred"/>
              <w:rPr>
                <w:sz w:val="21"/>
                <w:lang w:eastAsia="en-AU"/>
              </w:rPr>
            </w:pPr>
          </w:p>
          <w:p w:rsidR="000B4A1E" w:rsidRPr="003E2DBE" w:rsidRDefault="000B4A1E" w:rsidP="00517E51">
            <w:pPr>
              <w:pStyle w:val="TabletextheadingCentred"/>
              <w:rPr>
                <w:sz w:val="21"/>
                <w:lang w:eastAsia="en-AU"/>
              </w:rPr>
            </w:pPr>
            <w:r w:rsidRPr="003E2DBE">
              <w:rPr>
                <w:sz w:val="21"/>
                <w:lang w:eastAsia="en-AU"/>
              </w:rPr>
              <w:t>Consolidated</w:t>
            </w:r>
          </w:p>
        </w:tc>
      </w:tr>
      <w:tr w:rsidR="000B4A1E" w:rsidRPr="003E2DBE" w:rsidTr="00517E51">
        <w:tc>
          <w:tcPr>
            <w:tcW w:w="1608" w:type="dxa"/>
            <w:gridSpan w:val="2"/>
            <w:tcBorders>
              <w:top w:val="nil"/>
              <w:left w:val="single" w:sz="12" w:space="0" w:color="auto"/>
              <w:bottom w:val="single" w:sz="12"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2013</w:t>
            </w:r>
          </w:p>
        </w:tc>
        <w:tc>
          <w:tcPr>
            <w:tcW w:w="1608" w:type="dxa"/>
            <w:tcBorders>
              <w:top w:val="nil"/>
              <w:left w:val="nil"/>
              <w:bottom w:val="single" w:sz="12"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2012</w:t>
            </w:r>
          </w:p>
        </w:tc>
        <w:tc>
          <w:tcPr>
            <w:tcW w:w="1608" w:type="dxa"/>
            <w:gridSpan w:val="2"/>
            <w:tcBorders>
              <w:top w:val="nil"/>
              <w:left w:val="nil"/>
              <w:bottom w:val="single" w:sz="12"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2013</w:t>
            </w:r>
          </w:p>
        </w:tc>
        <w:tc>
          <w:tcPr>
            <w:tcW w:w="1608" w:type="dxa"/>
            <w:tcBorders>
              <w:top w:val="nil"/>
              <w:left w:val="nil"/>
              <w:bottom w:val="single" w:sz="12"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2012</w:t>
            </w:r>
          </w:p>
        </w:tc>
        <w:tc>
          <w:tcPr>
            <w:tcW w:w="1608" w:type="dxa"/>
            <w:gridSpan w:val="2"/>
            <w:tcBorders>
              <w:top w:val="nil"/>
              <w:left w:val="nil"/>
              <w:bottom w:val="single" w:sz="12"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2013</w:t>
            </w:r>
          </w:p>
        </w:tc>
        <w:tc>
          <w:tcPr>
            <w:tcW w:w="1608" w:type="dxa"/>
            <w:tcBorders>
              <w:top w:val="nil"/>
              <w:left w:val="nil"/>
              <w:bottom w:val="single" w:sz="12" w:space="0" w:color="auto"/>
              <w:right w:val="single" w:sz="12" w:space="0" w:color="auto"/>
            </w:tcBorders>
            <w:shd w:val="clear" w:color="auto" w:fill="000000"/>
          </w:tcPr>
          <w:p w:rsidR="000B4A1E" w:rsidRPr="003E2DBE" w:rsidRDefault="000B4A1E" w:rsidP="00517E51">
            <w:pPr>
              <w:pStyle w:val="Tabletextheading"/>
              <w:rPr>
                <w:sz w:val="21"/>
                <w:lang w:eastAsia="en-AU"/>
              </w:rPr>
            </w:pPr>
            <w:r w:rsidRPr="003E2DBE">
              <w:rPr>
                <w:sz w:val="21"/>
                <w:lang w:eastAsia="en-AU"/>
              </w:rPr>
              <w:t>2012</w:t>
            </w:r>
          </w:p>
        </w:tc>
      </w:tr>
      <w:tr w:rsidR="000B4A1E" w:rsidRPr="003E2DBE" w:rsidTr="00517E51">
        <w:tc>
          <w:tcPr>
            <w:tcW w:w="1608" w:type="dxa"/>
            <w:gridSpan w:val="2"/>
            <w:tcBorders>
              <w:top w:val="single" w:sz="12" w:space="0" w:color="auto"/>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single" w:sz="12" w:space="0" w:color="auto"/>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single" w:sz="12" w:space="0" w:color="auto"/>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single" w:sz="12" w:space="0" w:color="auto"/>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single" w:sz="12" w:space="0" w:color="auto"/>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single" w:sz="12" w:space="0" w:color="auto"/>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360.0)</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251.0)</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14 </w:t>
            </w:r>
            <w:r w:rsidRPr="003E2DBE">
              <w:rPr>
                <w:rFonts w:eastAsiaTheme="minorEastAsia" w:cs="Calibri"/>
                <w:sz w:val="21"/>
                <w:szCs w:val="22"/>
                <w:lang w:eastAsia="en-AU"/>
              </w:rPr>
              <w:t>872.0</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15 </w:t>
            </w:r>
            <w:r w:rsidRPr="003E2DBE">
              <w:rPr>
                <w:rFonts w:eastAsiaTheme="minorEastAsia" w:cs="Calibri"/>
                <w:sz w:val="21"/>
                <w:szCs w:val="22"/>
                <w:lang w:eastAsia="en-AU"/>
              </w:rPr>
              <w:t>358.8</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2.9</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1.0</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w:t>
            </w:r>
            <w:r w:rsidRPr="003E2DBE">
              <w:rPr>
                <w:rFonts w:eastAsiaTheme="minorEastAsia" w:cs="Calibri"/>
                <w:sz w:val="21"/>
                <w:szCs w:val="22"/>
                <w:lang w:eastAsia="en-AU"/>
              </w:rPr>
              <w:t xml:space="preserve"> 822.3)</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w:t>
            </w:r>
            <w:r w:rsidRPr="003E2DBE">
              <w:rPr>
                <w:rFonts w:eastAsiaTheme="minorEastAsia" w:cs="Calibri"/>
                <w:sz w:val="21"/>
                <w:szCs w:val="22"/>
                <w:lang w:eastAsia="en-AU"/>
              </w:rPr>
              <w:t xml:space="preserve"> 480.3)</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21 </w:t>
            </w:r>
            <w:r w:rsidRPr="003E2DBE">
              <w:rPr>
                <w:rFonts w:eastAsiaTheme="minorEastAsia" w:cs="Calibri"/>
                <w:sz w:val="21"/>
                <w:szCs w:val="22"/>
                <w:lang w:eastAsia="en-AU"/>
              </w:rPr>
              <w:t>899.6</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22 </w:t>
            </w:r>
            <w:r w:rsidRPr="003E2DBE">
              <w:rPr>
                <w:rFonts w:eastAsiaTheme="minorEastAsia" w:cs="Calibri"/>
                <w:sz w:val="21"/>
                <w:szCs w:val="22"/>
                <w:lang w:eastAsia="en-AU"/>
              </w:rPr>
              <w:t>735.6</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4 </w:t>
            </w:r>
            <w:r w:rsidRPr="003E2DBE">
              <w:rPr>
                <w:rFonts w:eastAsiaTheme="minorEastAsia" w:cs="Calibri"/>
                <w:sz w:val="21"/>
                <w:szCs w:val="22"/>
                <w:lang w:eastAsia="en-AU"/>
              </w:rPr>
              <w:t>116.4</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3 </w:t>
            </w:r>
            <w:r w:rsidRPr="003E2DBE">
              <w:rPr>
                <w:rFonts w:eastAsiaTheme="minorEastAsia" w:cs="Calibri"/>
                <w:sz w:val="21"/>
                <w:szCs w:val="22"/>
                <w:lang w:eastAsia="en-AU"/>
              </w:rPr>
              <w:t>418.2</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(3</w:t>
            </w:r>
            <w:r w:rsidRPr="003E2DBE">
              <w:rPr>
                <w:rFonts w:eastAsiaTheme="minorEastAsia" w:cs="Calibri"/>
                <w:sz w:val="21"/>
                <w:szCs w:val="22"/>
                <w:lang w:eastAsia="en-AU"/>
              </w:rPr>
              <w:t xml:space="preserve"> 191.1)</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358.8)</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13 </w:t>
            </w:r>
            <w:r w:rsidRPr="003E2DBE">
              <w:rPr>
                <w:rFonts w:eastAsiaTheme="minorEastAsia" w:cs="Calibri"/>
                <w:sz w:val="21"/>
                <w:szCs w:val="22"/>
                <w:lang w:eastAsia="en-AU"/>
              </w:rPr>
              <w:t>548.2</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14 </w:t>
            </w:r>
            <w:r w:rsidRPr="003E2DBE">
              <w:rPr>
                <w:rFonts w:eastAsiaTheme="minorEastAsia" w:cs="Calibri"/>
                <w:sz w:val="21"/>
                <w:szCs w:val="22"/>
                <w:lang w:eastAsia="en-AU"/>
              </w:rPr>
              <w:t>139.0</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202.6</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332.7</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738.6)</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w:t>
            </w:r>
            <w:r w:rsidRPr="003E2DBE">
              <w:rPr>
                <w:rFonts w:eastAsiaTheme="minorEastAsia" w:cs="Calibri"/>
                <w:sz w:val="21"/>
                <w:szCs w:val="22"/>
                <w:lang w:eastAsia="en-AU"/>
              </w:rPr>
              <w:t xml:space="preserve"> 128.3)</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203.0</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708.8</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299.9</w:t>
            </w:r>
            <w:r>
              <w:rPr>
                <w:sz w:val="21"/>
                <w:lang w:eastAsia="en-AU"/>
              </w:rPr>
              <w:br/>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482.6</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192.2)</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907.4)</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450.6</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571.3</w:t>
            </w:r>
          </w:p>
        </w:tc>
      </w:tr>
      <w:tr w:rsidR="000B4A1E" w:rsidRPr="003E2DBE" w:rsidTr="00517E51">
        <w:tc>
          <w:tcPr>
            <w:tcW w:w="1608" w:type="dxa"/>
            <w:gridSpan w:val="2"/>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68.4</w:t>
            </w:r>
          </w:p>
        </w:tc>
        <w:tc>
          <w:tcPr>
            <w:tcW w:w="1608"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337.4</w:t>
            </w:r>
          </w:p>
        </w:tc>
        <w:tc>
          <w:tcPr>
            <w:tcW w:w="1608" w:type="dxa"/>
            <w:gridSpan w:val="2"/>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113.9)</w:t>
            </w:r>
          </w:p>
        </w:tc>
        <w:tc>
          <w:tcPr>
            <w:tcW w:w="1608"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265.9</w:t>
            </w:r>
          </w:p>
        </w:tc>
        <w:tc>
          <w:tcPr>
            <w:tcW w:w="1608" w:type="dxa"/>
            <w:gridSpan w:val="2"/>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882.2</w:t>
            </w:r>
          </w:p>
        </w:tc>
        <w:tc>
          <w:tcPr>
            <w:tcW w:w="1608"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422.9</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6 </w:t>
            </w:r>
            <w:r w:rsidRPr="003E2DBE">
              <w:rPr>
                <w:rFonts w:eastAsiaTheme="minorEastAsia" w:cs="Calibri"/>
                <w:b/>
                <w:bCs/>
                <w:sz w:val="21"/>
                <w:szCs w:val="22"/>
                <w:lang w:eastAsia="en-AU"/>
              </w:rPr>
              <w:t>690.2</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6 </w:t>
            </w:r>
            <w:r w:rsidRPr="003E2DBE">
              <w:rPr>
                <w:rFonts w:eastAsiaTheme="minorEastAsia" w:cs="Calibri"/>
                <w:b/>
                <w:bCs/>
                <w:sz w:val="21"/>
                <w:szCs w:val="22"/>
                <w:lang w:eastAsia="en-AU"/>
              </w:rPr>
              <w:t>571.9</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(9</w:t>
            </w:r>
            <w:r w:rsidRPr="003E2DBE">
              <w:rPr>
                <w:rFonts w:eastAsiaTheme="minorEastAsia" w:cs="Calibri"/>
                <w:b/>
                <w:bCs/>
                <w:sz w:val="21"/>
                <w:szCs w:val="22"/>
                <w:lang w:eastAsia="en-AU"/>
              </w:rPr>
              <w:t xml:space="preserve"> 418.1)</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(6</w:t>
            </w:r>
            <w:r w:rsidRPr="003E2DBE">
              <w:rPr>
                <w:rFonts w:eastAsiaTheme="minorEastAsia" w:cs="Calibri"/>
                <w:b/>
                <w:bCs/>
                <w:sz w:val="21"/>
                <w:szCs w:val="22"/>
                <w:lang w:eastAsia="en-AU"/>
              </w:rPr>
              <w:t xml:space="preserve"> 859.8)</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53 </w:t>
            </w:r>
            <w:r w:rsidRPr="003E2DBE">
              <w:rPr>
                <w:rFonts w:eastAsiaTheme="minorEastAsia" w:cs="Calibri"/>
                <w:b/>
                <w:bCs/>
                <w:sz w:val="21"/>
                <w:szCs w:val="22"/>
                <w:lang w:eastAsia="en-AU"/>
              </w:rPr>
              <w:t>855.6</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55 </w:t>
            </w:r>
            <w:r w:rsidRPr="003E2DBE">
              <w:rPr>
                <w:rFonts w:eastAsiaTheme="minorEastAsia" w:cs="Calibri"/>
                <w:b/>
                <w:bCs/>
                <w:sz w:val="21"/>
                <w:szCs w:val="22"/>
                <w:lang w:eastAsia="en-AU"/>
              </w:rPr>
              <w:t>936.3</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288.5)</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273.1)</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335.5</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335.7</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(18</w:t>
            </w:r>
            <w:r w:rsidRPr="003E2DBE">
              <w:rPr>
                <w:rFonts w:eastAsiaTheme="minorEastAsia" w:cs="Calibri"/>
                <w:sz w:val="21"/>
                <w:szCs w:val="22"/>
                <w:lang w:eastAsia="en-AU"/>
              </w:rPr>
              <w:t xml:space="preserve"> 551.6)</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(17</w:t>
            </w:r>
            <w:r w:rsidRPr="003E2DBE">
              <w:rPr>
                <w:rFonts w:eastAsiaTheme="minorEastAsia" w:cs="Calibri"/>
                <w:sz w:val="21"/>
                <w:szCs w:val="22"/>
                <w:lang w:eastAsia="en-AU"/>
              </w:rPr>
              <w:t xml:space="preserve"> 690.3)</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23.3)</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25.4)</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w:t>
            </w:r>
            <w:r w:rsidRPr="003E2DBE">
              <w:rPr>
                <w:rFonts w:eastAsiaTheme="minorEastAsia" w:cs="Calibri"/>
                <w:sz w:val="21"/>
                <w:szCs w:val="22"/>
                <w:lang w:eastAsia="en-AU"/>
              </w:rPr>
              <w:t xml:space="preserve"> 652.5)</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w:t>
            </w:r>
            <w:r w:rsidRPr="003E2DBE">
              <w:rPr>
                <w:rFonts w:eastAsiaTheme="minorEastAsia" w:cs="Calibri"/>
                <w:sz w:val="21"/>
                <w:szCs w:val="22"/>
                <w:lang w:eastAsia="en-AU"/>
              </w:rPr>
              <w:t xml:space="preserve"> 251.4)</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954.5)</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851.9)</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234.5</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573.1</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w:t>
            </w:r>
            <w:r w:rsidRPr="003E2DBE">
              <w:rPr>
                <w:rFonts w:eastAsiaTheme="minorEastAsia" w:cs="Calibri"/>
                <w:sz w:val="21"/>
                <w:szCs w:val="22"/>
                <w:lang w:eastAsia="en-AU"/>
              </w:rPr>
              <w:t xml:space="preserve"> 384.2)</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w:t>
            </w:r>
            <w:r w:rsidRPr="003E2DBE">
              <w:rPr>
                <w:rFonts w:eastAsiaTheme="minorEastAsia" w:cs="Calibri"/>
                <w:sz w:val="21"/>
                <w:szCs w:val="22"/>
                <w:lang w:eastAsia="en-AU"/>
              </w:rPr>
              <w:t xml:space="preserve"> 102.5)</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766.9</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494.3</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(5</w:t>
            </w:r>
            <w:r w:rsidRPr="003E2DBE">
              <w:rPr>
                <w:rFonts w:eastAsiaTheme="minorEastAsia" w:cs="Calibri"/>
                <w:sz w:val="21"/>
                <w:szCs w:val="22"/>
                <w:lang w:eastAsia="en-AU"/>
              </w:rPr>
              <w:t xml:space="preserve"> 619.5)</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(5</w:t>
            </w:r>
            <w:r w:rsidRPr="003E2DBE">
              <w:rPr>
                <w:rFonts w:eastAsiaTheme="minorEastAsia" w:cs="Calibri"/>
                <w:sz w:val="21"/>
                <w:szCs w:val="22"/>
                <w:lang w:eastAsia="en-AU"/>
              </w:rPr>
              <w:t xml:space="preserve"> 800.4)</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(3</w:t>
            </w:r>
            <w:r w:rsidRPr="003E2DBE">
              <w:rPr>
                <w:rFonts w:eastAsiaTheme="minorEastAsia" w:cs="Calibri"/>
                <w:sz w:val="21"/>
                <w:szCs w:val="22"/>
                <w:lang w:eastAsia="en-AU"/>
              </w:rPr>
              <w:t xml:space="preserve"> 685.9)</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(3</w:t>
            </w:r>
            <w:r w:rsidRPr="003E2DBE">
              <w:rPr>
                <w:rFonts w:eastAsiaTheme="minorEastAsia" w:cs="Calibri"/>
                <w:sz w:val="21"/>
                <w:szCs w:val="22"/>
                <w:lang w:eastAsia="en-AU"/>
              </w:rPr>
              <w:t xml:space="preserve"> 710.7)</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354.1</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26.0</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(21</w:t>
            </w:r>
            <w:r w:rsidRPr="003E2DBE">
              <w:rPr>
                <w:rFonts w:eastAsiaTheme="minorEastAsia" w:cs="Calibri"/>
                <w:sz w:val="21"/>
                <w:szCs w:val="22"/>
                <w:lang w:eastAsia="en-AU"/>
              </w:rPr>
              <w:t xml:space="preserve"> 399.7)</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(23</w:t>
            </w:r>
            <w:r w:rsidRPr="003E2DBE">
              <w:rPr>
                <w:rFonts w:eastAsiaTheme="minorEastAsia" w:cs="Calibri"/>
                <w:sz w:val="21"/>
                <w:szCs w:val="22"/>
                <w:lang w:eastAsia="en-AU"/>
              </w:rPr>
              <w:t xml:space="preserve"> 505.4)</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16.5)</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14.6)</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488.9</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587.6</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596.0)</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581.0)</w:t>
            </w:r>
          </w:p>
        </w:tc>
      </w:tr>
      <w:tr w:rsidR="000B4A1E" w:rsidRPr="003E2DBE" w:rsidTr="00517E51">
        <w:tc>
          <w:tcPr>
            <w:tcW w:w="1608" w:type="dxa"/>
            <w:gridSpan w:val="2"/>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b/>
                <w:sz w:val="21"/>
                <w:szCs w:val="22"/>
                <w:lang w:eastAsia="en-AU"/>
              </w:rPr>
            </w:pPr>
            <w:r w:rsidRPr="003E2DBE">
              <w:rPr>
                <w:b/>
                <w:sz w:val="21"/>
                <w:lang w:eastAsia="en-AU"/>
              </w:rPr>
              <w:t>(5</w:t>
            </w:r>
            <w:r w:rsidRPr="003E2DBE">
              <w:rPr>
                <w:rFonts w:eastAsiaTheme="minorEastAsia" w:cs="Calibri"/>
                <w:b/>
                <w:sz w:val="21"/>
                <w:szCs w:val="22"/>
                <w:lang w:eastAsia="en-AU"/>
              </w:rPr>
              <w:t xml:space="preserve"> 968.6)</w:t>
            </w:r>
          </w:p>
        </w:tc>
        <w:tc>
          <w:tcPr>
            <w:tcW w:w="1608" w:type="dxa"/>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b/>
                <w:sz w:val="21"/>
                <w:szCs w:val="22"/>
                <w:lang w:eastAsia="en-AU"/>
              </w:rPr>
            </w:pPr>
            <w:r w:rsidRPr="003E2DBE">
              <w:rPr>
                <w:b/>
                <w:sz w:val="21"/>
                <w:lang w:eastAsia="en-AU"/>
              </w:rPr>
              <w:t>(5</w:t>
            </w:r>
            <w:r w:rsidRPr="003E2DBE">
              <w:rPr>
                <w:rFonts w:eastAsiaTheme="minorEastAsia" w:cs="Calibri"/>
                <w:b/>
                <w:sz w:val="21"/>
                <w:szCs w:val="22"/>
                <w:lang w:eastAsia="en-AU"/>
              </w:rPr>
              <w:t xml:space="preserve"> 875.6)</w:t>
            </w:r>
          </w:p>
        </w:tc>
        <w:tc>
          <w:tcPr>
            <w:tcW w:w="1608" w:type="dxa"/>
            <w:gridSpan w:val="2"/>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b/>
                <w:sz w:val="21"/>
                <w:szCs w:val="22"/>
                <w:lang w:eastAsia="en-AU"/>
              </w:rPr>
            </w:pPr>
            <w:r w:rsidRPr="003E2DBE">
              <w:rPr>
                <w:b/>
                <w:sz w:val="21"/>
                <w:lang w:eastAsia="en-AU"/>
              </w:rPr>
              <w:t xml:space="preserve">8 </w:t>
            </w:r>
            <w:r w:rsidRPr="003E2DBE">
              <w:rPr>
                <w:rFonts w:eastAsiaTheme="minorEastAsia" w:cs="Calibri"/>
                <w:b/>
                <w:sz w:val="21"/>
                <w:szCs w:val="22"/>
                <w:lang w:eastAsia="en-AU"/>
              </w:rPr>
              <w:t>179.9</w:t>
            </w:r>
          </w:p>
        </w:tc>
        <w:tc>
          <w:tcPr>
            <w:tcW w:w="1608" w:type="dxa"/>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b/>
                <w:sz w:val="21"/>
                <w:szCs w:val="22"/>
                <w:lang w:eastAsia="en-AU"/>
              </w:rPr>
            </w:pPr>
            <w:r w:rsidRPr="003E2DBE">
              <w:rPr>
                <w:b/>
                <w:sz w:val="21"/>
                <w:lang w:eastAsia="en-AU"/>
              </w:rPr>
              <w:t xml:space="preserve">6 </w:t>
            </w:r>
            <w:r w:rsidRPr="003E2DBE">
              <w:rPr>
                <w:rFonts w:eastAsiaTheme="minorEastAsia" w:cs="Calibri"/>
                <w:b/>
                <w:sz w:val="21"/>
                <w:szCs w:val="22"/>
                <w:lang w:eastAsia="en-AU"/>
              </w:rPr>
              <w:t>016.7</w:t>
            </w:r>
          </w:p>
        </w:tc>
        <w:tc>
          <w:tcPr>
            <w:tcW w:w="1608" w:type="dxa"/>
            <w:gridSpan w:val="2"/>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b/>
                <w:sz w:val="21"/>
                <w:szCs w:val="22"/>
                <w:lang w:eastAsia="en-AU"/>
              </w:rPr>
            </w:pPr>
            <w:r w:rsidRPr="003E2DBE">
              <w:rPr>
                <w:b/>
                <w:sz w:val="21"/>
                <w:lang w:eastAsia="en-AU"/>
              </w:rPr>
              <w:t>(51</w:t>
            </w:r>
            <w:r w:rsidRPr="003E2DBE">
              <w:rPr>
                <w:rFonts w:eastAsiaTheme="minorEastAsia" w:cs="Calibri"/>
                <w:b/>
                <w:sz w:val="21"/>
                <w:szCs w:val="22"/>
                <w:lang w:eastAsia="en-AU"/>
              </w:rPr>
              <w:t xml:space="preserve"> 203.4)</w:t>
            </w:r>
          </w:p>
        </w:tc>
        <w:tc>
          <w:tcPr>
            <w:tcW w:w="1608" w:type="dxa"/>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b/>
                <w:sz w:val="21"/>
                <w:szCs w:val="22"/>
                <w:lang w:eastAsia="en-AU"/>
              </w:rPr>
            </w:pPr>
            <w:r w:rsidRPr="003E2DBE">
              <w:rPr>
                <w:b/>
                <w:sz w:val="21"/>
                <w:lang w:eastAsia="en-AU"/>
              </w:rPr>
              <w:t>(51</w:t>
            </w:r>
            <w:r w:rsidRPr="003E2DBE">
              <w:rPr>
                <w:rFonts w:eastAsiaTheme="minorEastAsia" w:cs="Calibri"/>
                <w:b/>
                <w:sz w:val="21"/>
                <w:szCs w:val="22"/>
                <w:lang w:eastAsia="en-AU"/>
              </w:rPr>
              <w:t xml:space="preserve"> 931.0)</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721.6</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696.3</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w:t>
            </w:r>
            <w:r w:rsidRPr="003E2DBE">
              <w:rPr>
                <w:rFonts w:eastAsiaTheme="minorEastAsia" w:cs="Calibri"/>
                <w:b/>
                <w:bCs/>
                <w:sz w:val="21"/>
                <w:szCs w:val="22"/>
                <w:lang w:eastAsia="en-AU"/>
              </w:rPr>
              <w:t xml:space="preserve"> 238.2)</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843.1)</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2 </w:t>
            </w:r>
            <w:r w:rsidRPr="003E2DBE">
              <w:rPr>
                <w:rFonts w:eastAsiaTheme="minorEastAsia" w:cs="Calibri"/>
                <w:b/>
                <w:bCs/>
                <w:sz w:val="21"/>
                <w:szCs w:val="22"/>
                <w:lang w:eastAsia="en-AU"/>
              </w:rPr>
              <w:t>652.2</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4 </w:t>
            </w:r>
            <w:r w:rsidRPr="003E2DBE">
              <w:rPr>
                <w:rFonts w:eastAsiaTheme="minorEastAsia" w:cs="Calibri"/>
                <w:b/>
                <w:bCs/>
                <w:sz w:val="21"/>
                <w:szCs w:val="22"/>
                <w:lang w:eastAsia="en-AU"/>
              </w:rPr>
              <w:t>005.3</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74.4)</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58.6)</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312.2</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(7</w:t>
            </w:r>
            <w:r w:rsidRPr="003E2DBE">
              <w:rPr>
                <w:rFonts w:eastAsiaTheme="minorEastAsia" w:cs="Calibri"/>
                <w:sz w:val="21"/>
                <w:szCs w:val="22"/>
                <w:lang w:eastAsia="en-AU"/>
              </w:rPr>
              <w:t xml:space="preserve"> 597.8)</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(7</w:t>
            </w:r>
            <w:r w:rsidRPr="003E2DBE">
              <w:rPr>
                <w:rFonts w:eastAsiaTheme="minorEastAsia" w:cs="Calibri"/>
                <w:sz w:val="21"/>
                <w:szCs w:val="22"/>
                <w:lang w:eastAsia="en-AU"/>
              </w:rPr>
              <w:t xml:space="preserve"> 514.0)</w:t>
            </w:r>
          </w:p>
        </w:tc>
      </w:tr>
      <w:tr w:rsidR="000B4A1E" w:rsidRPr="003E2DBE" w:rsidTr="00517E51">
        <w:tc>
          <w:tcPr>
            <w:tcW w:w="1608" w:type="dxa"/>
            <w:gridSpan w:val="2"/>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1.9</w:t>
            </w:r>
          </w:p>
        </w:tc>
        <w:tc>
          <w:tcPr>
            <w:tcW w:w="1608"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2.6</w:t>
            </w:r>
          </w:p>
        </w:tc>
        <w:tc>
          <w:tcPr>
            <w:tcW w:w="1608" w:type="dxa"/>
            <w:gridSpan w:val="2"/>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Pr>
                <w:sz w:val="21"/>
                <w:lang w:eastAsia="en-AU"/>
              </w:rPr>
              <w:t>..</w:t>
            </w:r>
          </w:p>
        </w:tc>
        <w:tc>
          <w:tcPr>
            <w:tcW w:w="1608"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Pr>
                <w:sz w:val="21"/>
                <w:lang w:eastAsia="en-AU"/>
              </w:rPr>
              <w:t>..</w:t>
            </w:r>
          </w:p>
        </w:tc>
        <w:tc>
          <w:tcPr>
            <w:tcW w:w="1608" w:type="dxa"/>
            <w:gridSpan w:val="2"/>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406.3</w:t>
            </w:r>
          </w:p>
        </w:tc>
        <w:tc>
          <w:tcPr>
            <w:tcW w:w="1608"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291.9</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72.5)</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56.0)</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312.3</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Pr>
                <w:sz w:val="21"/>
                <w:lang w:eastAsia="en-AU"/>
              </w:rPr>
              <w:t>..</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(7</w:t>
            </w:r>
            <w:r w:rsidRPr="003E2DBE">
              <w:rPr>
                <w:rFonts w:eastAsiaTheme="minorEastAsia" w:cs="Calibri"/>
                <w:sz w:val="21"/>
                <w:szCs w:val="22"/>
                <w:lang w:eastAsia="en-AU"/>
              </w:rPr>
              <w:t xml:space="preserve"> 191.5)</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(7</w:t>
            </w:r>
            <w:r w:rsidRPr="003E2DBE">
              <w:rPr>
                <w:rFonts w:eastAsiaTheme="minorEastAsia" w:cs="Calibri"/>
                <w:sz w:val="21"/>
                <w:szCs w:val="22"/>
                <w:lang w:eastAsia="en-AU"/>
              </w:rPr>
              <w:t xml:space="preserve"> 222.0)</w:t>
            </w:r>
          </w:p>
        </w:tc>
      </w:tr>
      <w:tr w:rsidR="000B4A1E" w:rsidRPr="003E2DBE" w:rsidTr="00517E51">
        <w:tc>
          <w:tcPr>
            <w:tcW w:w="1608" w:type="dxa"/>
            <w:gridSpan w:val="2"/>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46.6)</w:t>
            </w:r>
            <w:r>
              <w:rPr>
                <w:rFonts w:eastAsiaTheme="minorEastAsia" w:cs="Calibri"/>
                <w:sz w:val="21"/>
                <w:szCs w:val="22"/>
                <w:lang w:eastAsia="en-AU"/>
              </w:rPr>
              <w:br/>
            </w:r>
          </w:p>
        </w:tc>
        <w:tc>
          <w:tcPr>
            <w:tcW w:w="1608"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94.6)</w:t>
            </w:r>
          </w:p>
        </w:tc>
        <w:tc>
          <w:tcPr>
            <w:tcW w:w="1608" w:type="dxa"/>
            <w:gridSpan w:val="2"/>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671.0</w:t>
            </w:r>
          </w:p>
        </w:tc>
        <w:tc>
          <w:tcPr>
            <w:tcW w:w="1608"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948.9</w:t>
            </w:r>
          </w:p>
        </w:tc>
        <w:tc>
          <w:tcPr>
            <w:tcW w:w="1608" w:type="dxa"/>
            <w:gridSpan w:val="2"/>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262.6</w:t>
            </w:r>
          </w:p>
        </w:tc>
        <w:tc>
          <w:tcPr>
            <w:tcW w:w="1608"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36.4</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119.1)</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150.6)</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1 </w:t>
            </w:r>
            <w:r w:rsidRPr="003E2DBE">
              <w:rPr>
                <w:rFonts w:eastAsiaTheme="minorEastAsia" w:cs="Calibri"/>
                <w:b/>
                <w:bCs/>
                <w:sz w:val="21"/>
                <w:szCs w:val="22"/>
                <w:lang w:eastAsia="en-AU"/>
              </w:rPr>
              <w:t>983.2</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1 </w:t>
            </w:r>
            <w:r w:rsidRPr="003E2DBE">
              <w:rPr>
                <w:rFonts w:eastAsiaTheme="minorEastAsia" w:cs="Calibri"/>
                <w:b/>
                <w:bCs/>
                <w:sz w:val="21"/>
                <w:szCs w:val="22"/>
                <w:lang w:eastAsia="en-AU"/>
              </w:rPr>
              <w:t>948.9</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(6</w:t>
            </w:r>
            <w:r w:rsidRPr="003E2DBE">
              <w:rPr>
                <w:rFonts w:eastAsiaTheme="minorEastAsia" w:cs="Calibri"/>
                <w:b/>
                <w:bCs/>
                <w:sz w:val="21"/>
                <w:szCs w:val="22"/>
                <w:lang w:eastAsia="en-AU"/>
              </w:rPr>
              <w:t xml:space="preserve"> 928.9)</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(7</w:t>
            </w:r>
            <w:r w:rsidRPr="003E2DBE">
              <w:rPr>
                <w:rFonts w:eastAsiaTheme="minorEastAsia" w:cs="Calibri"/>
                <w:b/>
                <w:bCs/>
                <w:sz w:val="21"/>
                <w:szCs w:val="22"/>
                <w:lang w:eastAsia="en-AU"/>
              </w:rPr>
              <w:t xml:space="preserve"> 185.7)</w:t>
            </w:r>
          </w:p>
        </w:tc>
      </w:tr>
      <w:tr w:rsidR="000B4A1E" w:rsidRPr="003E2DBE" w:rsidTr="00517E51">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(3</w:t>
            </w:r>
            <w:r w:rsidRPr="003E2DBE">
              <w:rPr>
                <w:rFonts w:eastAsiaTheme="minorEastAsia" w:cs="Calibri"/>
                <w:sz w:val="21"/>
                <w:szCs w:val="22"/>
                <w:lang w:eastAsia="en-AU"/>
              </w:rPr>
              <w:t xml:space="preserve"> 558.2)</w:t>
            </w:r>
            <w:r>
              <w:rPr>
                <w:rFonts w:eastAsiaTheme="minorEastAsia" w:cs="Calibri"/>
                <w:sz w:val="21"/>
                <w:szCs w:val="22"/>
                <w:lang w:eastAsia="en-AU"/>
              </w:rPr>
              <w:br/>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(5</w:t>
            </w:r>
            <w:r w:rsidRPr="003E2DBE">
              <w:rPr>
                <w:rFonts w:eastAsiaTheme="minorEastAsia" w:cs="Calibri"/>
                <w:sz w:val="21"/>
                <w:szCs w:val="22"/>
                <w:lang w:eastAsia="en-AU"/>
              </w:rPr>
              <w:t xml:space="preserve"> 744.6)</w:t>
            </w:r>
          </w:p>
        </w:tc>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5 </w:t>
            </w:r>
            <w:r w:rsidRPr="003E2DBE">
              <w:rPr>
                <w:rFonts w:eastAsiaTheme="minorEastAsia" w:cs="Calibri"/>
                <w:sz w:val="21"/>
                <w:szCs w:val="22"/>
                <w:lang w:eastAsia="en-AU"/>
              </w:rPr>
              <w:t>240.4</w:t>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5 </w:t>
            </w:r>
            <w:r w:rsidRPr="003E2DBE">
              <w:rPr>
                <w:rFonts w:eastAsiaTheme="minorEastAsia" w:cs="Calibri"/>
                <w:sz w:val="21"/>
                <w:szCs w:val="22"/>
                <w:lang w:eastAsia="en-AU"/>
              </w:rPr>
              <w:t>901.2</w:t>
            </w:r>
          </w:p>
        </w:tc>
        <w:tc>
          <w:tcPr>
            <w:tcW w:w="1608" w:type="dxa"/>
            <w:gridSpan w:val="2"/>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520.5</w:t>
            </w:r>
          </w:p>
        </w:tc>
        <w:tc>
          <w:tcPr>
            <w:tcW w:w="1608"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191.7</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(3</w:t>
            </w:r>
            <w:r w:rsidRPr="003E2DBE">
              <w:rPr>
                <w:rFonts w:eastAsiaTheme="minorEastAsia" w:cs="Calibri"/>
                <w:b/>
                <w:bCs/>
                <w:sz w:val="21"/>
                <w:szCs w:val="22"/>
                <w:lang w:eastAsia="en-AU"/>
              </w:rPr>
              <w:t xml:space="preserve"> 677.3)</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(5</w:t>
            </w:r>
            <w:r w:rsidRPr="003E2DBE">
              <w:rPr>
                <w:rFonts w:eastAsiaTheme="minorEastAsia" w:cs="Calibri"/>
                <w:b/>
                <w:bCs/>
                <w:sz w:val="21"/>
                <w:szCs w:val="22"/>
                <w:lang w:eastAsia="en-AU"/>
              </w:rPr>
              <w:t xml:space="preserve"> 895.2)</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7 </w:t>
            </w:r>
            <w:r w:rsidRPr="003E2DBE">
              <w:rPr>
                <w:rFonts w:eastAsiaTheme="minorEastAsia" w:cs="Calibri"/>
                <w:b/>
                <w:bCs/>
                <w:sz w:val="21"/>
                <w:szCs w:val="22"/>
                <w:lang w:eastAsia="en-AU"/>
              </w:rPr>
              <w:t>223.6</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7 </w:t>
            </w:r>
            <w:r w:rsidRPr="003E2DBE">
              <w:rPr>
                <w:rFonts w:eastAsiaTheme="minorEastAsia" w:cs="Calibri"/>
                <w:b/>
                <w:bCs/>
                <w:sz w:val="21"/>
                <w:szCs w:val="22"/>
                <w:lang w:eastAsia="en-AU"/>
              </w:rPr>
              <w:t>850.1</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(6</w:t>
            </w:r>
            <w:r w:rsidRPr="003E2DBE">
              <w:rPr>
                <w:rFonts w:eastAsiaTheme="minorEastAsia" w:cs="Calibri"/>
                <w:b/>
                <w:bCs/>
                <w:sz w:val="21"/>
                <w:szCs w:val="22"/>
                <w:lang w:eastAsia="en-AU"/>
              </w:rPr>
              <w:t xml:space="preserve"> 408.4)</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(6</w:t>
            </w:r>
            <w:r w:rsidRPr="003E2DBE">
              <w:rPr>
                <w:rFonts w:eastAsiaTheme="minorEastAsia" w:cs="Calibri"/>
                <w:b/>
                <w:bCs/>
                <w:sz w:val="21"/>
                <w:szCs w:val="22"/>
                <w:lang w:eastAsia="en-AU"/>
              </w:rPr>
              <w:t xml:space="preserve"> 994.0)</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209.6</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99.6</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78.7</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960.9)</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294.8</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853.7)</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3 </w:t>
            </w:r>
            <w:r w:rsidRPr="003E2DBE">
              <w:rPr>
                <w:rFonts w:eastAsiaTheme="minorEastAsia" w:cs="Calibri"/>
                <w:sz w:val="21"/>
                <w:szCs w:val="22"/>
                <w:lang w:eastAsia="en-AU"/>
              </w:rPr>
              <w:t>000.0</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4 </w:t>
            </w:r>
            <w:r w:rsidRPr="003E2DBE">
              <w:rPr>
                <w:rFonts w:eastAsiaTheme="minorEastAsia" w:cs="Calibri"/>
                <w:sz w:val="21"/>
                <w:szCs w:val="22"/>
                <w:lang w:eastAsia="en-AU"/>
              </w:rPr>
              <w:t>946.3</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(4</w:t>
            </w:r>
            <w:r w:rsidRPr="003E2DBE">
              <w:rPr>
                <w:rFonts w:eastAsiaTheme="minorEastAsia" w:cs="Calibri"/>
                <w:sz w:val="21"/>
                <w:szCs w:val="22"/>
                <w:lang w:eastAsia="en-AU"/>
              </w:rPr>
              <w:t xml:space="preserve"> 633.0)</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(4</w:t>
            </w:r>
            <w:r w:rsidRPr="003E2DBE">
              <w:rPr>
                <w:rFonts w:eastAsiaTheme="minorEastAsia" w:cs="Calibri"/>
                <w:sz w:val="21"/>
                <w:szCs w:val="22"/>
                <w:lang w:eastAsia="en-AU"/>
              </w:rPr>
              <w:t xml:space="preserve"> 671.7)</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981.8</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4 </w:t>
            </w:r>
            <w:r w:rsidRPr="003E2DBE">
              <w:rPr>
                <w:rFonts w:eastAsiaTheme="minorEastAsia" w:cs="Calibri"/>
                <w:sz w:val="21"/>
                <w:szCs w:val="22"/>
                <w:lang w:eastAsia="en-AU"/>
              </w:rPr>
              <w:t>836.5</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697.0)</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777.4</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270.8</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843.7)</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676.8</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105.4)</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443.8)</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299.7)</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602.7)</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303.8)</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Pr>
                <w:sz w:val="21"/>
                <w:lang w:eastAsia="en-AU"/>
              </w:rPr>
              <w:t>..</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1.7</w:t>
            </w:r>
          </w:p>
        </w:tc>
      </w:tr>
      <w:tr w:rsidR="000B4A1E" w:rsidRPr="003E2DBE" w:rsidTr="00517E51">
        <w:tc>
          <w:tcPr>
            <w:tcW w:w="1608" w:type="dxa"/>
            <w:gridSpan w:val="2"/>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2 </w:t>
            </w:r>
            <w:r w:rsidRPr="003E2DBE">
              <w:rPr>
                <w:rFonts w:eastAsiaTheme="minorEastAsia" w:cs="Calibri"/>
                <w:b/>
                <w:bCs/>
                <w:sz w:val="21"/>
                <w:szCs w:val="22"/>
                <w:lang w:eastAsia="en-AU"/>
              </w:rPr>
              <w:t>068.9</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5 </w:t>
            </w:r>
            <w:r w:rsidRPr="003E2DBE">
              <w:rPr>
                <w:rFonts w:eastAsiaTheme="minorEastAsia" w:cs="Calibri"/>
                <w:b/>
                <w:bCs/>
                <w:sz w:val="21"/>
                <w:szCs w:val="22"/>
                <w:lang w:eastAsia="en-AU"/>
              </w:rPr>
              <w:t>523.6</w:t>
            </w:r>
          </w:p>
        </w:tc>
        <w:tc>
          <w:tcPr>
            <w:tcW w:w="160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(3</w:t>
            </w:r>
            <w:r w:rsidRPr="003E2DBE">
              <w:rPr>
                <w:rFonts w:eastAsiaTheme="minorEastAsia" w:cs="Calibri"/>
                <w:b/>
                <w:bCs/>
                <w:sz w:val="21"/>
                <w:szCs w:val="22"/>
                <w:lang w:eastAsia="en-AU"/>
              </w:rPr>
              <w:t xml:space="preserve"> 886.1)</w:t>
            </w:r>
          </w:p>
        </w:tc>
        <w:tc>
          <w:tcPr>
            <w:tcW w:w="160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(7</w:t>
            </w:r>
            <w:r w:rsidRPr="003E2DBE">
              <w:rPr>
                <w:rFonts w:eastAsiaTheme="minorEastAsia" w:cs="Calibri"/>
                <w:b/>
                <w:bCs/>
                <w:sz w:val="21"/>
                <w:szCs w:val="22"/>
                <w:lang w:eastAsia="en-AU"/>
              </w:rPr>
              <w:t xml:space="preserve"> 780.1)</w:t>
            </w:r>
          </w:p>
        </w:tc>
        <w:tc>
          <w:tcPr>
            <w:tcW w:w="1608" w:type="dxa"/>
            <w:gridSpan w:val="2"/>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3 </w:t>
            </w:r>
            <w:r w:rsidRPr="003E2DBE">
              <w:rPr>
                <w:rFonts w:eastAsiaTheme="minorEastAsia" w:cs="Calibri"/>
                <w:b/>
                <w:bCs/>
                <w:sz w:val="21"/>
                <w:szCs w:val="22"/>
                <w:lang w:eastAsia="en-AU"/>
              </w:rPr>
              <w:t>953.4</w:t>
            </w:r>
          </w:p>
        </w:tc>
        <w:tc>
          <w:tcPr>
            <w:tcW w:w="1608" w:type="dxa"/>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3 </w:t>
            </w:r>
            <w:r w:rsidRPr="003E2DBE">
              <w:rPr>
                <w:rFonts w:eastAsiaTheme="minorEastAsia" w:cs="Calibri"/>
                <w:b/>
                <w:bCs/>
                <w:sz w:val="21"/>
                <w:szCs w:val="22"/>
                <w:lang w:eastAsia="en-AU"/>
              </w:rPr>
              <w:t>879.1</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886.8)</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324.7</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099.2</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773.0)</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197.2</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890.5</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5 </w:t>
            </w:r>
            <w:r w:rsidRPr="003E2DBE">
              <w:rPr>
                <w:rFonts w:eastAsiaTheme="minorEastAsia" w:cs="Calibri"/>
                <w:sz w:val="21"/>
                <w:szCs w:val="22"/>
                <w:lang w:eastAsia="en-AU"/>
              </w:rPr>
              <w:t>045.2</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4 </w:t>
            </w:r>
            <w:r w:rsidRPr="003E2DBE">
              <w:rPr>
                <w:rFonts w:eastAsiaTheme="minorEastAsia" w:cs="Calibri"/>
                <w:sz w:val="21"/>
                <w:szCs w:val="22"/>
                <w:lang w:eastAsia="en-AU"/>
              </w:rPr>
              <w:t>720.5</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(4</w:t>
            </w:r>
            <w:r w:rsidRPr="003E2DBE">
              <w:rPr>
                <w:rFonts w:eastAsiaTheme="minorEastAsia" w:cs="Calibri"/>
                <w:sz w:val="21"/>
                <w:szCs w:val="22"/>
                <w:lang w:eastAsia="en-AU"/>
              </w:rPr>
              <w:t xml:space="preserve"> 764.7)</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(3</w:t>
            </w:r>
            <w:r w:rsidRPr="003E2DBE">
              <w:rPr>
                <w:rFonts w:eastAsiaTheme="minorEastAsia" w:cs="Calibri"/>
                <w:sz w:val="21"/>
                <w:szCs w:val="22"/>
                <w:lang w:eastAsia="en-AU"/>
              </w:rPr>
              <w:t xml:space="preserve"> 991.6)</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6 </w:t>
            </w:r>
            <w:r w:rsidRPr="003E2DBE">
              <w:rPr>
                <w:rFonts w:eastAsiaTheme="minorEastAsia" w:cs="Calibri"/>
                <w:sz w:val="21"/>
                <w:szCs w:val="22"/>
                <w:lang w:eastAsia="en-AU"/>
              </w:rPr>
              <w:t>055.6</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5 </w:t>
            </w:r>
            <w:r w:rsidRPr="003E2DBE">
              <w:rPr>
                <w:rFonts w:eastAsiaTheme="minorEastAsia" w:cs="Calibri"/>
                <w:sz w:val="21"/>
                <w:szCs w:val="22"/>
                <w:lang w:eastAsia="en-AU"/>
              </w:rPr>
              <w:t>165.1</w:t>
            </w:r>
          </w:p>
        </w:tc>
      </w:tr>
      <w:tr w:rsidR="000B4A1E" w:rsidRPr="003E2DBE" w:rsidTr="00517E51">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4 </w:t>
            </w:r>
            <w:r w:rsidRPr="003E2DBE">
              <w:rPr>
                <w:rFonts w:eastAsiaTheme="minorEastAsia" w:cs="Calibri"/>
                <w:b/>
                <w:bCs/>
                <w:sz w:val="21"/>
                <w:szCs w:val="22"/>
                <w:lang w:eastAsia="en-AU"/>
              </w:rPr>
              <w:t>158.4</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5 </w:t>
            </w:r>
            <w:r w:rsidRPr="003E2DBE">
              <w:rPr>
                <w:rFonts w:eastAsiaTheme="minorEastAsia" w:cs="Calibri"/>
                <w:b/>
                <w:bCs/>
                <w:sz w:val="21"/>
                <w:szCs w:val="22"/>
                <w:lang w:eastAsia="en-AU"/>
              </w:rPr>
              <w:t>045.2</w:t>
            </w:r>
          </w:p>
        </w:tc>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(2</w:t>
            </w:r>
            <w:r w:rsidRPr="003E2DBE">
              <w:rPr>
                <w:rFonts w:eastAsiaTheme="minorEastAsia" w:cs="Calibri"/>
                <w:b/>
                <w:bCs/>
                <w:sz w:val="21"/>
                <w:szCs w:val="22"/>
                <w:lang w:eastAsia="en-AU"/>
              </w:rPr>
              <w:t xml:space="preserve"> 665.4)</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(4</w:t>
            </w:r>
            <w:r w:rsidRPr="003E2DBE">
              <w:rPr>
                <w:rFonts w:eastAsiaTheme="minorEastAsia" w:cs="Calibri"/>
                <w:b/>
                <w:bCs/>
                <w:sz w:val="21"/>
                <w:szCs w:val="22"/>
                <w:lang w:eastAsia="en-AU"/>
              </w:rPr>
              <w:t xml:space="preserve"> 764.7)</w:t>
            </w:r>
          </w:p>
        </w:tc>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6 </w:t>
            </w:r>
            <w:r w:rsidRPr="003E2DBE">
              <w:rPr>
                <w:rFonts w:eastAsiaTheme="minorEastAsia" w:cs="Calibri"/>
                <w:b/>
                <w:bCs/>
                <w:sz w:val="21"/>
                <w:szCs w:val="22"/>
                <w:lang w:eastAsia="en-AU"/>
              </w:rPr>
              <w:t>252.9</w:t>
            </w:r>
          </w:p>
        </w:tc>
        <w:tc>
          <w:tcPr>
            <w:tcW w:w="1608"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6 </w:t>
            </w:r>
            <w:r w:rsidRPr="003E2DBE">
              <w:rPr>
                <w:rFonts w:eastAsiaTheme="minorEastAsia" w:cs="Calibri"/>
                <w:b/>
                <w:bCs/>
                <w:sz w:val="21"/>
                <w:szCs w:val="22"/>
                <w:lang w:eastAsia="en-AU"/>
              </w:rPr>
              <w:t>055.6</w:t>
            </w:r>
          </w:p>
        </w:tc>
      </w:tr>
      <w:tr w:rsidR="000B4A1E" w:rsidRPr="003E2DBE" w:rsidTr="00517E51">
        <w:trPr>
          <w:trHeight w:hRule="exact" w:val="115"/>
        </w:trPr>
        <w:tc>
          <w:tcPr>
            <w:tcW w:w="1608" w:type="dxa"/>
            <w:gridSpan w:val="2"/>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c>
          <w:tcPr>
            <w:tcW w:w="1608" w:type="dxa"/>
            <w:tcBorders>
              <w:top w:val="nil"/>
              <w:left w:val="nil"/>
              <w:bottom w:val="nil"/>
              <w:right w:val="nil"/>
            </w:tcBorders>
            <w:shd w:val="solid" w:color="FFFFFF" w:fill="auto"/>
          </w:tcPr>
          <w:p w:rsidR="000B4A1E" w:rsidRPr="003E2DBE" w:rsidRDefault="000B4A1E" w:rsidP="00517E51">
            <w:pPr>
              <w:pStyle w:val="TableofFigures"/>
              <w:rPr>
                <w:sz w:val="21"/>
                <w:lang w:eastAsia="en-AU"/>
              </w:rPr>
            </w:pPr>
            <w:r w:rsidRPr="003E2DBE">
              <w:rPr>
                <w:sz w:val="21"/>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721.6</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696.3</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238.2)</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843.1)</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652.2</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4 </w:t>
            </w:r>
            <w:r w:rsidRPr="003E2DBE">
              <w:rPr>
                <w:rFonts w:eastAsiaTheme="minorEastAsia" w:cs="Calibri"/>
                <w:sz w:val="21"/>
                <w:szCs w:val="22"/>
                <w:lang w:eastAsia="en-AU"/>
              </w:rPr>
              <w:t>005.3</w:t>
            </w:r>
          </w:p>
        </w:tc>
      </w:tr>
      <w:tr w:rsidR="000B4A1E" w:rsidRPr="003E2DBE" w:rsidTr="00517E51">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440.6)</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353.4)</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160.9</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659.3</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color w:val="0000FF"/>
                <w:szCs w:val="22"/>
                <w:lang w:eastAsia="en-AU"/>
              </w:rPr>
            </w:pPr>
            <w:r>
              <w:rPr>
                <w:sz w:val="21"/>
                <w:lang w:eastAsia="en-AU"/>
              </w:rPr>
              <w:t>..</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72.5)</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56.0)</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312.3</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Pr>
                <w:sz w:val="21"/>
                <w:lang w:eastAsia="en-AU"/>
              </w:rPr>
              <w:t>..</w:t>
            </w:r>
          </w:p>
        </w:tc>
        <w:tc>
          <w:tcPr>
            <w:tcW w:w="160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(7</w:t>
            </w:r>
            <w:r w:rsidRPr="003E2DBE">
              <w:rPr>
                <w:rFonts w:eastAsiaTheme="minorEastAsia" w:cs="Calibri"/>
                <w:sz w:val="21"/>
                <w:szCs w:val="22"/>
                <w:lang w:eastAsia="en-AU"/>
              </w:rPr>
              <w:t xml:space="preserve"> 191.5)</w:t>
            </w:r>
          </w:p>
        </w:tc>
        <w:tc>
          <w:tcPr>
            <w:tcW w:w="160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(7</w:t>
            </w:r>
            <w:r w:rsidRPr="003E2DBE">
              <w:rPr>
                <w:rFonts w:eastAsiaTheme="minorEastAsia" w:cs="Calibri"/>
                <w:sz w:val="21"/>
                <w:szCs w:val="22"/>
                <w:lang w:eastAsia="en-AU"/>
              </w:rPr>
              <w:t xml:space="preserve"> 222.0)</w:t>
            </w:r>
          </w:p>
        </w:tc>
      </w:tr>
      <w:tr w:rsidR="000B4A1E" w:rsidRPr="003E2DBE" w:rsidTr="00517E51">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208.5</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286.9</w:t>
            </w:r>
          </w:p>
        </w:tc>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234.9</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183.8)</w:t>
            </w:r>
          </w:p>
        </w:tc>
        <w:tc>
          <w:tcPr>
            <w:tcW w:w="1608"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(4</w:t>
            </w:r>
            <w:r w:rsidRPr="003E2DBE">
              <w:rPr>
                <w:rFonts w:eastAsiaTheme="minorEastAsia" w:cs="Calibri"/>
                <w:sz w:val="21"/>
                <w:szCs w:val="22"/>
                <w:lang w:eastAsia="en-AU"/>
              </w:rPr>
              <w:t xml:space="preserve"> 539.3)</w:t>
            </w:r>
          </w:p>
        </w:tc>
        <w:tc>
          <w:tcPr>
            <w:tcW w:w="1608"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(3</w:t>
            </w:r>
            <w:r w:rsidRPr="003E2DBE">
              <w:rPr>
                <w:rFonts w:eastAsiaTheme="minorEastAsia" w:cs="Calibri"/>
                <w:sz w:val="21"/>
                <w:szCs w:val="22"/>
                <w:lang w:eastAsia="en-AU"/>
              </w:rPr>
              <w:t xml:space="preserve"> 216.7)</w:t>
            </w:r>
          </w:p>
        </w:tc>
      </w:tr>
    </w:tbl>
    <w:p w:rsidR="000B4A1E" w:rsidRPr="00D00665" w:rsidRDefault="000B4A1E" w:rsidP="00517E51">
      <w:pPr>
        <w:pStyle w:val="Source"/>
      </w:pPr>
    </w:p>
    <w:p w:rsidR="000B4A1E" w:rsidRPr="00D00665" w:rsidRDefault="000B4A1E" w:rsidP="00517E51">
      <w:pPr>
        <w:pStyle w:val="Heading2NotesContd"/>
      </w:pPr>
      <w:r w:rsidRPr="00D00665">
        <w:br w:type="page"/>
      </w:r>
      <w:r w:rsidRPr="00D00665">
        <w:lastRenderedPageBreak/>
        <w:t>Note 2:</w:t>
      </w:r>
      <w:r w:rsidRPr="00D00665">
        <w:tab/>
        <w:t>Disaggregated statement of changes in equity for the financial year ended 30 June</w:t>
      </w:r>
    </w:p>
    <w:p w:rsidR="000B4A1E" w:rsidRPr="003E2DBE" w:rsidRDefault="000B4A1E" w:rsidP="00517E51">
      <w:pPr>
        <w:pStyle w:val="million"/>
      </w:pPr>
      <w:r w:rsidRPr="00D00665">
        <w:t>($</w:t>
      </w:r>
      <w:r>
        <w:t> million</w:t>
      </w:r>
      <w:r w:rsidRPr="00D00665">
        <w:t>)</w:t>
      </w:r>
    </w:p>
    <w:tbl>
      <w:tblPr>
        <w:tblW w:w="9676" w:type="dxa"/>
        <w:tblInd w:w="29" w:type="dxa"/>
        <w:tblLayout w:type="fixed"/>
        <w:tblCellMar>
          <w:left w:w="43" w:type="dxa"/>
          <w:right w:w="43" w:type="dxa"/>
        </w:tblCellMar>
        <w:tblLook w:val="0000" w:firstRow="0" w:lastRow="0" w:firstColumn="0" w:lastColumn="0" w:noHBand="0" w:noVBand="0"/>
      </w:tblPr>
      <w:tblGrid>
        <w:gridCol w:w="5956"/>
        <w:gridCol w:w="1860"/>
        <w:gridCol w:w="1860"/>
      </w:tblGrid>
      <w:tr w:rsidR="000B4A1E" w:rsidRPr="003E2DBE" w:rsidTr="00517E51">
        <w:tc>
          <w:tcPr>
            <w:tcW w:w="5947" w:type="dxa"/>
            <w:tcBorders>
              <w:top w:val="single" w:sz="12" w:space="0" w:color="auto"/>
              <w:left w:val="single" w:sz="12" w:space="0" w:color="auto"/>
              <w:bottom w:val="single" w:sz="12" w:space="0" w:color="auto"/>
              <w:right w:val="nil"/>
            </w:tcBorders>
            <w:shd w:val="clear" w:color="auto" w:fill="000000"/>
          </w:tcPr>
          <w:p w:rsidR="000B4A1E" w:rsidRPr="003E2DBE" w:rsidRDefault="000B4A1E" w:rsidP="00517E51">
            <w:pPr>
              <w:pStyle w:val="Tabletext"/>
              <w:rPr>
                <w:lang w:eastAsia="en-AU"/>
              </w:rPr>
            </w:pPr>
          </w:p>
          <w:p w:rsidR="000B4A1E" w:rsidRPr="003E2DBE" w:rsidRDefault="000B4A1E" w:rsidP="00517E51">
            <w:pPr>
              <w:pStyle w:val="Tabletext"/>
              <w:rPr>
                <w:lang w:eastAsia="en-AU"/>
              </w:rPr>
            </w:pPr>
          </w:p>
          <w:p w:rsidR="000B4A1E" w:rsidRPr="003E2DBE" w:rsidRDefault="000B4A1E" w:rsidP="00517E51">
            <w:pPr>
              <w:autoSpaceDE w:val="0"/>
              <w:autoSpaceDN w:val="0"/>
              <w:adjustRightInd w:val="0"/>
              <w:spacing w:after="0"/>
              <w:rPr>
                <w:rFonts w:ascii="Calibri" w:hAnsi="Calibri" w:cs="Calibri"/>
                <w:i/>
                <w:iCs/>
                <w:sz w:val="22"/>
                <w:szCs w:val="22"/>
                <w:lang w:eastAsia="en-AU"/>
              </w:rPr>
            </w:pPr>
            <w:r w:rsidRPr="003E2DBE">
              <w:rPr>
                <w:rFonts w:ascii="Calibri" w:hAnsi="Calibri" w:cs="Calibri"/>
                <w:i/>
                <w:iCs/>
                <w:sz w:val="22"/>
                <w:szCs w:val="22"/>
                <w:lang w:eastAsia="en-AU"/>
              </w:rPr>
              <w:t>2013</w:t>
            </w:r>
          </w:p>
        </w:tc>
        <w:tc>
          <w:tcPr>
            <w:tcW w:w="1857" w:type="dxa"/>
            <w:tcBorders>
              <w:top w:val="single" w:sz="12" w:space="0" w:color="auto"/>
              <w:left w:val="nil"/>
              <w:bottom w:val="single" w:sz="12" w:space="0" w:color="auto"/>
              <w:right w:val="nil"/>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r w:rsidRPr="003E2DBE">
              <w:rPr>
                <w:lang w:eastAsia="en-AU"/>
              </w:rPr>
              <w:t>Accumulated surplus/(deficit)</w:t>
            </w:r>
          </w:p>
        </w:tc>
        <w:tc>
          <w:tcPr>
            <w:tcW w:w="1857" w:type="dxa"/>
            <w:tcBorders>
              <w:top w:val="single" w:sz="12" w:space="0" w:color="auto"/>
              <w:left w:val="nil"/>
              <w:bottom w:val="single" w:sz="12" w:space="0" w:color="auto"/>
              <w:right w:val="single" w:sz="12" w:space="0" w:color="auto"/>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r w:rsidRPr="003E2DBE">
              <w:rPr>
                <w:lang w:eastAsia="en-AU"/>
              </w:rPr>
              <w:t>Contribution by owners</w:t>
            </w:r>
          </w:p>
        </w:tc>
      </w:tr>
      <w:tr w:rsidR="000B4A1E" w:rsidRPr="003E2DBE" w:rsidTr="00517E51">
        <w:tc>
          <w:tcPr>
            <w:tcW w:w="5947" w:type="dxa"/>
            <w:tcBorders>
              <w:top w:val="single" w:sz="12" w:space="0" w:color="auto"/>
              <w:left w:val="nil"/>
              <w:bottom w:val="nil"/>
              <w:right w:val="nil"/>
            </w:tcBorders>
          </w:tcPr>
          <w:p w:rsidR="000B4A1E" w:rsidRPr="003E2DBE" w:rsidRDefault="000B4A1E" w:rsidP="00517E51">
            <w:pPr>
              <w:pStyle w:val="Tabletext"/>
              <w:rPr>
                <w:b/>
                <w:bCs/>
                <w:lang w:eastAsia="en-AU"/>
              </w:rPr>
            </w:pPr>
            <w:r w:rsidRPr="003E2DBE">
              <w:rPr>
                <w:b/>
                <w:bCs/>
                <w:lang w:eastAsia="en-AU"/>
              </w:rPr>
              <w:t>General government sector</w:t>
            </w:r>
          </w:p>
        </w:tc>
        <w:tc>
          <w:tcPr>
            <w:tcW w:w="1857" w:type="dxa"/>
            <w:tcBorders>
              <w:top w:val="single" w:sz="12" w:space="0" w:color="auto"/>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857" w:type="dxa"/>
            <w:tcBorders>
              <w:top w:val="single" w:sz="12" w:space="0" w:color="auto"/>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Balance at 1 July 2012</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34 </w:t>
            </w:r>
            <w:r w:rsidRPr="003E2DBE">
              <w:rPr>
                <w:rFonts w:eastAsiaTheme="minorEastAsia" w:cs="Calibri"/>
                <w:szCs w:val="22"/>
                <w:lang w:eastAsia="en-AU"/>
              </w:rPr>
              <w:t>808.2</w:t>
            </w:r>
          </w:p>
        </w:tc>
        <w:tc>
          <w:tcPr>
            <w:tcW w:w="1857"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Net result for the year</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7 </w:t>
            </w:r>
            <w:r w:rsidRPr="003E2DBE">
              <w:rPr>
                <w:rFonts w:eastAsiaTheme="minorEastAsia" w:cs="Calibri"/>
                <w:szCs w:val="22"/>
                <w:lang w:eastAsia="en-AU"/>
              </w:rPr>
              <w:t>413.8</w:t>
            </w:r>
          </w:p>
        </w:tc>
        <w:tc>
          <w:tcPr>
            <w:tcW w:w="1857"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Other comprehensive income for the year</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952.6</w:t>
            </w:r>
          </w:p>
        </w:tc>
        <w:tc>
          <w:tcPr>
            <w:tcW w:w="1857"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47" w:type="dxa"/>
            <w:tcBorders>
              <w:top w:val="nil"/>
              <w:left w:val="nil"/>
              <w:bottom w:val="single" w:sz="6" w:space="0" w:color="auto"/>
              <w:right w:val="nil"/>
            </w:tcBorders>
          </w:tcPr>
          <w:p w:rsidR="000B4A1E" w:rsidRPr="003E2DBE" w:rsidRDefault="000B4A1E" w:rsidP="00517E51">
            <w:pPr>
              <w:pStyle w:val="Tabletext"/>
              <w:rPr>
                <w:lang w:eastAsia="en-AU"/>
              </w:rPr>
            </w:pPr>
            <w:r w:rsidRPr="003E2DBE">
              <w:rPr>
                <w:lang w:eastAsia="en-AU"/>
              </w:rPr>
              <w:t>Transactions with owners in their capacity as owners</w:t>
            </w:r>
          </w:p>
        </w:tc>
        <w:tc>
          <w:tcPr>
            <w:tcW w:w="1857"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857"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47" w:type="dxa"/>
            <w:tcBorders>
              <w:top w:val="nil"/>
              <w:left w:val="nil"/>
              <w:bottom w:val="single" w:sz="12" w:space="0" w:color="auto"/>
              <w:right w:val="nil"/>
            </w:tcBorders>
          </w:tcPr>
          <w:p w:rsidR="000B4A1E" w:rsidRPr="003E2DBE" w:rsidRDefault="000B4A1E" w:rsidP="00517E51">
            <w:pPr>
              <w:pStyle w:val="Tabletext"/>
              <w:rPr>
                <w:b/>
                <w:bCs/>
                <w:lang w:eastAsia="en-AU"/>
              </w:rPr>
            </w:pPr>
            <w:r w:rsidRPr="003E2DBE">
              <w:rPr>
                <w:b/>
                <w:bCs/>
                <w:lang w:eastAsia="en-AU"/>
              </w:rPr>
              <w:t>Total equity as at 30 June 2013</w:t>
            </w:r>
          </w:p>
        </w:tc>
        <w:tc>
          <w:tcPr>
            <w:tcW w:w="1857"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43 </w:t>
            </w:r>
            <w:r w:rsidRPr="003E2DBE">
              <w:rPr>
                <w:rFonts w:eastAsiaTheme="minorEastAsia" w:cs="Calibri"/>
                <w:b/>
                <w:bCs/>
                <w:szCs w:val="22"/>
                <w:lang w:eastAsia="en-AU"/>
              </w:rPr>
              <w:t>174.7</w:t>
            </w:r>
          </w:p>
        </w:tc>
        <w:tc>
          <w:tcPr>
            <w:tcW w:w="1857" w:type="dxa"/>
            <w:tcBorders>
              <w:top w:val="nil"/>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b/>
                <w:bCs/>
                <w:lang w:eastAsia="en-AU"/>
              </w:rPr>
            </w:pPr>
            <w:r w:rsidRPr="003E2DBE">
              <w:rPr>
                <w:b/>
                <w:bCs/>
                <w:lang w:eastAsia="en-AU"/>
              </w:rPr>
              <w:t>PNFC sector</w:t>
            </w:r>
          </w:p>
        </w:tc>
        <w:tc>
          <w:tcPr>
            <w:tcW w:w="1857"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857"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Balance at 1 July 2012</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5 </w:t>
            </w:r>
            <w:r w:rsidRPr="003E2DBE">
              <w:rPr>
                <w:rFonts w:eastAsiaTheme="minorEastAsia" w:cs="Calibri"/>
                <w:szCs w:val="22"/>
                <w:lang w:eastAsia="en-AU"/>
              </w:rPr>
              <w:t>830.0</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27 </w:t>
            </w:r>
            <w:r w:rsidRPr="003E2DBE">
              <w:rPr>
                <w:rFonts w:eastAsiaTheme="minorEastAsia" w:cs="Calibri"/>
                <w:szCs w:val="22"/>
                <w:lang w:eastAsia="en-AU"/>
              </w:rPr>
              <w:t>854.1</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Net result for the year</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334.8)</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Other comprehensive income for the year</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88.4</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Dividends paid</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720.3)</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Transactions with owners in their capacity as owners</w:t>
            </w:r>
          </w:p>
        </w:tc>
        <w:tc>
          <w:tcPr>
            <w:tcW w:w="1857"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 </w:t>
            </w:r>
            <w:r w:rsidRPr="003E2DBE">
              <w:rPr>
                <w:rFonts w:eastAsiaTheme="minorEastAsia" w:cs="Calibri"/>
                <w:szCs w:val="22"/>
                <w:lang w:eastAsia="en-AU"/>
              </w:rPr>
              <w:t>770.8</w:t>
            </w:r>
          </w:p>
        </w:tc>
      </w:tr>
      <w:tr w:rsidR="000B4A1E" w:rsidRPr="003E2DBE" w:rsidTr="00517E51">
        <w:tc>
          <w:tcPr>
            <w:tcW w:w="5947" w:type="dxa"/>
            <w:tcBorders>
              <w:top w:val="single" w:sz="6" w:space="0" w:color="auto"/>
              <w:left w:val="nil"/>
              <w:bottom w:val="single" w:sz="12" w:space="0" w:color="auto"/>
              <w:right w:val="nil"/>
            </w:tcBorders>
          </w:tcPr>
          <w:p w:rsidR="000B4A1E" w:rsidRPr="003E2DBE" w:rsidRDefault="000B4A1E" w:rsidP="00517E51">
            <w:pPr>
              <w:pStyle w:val="Tabletext"/>
              <w:rPr>
                <w:b/>
                <w:bCs/>
                <w:lang w:eastAsia="en-AU"/>
              </w:rPr>
            </w:pPr>
            <w:r w:rsidRPr="003E2DBE">
              <w:rPr>
                <w:b/>
                <w:bCs/>
                <w:lang w:eastAsia="en-AU"/>
              </w:rPr>
              <w:t>Total equity as at 30 June 2013</w:t>
            </w:r>
          </w:p>
        </w:tc>
        <w:tc>
          <w:tcPr>
            <w:tcW w:w="1857"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4 </w:t>
            </w:r>
            <w:r w:rsidRPr="003E2DBE">
              <w:rPr>
                <w:rFonts w:eastAsiaTheme="minorEastAsia" w:cs="Calibri"/>
                <w:b/>
                <w:bCs/>
                <w:szCs w:val="22"/>
                <w:lang w:eastAsia="en-AU"/>
              </w:rPr>
              <w:t>863.3</w:t>
            </w:r>
          </w:p>
        </w:tc>
        <w:tc>
          <w:tcPr>
            <w:tcW w:w="1857"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30 </w:t>
            </w:r>
            <w:r w:rsidRPr="003E2DBE">
              <w:rPr>
                <w:rFonts w:eastAsiaTheme="minorEastAsia" w:cs="Calibri"/>
                <w:b/>
                <w:bCs/>
                <w:szCs w:val="22"/>
                <w:lang w:eastAsia="en-AU"/>
              </w:rPr>
              <w:t>624.9</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b/>
                <w:bCs/>
                <w:lang w:eastAsia="en-AU"/>
              </w:rPr>
            </w:pPr>
            <w:r w:rsidRPr="003E2DBE">
              <w:rPr>
                <w:b/>
                <w:bCs/>
                <w:lang w:eastAsia="en-AU"/>
              </w:rPr>
              <w:t>PFC sector</w:t>
            </w:r>
          </w:p>
        </w:tc>
        <w:tc>
          <w:tcPr>
            <w:tcW w:w="1857"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857"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Balance at 1 July 2012</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(4</w:t>
            </w:r>
            <w:r w:rsidRPr="003E2DBE">
              <w:rPr>
                <w:rFonts w:eastAsiaTheme="minorEastAsia" w:cs="Calibri"/>
                <w:szCs w:val="22"/>
                <w:lang w:eastAsia="en-AU"/>
              </w:rPr>
              <w:t xml:space="preserve"> 675.8)</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254.9</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Net result for the year</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 </w:t>
            </w:r>
            <w:r w:rsidRPr="003E2DBE">
              <w:rPr>
                <w:rFonts w:eastAsiaTheme="minorEastAsia" w:cs="Calibri"/>
                <w:szCs w:val="22"/>
                <w:lang w:eastAsia="en-AU"/>
              </w:rPr>
              <w:t>259.7</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Other comprehensive income for the year</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91.3</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Dividends paid</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440.6)</w:t>
            </w:r>
          </w:p>
        </w:tc>
        <w:tc>
          <w:tcPr>
            <w:tcW w:w="185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47" w:type="dxa"/>
            <w:tcBorders>
              <w:top w:val="nil"/>
              <w:left w:val="nil"/>
              <w:bottom w:val="single" w:sz="6" w:space="0" w:color="auto"/>
              <w:right w:val="nil"/>
            </w:tcBorders>
          </w:tcPr>
          <w:p w:rsidR="000B4A1E" w:rsidRPr="003E2DBE" w:rsidRDefault="000B4A1E" w:rsidP="00517E51">
            <w:pPr>
              <w:pStyle w:val="Tabletext"/>
              <w:rPr>
                <w:lang w:eastAsia="en-AU"/>
              </w:rPr>
            </w:pPr>
            <w:r w:rsidRPr="003E2DBE">
              <w:rPr>
                <w:lang w:eastAsia="en-AU"/>
              </w:rPr>
              <w:t>Transactions with owners in their capacity as owners</w:t>
            </w:r>
          </w:p>
        </w:tc>
        <w:tc>
          <w:tcPr>
            <w:tcW w:w="1857"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857"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3.2)</w:t>
            </w:r>
          </w:p>
        </w:tc>
      </w:tr>
      <w:tr w:rsidR="000B4A1E" w:rsidRPr="003E2DBE" w:rsidTr="00517E51">
        <w:tc>
          <w:tcPr>
            <w:tcW w:w="5947" w:type="dxa"/>
            <w:tcBorders>
              <w:top w:val="single" w:sz="6" w:space="0" w:color="auto"/>
              <w:left w:val="nil"/>
              <w:bottom w:val="single" w:sz="12" w:space="0" w:color="auto"/>
              <w:right w:val="nil"/>
            </w:tcBorders>
          </w:tcPr>
          <w:p w:rsidR="000B4A1E" w:rsidRPr="003E2DBE" w:rsidRDefault="000B4A1E" w:rsidP="00517E51">
            <w:pPr>
              <w:pStyle w:val="Tabletext"/>
              <w:rPr>
                <w:b/>
                <w:bCs/>
                <w:lang w:eastAsia="en-AU"/>
              </w:rPr>
            </w:pPr>
            <w:r w:rsidRPr="003E2DBE">
              <w:rPr>
                <w:b/>
                <w:bCs/>
                <w:lang w:eastAsia="en-AU"/>
              </w:rPr>
              <w:t>Total equity as at 30 June 2013</w:t>
            </w:r>
          </w:p>
        </w:tc>
        <w:tc>
          <w:tcPr>
            <w:tcW w:w="1857"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(1</w:t>
            </w:r>
            <w:r w:rsidRPr="003E2DBE">
              <w:rPr>
                <w:rFonts w:eastAsiaTheme="minorEastAsia" w:cs="Calibri"/>
                <w:b/>
                <w:bCs/>
                <w:szCs w:val="22"/>
                <w:lang w:eastAsia="en-AU"/>
              </w:rPr>
              <w:t xml:space="preserve"> 765.4)</w:t>
            </w:r>
          </w:p>
        </w:tc>
        <w:tc>
          <w:tcPr>
            <w:tcW w:w="1857"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251.8</w:t>
            </w:r>
          </w:p>
        </w:tc>
      </w:tr>
      <w:tr w:rsidR="000B4A1E" w:rsidRPr="003E2DBE" w:rsidTr="00517E51">
        <w:tc>
          <w:tcPr>
            <w:tcW w:w="5947" w:type="dxa"/>
            <w:tcBorders>
              <w:top w:val="nil"/>
              <w:left w:val="nil"/>
              <w:bottom w:val="single" w:sz="6" w:space="0" w:color="auto"/>
              <w:right w:val="nil"/>
            </w:tcBorders>
          </w:tcPr>
          <w:p w:rsidR="000B4A1E" w:rsidRPr="003E2DBE" w:rsidRDefault="000B4A1E" w:rsidP="00517E51">
            <w:pPr>
              <w:pStyle w:val="Tabletext"/>
              <w:rPr>
                <w:lang w:eastAsia="en-AU"/>
              </w:rPr>
            </w:pPr>
            <w:r w:rsidRPr="003E2DBE">
              <w:rPr>
                <w:lang w:eastAsia="en-AU"/>
              </w:rPr>
              <w:t>Eliminations</w:t>
            </w:r>
          </w:p>
        </w:tc>
        <w:tc>
          <w:tcPr>
            <w:tcW w:w="1857"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919.5)</w:t>
            </w:r>
          </w:p>
        </w:tc>
        <w:tc>
          <w:tcPr>
            <w:tcW w:w="1857"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(30</w:t>
            </w:r>
            <w:r w:rsidRPr="003E2DBE">
              <w:rPr>
                <w:rFonts w:eastAsiaTheme="minorEastAsia" w:cs="Calibri"/>
                <w:szCs w:val="22"/>
                <w:lang w:eastAsia="en-AU"/>
              </w:rPr>
              <w:t xml:space="preserve"> 876.7)</w:t>
            </w:r>
          </w:p>
        </w:tc>
      </w:tr>
      <w:tr w:rsidR="000B4A1E" w:rsidRPr="003E2DBE" w:rsidTr="00517E51">
        <w:tc>
          <w:tcPr>
            <w:tcW w:w="5947" w:type="dxa"/>
            <w:tcBorders>
              <w:top w:val="nil"/>
              <w:left w:val="nil"/>
              <w:bottom w:val="single" w:sz="12" w:space="0" w:color="auto"/>
              <w:right w:val="nil"/>
            </w:tcBorders>
          </w:tcPr>
          <w:p w:rsidR="000B4A1E" w:rsidRPr="003E2DBE" w:rsidRDefault="000B4A1E" w:rsidP="00517E51">
            <w:pPr>
              <w:pStyle w:val="Tabletext"/>
              <w:rPr>
                <w:b/>
                <w:bCs/>
                <w:lang w:eastAsia="en-AU"/>
              </w:rPr>
            </w:pPr>
            <w:r w:rsidRPr="003E2DBE">
              <w:rPr>
                <w:b/>
                <w:bCs/>
                <w:lang w:eastAsia="en-AU"/>
              </w:rPr>
              <w:t>Total whole of government</w:t>
            </w:r>
          </w:p>
        </w:tc>
        <w:tc>
          <w:tcPr>
            <w:tcW w:w="1857"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45 </w:t>
            </w:r>
            <w:r w:rsidRPr="003E2DBE">
              <w:rPr>
                <w:rFonts w:eastAsiaTheme="minorEastAsia" w:cs="Calibri"/>
                <w:b/>
                <w:bCs/>
                <w:szCs w:val="22"/>
                <w:lang w:eastAsia="en-AU"/>
              </w:rPr>
              <w:t>353.0</w:t>
            </w:r>
          </w:p>
        </w:tc>
        <w:tc>
          <w:tcPr>
            <w:tcW w:w="1857"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r>
    </w:tbl>
    <w:p w:rsidR="000B4A1E" w:rsidRPr="00D00665" w:rsidRDefault="000B4A1E" w:rsidP="00517E51">
      <w:pPr>
        <w:pStyle w:val="Notes"/>
      </w:pPr>
    </w:p>
    <w:p w:rsidR="000B4A1E" w:rsidRPr="00D00665" w:rsidRDefault="000B4A1E" w:rsidP="00517E51">
      <w:pPr>
        <w:pStyle w:val="Source"/>
      </w:pPr>
    </w:p>
    <w:p w:rsidR="000B4A1E" w:rsidRPr="00D00665" w:rsidRDefault="000B4A1E" w:rsidP="00517E51">
      <w:pPr>
        <w:pStyle w:val="Heading2NotesContd"/>
      </w:pPr>
      <w:r w:rsidRPr="00D00665">
        <w:br w:type="page"/>
      </w:r>
      <w:r w:rsidRPr="00D00665">
        <w:lastRenderedPageBreak/>
        <w:br/>
      </w:r>
    </w:p>
    <w:p w:rsidR="000B4A1E" w:rsidRDefault="000B4A1E" w:rsidP="00517E51">
      <w:pPr>
        <w:pStyle w:val="million"/>
        <w:rPr>
          <w:rFonts w:ascii="Times New Roman" w:hAnsi="Times New Roman"/>
          <w:i w:val="0"/>
          <w:szCs w:val="20"/>
          <w:lang w:eastAsia="en-AU"/>
        </w:rPr>
      </w:pPr>
    </w:p>
    <w:tbl>
      <w:tblPr>
        <w:tblW w:w="9648" w:type="dxa"/>
        <w:tblInd w:w="29" w:type="dxa"/>
        <w:tblLayout w:type="fixed"/>
        <w:tblCellMar>
          <w:left w:w="43" w:type="dxa"/>
          <w:right w:w="43" w:type="dxa"/>
        </w:tblCellMar>
        <w:tblLook w:val="0000" w:firstRow="0" w:lastRow="0" w:firstColumn="0" w:lastColumn="0" w:noHBand="0" w:noVBand="0"/>
      </w:tblPr>
      <w:tblGrid>
        <w:gridCol w:w="1724"/>
        <w:gridCol w:w="2970"/>
        <w:gridCol w:w="2340"/>
        <w:gridCol w:w="1350"/>
        <w:gridCol w:w="1264"/>
      </w:tblGrid>
      <w:tr w:rsidR="000B4A1E" w:rsidRPr="003E2DBE" w:rsidTr="00517E51">
        <w:tc>
          <w:tcPr>
            <w:tcW w:w="1724" w:type="dxa"/>
            <w:tcBorders>
              <w:top w:val="single" w:sz="12" w:space="0" w:color="auto"/>
              <w:left w:val="single" w:sz="12" w:space="0" w:color="auto"/>
              <w:right w:val="nil"/>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r w:rsidRPr="003E2DBE">
              <w:rPr>
                <w:lang w:eastAsia="en-AU"/>
              </w:rPr>
              <w:t>Non-controlling Interest</w:t>
            </w:r>
          </w:p>
        </w:tc>
        <w:tc>
          <w:tcPr>
            <w:tcW w:w="2970" w:type="dxa"/>
            <w:tcBorders>
              <w:top w:val="single" w:sz="12" w:space="0" w:color="auto"/>
              <w:left w:val="nil"/>
              <w:right w:val="nil"/>
            </w:tcBorders>
            <w:shd w:val="clear" w:color="auto" w:fill="000000"/>
          </w:tcPr>
          <w:p w:rsidR="000B4A1E" w:rsidRPr="003E2DBE" w:rsidRDefault="000B4A1E" w:rsidP="00517E51">
            <w:pPr>
              <w:pStyle w:val="Tabletextheading"/>
              <w:rPr>
                <w:lang w:eastAsia="en-AU"/>
              </w:rPr>
            </w:pPr>
            <w:r w:rsidRPr="003E2DBE">
              <w:rPr>
                <w:lang w:eastAsia="en-AU"/>
              </w:rPr>
              <w:t>Land, buildings, infrastructure, plant and equipment revaluation surplus</w:t>
            </w:r>
          </w:p>
        </w:tc>
        <w:tc>
          <w:tcPr>
            <w:tcW w:w="2340" w:type="dxa"/>
            <w:tcBorders>
              <w:top w:val="single" w:sz="12" w:space="0" w:color="auto"/>
              <w:left w:val="nil"/>
              <w:right w:val="nil"/>
            </w:tcBorders>
            <w:shd w:val="clear" w:color="auto" w:fill="000000"/>
          </w:tcPr>
          <w:p w:rsidR="000B4A1E" w:rsidRPr="003E2DBE" w:rsidRDefault="000B4A1E" w:rsidP="00517E51">
            <w:pPr>
              <w:pStyle w:val="Tabletextheading"/>
              <w:rPr>
                <w:lang w:eastAsia="en-AU"/>
              </w:rPr>
            </w:pPr>
            <w:r w:rsidRPr="003E2DBE">
              <w:rPr>
                <w:lang w:eastAsia="en-AU"/>
              </w:rPr>
              <w:t>Investment in other sector entities revaluation surplus</w:t>
            </w:r>
          </w:p>
        </w:tc>
        <w:tc>
          <w:tcPr>
            <w:tcW w:w="1350" w:type="dxa"/>
            <w:tcBorders>
              <w:top w:val="single" w:sz="12" w:space="0" w:color="auto"/>
              <w:left w:val="nil"/>
              <w:right w:val="nil"/>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r w:rsidRPr="003E2DBE">
              <w:rPr>
                <w:lang w:eastAsia="en-AU"/>
              </w:rPr>
              <w:t xml:space="preserve">Other </w:t>
            </w:r>
          </w:p>
          <w:p w:rsidR="000B4A1E" w:rsidRPr="003E2DBE" w:rsidRDefault="000B4A1E" w:rsidP="00517E51">
            <w:pPr>
              <w:pStyle w:val="Tabletextheading"/>
              <w:rPr>
                <w:lang w:eastAsia="en-AU"/>
              </w:rPr>
            </w:pPr>
            <w:r w:rsidRPr="003E2DBE">
              <w:rPr>
                <w:lang w:eastAsia="en-AU"/>
              </w:rPr>
              <w:t>reserves</w:t>
            </w:r>
          </w:p>
        </w:tc>
        <w:tc>
          <w:tcPr>
            <w:tcW w:w="1264" w:type="dxa"/>
            <w:tcBorders>
              <w:top w:val="single" w:sz="12" w:space="0" w:color="auto"/>
              <w:left w:val="nil"/>
              <w:right w:val="single" w:sz="12" w:space="0" w:color="auto"/>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r w:rsidRPr="003E2DBE">
              <w:rPr>
                <w:lang w:eastAsia="en-AU"/>
              </w:rPr>
              <w:t>Total</w:t>
            </w:r>
          </w:p>
        </w:tc>
      </w:tr>
      <w:tr w:rsidR="000B4A1E" w:rsidRPr="003E2DBE" w:rsidTr="00517E51">
        <w:tc>
          <w:tcPr>
            <w:tcW w:w="1724" w:type="dxa"/>
            <w:tcBorders>
              <w:right w:val="nil"/>
            </w:tcBorders>
            <w:shd w:val="clear" w:color="auto" w:fill="auto"/>
          </w:tcPr>
          <w:p w:rsidR="000B4A1E" w:rsidRPr="003E2DBE" w:rsidRDefault="000B4A1E" w:rsidP="00517E51">
            <w:pPr>
              <w:pStyle w:val="TableofFigures"/>
              <w:rPr>
                <w:b/>
                <w:bCs/>
                <w:lang w:eastAsia="en-AU"/>
              </w:rPr>
            </w:pPr>
            <w:r w:rsidRPr="003E2DBE">
              <w:rPr>
                <w:b/>
                <w:bCs/>
                <w:lang w:eastAsia="en-AU"/>
              </w:rPr>
              <w:t xml:space="preserve">  </w:t>
            </w:r>
          </w:p>
        </w:tc>
        <w:tc>
          <w:tcPr>
            <w:tcW w:w="2970" w:type="dxa"/>
            <w:tcBorders>
              <w:left w:val="nil"/>
              <w:right w:val="nil"/>
            </w:tcBorders>
            <w:shd w:val="clear" w:color="auto" w:fill="auto"/>
          </w:tcPr>
          <w:p w:rsidR="000B4A1E" w:rsidRPr="003E2DBE" w:rsidRDefault="000B4A1E" w:rsidP="00517E51">
            <w:pPr>
              <w:pStyle w:val="Tabletextheading"/>
              <w:rPr>
                <w:b/>
                <w:bCs/>
                <w:lang w:eastAsia="en-AU"/>
              </w:rPr>
            </w:pPr>
            <w:r w:rsidRPr="003E2DBE">
              <w:rPr>
                <w:b/>
                <w:bCs/>
                <w:lang w:eastAsia="en-AU"/>
              </w:rPr>
              <w:t xml:space="preserve">  </w:t>
            </w:r>
          </w:p>
        </w:tc>
        <w:tc>
          <w:tcPr>
            <w:tcW w:w="2340" w:type="dxa"/>
            <w:tcBorders>
              <w:left w:val="nil"/>
              <w:right w:val="nil"/>
            </w:tcBorders>
            <w:shd w:val="clear" w:color="auto" w:fill="auto"/>
          </w:tcPr>
          <w:p w:rsidR="000B4A1E" w:rsidRPr="003E2DBE" w:rsidRDefault="000B4A1E" w:rsidP="00517E51">
            <w:pPr>
              <w:pStyle w:val="Tabletextheading"/>
              <w:rPr>
                <w:b/>
                <w:bCs/>
                <w:lang w:eastAsia="en-AU"/>
              </w:rPr>
            </w:pPr>
            <w:r w:rsidRPr="003E2DBE">
              <w:rPr>
                <w:b/>
                <w:bCs/>
                <w:lang w:eastAsia="en-AU"/>
              </w:rPr>
              <w:t xml:space="preserve">  </w:t>
            </w:r>
          </w:p>
        </w:tc>
        <w:tc>
          <w:tcPr>
            <w:tcW w:w="1350" w:type="dxa"/>
            <w:tcBorders>
              <w:left w:val="nil"/>
              <w:right w:val="nil"/>
            </w:tcBorders>
            <w:shd w:val="clear" w:color="auto" w:fill="auto"/>
          </w:tcPr>
          <w:p w:rsidR="000B4A1E" w:rsidRPr="003E2DBE" w:rsidRDefault="000B4A1E" w:rsidP="00517E51">
            <w:pPr>
              <w:pStyle w:val="Tabletextheading"/>
              <w:rPr>
                <w:b/>
                <w:bCs/>
                <w:lang w:eastAsia="en-AU"/>
              </w:rPr>
            </w:pPr>
            <w:r w:rsidRPr="003E2DBE">
              <w:rPr>
                <w:b/>
                <w:bCs/>
                <w:lang w:eastAsia="en-AU"/>
              </w:rPr>
              <w:t xml:space="preserve">  </w:t>
            </w:r>
          </w:p>
        </w:tc>
        <w:tc>
          <w:tcPr>
            <w:tcW w:w="1264" w:type="dxa"/>
            <w:tcBorders>
              <w:left w:val="nil"/>
            </w:tcBorders>
            <w:shd w:val="clear" w:color="auto" w:fill="auto"/>
          </w:tcPr>
          <w:p w:rsidR="000B4A1E" w:rsidRPr="003E2DBE" w:rsidRDefault="000B4A1E" w:rsidP="00517E51">
            <w:pPr>
              <w:pStyle w:val="Tabletextheading"/>
              <w:rPr>
                <w:b/>
                <w:bCs/>
                <w:lang w:eastAsia="en-AU"/>
              </w:rPr>
            </w:pPr>
            <w:r w:rsidRPr="003E2DBE">
              <w:rPr>
                <w:b/>
                <w:bCs/>
                <w:lang w:eastAsia="en-AU"/>
              </w:rPr>
              <w:t xml:space="preserve">  </w:t>
            </w:r>
          </w:p>
        </w:tc>
      </w:tr>
      <w:tr w:rsidR="000B4A1E" w:rsidRPr="003E2DBE" w:rsidTr="00517E51">
        <w:tc>
          <w:tcPr>
            <w:tcW w:w="1724" w:type="dxa"/>
            <w:tcBorders>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50.0</w:t>
            </w:r>
          </w:p>
        </w:tc>
        <w:tc>
          <w:tcPr>
            <w:tcW w:w="2970" w:type="dxa"/>
            <w:tcBorders>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36 </w:t>
            </w:r>
            <w:r w:rsidRPr="003E2DBE">
              <w:rPr>
                <w:rFonts w:eastAsiaTheme="minorEastAsia" w:cs="Calibri"/>
                <w:szCs w:val="22"/>
                <w:lang w:eastAsia="en-AU"/>
              </w:rPr>
              <w:t>962.6</w:t>
            </w:r>
          </w:p>
        </w:tc>
        <w:tc>
          <w:tcPr>
            <w:tcW w:w="2340" w:type="dxa"/>
            <w:tcBorders>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38 </w:t>
            </w:r>
            <w:r w:rsidRPr="003E2DBE">
              <w:rPr>
                <w:rFonts w:eastAsiaTheme="minorEastAsia" w:cs="Calibri"/>
                <w:szCs w:val="22"/>
                <w:lang w:eastAsia="en-AU"/>
              </w:rPr>
              <w:t>958.4</w:t>
            </w:r>
          </w:p>
        </w:tc>
        <w:tc>
          <w:tcPr>
            <w:tcW w:w="1350" w:type="dxa"/>
            <w:tcBorders>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984.5</w:t>
            </w:r>
          </w:p>
        </w:tc>
        <w:tc>
          <w:tcPr>
            <w:tcW w:w="1264" w:type="dxa"/>
            <w:tcBorders>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111 </w:t>
            </w:r>
            <w:r w:rsidRPr="003E2DBE">
              <w:rPr>
                <w:rFonts w:eastAsiaTheme="minorEastAsia" w:cs="Calibri"/>
                <w:szCs w:val="22"/>
                <w:lang w:eastAsia="en-AU"/>
              </w:rPr>
              <w:t>763.7</w:t>
            </w:r>
          </w:p>
        </w:tc>
      </w:tr>
      <w:tr w:rsidR="000B4A1E" w:rsidRPr="003E2DBE" w:rsidTr="00517E51">
        <w:tc>
          <w:tcPr>
            <w:tcW w:w="172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7 </w:t>
            </w:r>
            <w:r w:rsidRPr="003E2DBE">
              <w:rPr>
                <w:rFonts w:eastAsiaTheme="minorEastAsia" w:cs="Calibri"/>
                <w:szCs w:val="22"/>
                <w:lang w:eastAsia="en-AU"/>
              </w:rPr>
              <w:t>413.8</w:t>
            </w:r>
          </w:p>
        </w:tc>
      </w:tr>
      <w:tr w:rsidR="000B4A1E" w:rsidRPr="003E2DBE" w:rsidTr="00517E51">
        <w:tc>
          <w:tcPr>
            <w:tcW w:w="172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700.5</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810.3)</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63.1)</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779.7</w:t>
            </w:r>
          </w:p>
        </w:tc>
      </w:tr>
      <w:tr w:rsidR="000B4A1E" w:rsidRPr="003E2DBE" w:rsidTr="00517E51">
        <w:tc>
          <w:tcPr>
            <w:tcW w:w="1724"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1724"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50.0</w:t>
            </w:r>
          </w:p>
        </w:tc>
        <w:tc>
          <w:tcPr>
            <w:tcW w:w="297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37 </w:t>
            </w:r>
            <w:r w:rsidRPr="003E2DBE">
              <w:rPr>
                <w:rFonts w:eastAsiaTheme="minorEastAsia" w:cs="Calibri"/>
                <w:b/>
                <w:bCs/>
                <w:szCs w:val="22"/>
                <w:lang w:eastAsia="en-AU"/>
              </w:rPr>
              <w:t>663.1</w:t>
            </w:r>
          </w:p>
        </w:tc>
        <w:tc>
          <w:tcPr>
            <w:tcW w:w="234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38 </w:t>
            </w:r>
            <w:r w:rsidRPr="003E2DBE">
              <w:rPr>
                <w:rFonts w:eastAsiaTheme="minorEastAsia" w:cs="Calibri"/>
                <w:b/>
                <w:bCs/>
                <w:szCs w:val="22"/>
                <w:lang w:eastAsia="en-AU"/>
              </w:rPr>
              <w:t>148.1</w:t>
            </w:r>
          </w:p>
        </w:tc>
        <w:tc>
          <w:tcPr>
            <w:tcW w:w="135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921.3</w:t>
            </w:r>
          </w:p>
        </w:tc>
        <w:tc>
          <w:tcPr>
            <w:tcW w:w="1264"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119 </w:t>
            </w:r>
            <w:r w:rsidRPr="003E2DBE">
              <w:rPr>
                <w:rFonts w:eastAsiaTheme="minorEastAsia" w:cs="Calibri"/>
                <w:b/>
                <w:bCs/>
                <w:szCs w:val="22"/>
                <w:lang w:eastAsia="en-AU"/>
              </w:rPr>
              <w:t>957.2</w:t>
            </w:r>
          </w:p>
        </w:tc>
      </w:tr>
      <w:tr w:rsidR="000B4A1E" w:rsidRPr="003E2DBE" w:rsidTr="00517E51">
        <w:tc>
          <w:tcPr>
            <w:tcW w:w="1724"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297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234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35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31 </w:t>
            </w:r>
            <w:r w:rsidRPr="003E2DBE">
              <w:rPr>
                <w:rFonts w:eastAsiaTheme="minorEastAsia" w:cs="Calibri"/>
                <w:szCs w:val="22"/>
                <w:lang w:eastAsia="en-AU"/>
              </w:rPr>
              <w:t>887.3</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905.3</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66 </w:t>
            </w:r>
            <w:r w:rsidRPr="003E2DBE">
              <w:rPr>
                <w:rFonts w:eastAsiaTheme="minorEastAsia" w:cs="Calibri"/>
                <w:szCs w:val="22"/>
                <w:lang w:eastAsia="en-AU"/>
              </w:rPr>
              <w:t>476.7</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334.8)</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133.2)</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607.5)</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652.2)</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720.3)</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 </w:t>
            </w:r>
            <w:r w:rsidRPr="003E2DBE">
              <w:rPr>
                <w:rFonts w:eastAsiaTheme="minorEastAsia" w:cs="Calibri"/>
                <w:szCs w:val="22"/>
                <w:lang w:eastAsia="en-AU"/>
              </w:rPr>
              <w:t>770.8</w:t>
            </w:r>
          </w:p>
        </w:tc>
      </w:tr>
      <w:tr w:rsidR="000B4A1E" w:rsidRPr="003E2DBE" w:rsidTr="00517E51">
        <w:tc>
          <w:tcPr>
            <w:tcW w:w="1724"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297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31 </w:t>
            </w:r>
            <w:r w:rsidRPr="003E2DBE">
              <w:rPr>
                <w:rFonts w:eastAsiaTheme="minorEastAsia" w:cs="Calibri"/>
                <w:b/>
                <w:bCs/>
                <w:szCs w:val="22"/>
                <w:lang w:eastAsia="en-AU"/>
              </w:rPr>
              <w:t>754.1</w:t>
            </w:r>
          </w:p>
        </w:tc>
        <w:tc>
          <w:tcPr>
            <w:tcW w:w="2340"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135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297.9</w:t>
            </w:r>
          </w:p>
        </w:tc>
        <w:tc>
          <w:tcPr>
            <w:tcW w:w="1264"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67 </w:t>
            </w:r>
            <w:r w:rsidRPr="003E2DBE">
              <w:rPr>
                <w:rFonts w:eastAsiaTheme="minorEastAsia" w:cs="Calibri"/>
                <w:b/>
                <w:bCs/>
                <w:szCs w:val="22"/>
                <w:lang w:eastAsia="en-AU"/>
              </w:rPr>
              <w:t>540.2</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b/>
                <w:bCs/>
                <w:lang w:eastAsia="en-AU"/>
              </w:rPr>
            </w:pPr>
            <w:r w:rsidRPr="003E2DBE">
              <w:rPr>
                <w:b/>
                <w:bCs/>
                <w:lang w:eastAsia="en-AU"/>
              </w:rPr>
              <w:t xml:space="preserve">  </w:t>
            </w:r>
          </w:p>
        </w:tc>
        <w:tc>
          <w:tcPr>
            <w:tcW w:w="297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2340" w:type="dxa"/>
            <w:tcBorders>
              <w:top w:val="nil"/>
              <w:left w:val="nil"/>
              <w:bottom w:val="nil"/>
              <w:right w:val="nil"/>
            </w:tcBorders>
            <w:shd w:val="solid" w:color="FFFFFF" w:fill="auto"/>
          </w:tcPr>
          <w:p w:rsidR="000B4A1E" w:rsidRPr="003E2DBE" w:rsidRDefault="000B4A1E" w:rsidP="00517E51">
            <w:pPr>
              <w:pStyle w:val="TableofFigures"/>
              <w:rPr>
                <w:b/>
                <w:bCs/>
                <w:lang w:eastAsia="en-AU"/>
              </w:rPr>
            </w:pPr>
            <w:r w:rsidRPr="003E2DBE">
              <w:rPr>
                <w:b/>
                <w:bCs/>
                <w:lang w:eastAsia="en-AU"/>
              </w:rPr>
              <w:t xml:space="preserve">  </w:t>
            </w:r>
          </w:p>
        </w:tc>
        <w:tc>
          <w:tcPr>
            <w:tcW w:w="135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16.0</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737.2</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(3</w:t>
            </w:r>
            <w:r w:rsidRPr="003E2DBE">
              <w:rPr>
                <w:rFonts w:eastAsiaTheme="minorEastAsia" w:cs="Calibri"/>
                <w:szCs w:val="22"/>
                <w:lang w:eastAsia="en-AU"/>
              </w:rPr>
              <w:t xml:space="preserve"> 667.7)</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 </w:t>
            </w:r>
            <w:r w:rsidRPr="003E2DBE">
              <w:rPr>
                <w:rFonts w:eastAsiaTheme="minorEastAsia" w:cs="Calibri"/>
                <w:szCs w:val="22"/>
                <w:lang w:eastAsia="en-AU"/>
              </w:rPr>
              <w:t>259.7</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1.0)</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91.3)</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1.0)</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440.6)</w:t>
            </w:r>
          </w:p>
        </w:tc>
      </w:tr>
      <w:tr w:rsidR="000B4A1E" w:rsidRPr="003E2DBE" w:rsidTr="00517E51">
        <w:tc>
          <w:tcPr>
            <w:tcW w:w="1724"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3.2)</w:t>
            </w:r>
          </w:p>
        </w:tc>
      </w:tr>
      <w:tr w:rsidR="000B4A1E" w:rsidRPr="003E2DBE" w:rsidTr="00517E51">
        <w:tc>
          <w:tcPr>
            <w:tcW w:w="1724"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297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15.0</w:t>
            </w:r>
          </w:p>
        </w:tc>
        <w:tc>
          <w:tcPr>
            <w:tcW w:w="2340"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135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645.9</w:t>
            </w:r>
          </w:p>
        </w:tc>
        <w:tc>
          <w:tcPr>
            <w:tcW w:w="1264"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852.8)</w:t>
            </w:r>
          </w:p>
        </w:tc>
      </w:tr>
      <w:tr w:rsidR="000B4A1E" w:rsidRPr="003E2DBE" w:rsidTr="00517E51">
        <w:tc>
          <w:tcPr>
            <w:tcW w:w="1724"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6 </w:t>
            </w:r>
            <w:r w:rsidRPr="003E2DBE">
              <w:rPr>
                <w:rFonts w:eastAsiaTheme="minorEastAsia" w:cs="Calibri"/>
                <w:szCs w:val="22"/>
                <w:lang w:eastAsia="en-AU"/>
              </w:rPr>
              <w:t>931.8</w:t>
            </w:r>
          </w:p>
        </w:tc>
        <w:tc>
          <w:tcPr>
            <w:tcW w:w="234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(38</w:t>
            </w:r>
            <w:r w:rsidRPr="003E2DBE">
              <w:rPr>
                <w:rFonts w:eastAsiaTheme="minorEastAsia" w:cs="Calibri"/>
                <w:szCs w:val="22"/>
                <w:lang w:eastAsia="en-AU"/>
              </w:rPr>
              <w:t xml:space="preserve"> 148.1)</w:t>
            </w:r>
          </w:p>
        </w:tc>
        <w:tc>
          <w:tcPr>
            <w:tcW w:w="135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(63</w:t>
            </w:r>
            <w:r w:rsidRPr="003E2DBE">
              <w:rPr>
                <w:rFonts w:eastAsiaTheme="minorEastAsia" w:cs="Calibri"/>
                <w:szCs w:val="22"/>
                <w:lang w:eastAsia="en-AU"/>
              </w:rPr>
              <w:t xml:space="preserve"> 012.5)</w:t>
            </w:r>
          </w:p>
        </w:tc>
      </w:tr>
      <w:tr w:rsidR="000B4A1E" w:rsidRPr="003E2DBE" w:rsidTr="00517E51">
        <w:tc>
          <w:tcPr>
            <w:tcW w:w="1724"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50.0</w:t>
            </w:r>
          </w:p>
        </w:tc>
        <w:tc>
          <w:tcPr>
            <w:tcW w:w="297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76 </w:t>
            </w:r>
            <w:r w:rsidRPr="003E2DBE">
              <w:rPr>
                <w:rFonts w:eastAsiaTheme="minorEastAsia" w:cs="Calibri"/>
                <w:b/>
                <w:bCs/>
                <w:szCs w:val="22"/>
                <w:lang w:eastAsia="en-AU"/>
              </w:rPr>
              <w:t>364.0</w:t>
            </w:r>
          </w:p>
        </w:tc>
        <w:tc>
          <w:tcPr>
            <w:tcW w:w="234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135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1 </w:t>
            </w:r>
            <w:r w:rsidRPr="003E2DBE">
              <w:rPr>
                <w:rFonts w:eastAsiaTheme="minorEastAsia" w:cs="Calibri"/>
                <w:b/>
                <w:bCs/>
                <w:szCs w:val="22"/>
                <w:lang w:eastAsia="en-AU"/>
              </w:rPr>
              <w:t>865.1</w:t>
            </w:r>
          </w:p>
        </w:tc>
        <w:tc>
          <w:tcPr>
            <w:tcW w:w="1264"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123 </w:t>
            </w:r>
            <w:r w:rsidRPr="003E2DBE">
              <w:rPr>
                <w:rFonts w:eastAsiaTheme="minorEastAsia" w:cs="Calibri"/>
                <w:b/>
                <w:bCs/>
                <w:szCs w:val="22"/>
                <w:lang w:eastAsia="en-AU"/>
              </w:rPr>
              <w:t>632.1</w:t>
            </w:r>
          </w:p>
        </w:tc>
      </w:tr>
    </w:tbl>
    <w:p w:rsidR="000B4A1E" w:rsidRPr="00D00665" w:rsidRDefault="000B4A1E" w:rsidP="00517E51">
      <w:pPr>
        <w:pStyle w:val="million"/>
      </w:pPr>
    </w:p>
    <w:p w:rsidR="000B4A1E" w:rsidRPr="00D00665" w:rsidRDefault="000B4A1E" w:rsidP="00517E51">
      <w:pPr>
        <w:pStyle w:val="million"/>
      </w:pPr>
    </w:p>
    <w:p w:rsidR="000B4A1E" w:rsidRPr="00D00665" w:rsidRDefault="000B4A1E" w:rsidP="00517E51">
      <w:pPr>
        <w:pStyle w:val="Heading2NotesContd"/>
        <w:spacing w:before="120"/>
      </w:pPr>
      <w:r w:rsidRPr="00D00665">
        <w:br w:type="page"/>
      </w:r>
      <w:r w:rsidRPr="00D00665">
        <w:lastRenderedPageBreak/>
        <w:t>Note 2:</w:t>
      </w:r>
      <w:r w:rsidRPr="00D00665">
        <w:tab/>
        <w:t xml:space="preserve">Disaggregated statement of changes in equity for the financial year ended 30 June </w:t>
      </w:r>
      <w:r w:rsidRPr="00D00665">
        <w:rPr>
          <w:i/>
        </w:rPr>
        <w:t>(continued)</w:t>
      </w:r>
    </w:p>
    <w:p w:rsidR="000B4A1E" w:rsidRPr="008F52E4" w:rsidRDefault="000B4A1E" w:rsidP="00517E51">
      <w:pPr>
        <w:pStyle w:val="million"/>
      </w:pPr>
      <w:r w:rsidRPr="00D00665">
        <w:t>($</w:t>
      </w:r>
      <w:r>
        <w:t> million</w:t>
      </w:r>
      <w:r w:rsidRPr="00D00665">
        <w:t>)</w:t>
      </w:r>
    </w:p>
    <w:tbl>
      <w:tblPr>
        <w:tblW w:w="9676" w:type="dxa"/>
        <w:tblInd w:w="29" w:type="dxa"/>
        <w:tblLayout w:type="fixed"/>
        <w:tblCellMar>
          <w:left w:w="43" w:type="dxa"/>
          <w:right w:w="43" w:type="dxa"/>
        </w:tblCellMar>
        <w:tblLook w:val="0000" w:firstRow="0" w:lastRow="0" w:firstColumn="0" w:lastColumn="0" w:noHBand="0" w:noVBand="0"/>
      </w:tblPr>
      <w:tblGrid>
        <w:gridCol w:w="5956"/>
        <w:gridCol w:w="1860"/>
        <w:gridCol w:w="1860"/>
      </w:tblGrid>
      <w:tr w:rsidR="000B4A1E" w:rsidRPr="008F52E4" w:rsidTr="00517E51">
        <w:tc>
          <w:tcPr>
            <w:tcW w:w="5947" w:type="dxa"/>
            <w:tcBorders>
              <w:top w:val="single" w:sz="12" w:space="0" w:color="auto"/>
              <w:left w:val="single" w:sz="12" w:space="0" w:color="auto"/>
              <w:bottom w:val="single" w:sz="12" w:space="0" w:color="auto"/>
              <w:right w:val="nil"/>
            </w:tcBorders>
            <w:shd w:val="clear" w:color="auto" w:fill="000000"/>
          </w:tcPr>
          <w:p w:rsidR="000B4A1E" w:rsidRPr="008F52E4" w:rsidRDefault="000B4A1E" w:rsidP="00517E51">
            <w:pPr>
              <w:pStyle w:val="Tabletext"/>
              <w:rPr>
                <w:lang w:eastAsia="en-AU"/>
              </w:rPr>
            </w:pPr>
          </w:p>
          <w:p w:rsidR="000B4A1E" w:rsidRPr="008F52E4" w:rsidRDefault="000B4A1E" w:rsidP="00517E51">
            <w:pPr>
              <w:pStyle w:val="Tabletext"/>
              <w:rPr>
                <w:lang w:eastAsia="en-AU"/>
              </w:rPr>
            </w:pPr>
          </w:p>
          <w:p w:rsidR="000B4A1E" w:rsidRPr="008F52E4" w:rsidRDefault="000B4A1E" w:rsidP="00517E51">
            <w:pPr>
              <w:autoSpaceDE w:val="0"/>
              <w:autoSpaceDN w:val="0"/>
              <w:adjustRightInd w:val="0"/>
              <w:spacing w:after="0"/>
              <w:rPr>
                <w:rFonts w:ascii="Calibri" w:eastAsiaTheme="minorEastAsia" w:hAnsi="Calibri" w:cs="Calibri"/>
                <w:i/>
                <w:iCs/>
                <w:color w:val="FFFFFF"/>
                <w:sz w:val="22"/>
                <w:szCs w:val="22"/>
                <w:vertAlign w:val="superscript"/>
                <w:lang w:eastAsia="en-AU"/>
              </w:rPr>
            </w:pPr>
            <w:r w:rsidRPr="008F52E4">
              <w:rPr>
                <w:rFonts w:ascii="Calibri" w:hAnsi="Calibri" w:cs="Calibri"/>
                <w:i/>
                <w:iCs/>
                <w:sz w:val="22"/>
                <w:szCs w:val="22"/>
                <w:lang w:eastAsia="en-AU"/>
              </w:rPr>
              <w:t xml:space="preserve">2012 </w:t>
            </w:r>
            <w:r w:rsidRPr="008F52E4">
              <w:rPr>
                <w:rFonts w:ascii="Calibri" w:eastAsiaTheme="minorEastAsia" w:hAnsi="Calibri" w:cs="Calibri"/>
                <w:i/>
                <w:iCs/>
                <w:color w:val="FFFFFF"/>
                <w:sz w:val="22"/>
                <w:szCs w:val="22"/>
                <w:vertAlign w:val="superscript"/>
                <w:lang w:eastAsia="en-AU"/>
              </w:rPr>
              <w:t>(a)</w:t>
            </w:r>
          </w:p>
        </w:tc>
        <w:tc>
          <w:tcPr>
            <w:tcW w:w="1857" w:type="dxa"/>
            <w:tcBorders>
              <w:top w:val="single" w:sz="12" w:space="0" w:color="auto"/>
              <w:left w:val="nil"/>
              <w:bottom w:val="single" w:sz="12" w:space="0" w:color="auto"/>
              <w:right w:val="nil"/>
            </w:tcBorders>
            <w:shd w:val="clear" w:color="auto" w:fill="000000"/>
          </w:tcPr>
          <w:p w:rsidR="000B4A1E" w:rsidRPr="008F52E4" w:rsidRDefault="000B4A1E" w:rsidP="00517E51">
            <w:pPr>
              <w:pStyle w:val="Tabletextheading"/>
              <w:rPr>
                <w:lang w:eastAsia="en-AU"/>
              </w:rPr>
            </w:pPr>
          </w:p>
          <w:p w:rsidR="000B4A1E" w:rsidRPr="008F52E4" w:rsidRDefault="000B4A1E" w:rsidP="00517E51">
            <w:pPr>
              <w:pStyle w:val="Tabletextheading"/>
              <w:rPr>
                <w:lang w:eastAsia="en-AU"/>
              </w:rPr>
            </w:pPr>
            <w:r w:rsidRPr="008F52E4">
              <w:rPr>
                <w:lang w:eastAsia="en-AU"/>
              </w:rPr>
              <w:t>Accumulated surplus/(deficit)</w:t>
            </w:r>
          </w:p>
        </w:tc>
        <w:tc>
          <w:tcPr>
            <w:tcW w:w="1857" w:type="dxa"/>
            <w:tcBorders>
              <w:top w:val="single" w:sz="12" w:space="0" w:color="auto"/>
              <w:left w:val="nil"/>
              <w:bottom w:val="single" w:sz="12" w:space="0" w:color="auto"/>
              <w:right w:val="single" w:sz="12" w:space="0" w:color="auto"/>
            </w:tcBorders>
            <w:shd w:val="clear" w:color="auto" w:fill="000000"/>
          </w:tcPr>
          <w:p w:rsidR="000B4A1E" w:rsidRPr="008F52E4" w:rsidRDefault="000B4A1E" w:rsidP="00517E51">
            <w:pPr>
              <w:pStyle w:val="Tabletextheading"/>
              <w:rPr>
                <w:lang w:eastAsia="en-AU"/>
              </w:rPr>
            </w:pPr>
          </w:p>
          <w:p w:rsidR="000B4A1E" w:rsidRPr="008F52E4" w:rsidRDefault="000B4A1E" w:rsidP="00517E51">
            <w:pPr>
              <w:pStyle w:val="Tabletextheading"/>
              <w:rPr>
                <w:lang w:eastAsia="en-AU"/>
              </w:rPr>
            </w:pPr>
            <w:r w:rsidRPr="008F52E4">
              <w:rPr>
                <w:lang w:eastAsia="en-AU"/>
              </w:rPr>
              <w:t>Contribution by owners</w:t>
            </w:r>
          </w:p>
        </w:tc>
      </w:tr>
      <w:tr w:rsidR="000B4A1E" w:rsidRPr="008F52E4" w:rsidTr="00517E51">
        <w:tc>
          <w:tcPr>
            <w:tcW w:w="5947" w:type="dxa"/>
            <w:tcBorders>
              <w:top w:val="single" w:sz="12" w:space="0" w:color="auto"/>
              <w:left w:val="nil"/>
              <w:bottom w:val="nil"/>
              <w:right w:val="nil"/>
            </w:tcBorders>
          </w:tcPr>
          <w:p w:rsidR="000B4A1E" w:rsidRPr="008F52E4" w:rsidRDefault="000B4A1E" w:rsidP="00517E51">
            <w:pPr>
              <w:pStyle w:val="Tabletext"/>
              <w:rPr>
                <w:b/>
                <w:bCs/>
                <w:lang w:eastAsia="en-AU"/>
              </w:rPr>
            </w:pPr>
            <w:r w:rsidRPr="008F52E4">
              <w:rPr>
                <w:b/>
                <w:bCs/>
                <w:lang w:eastAsia="en-AU"/>
              </w:rPr>
              <w:t>General government sector</w:t>
            </w:r>
          </w:p>
        </w:tc>
        <w:tc>
          <w:tcPr>
            <w:tcW w:w="1857" w:type="dxa"/>
            <w:tcBorders>
              <w:top w:val="single" w:sz="12" w:space="0" w:color="auto"/>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c>
          <w:tcPr>
            <w:tcW w:w="1857" w:type="dxa"/>
            <w:tcBorders>
              <w:top w:val="single" w:sz="12" w:space="0" w:color="auto"/>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Balance at 1 July 2011</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44 </w:t>
            </w:r>
            <w:r w:rsidRPr="008F52E4">
              <w:rPr>
                <w:rFonts w:eastAsiaTheme="minorEastAsia" w:cs="Calibri"/>
                <w:szCs w:val="22"/>
                <w:lang w:eastAsia="en-AU"/>
              </w:rPr>
              <w:t>048.9</w:t>
            </w:r>
          </w:p>
        </w:tc>
        <w:tc>
          <w:tcPr>
            <w:tcW w:w="1857" w:type="dxa"/>
            <w:tcBorders>
              <w:top w:val="nil"/>
              <w:left w:val="nil"/>
              <w:bottom w:val="nil"/>
              <w:right w:val="nil"/>
            </w:tcBorders>
            <w:shd w:val="solid" w:color="FFFFFF" w:fill="auto"/>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Net result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(9</w:t>
            </w:r>
            <w:r w:rsidRPr="008F52E4">
              <w:rPr>
                <w:rFonts w:eastAsiaTheme="minorEastAsia" w:cs="Calibri"/>
                <w:szCs w:val="22"/>
                <w:lang w:eastAsia="en-AU"/>
              </w:rPr>
              <w:t xml:space="preserve"> 652.9)</w:t>
            </w:r>
          </w:p>
        </w:tc>
        <w:tc>
          <w:tcPr>
            <w:tcW w:w="1857" w:type="dxa"/>
            <w:tcBorders>
              <w:top w:val="nil"/>
              <w:left w:val="nil"/>
              <w:bottom w:val="nil"/>
              <w:right w:val="nil"/>
            </w:tcBorders>
            <w:shd w:val="solid" w:color="FFFFFF" w:fill="auto"/>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Other comprehensive income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412.2</w:t>
            </w:r>
          </w:p>
        </w:tc>
        <w:tc>
          <w:tcPr>
            <w:tcW w:w="1857" w:type="dxa"/>
            <w:tcBorders>
              <w:top w:val="nil"/>
              <w:left w:val="nil"/>
              <w:bottom w:val="nil"/>
              <w:right w:val="nil"/>
            </w:tcBorders>
            <w:shd w:val="solid" w:color="FFFFFF" w:fill="auto"/>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single" w:sz="6" w:space="0" w:color="auto"/>
              <w:right w:val="nil"/>
            </w:tcBorders>
          </w:tcPr>
          <w:p w:rsidR="000B4A1E" w:rsidRPr="008F52E4" w:rsidRDefault="000B4A1E" w:rsidP="00517E51">
            <w:pPr>
              <w:pStyle w:val="Tabletext"/>
              <w:rPr>
                <w:lang w:eastAsia="en-AU"/>
              </w:rPr>
            </w:pPr>
            <w:r w:rsidRPr="008F52E4">
              <w:rPr>
                <w:lang w:eastAsia="en-AU"/>
              </w:rPr>
              <w:t>Transactions with owners in their capacity as owners</w:t>
            </w:r>
          </w:p>
        </w:tc>
        <w:tc>
          <w:tcPr>
            <w:tcW w:w="1857" w:type="dxa"/>
            <w:tcBorders>
              <w:top w:val="nil"/>
              <w:left w:val="nil"/>
              <w:bottom w:val="single" w:sz="6" w:space="0" w:color="auto"/>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c>
          <w:tcPr>
            <w:tcW w:w="1857" w:type="dxa"/>
            <w:tcBorders>
              <w:top w:val="nil"/>
              <w:left w:val="nil"/>
              <w:bottom w:val="single" w:sz="6" w:space="0" w:color="auto"/>
              <w:right w:val="nil"/>
            </w:tcBorders>
            <w:shd w:val="solid" w:color="FFFFFF" w:fill="auto"/>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single" w:sz="12" w:space="0" w:color="auto"/>
              <w:right w:val="nil"/>
            </w:tcBorders>
          </w:tcPr>
          <w:p w:rsidR="000B4A1E" w:rsidRPr="008F52E4" w:rsidRDefault="000B4A1E" w:rsidP="00517E51">
            <w:pPr>
              <w:pStyle w:val="Tabletext"/>
              <w:rPr>
                <w:b/>
                <w:bCs/>
                <w:lang w:eastAsia="en-AU"/>
              </w:rPr>
            </w:pPr>
            <w:r w:rsidRPr="008F52E4">
              <w:rPr>
                <w:b/>
                <w:bCs/>
                <w:lang w:eastAsia="en-AU"/>
              </w:rPr>
              <w:t>Total equity as at 30 June 2012</w:t>
            </w:r>
          </w:p>
        </w:tc>
        <w:tc>
          <w:tcPr>
            <w:tcW w:w="1857" w:type="dxa"/>
            <w:tcBorders>
              <w:top w:val="nil"/>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 xml:space="preserve">34 </w:t>
            </w:r>
            <w:r w:rsidRPr="008F52E4">
              <w:rPr>
                <w:rFonts w:eastAsiaTheme="minorEastAsia" w:cs="Calibri"/>
                <w:b/>
                <w:bCs/>
                <w:szCs w:val="22"/>
                <w:lang w:eastAsia="en-AU"/>
              </w:rPr>
              <w:t>808.2</w:t>
            </w:r>
          </w:p>
        </w:tc>
        <w:tc>
          <w:tcPr>
            <w:tcW w:w="1857" w:type="dxa"/>
            <w:tcBorders>
              <w:top w:val="nil"/>
              <w:left w:val="nil"/>
              <w:bottom w:val="single" w:sz="12" w:space="0" w:color="auto"/>
              <w:right w:val="nil"/>
            </w:tcBorders>
            <w:shd w:val="solid" w:color="FFFFFF" w:fill="auto"/>
          </w:tcPr>
          <w:p w:rsidR="000B4A1E" w:rsidRPr="008F52E4" w:rsidRDefault="000B4A1E" w:rsidP="00517E51">
            <w:pPr>
              <w:pStyle w:val="TableofFigures"/>
              <w:rPr>
                <w:rFonts w:eastAsiaTheme="minorEastAsia" w:cs="Calibri"/>
                <w:b/>
                <w:bCs/>
                <w:szCs w:val="22"/>
                <w:lang w:eastAsia="en-AU"/>
              </w:rPr>
            </w:pPr>
            <w:r w:rsidRPr="008F52E4">
              <w:rPr>
                <w:b/>
                <w:bCs/>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b/>
                <w:bCs/>
                <w:lang w:eastAsia="en-AU"/>
              </w:rPr>
            </w:pPr>
            <w:r w:rsidRPr="008F52E4">
              <w:rPr>
                <w:b/>
                <w:bCs/>
                <w:lang w:eastAsia="en-AU"/>
              </w:rPr>
              <w:t>PNFC sector</w:t>
            </w:r>
          </w:p>
        </w:tc>
        <w:tc>
          <w:tcPr>
            <w:tcW w:w="1857" w:type="dxa"/>
            <w:tcBorders>
              <w:top w:val="nil"/>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c>
          <w:tcPr>
            <w:tcW w:w="1857" w:type="dxa"/>
            <w:tcBorders>
              <w:top w:val="nil"/>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Balance at 1 July 2011</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6 </w:t>
            </w:r>
            <w:r w:rsidRPr="008F52E4">
              <w:rPr>
                <w:rFonts w:eastAsiaTheme="minorEastAsia" w:cs="Calibri"/>
                <w:szCs w:val="22"/>
                <w:lang w:eastAsia="en-AU"/>
              </w:rPr>
              <w:t>583.2</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25 </w:t>
            </w:r>
            <w:r w:rsidRPr="008F52E4">
              <w:rPr>
                <w:rFonts w:eastAsiaTheme="minorEastAsia" w:cs="Calibri"/>
                <w:szCs w:val="22"/>
                <w:lang w:eastAsia="en-AU"/>
              </w:rPr>
              <w:t>427.1</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Net result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w:t>
            </w:r>
            <w:r w:rsidRPr="008F52E4">
              <w:rPr>
                <w:rFonts w:eastAsiaTheme="minorEastAsia" w:cs="Calibri"/>
                <w:szCs w:val="22"/>
                <w:lang w:eastAsia="en-AU"/>
              </w:rPr>
              <w:t>225.5)</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Other comprehensive income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w:t>
            </w:r>
            <w:r w:rsidRPr="008F52E4">
              <w:rPr>
                <w:rFonts w:eastAsiaTheme="minorEastAsia" w:cs="Calibri"/>
                <w:szCs w:val="22"/>
                <w:lang w:eastAsia="en-AU"/>
              </w:rPr>
              <w:t>221.8)</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Dividends paid</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w:t>
            </w:r>
            <w:r w:rsidRPr="008F52E4">
              <w:rPr>
                <w:rFonts w:eastAsiaTheme="minorEastAsia" w:cs="Calibri"/>
                <w:szCs w:val="22"/>
                <w:lang w:eastAsia="en-AU"/>
              </w:rPr>
              <w:t>305.9)</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Transactions with owners in their capacity as owners</w:t>
            </w:r>
          </w:p>
        </w:tc>
        <w:tc>
          <w:tcPr>
            <w:tcW w:w="1857" w:type="dxa"/>
            <w:tcBorders>
              <w:top w:val="nil"/>
              <w:left w:val="nil"/>
              <w:bottom w:val="single" w:sz="6" w:space="0" w:color="auto"/>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2 </w:t>
            </w:r>
            <w:r w:rsidRPr="008F52E4">
              <w:rPr>
                <w:rFonts w:eastAsiaTheme="minorEastAsia" w:cs="Calibri"/>
                <w:szCs w:val="22"/>
                <w:lang w:eastAsia="en-AU"/>
              </w:rPr>
              <w:t>427.0</w:t>
            </w:r>
          </w:p>
        </w:tc>
      </w:tr>
      <w:tr w:rsidR="000B4A1E" w:rsidRPr="008F52E4" w:rsidTr="00517E51">
        <w:tc>
          <w:tcPr>
            <w:tcW w:w="5947" w:type="dxa"/>
            <w:tcBorders>
              <w:top w:val="single" w:sz="6" w:space="0" w:color="auto"/>
              <w:left w:val="nil"/>
              <w:bottom w:val="single" w:sz="12" w:space="0" w:color="auto"/>
              <w:right w:val="nil"/>
            </w:tcBorders>
          </w:tcPr>
          <w:p w:rsidR="000B4A1E" w:rsidRPr="008F52E4" w:rsidRDefault="000B4A1E" w:rsidP="00517E51">
            <w:pPr>
              <w:pStyle w:val="Tabletext"/>
              <w:rPr>
                <w:b/>
                <w:bCs/>
                <w:lang w:eastAsia="en-AU"/>
              </w:rPr>
            </w:pPr>
            <w:r w:rsidRPr="008F52E4">
              <w:rPr>
                <w:b/>
                <w:bCs/>
                <w:lang w:eastAsia="en-AU"/>
              </w:rPr>
              <w:t>Total equity as at 30 June 2012</w:t>
            </w:r>
          </w:p>
        </w:tc>
        <w:tc>
          <w:tcPr>
            <w:tcW w:w="1857" w:type="dxa"/>
            <w:tcBorders>
              <w:top w:val="single" w:sz="6" w:space="0" w:color="auto"/>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 xml:space="preserve">5 </w:t>
            </w:r>
            <w:r w:rsidRPr="008F52E4">
              <w:rPr>
                <w:rFonts w:eastAsiaTheme="minorEastAsia" w:cs="Calibri"/>
                <w:b/>
                <w:bCs/>
                <w:szCs w:val="22"/>
                <w:lang w:eastAsia="en-AU"/>
              </w:rPr>
              <w:t>830.0</w:t>
            </w:r>
          </w:p>
        </w:tc>
        <w:tc>
          <w:tcPr>
            <w:tcW w:w="1857" w:type="dxa"/>
            <w:tcBorders>
              <w:top w:val="single" w:sz="6" w:space="0" w:color="auto"/>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 xml:space="preserve">27 </w:t>
            </w:r>
            <w:r w:rsidRPr="008F52E4">
              <w:rPr>
                <w:rFonts w:eastAsiaTheme="minorEastAsia" w:cs="Calibri"/>
                <w:b/>
                <w:bCs/>
                <w:szCs w:val="22"/>
                <w:lang w:eastAsia="en-AU"/>
              </w:rPr>
              <w:t>854.1</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b/>
                <w:bCs/>
                <w:lang w:eastAsia="en-AU"/>
              </w:rPr>
            </w:pPr>
            <w:r w:rsidRPr="008F52E4">
              <w:rPr>
                <w:b/>
                <w:bCs/>
                <w:lang w:eastAsia="en-AU"/>
              </w:rPr>
              <w:t>PFC sector</w:t>
            </w:r>
          </w:p>
        </w:tc>
        <w:tc>
          <w:tcPr>
            <w:tcW w:w="1857" w:type="dxa"/>
            <w:tcBorders>
              <w:top w:val="nil"/>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c>
          <w:tcPr>
            <w:tcW w:w="1857" w:type="dxa"/>
            <w:tcBorders>
              <w:top w:val="nil"/>
              <w:left w:val="nil"/>
              <w:bottom w:val="nil"/>
              <w:right w:val="nil"/>
            </w:tcBorders>
          </w:tcPr>
          <w:p w:rsidR="000B4A1E" w:rsidRPr="008F52E4" w:rsidRDefault="000B4A1E" w:rsidP="00517E51">
            <w:pPr>
              <w:pStyle w:val="TableofFigures"/>
              <w:rPr>
                <w:b/>
                <w:bCs/>
                <w:lang w:eastAsia="en-AU"/>
              </w:rPr>
            </w:pPr>
            <w:r w:rsidRPr="008F52E4">
              <w:rPr>
                <w:b/>
                <w:bCs/>
                <w:lang w:eastAsia="en-AU"/>
              </w:rPr>
              <w:t xml:space="preserve">  </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Balance at 1 July 2011</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114.6</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201.2</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Net result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(4</w:t>
            </w:r>
            <w:r w:rsidRPr="008F52E4">
              <w:rPr>
                <w:rFonts w:eastAsiaTheme="minorEastAsia" w:cs="Calibri"/>
                <w:szCs w:val="22"/>
                <w:lang w:eastAsia="en-AU"/>
              </w:rPr>
              <w:t xml:space="preserve"> 436.0)</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Other comprehensive income for the year</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w:t>
            </w:r>
            <w:r w:rsidRPr="008F52E4">
              <w:rPr>
                <w:rFonts w:eastAsiaTheme="minorEastAsia" w:cs="Calibri"/>
                <w:szCs w:val="22"/>
                <w:lang w:eastAsia="en-AU"/>
              </w:rPr>
              <w:t>1.0)</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nil"/>
              <w:right w:val="nil"/>
            </w:tcBorders>
          </w:tcPr>
          <w:p w:rsidR="000B4A1E" w:rsidRPr="008F52E4" w:rsidRDefault="000B4A1E" w:rsidP="00517E51">
            <w:pPr>
              <w:pStyle w:val="Tabletext"/>
              <w:rPr>
                <w:lang w:eastAsia="en-AU"/>
              </w:rPr>
            </w:pPr>
            <w:r w:rsidRPr="008F52E4">
              <w:rPr>
                <w:lang w:eastAsia="en-AU"/>
              </w:rPr>
              <w:t>Dividends paid</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w:t>
            </w:r>
            <w:r w:rsidRPr="008F52E4">
              <w:rPr>
                <w:rFonts w:eastAsiaTheme="minorEastAsia" w:cs="Calibri"/>
                <w:szCs w:val="22"/>
                <w:lang w:eastAsia="en-AU"/>
              </w:rPr>
              <w:t>353.4)</w:t>
            </w:r>
          </w:p>
        </w:tc>
        <w:tc>
          <w:tcPr>
            <w:tcW w:w="1857" w:type="dxa"/>
            <w:tcBorders>
              <w:top w:val="nil"/>
              <w:left w:val="nil"/>
              <w:bottom w:val="nil"/>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r>
      <w:tr w:rsidR="000B4A1E" w:rsidRPr="008F52E4" w:rsidTr="00517E51">
        <w:tc>
          <w:tcPr>
            <w:tcW w:w="5947" w:type="dxa"/>
            <w:tcBorders>
              <w:top w:val="nil"/>
              <w:left w:val="nil"/>
              <w:bottom w:val="single" w:sz="6" w:space="0" w:color="auto"/>
              <w:right w:val="nil"/>
            </w:tcBorders>
          </w:tcPr>
          <w:p w:rsidR="000B4A1E" w:rsidRPr="008F52E4" w:rsidRDefault="000B4A1E" w:rsidP="00517E51">
            <w:pPr>
              <w:pStyle w:val="Tabletext"/>
              <w:rPr>
                <w:lang w:eastAsia="en-AU"/>
              </w:rPr>
            </w:pPr>
            <w:r w:rsidRPr="008F52E4">
              <w:rPr>
                <w:lang w:eastAsia="en-AU"/>
              </w:rPr>
              <w:t>Transactions with owners in their capacity as owners</w:t>
            </w:r>
          </w:p>
        </w:tc>
        <w:tc>
          <w:tcPr>
            <w:tcW w:w="1857" w:type="dxa"/>
            <w:tcBorders>
              <w:top w:val="nil"/>
              <w:left w:val="nil"/>
              <w:bottom w:val="single" w:sz="6" w:space="0" w:color="auto"/>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w:t>
            </w:r>
          </w:p>
        </w:tc>
        <w:tc>
          <w:tcPr>
            <w:tcW w:w="1857" w:type="dxa"/>
            <w:tcBorders>
              <w:top w:val="nil"/>
              <w:left w:val="nil"/>
              <w:bottom w:val="single" w:sz="6" w:space="0" w:color="auto"/>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 xml:space="preserve"> 53.7</w:t>
            </w:r>
          </w:p>
        </w:tc>
      </w:tr>
      <w:tr w:rsidR="000B4A1E" w:rsidRPr="008F52E4" w:rsidTr="00517E51">
        <w:tc>
          <w:tcPr>
            <w:tcW w:w="5947" w:type="dxa"/>
            <w:tcBorders>
              <w:top w:val="single" w:sz="6" w:space="0" w:color="auto"/>
              <w:left w:val="nil"/>
              <w:bottom w:val="single" w:sz="12" w:space="0" w:color="auto"/>
              <w:right w:val="nil"/>
            </w:tcBorders>
          </w:tcPr>
          <w:p w:rsidR="000B4A1E" w:rsidRPr="008F52E4" w:rsidRDefault="000B4A1E" w:rsidP="00517E51">
            <w:pPr>
              <w:pStyle w:val="Tabletext"/>
              <w:rPr>
                <w:b/>
                <w:bCs/>
                <w:lang w:eastAsia="en-AU"/>
              </w:rPr>
            </w:pPr>
            <w:r w:rsidRPr="008F52E4">
              <w:rPr>
                <w:b/>
                <w:bCs/>
                <w:lang w:eastAsia="en-AU"/>
              </w:rPr>
              <w:t>Total equity as at 30 June 2012</w:t>
            </w:r>
          </w:p>
        </w:tc>
        <w:tc>
          <w:tcPr>
            <w:tcW w:w="1857" w:type="dxa"/>
            <w:tcBorders>
              <w:top w:val="single" w:sz="6" w:space="0" w:color="auto"/>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(4</w:t>
            </w:r>
            <w:r w:rsidRPr="008F52E4">
              <w:rPr>
                <w:rFonts w:eastAsiaTheme="minorEastAsia" w:cs="Calibri"/>
                <w:b/>
                <w:bCs/>
                <w:szCs w:val="22"/>
                <w:lang w:eastAsia="en-AU"/>
              </w:rPr>
              <w:t xml:space="preserve"> 675.8)</w:t>
            </w:r>
          </w:p>
        </w:tc>
        <w:tc>
          <w:tcPr>
            <w:tcW w:w="1857" w:type="dxa"/>
            <w:tcBorders>
              <w:top w:val="single" w:sz="6" w:space="0" w:color="auto"/>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 xml:space="preserve"> 254.9</w:t>
            </w:r>
          </w:p>
        </w:tc>
      </w:tr>
      <w:tr w:rsidR="000B4A1E" w:rsidRPr="008F52E4" w:rsidTr="00517E51">
        <w:tc>
          <w:tcPr>
            <w:tcW w:w="5947" w:type="dxa"/>
            <w:tcBorders>
              <w:top w:val="nil"/>
              <w:left w:val="nil"/>
              <w:bottom w:val="single" w:sz="6" w:space="0" w:color="auto"/>
              <w:right w:val="nil"/>
            </w:tcBorders>
          </w:tcPr>
          <w:p w:rsidR="000B4A1E" w:rsidRPr="008F52E4" w:rsidRDefault="000B4A1E" w:rsidP="00517E51">
            <w:pPr>
              <w:pStyle w:val="Tabletext"/>
              <w:rPr>
                <w:lang w:eastAsia="en-AU"/>
              </w:rPr>
            </w:pPr>
            <w:r w:rsidRPr="008F52E4">
              <w:rPr>
                <w:lang w:eastAsia="en-AU"/>
              </w:rPr>
              <w:t>Eliminations</w:t>
            </w:r>
          </w:p>
        </w:tc>
        <w:tc>
          <w:tcPr>
            <w:tcW w:w="1857" w:type="dxa"/>
            <w:tcBorders>
              <w:top w:val="nil"/>
              <w:left w:val="nil"/>
              <w:bottom w:val="single" w:sz="6" w:space="0" w:color="auto"/>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(1</w:t>
            </w:r>
            <w:r w:rsidRPr="008F52E4">
              <w:rPr>
                <w:rFonts w:eastAsiaTheme="minorEastAsia" w:cs="Calibri"/>
                <w:szCs w:val="22"/>
                <w:lang w:eastAsia="en-AU"/>
              </w:rPr>
              <w:t xml:space="preserve"> 350.4)</w:t>
            </w:r>
          </w:p>
        </w:tc>
        <w:tc>
          <w:tcPr>
            <w:tcW w:w="1857" w:type="dxa"/>
            <w:tcBorders>
              <w:top w:val="nil"/>
              <w:left w:val="nil"/>
              <w:bottom w:val="single" w:sz="6" w:space="0" w:color="auto"/>
              <w:right w:val="nil"/>
            </w:tcBorders>
          </w:tcPr>
          <w:p w:rsidR="000B4A1E" w:rsidRPr="008F52E4" w:rsidRDefault="000B4A1E" w:rsidP="00517E51">
            <w:pPr>
              <w:pStyle w:val="TableofFigures"/>
              <w:rPr>
                <w:rFonts w:eastAsiaTheme="minorEastAsia" w:cs="Calibri"/>
                <w:szCs w:val="22"/>
                <w:lang w:eastAsia="en-AU"/>
              </w:rPr>
            </w:pPr>
            <w:r w:rsidRPr="008F52E4">
              <w:rPr>
                <w:lang w:eastAsia="en-AU"/>
              </w:rPr>
              <w:t>(28</w:t>
            </w:r>
            <w:r w:rsidRPr="008F52E4">
              <w:rPr>
                <w:rFonts w:eastAsiaTheme="minorEastAsia" w:cs="Calibri"/>
                <w:szCs w:val="22"/>
                <w:lang w:eastAsia="en-AU"/>
              </w:rPr>
              <w:t xml:space="preserve"> 109.1)</w:t>
            </w:r>
          </w:p>
        </w:tc>
      </w:tr>
      <w:tr w:rsidR="000B4A1E" w:rsidRPr="008F52E4" w:rsidTr="00517E51">
        <w:tc>
          <w:tcPr>
            <w:tcW w:w="5947" w:type="dxa"/>
            <w:tcBorders>
              <w:top w:val="nil"/>
              <w:left w:val="nil"/>
              <w:bottom w:val="single" w:sz="12" w:space="0" w:color="auto"/>
              <w:right w:val="nil"/>
            </w:tcBorders>
          </w:tcPr>
          <w:p w:rsidR="000B4A1E" w:rsidRPr="008F52E4" w:rsidRDefault="000B4A1E" w:rsidP="00517E51">
            <w:pPr>
              <w:pStyle w:val="Tabletext"/>
              <w:rPr>
                <w:b/>
                <w:bCs/>
                <w:lang w:eastAsia="en-AU"/>
              </w:rPr>
            </w:pPr>
            <w:r w:rsidRPr="008F52E4">
              <w:rPr>
                <w:b/>
                <w:bCs/>
                <w:lang w:eastAsia="en-AU"/>
              </w:rPr>
              <w:t>Total whole of government</w:t>
            </w:r>
          </w:p>
        </w:tc>
        <w:tc>
          <w:tcPr>
            <w:tcW w:w="1857" w:type="dxa"/>
            <w:tcBorders>
              <w:top w:val="nil"/>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 xml:space="preserve">34 </w:t>
            </w:r>
            <w:r w:rsidRPr="008F52E4">
              <w:rPr>
                <w:rFonts w:eastAsiaTheme="minorEastAsia" w:cs="Calibri"/>
                <w:b/>
                <w:bCs/>
                <w:szCs w:val="22"/>
                <w:lang w:eastAsia="en-AU"/>
              </w:rPr>
              <w:t>612.0</w:t>
            </w:r>
          </w:p>
        </w:tc>
        <w:tc>
          <w:tcPr>
            <w:tcW w:w="1857" w:type="dxa"/>
            <w:tcBorders>
              <w:top w:val="nil"/>
              <w:left w:val="nil"/>
              <w:bottom w:val="single" w:sz="12" w:space="0" w:color="auto"/>
              <w:right w:val="nil"/>
            </w:tcBorders>
          </w:tcPr>
          <w:p w:rsidR="000B4A1E" w:rsidRPr="008F52E4" w:rsidRDefault="000B4A1E" w:rsidP="00517E51">
            <w:pPr>
              <w:pStyle w:val="TableofFigures"/>
              <w:rPr>
                <w:rFonts w:eastAsiaTheme="minorEastAsia" w:cs="Calibri"/>
                <w:b/>
                <w:bCs/>
                <w:szCs w:val="22"/>
                <w:lang w:eastAsia="en-AU"/>
              </w:rPr>
            </w:pPr>
            <w:r w:rsidRPr="008F52E4">
              <w:rPr>
                <w:b/>
                <w:bCs/>
                <w:lang w:eastAsia="en-AU"/>
              </w:rPr>
              <w:t>..</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Restated balances at 30 June 2012 and 1 July 2011. Refer to Note 36 of the financial statements.</w:t>
      </w:r>
    </w:p>
    <w:p w:rsidR="000B4A1E" w:rsidRPr="00D00665" w:rsidRDefault="000B4A1E" w:rsidP="00517E51">
      <w:pPr>
        <w:pStyle w:val="Source"/>
      </w:pPr>
    </w:p>
    <w:p w:rsidR="000B4A1E" w:rsidRPr="00D00665" w:rsidRDefault="000B4A1E" w:rsidP="00517E51">
      <w:pPr>
        <w:pStyle w:val="Heading2NotesContd"/>
      </w:pPr>
      <w:r w:rsidRPr="00D00665">
        <w:br w:type="page"/>
      </w:r>
      <w:r w:rsidRPr="00D00665">
        <w:lastRenderedPageBreak/>
        <w:br/>
      </w:r>
    </w:p>
    <w:p w:rsidR="000B4A1E" w:rsidRPr="003E2DBE" w:rsidRDefault="000B4A1E" w:rsidP="00517E51">
      <w:pPr>
        <w:pStyle w:val="million"/>
        <w:rPr>
          <w:rFonts w:ascii="Times New Roman" w:hAnsi="Times New Roman"/>
          <w:i w:val="0"/>
          <w:szCs w:val="20"/>
          <w:lang w:eastAsia="en-AU"/>
        </w:rPr>
      </w:pPr>
    </w:p>
    <w:tbl>
      <w:tblPr>
        <w:tblW w:w="9648" w:type="dxa"/>
        <w:tblInd w:w="29" w:type="dxa"/>
        <w:tblLayout w:type="fixed"/>
        <w:tblCellMar>
          <w:left w:w="43" w:type="dxa"/>
          <w:right w:w="43" w:type="dxa"/>
        </w:tblCellMar>
        <w:tblLook w:val="0000" w:firstRow="0" w:lastRow="0" w:firstColumn="0" w:lastColumn="0" w:noHBand="0" w:noVBand="0"/>
      </w:tblPr>
      <w:tblGrid>
        <w:gridCol w:w="1724"/>
        <w:gridCol w:w="2970"/>
        <w:gridCol w:w="2340"/>
        <w:gridCol w:w="1350"/>
        <w:gridCol w:w="1264"/>
      </w:tblGrid>
      <w:tr w:rsidR="000B4A1E" w:rsidRPr="003E2DBE" w:rsidTr="00517E51">
        <w:tc>
          <w:tcPr>
            <w:tcW w:w="1724" w:type="dxa"/>
            <w:tcBorders>
              <w:top w:val="single" w:sz="12" w:space="0" w:color="auto"/>
              <w:left w:val="single" w:sz="12" w:space="0" w:color="auto"/>
              <w:right w:val="nil"/>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r w:rsidRPr="003E2DBE">
              <w:rPr>
                <w:lang w:eastAsia="en-AU"/>
              </w:rPr>
              <w:t>Non-controlling Interest</w:t>
            </w:r>
          </w:p>
        </w:tc>
        <w:tc>
          <w:tcPr>
            <w:tcW w:w="2970" w:type="dxa"/>
            <w:tcBorders>
              <w:top w:val="single" w:sz="12" w:space="0" w:color="auto"/>
              <w:left w:val="nil"/>
              <w:right w:val="nil"/>
            </w:tcBorders>
            <w:shd w:val="clear" w:color="auto" w:fill="000000"/>
          </w:tcPr>
          <w:p w:rsidR="000B4A1E" w:rsidRPr="003E2DBE" w:rsidRDefault="000B4A1E" w:rsidP="00517E51">
            <w:pPr>
              <w:pStyle w:val="Tabletextheading"/>
              <w:rPr>
                <w:lang w:eastAsia="en-AU"/>
              </w:rPr>
            </w:pPr>
            <w:r w:rsidRPr="003E2DBE">
              <w:rPr>
                <w:lang w:eastAsia="en-AU"/>
              </w:rPr>
              <w:t>Land, buildings, infrastructure, plant and equipment revaluation surplus</w:t>
            </w:r>
          </w:p>
        </w:tc>
        <w:tc>
          <w:tcPr>
            <w:tcW w:w="2340" w:type="dxa"/>
            <w:tcBorders>
              <w:top w:val="single" w:sz="12" w:space="0" w:color="auto"/>
              <w:left w:val="nil"/>
              <w:right w:val="nil"/>
            </w:tcBorders>
            <w:shd w:val="clear" w:color="auto" w:fill="000000"/>
          </w:tcPr>
          <w:p w:rsidR="000B4A1E" w:rsidRPr="003E2DBE" w:rsidRDefault="000B4A1E" w:rsidP="00517E51">
            <w:pPr>
              <w:pStyle w:val="Tabletextheading"/>
              <w:rPr>
                <w:lang w:eastAsia="en-AU"/>
              </w:rPr>
            </w:pPr>
            <w:r w:rsidRPr="003E2DBE">
              <w:rPr>
                <w:lang w:eastAsia="en-AU"/>
              </w:rPr>
              <w:t>Investment in other sector entities revaluation surplus</w:t>
            </w:r>
          </w:p>
        </w:tc>
        <w:tc>
          <w:tcPr>
            <w:tcW w:w="1350" w:type="dxa"/>
            <w:tcBorders>
              <w:top w:val="single" w:sz="12" w:space="0" w:color="auto"/>
              <w:left w:val="nil"/>
              <w:right w:val="nil"/>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r w:rsidRPr="003E2DBE">
              <w:rPr>
                <w:lang w:eastAsia="en-AU"/>
              </w:rPr>
              <w:t xml:space="preserve">Other </w:t>
            </w:r>
          </w:p>
          <w:p w:rsidR="000B4A1E" w:rsidRPr="003E2DBE" w:rsidRDefault="000B4A1E" w:rsidP="00517E51">
            <w:pPr>
              <w:pStyle w:val="Tabletextheading"/>
              <w:rPr>
                <w:lang w:eastAsia="en-AU"/>
              </w:rPr>
            </w:pPr>
            <w:r w:rsidRPr="003E2DBE">
              <w:rPr>
                <w:lang w:eastAsia="en-AU"/>
              </w:rPr>
              <w:t>reserves</w:t>
            </w:r>
          </w:p>
        </w:tc>
        <w:tc>
          <w:tcPr>
            <w:tcW w:w="1264" w:type="dxa"/>
            <w:tcBorders>
              <w:top w:val="single" w:sz="12" w:space="0" w:color="auto"/>
              <w:left w:val="nil"/>
              <w:right w:val="single" w:sz="12" w:space="0" w:color="auto"/>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r w:rsidRPr="003E2DBE">
              <w:rPr>
                <w:lang w:eastAsia="en-AU"/>
              </w:rPr>
              <w:t>Total</w:t>
            </w:r>
          </w:p>
        </w:tc>
      </w:tr>
      <w:tr w:rsidR="000B4A1E" w:rsidRPr="003E2DBE" w:rsidTr="00517E51">
        <w:tc>
          <w:tcPr>
            <w:tcW w:w="1724" w:type="dxa"/>
            <w:tcBorders>
              <w:right w:val="nil"/>
            </w:tcBorders>
            <w:shd w:val="clear" w:color="auto" w:fill="auto"/>
          </w:tcPr>
          <w:p w:rsidR="000B4A1E" w:rsidRPr="003E2DBE" w:rsidRDefault="000B4A1E" w:rsidP="00517E51">
            <w:pPr>
              <w:pStyle w:val="TableofFigures"/>
              <w:rPr>
                <w:b/>
                <w:bCs/>
                <w:lang w:eastAsia="en-AU"/>
              </w:rPr>
            </w:pPr>
            <w:r w:rsidRPr="003E2DBE">
              <w:rPr>
                <w:b/>
                <w:bCs/>
                <w:lang w:eastAsia="en-AU"/>
              </w:rPr>
              <w:t xml:space="preserve">  </w:t>
            </w:r>
          </w:p>
        </w:tc>
        <w:tc>
          <w:tcPr>
            <w:tcW w:w="2970" w:type="dxa"/>
            <w:tcBorders>
              <w:left w:val="nil"/>
              <w:right w:val="nil"/>
            </w:tcBorders>
            <w:shd w:val="clear" w:color="auto" w:fill="auto"/>
          </w:tcPr>
          <w:p w:rsidR="000B4A1E" w:rsidRPr="003E2DBE" w:rsidRDefault="000B4A1E" w:rsidP="00517E51">
            <w:pPr>
              <w:pStyle w:val="Tabletextheading"/>
              <w:rPr>
                <w:b/>
                <w:bCs/>
                <w:lang w:eastAsia="en-AU"/>
              </w:rPr>
            </w:pPr>
            <w:r w:rsidRPr="003E2DBE">
              <w:rPr>
                <w:b/>
                <w:bCs/>
                <w:lang w:eastAsia="en-AU"/>
              </w:rPr>
              <w:t xml:space="preserve">  </w:t>
            </w:r>
          </w:p>
        </w:tc>
        <w:tc>
          <w:tcPr>
            <w:tcW w:w="2340" w:type="dxa"/>
            <w:tcBorders>
              <w:left w:val="nil"/>
              <w:right w:val="nil"/>
            </w:tcBorders>
            <w:shd w:val="clear" w:color="auto" w:fill="auto"/>
          </w:tcPr>
          <w:p w:rsidR="000B4A1E" w:rsidRPr="003E2DBE" w:rsidRDefault="000B4A1E" w:rsidP="00517E51">
            <w:pPr>
              <w:pStyle w:val="Tabletextheading"/>
              <w:rPr>
                <w:b/>
                <w:bCs/>
                <w:lang w:eastAsia="en-AU"/>
              </w:rPr>
            </w:pPr>
            <w:r w:rsidRPr="003E2DBE">
              <w:rPr>
                <w:b/>
                <w:bCs/>
                <w:lang w:eastAsia="en-AU"/>
              </w:rPr>
              <w:t xml:space="preserve">  </w:t>
            </w:r>
          </w:p>
        </w:tc>
        <w:tc>
          <w:tcPr>
            <w:tcW w:w="1350" w:type="dxa"/>
            <w:tcBorders>
              <w:left w:val="nil"/>
              <w:right w:val="nil"/>
            </w:tcBorders>
            <w:shd w:val="clear" w:color="auto" w:fill="auto"/>
          </w:tcPr>
          <w:p w:rsidR="000B4A1E" w:rsidRPr="003E2DBE" w:rsidRDefault="000B4A1E" w:rsidP="00517E51">
            <w:pPr>
              <w:pStyle w:val="Tabletextheading"/>
              <w:rPr>
                <w:b/>
                <w:bCs/>
                <w:lang w:eastAsia="en-AU"/>
              </w:rPr>
            </w:pPr>
            <w:r w:rsidRPr="003E2DBE">
              <w:rPr>
                <w:b/>
                <w:bCs/>
                <w:lang w:eastAsia="en-AU"/>
              </w:rPr>
              <w:t xml:space="preserve">  </w:t>
            </w:r>
          </w:p>
        </w:tc>
        <w:tc>
          <w:tcPr>
            <w:tcW w:w="1264" w:type="dxa"/>
            <w:tcBorders>
              <w:left w:val="nil"/>
            </w:tcBorders>
            <w:shd w:val="clear" w:color="auto" w:fill="auto"/>
          </w:tcPr>
          <w:p w:rsidR="000B4A1E" w:rsidRPr="003E2DBE" w:rsidRDefault="000B4A1E" w:rsidP="00517E51">
            <w:pPr>
              <w:pStyle w:val="Tabletextheading"/>
              <w:rPr>
                <w:b/>
                <w:bCs/>
                <w:lang w:eastAsia="en-AU"/>
              </w:rPr>
            </w:pPr>
            <w:r w:rsidRPr="003E2DBE">
              <w:rPr>
                <w:b/>
                <w:bCs/>
                <w:lang w:eastAsia="en-AU"/>
              </w:rPr>
              <w:t xml:space="preserve">  </w:t>
            </w:r>
          </w:p>
        </w:tc>
      </w:tr>
      <w:tr w:rsidR="000B4A1E" w:rsidRPr="003E2DBE" w:rsidTr="00517E51">
        <w:tc>
          <w:tcPr>
            <w:tcW w:w="1724" w:type="dxa"/>
            <w:tcBorders>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48.5</w:t>
            </w:r>
          </w:p>
        </w:tc>
        <w:tc>
          <w:tcPr>
            <w:tcW w:w="2970" w:type="dxa"/>
            <w:tcBorders>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34 </w:t>
            </w:r>
            <w:r w:rsidRPr="003E2DBE">
              <w:rPr>
                <w:rFonts w:eastAsiaTheme="minorEastAsia" w:cs="Calibri"/>
                <w:szCs w:val="22"/>
                <w:lang w:eastAsia="en-AU"/>
              </w:rPr>
              <w:t>956.4</w:t>
            </w:r>
          </w:p>
        </w:tc>
        <w:tc>
          <w:tcPr>
            <w:tcW w:w="2340" w:type="dxa"/>
            <w:tcBorders>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39 </w:t>
            </w:r>
            <w:r w:rsidRPr="003E2DBE">
              <w:rPr>
                <w:rFonts w:eastAsiaTheme="minorEastAsia" w:cs="Calibri"/>
                <w:szCs w:val="22"/>
                <w:lang w:eastAsia="en-AU"/>
              </w:rPr>
              <w:t>658.9</w:t>
            </w:r>
          </w:p>
        </w:tc>
        <w:tc>
          <w:tcPr>
            <w:tcW w:w="1350" w:type="dxa"/>
            <w:tcBorders>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010.1</w:t>
            </w:r>
          </w:p>
        </w:tc>
        <w:tc>
          <w:tcPr>
            <w:tcW w:w="1264" w:type="dxa"/>
            <w:tcBorders>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119 </w:t>
            </w:r>
            <w:r w:rsidRPr="003E2DBE">
              <w:rPr>
                <w:rFonts w:eastAsiaTheme="minorEastAsia" w:cs="Calibri"/>
                <w:szCs w:val="22"/>
                <w:lang w:eastAsia="en-AU"/>
              </w:rPr>
              <w:t>722.8</w:t>
            </w:r>
          </w:p>
        </w:tc>
      </w:tr>
      <w:tr w:rsidR="000B4A1E" w:rsidRPr="003E2DBE" w:rsidTr="00517E51">
        <w:tc>
          <w:tcPr>
            <w:tcW w:w="172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(9</w:t>
            </w:r>
            <w:r w:rsidRPr="003E2DBE">
              <w:rPr>
                <w:rFonts w:eastAsiaTheme="minorEastAsia" w:cs="Calibri"/>
                <w:szCs w:val="22"/>
                <w:lang w:eastAsia="en-AU"/>
              </w:rPr>
              <w:t xml:space="preserve"> 652.9)</w:t>
            </w:r>
          </w:p>
        </w:tc>
      </w:tr>
      <w:tr w:rsidR="000B4A1E" w:rsidRPr="003E2DBE" w:rsidTr="00517E51">
        <w:tc>
          <w:tcPr>
            <w:tcW w:w="172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 </w:t>
            </w:r>
            <w:r w:rsidRPr="003E2DBE">
              <w:rPr>
                <w:rFonts w:eastAsiaTheme="minorEastAsia" w:cs="Calibri"/>
                <w:szCs w:val="22"/>
                <w:lang w:eastAsia="en-AU"/>
              </w:rPr>
              <w:t>006.2</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700.5)</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25.6)</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692.3</w:t>
            </w:r>
          </w:p>
        </w:tc>
      </w:tr>
      <w:tr w:rsidR="000B4A1E" w:rsidRPr="003E2DBE" w:rsidTr="00517E51">
        <w:tc>
          <w:tcPr>
            <w:tcW w:w="1724"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1.5</w:t>
            </w:r>
          </w:p>
        </w:tc>
        <w:tc>
          <w:tcPr>
            <w:tcW w:w="297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1.5</w:t>
            </w:r>
          </w:p>
        </w:tc>
      </w:tr>
      <w:tr w:rsidR="000B4A1E" w:rsidRPr="003E2DBE" w:rsidTr="00517E51">
        <w:tc>
          <w:tcPr>
            <w:tcW w:w="1724"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50.0</w:t>
            </w:r>
          </w:p>
        </w:tc>
        <w:tc>
          <w:tcPr>
            <w:tcW w:w="297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36 </w:t>
            </w:r>
            <w:r w:rsidRPr="003E2DBE">
              <w:rPr>
                <w:rFonts w:eastAsiaTheme="minorEastAsia" w:cs="Calibri"/>
                <w:b/>
                <w:bCs/>
                <w:szCs w:val="22"/>
                <w:lang w:eastAsia="en-AU"/>
              </w:rPr>
              <w:t>962.6</w:t>
            </w:r>
          </w:p>
        </w:tc>
        <w:tc>
          <w:tcPr>
            <w:tcW w:w="234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38 </w:t>
            </w:r>
            <w:r w:rsidRPr="003E2DBE">
              <w:rPr>
                <w:rFonts w:eastAsiaTheme="minorEastAsia" w:cs="Calibri"/>
                <w:b/>
                <w:bCs/>
                <w:szCs w:val="22"/>
                <w:lang w:eastAsia="en-AU"/>
              </w:rPr>
              <w:t>958.4</w:t>
            </w:r>
          </w:p>
        </w:tc>
        <w:tc>
          <w:tcPr>
            <w:tcW w:w="135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984.5</w:t>
            </w:r>
          </w:p>
        </w:tc>
        <w:tc>
          <w:tcPr>
            <w:tcW w:w="1264"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111 </w:t>
            </w:r>
            <w:r w:rsidRPr="003E2DBE">
              <w:rPr>
                <w:rFonts w:eastAsiaTheme="minorEastAsia" w:cs="Calibri"/>
                <w:b/>
                <w:bCs/>
                <w:szCs w:val="22"/>
                <w:lang w:eastAsia="en-AU"/>
              </w:rPr>
              <w:t>763.7</w:t>
            </w:r>
          </w:p>
        </w:tc>
      </w:tr>
      <w:tr w:rsidR="000B4A1E" w:rsidRPr="003E2DBE" w:rsidTr="00517E51">
        <w:tc>
          <w:tcPr>
            <w:tcW w:w="1724"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297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234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35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31 </w:t>
            </w:r>
            <w:r w:rsidRPr="003E2DBE">
              <w:rPr>
                <w:rFonts w:eastAsiaTheme="minorEastAsia" w:cs="Calibri"/>
                <w:szCs w:val="22"/>
                <w:lang w:eastAsia="en-AU"/>
              </w:rPr>
              <w:t>888.9</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900.2</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64 </w:t>
            </w:r>
            <w:r w:rsidRPr="003E2DBE">
              <w:rPr>
                <w:rFonts w:eastAsiaTheme="minorEastAsia" w:cs="Calibri"/>
                <w:szCs w:val="22"/>
                <w:lang w:eastAsia="en-AU"/>
              </w:rPr>
              <w:t>799.4</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225.5)</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1.7)</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5.2</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218.3)</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305.9)</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 </w:t>
            </w:r>
            <w:r w:rsidRPr="003E2DBE">
              <w:rPr>
                <w:rFonts w:eastAsiaTheme="minorEastAsia" w:cs="Calibri"/>
                <w:szCs w:val="22"/>
                <w:lang w:eastAsia="en-AU"/>
              </w:rPr>
              <w:t>427.0</w:t>
            </w:r>
          </w:p>
        </w:tc>
      </w:tr>
      <w:tr w:rsidR="000B4A1E" w:rsidRPr="003E2DBE" w:rsidTr="00517E51">
        <w:tc>
          <w:tcPr>
            <w:tcW w:w="1724"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297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31 </w:t>
            </w:r>
            <w:r w:rsidRPr="003E2DBE">
              <w:rPr>
                <w:rFonts w:eastAsiaTheme="minorEastAsia" w:cs="Calibri"/>
                <w:b/>
                <w:bCs/>
                <w:szCs w:val="22"/>
                <w:lang w:eastAsia="en-AU"/>
              </w:rPr>
              <w:t>887.3</w:t>
            </w:r>
          </w:p>
        </w:tc>
        <w:tc>
          <w:tcPr>
            <w:tcW w:w="2340"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135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905.3</w:t>
            </w:r>
          </w:p>
        </w:tc>
        <w:tc>
          <w:tcPr>
            <w:tcW w:w="1264"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66 </w:t>
            </w:r>
            <w:r w:rsidRPr="003E2DBE">
              <w:rPr>
                <w:rFonts w:eastAsiaTheme="minorEastAsia" w:cs="Calibri"/>
                <w:b/>
                <w:bCs/>
                <w:szCs w:val="22"/>
                <w:lang w:eastAsia="en-AU"/>
              </w:rPr>
              <w:t>476.7</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b/>
                <w:bCs/>
                <w:lang w:eastAsia="en-AU"/>
              </w:rPr>
            </w:pPr>
            <w:r w:rsidRPr="003E2DBE">
              <w:rPr>
                <w:b/>
                <w:bCs/>
                <w:lang w:eastAsia="en-AU"/>
              </w:rPr>
              <w:t xml:space="preserve">  </w:t>
            </w:r>
          </w:p>
        </w:tc>
        <w:tc>
          <w:tcPr>
            <w:tcW w:w="297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2340" w:type="dxa"/>
            <w:tcBorders>
              <w:top w:val="nil"/>
              <w:left w:val="nil"/>
              <w:bottom w:val="nil"/>
              <w:right w:val="nil"/>
            </w:tcBorders>
            <w:shd w:val="solid" w:color="FFFFFF" w:fill="auto"/>
          </w:tcPr>
          <w:p w:rsidR="000B4A1E" w:rsidRPr="003E2DBE" w:rsidRDefault="000B4A1E" w:rsidP="00517E51">
            <w:pPr>
              <w:pStyle w:val="TableofFigures"/>
              <w:rPr>
                <w:b/>
                <w:bCs/>
                <w:lang w:eastAsia="en-AU"/>
              </w:rPr>
            </w:pPr>
            <w:r w:rsidRPr="003E2DBE">
              <w:rPr>
                <w:b/>
                <w:bCs/>
                <w:lang w:eastAsia="en-AU"/>
              </w:rPr>
              <w:t xml:space="preserve">  </w:t>
            </w:r>
          </w:p>
        </w:tc>
        <w:tc>
          <w:tcPr>
            <w:tcW w:w="135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12.3</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736.6</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064.7</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(4</w:t>
            </w:r>
            <w:r w:rsidRPr="003E2DBE">
              <w:rPr>
                <w:rFonts w:eastAsiaTheme="minorEastAsia" w:cs="Calibri"/>
                <w:szCs w:val="22"/>
                <w:lang w:eastAsia="en-AU"/>
              </w:rPr>
              <w:t xml:space="preserve"> 436.0)</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3.7</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0.6</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3.3</w:t>
            </w:r>
          </w:p>
        </w:tc>
      </w:tr>
      <w:tr w:rsidR="000B4A1E" w:rsidRPr="003E2DBE" w:rsidTr="00517E51">
        <w:tc>
          <w:tcPr>
            <w:tcW w:w="172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353.4)</w:t>
            </w:r>
          </w:p>
        </w:tc>
      </w:tr>
      <w:tr w:rsidR="000B4A1E" w:rsidRPr="003E2DBE" w:rsidTr="00517E51">
        <w:tc>
          <w:tcPr>
            <w:tcW w:w="1724"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5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53.7</w:t>
            </w:r>
          </w:p>
        </w:tc>
      </w:tr>
      <w:tr w:rsidR="000B4A1E" w:rsidRPr="003E2DBE" w:rsidTr="00517E51">
        <w:tc>
          <w:tcPr>
            <w:tcW w:w="1724"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297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16.0</w:t>
            </w:r>
          </w:p>
        </w:tc>
        <w:tc>
          <w:tcPr>
            <w:tcW w:w="2340"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135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737.2</w:t>
            </w:r>
          </w:p>
        </w:tc>
        <w:tc>
          <w:tcPr>
            <w:tcW w:w="1264"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(3</w:t>
            </w:r>
            <w:r w:rsidRPr="003E2DBE">
              <w:rPr>
                <w:rFonts w:eastAsiaTheme="minorEastAsia" w:cs="Calibri"/>
                <w:b/>
                <w:bCs/>
                <w:szCs w:val="22"/>
                <w:lang w:eastAsia="en-AU"/>
              </w:rPr>
              <w:t xml:space="preserve"> 667.7)</w:t>
            </w:r>
          </w:p>
        </w:tc>
      </w:tr>
      <w:tr w:rsidR="000B4A1E" w:rsidRPr="003E2DBE" w:rsidTr="00517E51">
        <w:tc>
          <w:tcPr>
            <w:tcW w:w="1724"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97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6 </w:t>
            </w:r>
            <w:r w:rsidRPr="003E2DBE">
              <w:rPr>
                <w:rFonts w:eastAsiaTheme="minorEastAsia" w:cs="Calibri"/>
                <w:szCs w:val="22"/>
                <w:lang w:eastAsia="en-AU"/>
              </w:rPr>
              <w:t>702.8</w:t>
            </w:r>
          </w:p>
        </w:tc>
        <w:tc>
          <w:tcPr>
            <w:tcW w:w="234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(38</w:t>
            </w:r>
            <w:r w:rsidRPr="003E2DBE">
              <w:rPr>
                <w:rFonts w:eastAsiaTheme="minorEastAsia" w:cs="Calibri"/>
                <w:szCs w:val="22"/>
                <w:lang w:eastAsia="en-AU"/>
              </w:rPr>
              <w:t xml:space="preserve"> 958.4)</w:t>
            </w:r>
          </w:p>
        </w:tc>
        <w:tc>
          <w:tcPr>
            <w:tcW w:w="135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(61</w:t>
            </w:r>
            <w:r w:rsidRPr="003E2DBE">
              <w:rPr>
                <w:rFonts w:eastAsiaTheme="minorEastAsia" w:cs="Calibri"/>
                <w:szCs w:val="22"/>
                <w:lang w:eastAsia="en-AU"/>
              </w:rPr>
              <w:t xml:space="preserve"> 715.1)</w:t>
            </w:r>
          </w:p>
        </w:tc>
      </w:tr>
      <w:tr w:rsidR="000B4A1E" w:rsidRPr="003E2DBE" w:rsidTr="00517E51">
        <w:tc>
          <w:tcPr>
            <w:tcW w:w="1724"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50.0</w:t>
            </w:r>
          </w:p>
        </w:tc>
        <w:tc>
          <w:tcPr>
            <w:tcW w:w="297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75 </w:t>
            </w:r>
            <w:r w:rsidRPr="003E2DBE">
              <w:rPr>
                <w:rFonts w:eastAsiaTheme="minorEastAsia" w:cs="Calibri"/>
                <w:b/>
                <w:bCs/>
                <w:szCs w:val="22"/>
                <w:lang w:eastAsia="en-AU"/>
              </w:rPr>
              <w:t>568.6</w:t>
            </w:r>
          </w:p>
        </w:tc>
        <w:tc>
          <w:tcPr>
            <w:tcW w:w="234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135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2 </w:t>
            </w:r>
            <w:r w:rsidRPr="003E2DBE">
              <w:rPr>
                <w:rFonts w:eastAsiaTheme="minorEastAsia" w:cs="Calibri"/>
                <w:b/>
                <w:bCs/>
                <w:szCs w:val="22"/>
                <w:lang w:eastAsia="en-AU"/>
              </w:rPr>
              <w:t>627.0</w:t>
            </w:r>
          </w:p>
        </w:tc>
        <w:tc>
          <w:tcPr>
            <w:tcW w:w="1264"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112 </w:t>
            </w:r>
            <w:r w:rsidRPr="003E2DBE">
              <w:rPr>
                <w:rFonts w:eastAsiaTheme="minorEastAsia" w:cs="Calibri"/>
                <w:b/>
                <w:bCs/>
                <w:szCs w:val="22"/>
                <w:lang w:eastAsia="en-AU"/>
              </w:rPr>
              <w:t>857.6</w:t>
            </w:r>
          </w:p>
        </w:tc>
      </w:tr>
    </w:tbl>
    <w:p w:rsidR="000B4A1E" w:rsidRPr="00D00665" w:rsidRDefault="000B4A1E" w:rsidP="00517E51">
      <w:pPr>
        <w:pStyle w:val="Source"/>
      </w:pPr>
    </w:p>
    <w:p w:rsidR="000B4A1E" w:rsidRPr="00D00665" w:rsidRDefault="000B4A1E" w:rsidP="00517E51"/>
    <w:p w:rsidR="000B4A1E" w:rsidRPr="00D00665" w:rsidRDefault="000B4A1E" w:rsidP="00517E51">
      <w:r w:rsidRPr="00D00665">
        <w:br w:type="page"/>
      </w:r>
    </w:p>
    <w:p w:rsidR="000B4A1E" w:rsidRPr="00D00665" w:rsidRDefault="000B4A1E" w:rsidP="00517E51">
      <w:pPr>
        <w:pStyle w:val="Heading2Notes"/>
      </w:pPr>
      <w:bookmarkStart w:id="21" w:name="_Toc367947862"/>
      <w:r w:rsidRPr="00D00665">
        <w:lastRenderedPageBreak/>
        <w:t>Note 3:</w:t>
      </w:r>
      <w:r w:rsidRPr="00D00665">
        <w:tab/>
        <w:t>Taxation revenue</w:t>
      </w:r>
      <w:bookmarkEnd w:id="21"/>
    </w:p>
    <w:p w:rsidR="000B4A1E" w:rsidRPr="003E2DBE" w:rsidRDefault="000B4A1E" w:rsidP="00517E51">
      <w:pPr>
        <w:pStyle w:val="million"/>
      </w:pPr>
      <w:r w:rsidRPr="00D00665">
        <w:t>($</w:t>
      </w:r>
      <w:r>
        <w:t> million</w:t>
      </w:r>
      <w:r w:rsidRPr="00D00665">
        <w:t>)</w:t>
      </w:r>
      <w:bookmarkStart w:id="22" w:name="RANGE!B5:F41"/>
    </w:p>
    <w:tbl>
      <w:tblPr>
        <w:tblW w:w="9749" w:type="dxa"/>
        <w:tblInd w:w="29" w:type="dxa"/>
        <w:tblCellMar>
          <w:left w:w="43" w:type="dxa"/>
          <w:right w:w="43" w:type="dxa"/>
        </w:tblCellMar>
        <w:tblLook w:val="04A0" w:firstRow="1" w:lastRow="0" w:firstColumn="1" w:lastColumn="0" w:noHBand="0" w:noVBand="1"/>
      </w:tblPr>
      <w:tblGrid>
        <w:gridCol w:w="4694"/>
        <w:gridCol w:w="540"/>
        <w:gridCol w:w="106"/>
        <w:gridCol w:w="1009"/>
        <w:gridCol w:w="1115"/>
        <w:gridCol w:w="110"/>
        <w:gridCol w:w="1005"/>
        <w:gridCol w:w="1170"/>
      </w:tblGrid>
      <w:tr w:rsidR="000B4A1E" w:rsidRPr="003E2DBE" w:rsidTr="00517E51">
        <w:trPr>
          <w:divId w:val="1489323364"/>
        </w:trPr>
        <w:tc>
          <w:tcPr>
            <w:tcW w:w="5234" w:type="dxa"/>
            <w:gridSpan w:val="2"/>
            <w:tcBorders>
              <w:top w:val="single" w:sz="4" w:space="0" w:color="auto"/>
              <w:left w:val="single" w:sz="4" w:space="0" w:color="auto"/>
              <w:bottom w:val="nil"/>
              <w:right w:val="nil"/>
            </w:tcBorders>
            <w:shd w:val="clear" w:color="auto" w:fill="000000"/>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pPr>
            <w:r w:rsidRPr="003E2DBE">
              <w:t xml:space="preserve">  </w:t>
            </w:r>
          </w:p>
        </w:tc>
        <w:tc>
          <w:tcPr>
            <w:tcW w:w="2124"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pPr>
            <w:r w:rsidRPr="003E2DBE">
              <w:br/>
              <w:t>State of Victoria</w:t>
            </w:r>
          </w:p>
        </w:tc>
        <w:tc>
          <w:tcPr>
            <w:tcW w:w="110"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75"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General</w:t>
            </w:r>
            <w:r w:rsidRPr="003E2DBE">
              <w:rPr>
                <w:lang w:eastAsia="en-AU"/>
              </w:rPr>
              <w:br/>
              <w:t>government sector</w:t>
            </w:r>
          </w:p>
        </w:tc>
      </w:tr>
      <w:tr w:rsidR="000B4A1E" w:rsidRPr="003E2DBE" w:rsidTr="00517E51">
        <w:trPr>
          <w:divId w:val="1489323364"/>
        </w:trPr>
        <w:tc>
          <w:tcPr>
            <w:tcW w:w="5234" w:type="dxa"/>
            <w:gridSpan w:val="2"/>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15"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15"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15"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70"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Taxes on employers</w:t>
            </w:r>
            <w:r>
              <w:rPr>
                <w:b/>
                <w:bCs/>
                <w:lang w:eastAsia="en-AU"/>
              </w:rPr>
              <w:t>’</w:t>
            </w:r>
            <w:r w:rsidRPr="003E2DBE">
              <w:rPr>
                <w:b/>
                <w:bCs/>
                <w:lang w:eastAsia="en-AU"/>
              </w:rPr>
              <w:t xml:space="preserve"> payroll and labour force</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686.7</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633.9</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750.9</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695.8</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Taxes on property</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15" w:type="dxa"/>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Taxes on immovable property</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15" w:type="dxa"/>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Land tax</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1 </w:t>
            </w:r>
            <w:r w:rsidRPr="003E2DBE">
              <w:rPr>
                <w:rFonts w:cs="Calibri"/>
                <w:bCs/>
                <w:szCs w:val="22"/>
                <w:lang w:eastAsia="en-AU"/>
              </w:rPr>
              <w:t>550.4</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1 </w:t>
            </w:r>
            <w:r w:rsidRPr="003E2DBE">
              <w:rPr>
                <w:rFonts w:cs="Calibri"/>
                <w:bCs/>
                <w:szCs w:val="22"/>
                <w:lang w:eastAsia="en-AU"/>
              </w:rPr>
              <w:t>366.5</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1 </w:t>
            </w:r>
            <w:r w:rsidRPr="003E2DBE">
              <w:rPr>
                <w:rFonts w:cs="Calibri"/>
                <w:bCs/>
                <w:szCs w:val="22"/>
                <w:lang w:eastAsia="en-AU"/>
              </w:rPr>
              <w:t>589.2</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1 </w:t>
            </w:r>
            <w:r w:rsidRPr="003E2DBE">
              <w:rPr>
                <w:rFonts w:cs="Calibri"/>
                <w:bCs/>
                <w:szCs w:val="22"/>
                <w:lang w:eastAsia="en-AU"/>
              </w:rPr>
              <w:t>401.4</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Congestion levy</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48.2</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46.1</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48.2</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46.1</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Metropolitan improvement levy</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136.8</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131.5</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136.8</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131.5</w:t>
            </w:r>
          </w:p>
        </w:tc>
      </w:tr>
      <w:tr w:rsidR="000B4A1E" w:rsidRPr="003E2DBE" w:rsidTr="00517E51">
        <w:trPr>
          <w:divId w:val="1489323364"/>
        </w:trPr>
        <w:tc>
          <w:tcPr>
            <w:tcW w:w="5234" w:type="dxa"/>
            <w:gridSpan w:val="2"/>
            <w:tcBorders>
              <w:top w:val="nil"/>
              <w:left w:val="nil"/>
              <w:bottom w:val="single" w:sz="4" w:space="0" w:color="auto"/>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Property owner contributions to fire brigades</w:t>
            </w:r>
          </w:p>
        </w:tc>
        <w:tc>
          <w:tcPr>
            <w:tcW w:w="1115"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37.8</w:t>
            </w:r>
          </w:p>
        </w:tc>
        <w:tc>
          <w:tcPr>
            <w:tcW w:w="1115"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38.2</w:t>
            </w:r>
          </w:p>
        </w:tc>
        <w:tc>
          <w:tcPr>
            <w:tcW w:w="1115"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37.8</w:t>
            </w:r>
          </w:p>
        </w:tc>
        <w:tc>
          <w:tcPr>
            <w:tcW w:w="117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38.2</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Total taxes on immovable property</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773.2</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582.3</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812.0</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617.2</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 xml:space="preserve">  Financial and capital transactions</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15" w:type="dxa"/>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Land transfer duty</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3 </w:t>
            </w:r>
            <w:r w:rsidRPr="003E2DBE">
              <w:rPr>
                <w:rFonts w:cs="Calibri"/>
                <w:bCs/>
                <w:szCs w:val="22"/>
                <w:lang w:eastAsia="en-AU"/>
              </w:rPr>
              <w:t>276.1</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3 </w:t>
            </w:r>
            <w:r w:rsidRPr="003E2DBE">
              <w:rPr>
                <w:rFonts w:cs="Calibri"/>
                <w:bCs/>
                <w:szCs w:val="22"/>
                <w:lang w:eastAsia="en-AU"/>
              </w:rPr>
              <w:t>307.0</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3 </w:t>
            </w:r>
            <w:r w:rsidRPr="003E2DBE">
              <w:rPr>
                <w:rFonts w:cs="Calibri"/>
                <w:bCs/>
                <w:szCs w:val="22"/>
                <w:lang w:eastAsia="en-AU"/>
              </w:rPr>
              <w:t>276.1</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3 </w:t>
            </w:r>
            <w:r w:rsidRPr="003E2DBE">
              <w:rPr>
                <w:rFonts w:cs="Calibri"/>
                <w:bCs/>
                <w:szCs w:val="22"/>
                <w:lang w:eastAsia="en-AU"/>
              </w:rPr>
              <w:t>307.0</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Other property duties</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6.6</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7.7</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6.6</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7.7</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Financial accommodation levy</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96.9</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83.1</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Growth Areas Infrastructure Contribution</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56.4</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72.5</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56.4</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72.5</w:t>
            </w:r>
          </w:p>
        </w:tc>
      </w:tr>
      <w:tr w:rsidR="000B4A1E" w:rsidRPr="003E2DBE" w:rsidTr="00517E51">
        <w:trPr>
          <w:divId w:val="1489323364"/>
        </w:trPr>
        <w:tc>
          <w:tcPr>
            <w:tcW w:w="5234" w:type="dxa"/>
            <w:gridSpan w:val="2"/>
            <w:tcBorders>
              <w:top w:val="single" w:sz="4" w:space="0" w:color="auto"/>
              <w:left w:val="nil"/>
              <w:bottom w:val="single" w:sz="4" w:space="0" w:color="auto"/>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Total financial and capital transactions</w:t>
            </w:r>
          </w:p>
        </w:tc>
        <w:tc>
          <w:tcPr>
            <w:tcW w:w="1115" w:type="dxa"/>
            <w:gridSpan w:val="2"/>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339.1</w:t>
            </w:r>
          </w:p>
        </w:tc>
        <w:tc>
          <w:tcPr>
            <w:tcW w:w="1115"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387.2</w:t>
            </w:r>
          </w:p>
        </w:tc>
        <w:tc>
          <w:tcPr>
            <w:tcW w:w="1115" w:type="dxa"/>
            <w:gridSpan w:val="2"/>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436.0</w:t>
            </w:r>
          </w:p>
        </w:tc>
        <w:tc>
          <w:tcPr>
            <w:tcW w:w="1170"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470.3</w:t>
            </w:r>
          </w:p>
        </w:tc>
      </w:tr>
      <w:tr w:rsidR="000B4A1E" w:rsidRPr="003E2DBE" w:rsidTr="00517E51">
        <w:trPr>
          <w:divId w:val="1489323364"/>
        </w:trPr>
        <w:tc>
          <w:tcPr>
            <w:tcW w:w="5234" w:type="dxa"/>
            <w:gridSpan w:val="2"/>
            <w:tcBorders>
              <w:top w:val="nil"/>
              <w:left w:val="nil"/>
              <w:bottom w:val="single" w:sz="4" w:space="0" w:color="auto"/>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Total taxes on property</w:t>
            </w:r>
          </w:p>
        </w:tc>
        <w:tc>
          <w:tcPr>
            <w:tcW w:w="1115"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112.3</w:t>
            </w:r>
          </w:p>
        </w:tc>
        <w:tc>
          <w:tcPr>
            <w:tcW w:w="1115"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969.5</w:t>
            </w:r>
          </w:p>
        </w:tc>
        <w:tc>
          <w:tcPr>
            <w:tcW w:w="1115"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247.9</w:t>
            </w:r>
          </w:p>
        </w:tc>
        <w:tc>
          <w:tcPr>
            <w:tcW w:w="117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087.5</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Taxes on the provision of goods and services</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15" w:type="dxa"/>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Gambling taxes</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15" w:type="dxa"/>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Private lotteries</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428.9</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384.7</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428.9</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384.7</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Electronic gaming machines</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1 </w:t>
            </w:r>
            <w:r w:rsidRPr="003E2DBE">
              <w:rPr>
                <w:rFonts w:cs="Calibri"/>
                <w:bCs/>
                <w:szCs w:val="22"/>
                <w:lang w:eastAsia="en-AU"/>
              </w:rPr>
              <w:t>009.9</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1 </w:t>
            </w:r>
            <w:r w:rsidRPr="003E2DBE">
              <w:rPr>
                <w:rFonts w:cs="Calibri"/>
                <w:bCs/>
                <w:szCs w:val="22"/>
                <w:lang w:eastAsia="en-AU"/>
              </w:rPr>
              <w:t>013.8</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1 </w:t>
            </w:r>
            <w:r w:rsidRPr="003E2DBE">
              <w:rPr>
                <w:rFonts w:cs="Calibri"/>
                <w:bCs/>
                <w:szCs w:val="22"/>
                <w:lang w:eastAsia="en-AU"/>
              </w:rPr>
              <w:t>009.9</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1 </w:t>
            </w:r>
            <w:r w:rsidRPr="003E2DBE">
              <w:rPr>
                <w:rFonts w:cs="Calibri"/>
                <w:bCs/>
                <w:szCs w:val="22"/>
                <w:lang w:eastAsia="en-AU"/>
              </w:rPr>
              <w:t>013.8</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Casino</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200.8</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194.4</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200.8</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194.4</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Racing</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87.5</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121.1</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87.5</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121.1</w:t>
            </w:r>
          </w:p>
        </w:tc>
      </w:tr>
      <w:tr w:rsidR="000B4A1E" w:rsidRPr="003E2DBE" w:rsidTr="00517E51">
        <w:trPr>
          <w:divId w:val="1489323364"/>
        </w:trPr>
        <w:tc>
          <w:tcPr>
            <w:tcW w:w="5234" w:type="dxa"/>
            <w:gridSpan w:val="2"/>
            <w:tcBorders>
              <w:top w:val="nil"/>
              <w:left w:val="nil"/>
              <w:bottom w:val="single" w:sz="4" w:space="0" w:color="auto"/>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Other</w:t>
            </w:r>
          </w:p>
        </w:tc>
        <w:tc>
          <w:tcPr>
            <w:tcW w:w="1115"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18.2</w:t>
            </w:r>
          </w:p>
        </w:tc>
        <w:tc>
          <w:tcPr>
            <w:tcW w:w="1115"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16.5</w:t>
            </w:r>
          </w:p>
        </w:tc>
        <w:tc>
          <w:tcPr>
            <w:tcW w:w="1115"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18.2</w:t>
            </w:r>
          </w:p>
        </w:tc>
        <w:tc>
          <w:tcPr>
            <w:tcW w:w="117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16.5</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Total gambling taxes</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745.3</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730.5</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745.3</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730.5</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Levies on statutory corporations</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lang w:eastAsia="en-AU"/>
              </w:rPr>
              <w:t>..</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lang w:eastAsia="en-AU"/>
              </w:rPr>
              <w:t>..</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lang w:eastAsia="en-AU"/>
              </w:rPr>
              <w:t xml:space="preserve"> 69.4</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lang w:eastAsia="en-AU"/>
              </w:rPr>
              <w:t xml:space="preserve"> 69.4</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Taxes on insurance</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lang w:eastAsia="en-AU"/>
              </w:rPr>
              <w:t xml:space="preserve">1 </w:t>
            </w:r>
            <w:r w:rsidRPr="003E2DBE">
              <w:rPr>
                <w:rFonts w:cs="Calibri"/>
                <w:b/>
                <w:bCs/>
                <w:szCs w:val="22"/>
                <w:lang w:eastAsia="en-AU"/>
              </w:rPr>
              <w:t>627.5</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lang w:eastAsia="en-AU"/>
              </w:rPr>
              <w:t xml:space="preserve">1 </w:t>
            </w:r>
            <w:r w:rsidRPr="003E2DBE">
              <w:rPr>
                <w:rFonts w:cs="Calibri"/>
                <w:b/>
                <w:bCs/>
                <w:szCs w:val="22"/>
                <w:lang w:eastAsia="en-AU"/>
              </w:rPr>
              <w:t>652.1</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lang w:eastAsia="en-AU"/>
              </w:rPr>
              <w:t xml:space="preserve">1 </w:t>
            </w:r>
            <w:r w:rsidRPr="003E2DBE">
              <w:rPr>
                <w:rFonts w:cs="Calibri"/>
                <w:b/>
                <w:bCs/>
                <w:szCs w:val="22"/>
                <w:lang w:eastAsia="en-AU"/>
              </w:rPr>
              <w:t>627.5</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lang w:eastAsia="en-AU"/>
              </w:rPr>
              <w:t xml:space="preserve">1 </w:t>
            </w:r>
            <w:r w:rsidRPr="003E2DBE">
              <w:rPr>
                <w:rFonts w:cs="Calibri"/>
                <w:b/>
                <w:bCs/>
                <w:szCs w:val="22"/>
                <w:lang w:eastAsia="en-AU"/>
              </w:rPr>
              <w:t>652.1</w:t>
            </w:r>
          </w:p>
        </w:tc>
      </w:tr>
      <w:tr w:rsidR="000B4A1E" w:rsidRPr="003E2DBE" w:rsidTr="00517E51">
        <w:trPr>
          <w:divId w:val="1489323364"/>
        </w:trPr>
        <w:tc>
          <w:tcPr>
            <w:tcW w:w="5234" w:type="dxa"/>
            <w:gridSpan w:val="2"/>
            <w:tcBorders>
              <w:top w:val="single" w:sz="4" w:space="0" w:color="auto"/>
              <w:left w:val="nil"/>
              <w:bottom w:val="single" w:sz="4" w:space="0" w:color="auto"/>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Total taxes on the provision of goods and services</w:t>
            </w:r>
          </w:p>
        </w:tc>
        <w:tc>
          <w:tcPr>
            <w:tcW w:w="1115" w:type="dxa"/>
            <w:gridSpan w:val="2"/>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372.8</w:t>
            </w:r>
          </w:p>
        </w:tc>
        <w:tc>
          <w:tcPr>
            <w:tcW w:w="1115"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382.6</w:t>
            </w:r>
          </w:p>
        </w:tc>
        <w:tc>
          <w:tcPr>
            <w:tcW w:w="1115" w:type="dxa"/>
            <w:gridSpan w:val="2"/>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442.3</w:t>
            </w:r>
          </w:p>
        </w:tc>
        <w:tc>
          <w:tcPr>
            <w:tcW w:w="1170"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452.0</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Taxes on the use of goods and performance of activities</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15" w:type="dxa"/>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
                <w:bCs/>
                <w:lang w:eastAsia="en-AU"/>
              </w:rPr>
            </w:pPr>
            <w:r w:rsidRPr="003E2DBE">
              <w:rPr>
                <w:b/>
                <w:bCs/>
                <w:lang w:eastAsia="en-AU"/>
              </w:rPr>
              <w:t xml:space="preserve">  </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Motor vehicle taxes</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Cs/>
                <w:lang w:eastAsia="en-AU"/>
              </w:rPr>
            </w:pPr>
            <w:r w:rsidRPr="003E2DBE">
              <w:rPr>
                <w:bCs/>
                <w:lang w:eastAsia="en-AU"/>
              </w:rPr>
              <w:t xml:space="preserve">  </w:t>
            </w:r>
          </w:p>
        </w:tc>
        <w:tc>
          <w:tcPr>
            <w:tcW w:w="1115" w:type="dxa"/>
            <w:tcBorders>
              <w:top w:val="nil"/>
              <w:left w:val="nil"/>
              <w:bottom w:val="nil"/>
              <w:right w:val="nil"/>
            </w:tcBorders>
            <w:shd w:val="clear" w:color="auto" w:fill="auto"/>
            <w:hideMark/>
          </w:tcPr>
          <w:p w:rsidR="000B4A1E" w:rsidRPr="003E2DBE" w:rsidRDefault="000B4A1E" w:rsidP="00517E51">
            <w:pPr>
              <w:pStyle w:val="TableofFigures"/>
              <w:rPr>
                <w:bCs/>
                <w:lang w:eastAsia="en-AU"/>
              </w:rPr>
            </w:pPr>
            <w:r w:rsidRPr="003E2DBE">
              <w:rPr>
                <w:bCs/>
                <w:lang w:eastAsia="en-AU"/>
              </w:rPr>
              <w:t xml:space="preserve">  </w:t>
            </w:r>
          </w:p>
        </w:tc>
        <w:tc>
          <w:tcPr>
            <w:tcW w:w="1115" w:type="dxa"/>
            <w:gridSpan w:val="2"/>
            <w:tcBorders>
              <w:top w:val="nil"/>
              <w:left w:val="nil"/>
              <w:bottom w:val="nil"/>
              <w:right w:val="nil"/>
            </w:tcBorders>
            <w:shd w:val="clear" w:color="auto" w:fill="auto"/>
            <w:hideMark/>
          </w:tcPr>
          <w:p w:rsidR="000B4A1E" w:rsidRPr="003E2DBE" w:rsidRDefault="000B4A1E" w:rsidP="00517E51">
            <w:pPr>
              <w:pStyle w:val="TableofFigures"/>
              <w:rPr>
                <w:bCs/>
                <w:lang w:eastAsia="en-AU"/>
              </w:rPr>
            </w:pPr>
            <w:r w:rsidRPr="003E2DBE">
              <w:rPr>
                <w:bCs/>
                <w:lang w:eastAsia="en-AU"/>
              </w:rPr>
              <w:t xml:space="preserve">  </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bCs/>
                <w:lang w:eastAsia="en-AU"/>
              </w:rPr>
            </w:pPr>
            <w:r w:rsidRPr="003E2DBE">
              <w:rPr>
                <w:bCs/>
                <w:lang w:eastAsia="en-AU"/>
              </w:rPr>
              <w:t xml:space="preserve">  </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Vehicle registration fees</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1 </w:t>
            </w:r>
            <w:r w:rsidRPr="003E2DBE">
              <w:rPr>
                <w:rFonts w:cs="Calibri"/>
                <w:bCs/>
                <w:szCs w:val="22"/>
                <w:lang w:eastAsia="en-AU"/>
              </w:rPr>
              <w:t>173.1</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1 </w:t>
            </w:r>
            <w:r w:rsidRPr="003E2DBE">
              <w:rPr>
                <w:rFonts w:cs="Calibri"/>
                <w:bCs/>
                <w:szCs w:val="22"/>
                <w:lang w:eastAsia="en-AU"/>
              </w:rPr>
              <w:t>003.7</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1 </w:t>
            </w:r>
            <w:r w:rsidRPr="003E2DBE">
              <w:rPr>
                <w:rFonts w:cs="Calibri"/>
                <w:bCs/>
                <w:szCs w:val="22"/>
                <w:lang w:eastAsia="en-AU"/>
              </w:rPr>
              <w:t>174.7</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Cs/>
                <w:szCs w:val="22"/>
                <w:lang w:eastAsia="en-AU"/>
              </w:rPr>
            </w:pPr>
            <w:r w:rsidRPr="003E2DBE">
              <w:rPr>
                <w:lang w:eastAsia="en-AU"/>
              </w:rPr>
              <w:t xml:space="preserve">1 </w:t>
            </w:r>
            <w:r w:rsidRPr="003E2DBE">
              <w:rPr>
                <w:rFonts w:cs="Calibri"/>
                <w:bCs/>
                <w:szCs w:val="22"/>
                <w:lang w:eastAsia="en-AU"/>
              </w:rPr>
              <w:t>005.3</w:t>
            </w:r>
          </w:p>
        </w:tc>
      </w:tr>
      <w:tr w:rsidR="000B4A1E" w:rsidRPr="003E2DBE" w:rsidTr="00517E51">
        <w:trPr>
          <w:divId w:val="1489323364"/>
        </w:trPr>
        <w:tc>
          <w:tcPr>
            <w:tcW w:w="5234" w:type="dxa"/>
            <w:gridSpan w:val="2"/>
            <w:tcBorders>
              <w:top w:val="nil"/>
              <w:left w:val="nil"/>
              <w:bottom w:val="single" w:sz="4" w:space="0" w:color="auto"/>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 xml:space="preserve">  Duty on vehicle registrations and transfers</w:t>
            </w:r>
          </w:p>
        </w:tc>
        <w:tc>
          <w:tcPr>
            <w:tcW w:w="1115"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636.1</w:t>
            </w:r>
          </w:p>
        </w:tc>
        <w:tc>
          <w:tcPr>
            <w:tcW w:w="1115"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584.3</w:t>
            </w:r>
          </w:p>
        </w:tc>
        <w:tc>
          <w:tcPr>
            <w:tcW w:w="1115"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636.1</w:t>
            </w:r>
          </w:p>
        </w:tc>
        <w:tc>
          <w:tcPr>
            <w:tcW w:w="117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584.3</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Total motor vehicle taxes</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809.2</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588.0</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810.8</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589.6</w:t>
            </w:r>
          </w:p>
        </w:tc>
      </w:tr>
      <w:tr w:rsidR="000B4A1E" w:rsidRPr="003E2DBE" w:rsidTr="00517E51">
        <w:trPr>
          <w:divId w:val="1489323364"/>
        </w:trPr>
        <w:tc>
          <w:tcPr>
            <w:tcW w:w="5234" w:type="dxa"/>
            <w:gridSpan w:val="2"/>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Franchise taxes</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22.8</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22.6</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22.8</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22.6</w:t>
            </w:r>
          </w:p>
        </w:tc>
      </w:tr>
      <w:tr w:rsidR="000B4A1E" w:rsidRPr="003E2DBE" w:rsidTr="00517E51">
        <w:trPr>
          <w:divId w:val="1489323364"/>
        </w:trPr>
        <w:tc>
          <w:tcPr>
            <w:tcW w:w="5234" w:type="dxa"/>
            <w:gridSpan w:val="2"/>
            <w:tcBorders>
              <w:top w:val="nil"/>
              <w:left w:val="nil"/>
              <w:bottom w:val="single" w:sz="4" w:space="0" w:color="auto"/>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Other</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180.9</w:t>
            </w:r>
          </w:p>
        </w:tc>
        <w:tc>
          <w:tcPr>
            <w:tcW w:w="1115"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179.3</w:t>
            </w:r>
          </w:p>
        </w:tc>
        <w:tc>
          <w:tcPr>
            <w:tcW w:w="111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255.9</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lang w:eastAsia="en-AU"/>
              </w:rPr>
              <w:t xml:space="preserve"> 179.3</w:t>
            </w:r>
          </w:p>
        </w:tc>
      </w:tr>
      <w:tr w:rsidR="000B4A1E" w:rsidRPr="003E2DBE" w:rsidTr="00517E51">
        <w:trPr>
          <w:divId w:val="1489323364"/>
        </w:trPr>
        <w:tc>
          <w:tcPr>
            <w:tcW w:w="4694" w:type="dxa"/>
            <w:tcBorders>
              <w:top w:val="nil"/>
              <w:left w:val="nil"/>
              <w:bottom w:val="single" w:sz="4" w:space="0" w:color="auto"/>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Total taxes on the use of goods and performance of activities</w:t>
            </w:r>
          </w:p>
        </w:tc>
        <w:tc>
          <w:tcPr>
            <w:tcW w:w="1655" w:type="dxa"/>
            <w:gridSpan w:val="3"/>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012.9</w:t>
            </w:r>
          </w:p>
        </w:tc>
        <w:tc>
          <w:tcPr>
            <w:tcW w:w="1115"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789.9</w:t>
            </w:r>
          </w:p>
        </w:tc>
        <w:tc>
          <w:tcPr>
            <w:tcW w:w="1115" w:type="dxa"/>
            <w:gridSpan w:val="2"/>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089.5</w:t>
            </w:r>
          </w:p>
        </w:tc>
        <w:tc>
          <w:tcPr>
            <w:tcW w:w="1170"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791.5</w:t>
            </w:r>
          </w:p>
        </w:tc>
      </w:tr>
      <w:tr w:rsidR="000B4A1E" w:rsidRPr="003E2DBE" w:rsidTr="00517E51">
        <w:trPr>
          <w:divId w:val="1489323364"/>
        </w:trPr>
        <w:tc>
          <w:tcPr>
            <w:tcW w:w="5234" w:type="dxa"/>
            <w:gridSpan w:val="2"/>
            <w:tcBorders>
              <w:top w:val="single" w:sz="4" w:space="0" w:color="auto"/>
              <w:left w:val="nil"/>
              <w:bottom w:val="single" w:sz="12" w:space="0" w:color="auto"/>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Total taxation revenue</w:t>
            </w:r>
          </w:p>
        </w:tc>
        <w:tc>
          <w:tcPr>
            <w:tcW w:w="1115"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15 </w:t>
            </w:r>
            <w:r w:rsidRPr="003E2DBE">
              <w:rPr>
                <w:rFonts w:cs="Calibri"/>
                <w:b/>
                <w:bCs/>
                <w:szCs w:val="22"/>
                <w:lang w:eastAsia="en-AU"/>
              </w:rPr>
              <w:t>184.7</w:t>
            </w:r>
          </w:p>
        </w:tc>
        <w:tc>
          <w:tcPr>
            <w:tcW w:w="1115"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14 </w:t>
            </w:r>
            <w:r w:rsidRPr="003E2DBE">
              <w:rPr>
                <w:rFonts w:cs="Calibri"/>
                <w:b/>
                <w:bCs/>
                <w:szCs w:val="22"/>
                <w:lang w:eastAsia="en-AU"/>
              </w:rPr>
              <w:t>775.9</w:t>
            </w:r>
          </w:p>
        </w:tc>
        <w:tc>
          <w:tcPr>
            <w:tcW w:w="1115"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15 </w:t>
            </w:r>
            <w:r w:rsidRPr="003E2DBE">
              <w:rPr>
                <w:rFonts w:cs="Calibri"/>
                <w:b/>
                <w:bCs/>
                <w:szCs w:val="22"/>
                <w:lang w:eastAsia="en-AU"/>
              </w:rPr>
              <w:t>530.7</w:t>
            </w:r>
          </w:p>
        </w:tc>
        <w:tc>
          <w:tcPr>
            <w:tcW w:w="117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15 </w:t>
            </w:r>
            <w:r w:rsidRPr="003E2DBE">
              <w:rPr>
                <w:rFonts w:cs="Calibri"/>
                <w:b/>
                <w:bCs/>
                <w:szCs w:val="22"/>
                <w:lang w:eastAsia="en-AU"/>
              </w:rPr>
              <w:t>026.8</w:t>
            </w:r>
          </w:p>
        </w:tc>
      </w:tr>
      <w:bookmarkEnd w:id="22"/>
    </w:tbl>
    <w:p w:rsidR="000B4A1E" w:rsidRPr="00D00665" w:rsidRDefault="000B4A1E" w:rsidP="00517E51"/>
    <w:p w:rsidR="000B4A1E" w:rsidRPr="00D00665" w:rsidRDefault="000B4A1E" w:rsidP="00517E51">
      <w:pPr>
        <w:pStyle w:val="Heading2Notes"/>
      </w:pPr>
      <w:r w:rsidRPr="00D00665">
        <w:br w:type="page"/>
      </w:r>
      <w:bookmarkStart w:id="23" w:name="_Toc367947863"/>
      <w:r w:rsidRPr="00D00665">
        <w:lastRenderedPageBreak/>
        <w:t>Note 4:</w:t>
      </w:r>
      <w:r w:rsidRPr="00D00665">
        <w:tab/>
        <w:t>Dividends and income tax equivalent and rate equivalent revenue</w:t>
      </w:r>
      <w:bookmarkEnd w:id="23"/>
    </w:p>
    <w:p w:rsidR="000B4A1E" w:rsidRPr="00D00665" w:rsidRDefault="000B4A1E" w:rsidP="00517E51">
      <w:pPr>
        <w:pStyle w:val="Tableheading"/>
        <w:rPr>
          <w:lang w:eastAsia="en-AU"/>
        </w:rPr>
      </w:pPr>
      <w:r w:rsidRPr="00D00665">
        <w:rPr>
          <w:lang w:eastAsia="en-AU"/>
        </w:rPr>
        <w:t>(a)</w:t>
      </w:r>
      <w:r w:rsidRPr="00D00665">
        <w:rPr>
          <w:lang w:eastAsia="en-AU"/>
        </w:rPr>
        <w:tab/>
        <w:t>Dividends and income tax equivalent and rate equivalent revenue</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234"/>
        <w:gridCol w:w="270"/>
        <w:gridCol w:w="775"/>
        <w:gridCol w:w="1123"/>
        <w:gridCol w:w="262"/>
        <w:gridCol w:w="861"/>
        <w:gridCol w:w="1123"/>
      </w:tblGrid>
      <w:tr w:rsidR="000B4A1E" w:rsidRPr="003E2DBE" w:rsidTr="00517E51">
        <w:tc>
          <w:tcPr>
            <w:tcW w:w="5234" w:type="dxa"/>
            <w:tcBorders>
              <w:top w:val="single" w:sz="12" w:space="0" w:color="auto"/>
              <w:left w:val="single" w:sz="12" w:space="0" w:color="auto"/>
              <w:bottom w:val="nil"/>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270" w:type="dxa"/>
            <w:tcBorders>
              <w:top w:val="single" w:sz="12"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1898" w:type="dxa"/>
            <w:gridSpan w:val="2"/>
            <w:tcBorders>
              <w:top w:val="single" w:sz="12" w:space="0" w:color="auto"/>
              <w:left w:val="nil"/>
              <w:bottom w:val="nil"/>
              <w:right w:val="nil"/>
            </w:tcBorders>
            <w:shd w:val="clear" w:color="auto" w:fill="000000"/>
          </w:tcPr>
          <w:p w:rsidR="000B4A1E" w:rsidRPr="003E2DBE" w:rsidRDefault="000B4A1E" w:rsidP="00517E51">
            <w:pPr>
              <w:pStyle w:val="TabletextheadingCentred"/>
              <w:rPr>
                <w:lang w:eastAsia="en-AU"/>
              </w:rPr>
            </w:pPr>
          </w:p>
          <w:p w:rsidR="000B4A1E" w:rsidRPr="003E2DBE" w:rsidRDefault="000B4A1E" w:rsidP="00517E51">
            <w:pPr>
              <w:pStyle w:val="TabletextheadingCentred"/>
              <w:rPr>
                <w:lang w:eastAsia="en-AU"/>
              </w:rPr>
            </w:pPr>
            <w:r w:rsidRPr="003E2DBE">
              <w:rPr>
                <w:lang w:eastAsia="en-AU"/>
              </w:rPr>
              <w:t>State of Victoria</w:t>
            </w:r>
          </w:p>
        </w:tc>
        <w:tc>
          <w:tcPr>
            <w:tcW w:w="262" w:type="dxa"/>
            <w:tcBorders>
              <w:top w:val="single" w:sz="12"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1984" w:type="dxa"/>
            <w:gridSpan w:val="2"/>
            <w:tcBorders>
              <w:top w:val="single" w:sz="12" w:space="0" w:color="auto"/>
              <w:left w:val="nil"/>
              <w:bottom w:val="nil"/>
              <w:right w:val="single" w:sz="12" w:space="0" w:color="auto"/>
            </w:tcBorders>
            <w:shd w:val="clear" w:color="auto" w:fill="000000"/>
          </w:tcPr>
          <w:p w:rsidR="000B4A1E" w:rsidRPr="003E2DBE" w:rsidRDefault="000B4A1E" w:rsidP="00517E51">
            <w:pPr>
              <w:pStyle w:val="TabletextheadingCentred"/>
              <w:rPr>
                <w:lang w:eastAsia="en-AU"/>
              </w:rPr>
            </w:pPr>
            <w:r w:rsidRPr="003E2DBE">
              <w:rPr>
                <w:lang w:eastAsia="en-AU"/>
              </w:rPr>
              <w:t>General</w:t>
            </w:r>
          </w:p>
          <w:p w:rsidR="000B4A1E" w:rsidRPr="003E2DBE" w:rsidRDefault="000B4A1E" w:rsidP="00517E51">
            <w:pPr>
              <w:pStyle w:val="TabletextheadingCentred"/>
              <w:rPr>
                <w:lang w:eastAsia="en-AU"/>
              </w:rPr>
            </w:pPr>
            <w:r w:rsidRPr="003E2DBE">
              <w:rPr>
                <w:lang w:eastAsia="en-AU"/>
              </w:rPr>
              <w:t>government sector</w:t>
            </w:r>
          </w:p>
        </w:tc>
      </w:tr>
      <w:tr w:rsidR="000B4A1E" w:rsidRPr="003E2DBE" w:rsidTr="00517E51">
        <w:tc>
          <w:tcPr>
            <w:tcW w:w="5234" w:type="dxa"/>
            <w:tcBorders>
              <w:top w:val="nil"/>
              <w:left w:val="single" w:sz="12" w:space="0" w:color="auto"/>
              <w:bottom w:val="single" w:sz="12" w:space="0" w:color="auto"/>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1045" w:type="dxa"/>
            <w:gridSpan w:val="2"/>
            <w:tcBorders>
              <w:top w:val="nil"/>
              <w:left w:val="nil"/>
              <w:bottom w:val="single" w:sz="12"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12"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12"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12" w:space="0" w:color="auto"/>
              <w:right w:val="single" w:sz="12" w:space="0" w:color="auto"/>
            </w:tcBorders>
            <w:shd w:val="clear" w:color="auto" w:fill="000000"/>
          </w:tcPr>
          <w:p w:rsidR="000B4A1E" w:rsidRPr="003E2DBE" w:rsidRDefault="000B4A1E" w:rsidP="00517E51">
            <w:pPr>
              <w:pStyle w:val="Tabletextheading"/>
              <w:rPr>
                <w:lang w:eastAsia="en-AU"/>
              </w:rPr>
            </w:pPr>
            <w:r w:rsidRPr="003E2DBE">
              <w:rPr>
                <w:lang w:eastAsia="en-AU"/>
              </w:rPr>
              <w:t>2012</w:t>
            </w:r>
          </w:p>
        </w:tc>
      </w:tr>
      <w:tr w:rsidR="000B4A1E" w:rsidRPr="003E2DBE" w:rsidTr="00517E51">
        <w:tc>
          <w:tcPr>
            <w:tcW w:w="5234" w:type="dxa"/>
            <w:tcBorders>
              <w:top w:val="single" w:sz="12" w:space="0" w:color="auto"/>
              <w:left w:val="nil"/>
              <w:bottom w:val="nil"/>
              <w:right w:val="nil"/>
            </w:tcBorders>
          </w:tcPr>
          <w:p w:rsidR="000B4A1E" w:rsidRPr="003E2DBE" w:rsidRDefault="000B4A1E" w:rsidP="00517E51">
            <w:pPr>
              <w:pStyle w:val="Tabletext"/>
              <w:rPr>
                <w:lang w:eastAsia="en-AU"/>
              </w:rPr>
            </w:pPr>
            <w:r w:rsidRPr="003E2DBE">
              <w:rPr>
                <w:lang w:eastAsia="en-AU"/>
              </w:rPr>
              <w:t>Dividends from PFC sector</w:t>
            </w:r>
          </w:p>
        </w:tc>
        <w:tc>
          <w:tcPr>
            <w:tcW w:w="1045" w:type="dxa"/>
            <w:gridSpan w:val="2"/>
            <w:tcBorders>
              <w:top w:val="single" w:sz="12" w:space="0" w:color="auto"/>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single" w:sz="12" w:space="0" w:color="auto"/>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single" w:sz="12" w:space="0" w:color="auto"/>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440.7</w:t>
            </w:r>
          </w:p>
        </w:tc>
        <w:tc>
          <w:tcPr>
            <w:tcW w:w="1123" w:type="dxa"/>
            <w:tcBorders>
              <w:top w:val="single" w:sz="12" w:space="0" w:color="auto"/>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353.4</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Dividends from PNFC sector</w:t>
            </w:r>
          </w:p>
        </w:tc>
        <w:tc>
          <w:tcPr>
            <w:tcW w:w="1045"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720.3</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305.9</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Dividends from non-public sector</w:t>
            </w:r>
          </w:p>
        </w:tc>
        <w:tc>
          <w:tcPr>
            <w:tcW w:w="1045"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477.5</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496.2</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6.6</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5.9</w:t>
            </w:r>
          </w:p>
        </w:tc>
      </w:tr>
      <w:tr w:rsidR="000B4A1E" w:rsidRPr="003E2DBE" w:rsidTr="00517E51">
        <w:tc>
          <w:tcPr>
            <w:tcW w:w="5234" w:type="dxa"/>
            <w:tcBorders>
              <w:top w:val="single" w:sz="6" w:space="0" w:color="auto"/>
              <w:left w:val="nil"/>
              <w:bottom w:val="nil"/>
              <w:right w:val="nil"/>
            </w:tcBorders>
          </w:tcPr>
          <w:p w:rsidR="000B4A1E" w:rsidRPr="003E2DBE" w:rsidRDefault="000B4A1E" w:rsidP="00517E51">
            <w:pPr>
              <w:pStyle w:val="Tabletext"/>
              <w:rPr>
                <w:lang w:eastAsia="en-AU"/>
              </w:rPr>
            </w:pPr>
            <w:r w:rsidRPr="003E2DBE">
              <w:rPr>
                <w:lang w:eastAsia="en-AU"/>
              </w:rPr>
              <w:t>Dividends</w:t>
            </w:r>
          </w:p>
        </w:tc>
        <w:tc>
          <w:tcPr>
            <w:tcW w:w="1045" w:type="dxa"/>
            <w:gridSpan w:val="2"/>
            <w:tcBorders>
              <w:top w:val="single" w:sz="6" w:space="0" w:color="auto"/>
              <w:left w:val="nil"/>
              <w:bottom w:val="nil"/>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 477.5</w:t>
            </w:r>
          </w:p>
        </w:tc>
        <w:tc>
          <w:tcPr>
            <w:tcW w:w="1123" w:type="dxa"/>
            <w:tcBorders>
              <w:top w:val="single" w:sz="6" w:space="0" w:color="auto"/>
              <w:left w:val="nil"/>
              <w:bottom w:val="nil"/>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 496.2</w:t>
            </w:r>
          </w:p>
        </w:tc>
        <w:tc>
          <w:tcPr>
            <w:tcW w:w="1123" w:type="dxa"/>
            <w:gridSpan w:val="2"/>
            <w:tcBorders>
              <w:top w:val="single" w:sz="6" w:space="0" w:color="auto"/>
              <w:left w:val="nil"/>
              <w:bottom w:val="nil"/>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167.5</w:t>
            </w:r>
          </w:p>
        </w:tc>
        <w:tc>
          <w:tcPr>
            <w:tcW w:w="1123" w:type="dxa"/>
            <w:tcBorders>
              <w:top w:val="single" w:sz="6" w:space="0" w:color="auto"/>
              <w:left w:val="nil"/>
              <w:bottom w:val="nil"/>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 665.2</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Income tax equivalent from PFC sector</w:t>
            </w:r>
          </w:p>
        </w:tc>
        <w:tc>
          <w:tcPr>
            <w:tcW w:w="1045"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17.9</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15.2</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Income tax equivalent from PNFC sector</w:t>
            </w:r>
          </w:p>
        </w:tc>
        <w:tc>
          <w:tcPr>
            <w:tcW w:w="1045"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153.3</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253.3</w:t>
            </w:r>
          </w:p>
        </w:tc>
      </w:tr>
      <w:tr w:rsidR="000B4A1E" w:rsidRPr="003E2DBE" w:rsidTr="00517E51">
        <w:tc>
          <w:tcPr>
            <w:tcW w:w="5234" w:type="dxa"/>
            <w:tcBorders>
              <w:top w:val="single" w:sz="6" w:space="0" w:color="auto"/>
              <w:left w:val="nil"/>
              <w:bottom w:val="nil"/>
              <w:right w:val="nil"/>
            </w:tcBorders>
          </w:tcPr>
          <w:p w:rsidR="000B4A1E" w:rsidRPr="003E2DBE" w:rsidRDefault="000B4A1E" w:rsidP="00517E51">
            <w:pPr>
              <w:pStyle w:val="Tabletext"/>
              <w:rPr>
                <w:lang w:eastAsia="en-AU"/>
              </w:rPr>
            </w:pPr>
            <w:r w:rsidRPr="003E2DBE">
              <w:rPr>
                <w:lang w:eastAsia="en-AU"/>
              </w:rPr>
              <w:t>Income tax equivalent</w:t>
            </w:r>
          </w:p>
        </w:tc>
        <w:tc>
          <w:tcPr>
            <w:tcW w:w="1045" w:type="dxa"/>
            <w:gridSpan w:val="2"/>
            <w:tcBorders>
              <w:top w:val="single" w:sz="6" w:space="0" w:color="auto"/>
              <w:left w:val="nil"/>
              <w:bottom w:val="nil"/>
              <w:right w:val="nil"/>
            </w:tcBorders>
          </w:tcPr>
          <w:p w:rsidR="000B4A1E" w:rsidRPr="003E2DBE" w:rsidRDefault="000B4A1E" w:rsidP="00517E51">
            <w:pPr>
              <w:pStyle w:val="TableofFigures"/>
              <w:rPr>
                <w:rFonts w:cs="Calibri"/>
                <w:b/>
                <w:bCs/>
                <w:szCs w:val="22"/>
                <w:lang w:eastAsia="en-AU"/>
              </w:rPr>
            </w:pPr>
            <w:r w:rsidRPr="003E2DBE">
              <w:rPr>
                <w:b/>
                <w:bCs/>
                <w:lang w:eastAsia="en-AU"/>
              </w:rPr>
              <w:t>..</w:t>
            </w:r>
          </w:p>
        </w:tc>
        <w:tc>
          <w:tcPr>
            <w:tcW w:w="1123" w:type="dxa"/>
            <w:tcBorders>
              <w:top w:val="single" w:sz="6" w:space="0" w:color="auto"/>
              <w:left w:val="nil"/>
              <w:bottom w:val="nil"/>
              <w:right w:val="nil"/>
            </w:tcBorders>
          </w:tcPr>
          <w:p w:rsidR="000B4A1E" w:rsidRPr="003E2DBE" w:rsidRDefault="000B4A1E" w:rsidP="00517E51">
            <w:pPr>
              <w:pStyle w:val="TableofFigures"/>
              <w:rPr>
                <w:rFonts w:cs="Calibri"/>
                <w:b/>
                <w:bCs/>
                <w:szCs w:val="22"/>
                <w:lang w:eastAsia="en-AU"/>
              </w:rPr>
            </w:pPr>
            <w:r w:rsidRPr="003E2DBE">
              <w:rPr>
                <w:b/>
                <w:bCs/>
                <w:lang w:eastAsia="en-AU"/>
              </w:rPr>
              <w:t>..</w:t>
            </w:r>
          </w:p>
        </w:tc>
        <w:tc>
          <w:tcPr>
            <w:tcW w:w="1123" w:type="dxa"/>
            <w:gridSpan w:val="2"/>
            <w:tcBorders>
              <w:top w:val="single" w:sz="6" w:space="0" w:color="auto"/>
              <w:left w:val="nil"/>
              <w:bottom w:val="nil"/>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 171.2</w:t>
            </w:r>
          </w:p>
        </w:tc>
        <w:tc>
          <w:tcPr>
            <w:tcW w:w="1123" w:type="dxa"/>
            <w:tcBorders>
              <w:top w:val="single" w:sz="6" w:space="0" w:color="auto"/>
              <w:left w:val="nil"/>
              <w:bottom w:val="nil"/>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 268.6</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Local government rate equivalent revenue</w:t>
            </w:r>
          </w:p>
        </w:tc>
        <w:tc>
          <w:tcPr>
            <w:tcW w:w="1045"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5.3</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3.0</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5.3</w:t>
            </w:r>
          </w:p>
        </w:tc>
      </w:tr>
      <w:tr w:rsidR="000B4A1E" w:rsidRPr="003E2DBE" w:rsidTr="00517E51">
        <w:tc>
          <w:tcPr>
            <w:tcW w:w="5234" w:type="dxa"/>
            <w:tcBorders>
              <w:top w:val="nil"/>
              <w:left w:val="nil"/>
              <w:bottom w:val="single" w:sz="6" w:space="0" w:color="auto"/>
              <w:right w:val="nil"/>
            </w:tcBorders>
          </w:tcPr>
          <w:p w:rsidR="000B4A1E" w:rsidRPr="003E2DBE" w:rsidRDefault="000B4A1E" w:rsidP="00517E51">
            <w:pPr>
              <w:pStyle w:val="Tabletext"/>
              <w:rPr>
                <w:vertAlign w:val="superscript"/>
                <w:lang w:eastAsia="en-AU"/>
              </w:rPr>
            </w:pPr>
            <w:r w:rsidRPr="003E2DBE">
              <w:rPr>
                <w:lang w:eastAsia="en-AU"/>
              </w:rPr>
              <w:t xml:space="preserve">Other dividends </w:t>
            </w:r>
            <w:r w:rsidRPr="003E2DBE">
              <w:rPr>
                <w:vertAlign w:val="superscript"/>
                <w:lang w:eastAsia="en-AU"/>
              </w:rPr>
              <w:t>(a)</w:t>
            </w:r>
          </w:p>
        </w:tc>
        <w:tc>
          <w:tcPr>
            <w:tcW w:w="1045"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133.4</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69.6</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c>
          <w:tcPr>
            <w:tcW w:w="5234" w:type="dxa"/>
            <w:tcBorders>
              <w:top w:val="single" w:sz="6" w:space="0" w:color="auto"/>
              <w:left w:val="nil"/>
              <w:bottom w:val="single" w:sz="12" w:space="0" w:color="auto"/>
              <w:right w:val="nil"/>
            </w:tcBorders>
          </w:tcPr>
          <w:p w:rsidR="000B4A1E" w:rsidRPr="003E2DBE" w:rsidRDefault="000B4A1E" w:rsidP="00517E51">
            <w:pPr>
              <w:pStyle w:val="Tabletext"/>
              <w:rPr>
                <w:b/>
                <w:bCs/>
                <w:lang w:eastAsia="en-AU"/>
              </w:rPr>
            </w:pPr>
            <w:r w:rsidRPr="003E2DBE">
              <w:rPr>
                <w:b/>
                <w:bCs/>
                <w:lang w:eastAsia="en-AU"/>
              </w:rPr>
              <w:t>Total dividends and income tax equivalent and rate equivalent revenue</w:t>
            </w:r>
          </w:p>
        </w:tc>
        <w:tc>
          <w:tcPr>
            <w:tcW w:w="1045"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 610.9</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 571.1</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341.7</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 939.1</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Dividends from Snowy Hydro Limited received by SECV – refer to Note 18.</w:t>
      </w:r>
    </w:p>
    <w:p w:rsidR="000B4A1E" w:rsidRPr="00D00665" w:rsidRDefault="000B4A1E" w:rsidP="00517E51">
      <w:pPr>
        <w:pStyle w:val="Notes"/>
      </w:pPr>
    </w:p>
    <w:p w:rsidR="000B4A1E" w:rsidRPr="00D00665" w:rsidRDefault="000B4A1E" w:rsidP="00517E51">
      <w:pPr>
        <w:pStyle w:val="Tableheading"/>
      </w:pPr>
      <w:r w:rsidRPr="00D00665">
        <w:t>(b)</w:t>
      </w:r>
      <w:r w:rsidRPr="00D00665">
        <w:tab/>
        <w:t>Dividends by entity</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262"/>
        <w:gridCol w:w="861"/>
        <w:gridCol w:w="1123"/>
      </w:tblGrid>
      <w:tr w:rsidR="000B4A1E" w:rsidRPr="003E2DBE" w:rsidTr="00517E51">
        <w:tc>
          <w:tcPr>
            <w:tcW w:w="7402"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p>
        </w:tc>
        <w:tc>
          <w:tcPr>
            <w:tcW w:w="262"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lang w:eastAsia="en-AU"/>
              </w:rPr>
            </w:pPr>
          </w:p>
        </w:tc>
        <w:tc>
          <w:tcPr>
            <w:tcW w:w="1984" w:type="dxa"/>
            <w:gridSpan w:val="2"/>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General</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r>
      <w:tr w:rsidR="000B4A1E" w:rsidRPr="003E2DBE" w:rsidTr="00517E51">
        <w:tc>
          <w:tcPr>
            <w:tcW w:w="7402" w:type="dxa"/>
            <w:tcBorders>
              <w:top w:val="single" w:sz="6" w:space="0" w:color="auto"/>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p>
        </w:tc>
        <w:tc>
          <w:tcPr>
            <w:tcW w:w="1123" w:type="dxa"/>
            <w:gridSpan w:val="2"/>
            <w:tcBorders>
              <w:top w:val="single" w:sz="6" w:space="0" w:color="auto"/>
              <w:left w:val="nil"/>
              <w:bottom w:val="single" w:sz="4" w:space="0" w:color="auto"/>
              <w:right w:val="nil"/>
            </w:tcBorders>
            <w:shd w:val="clear" w:color="auto" w:fill="000000"/>
          </w:tcPr>
          <w:p w:rsidR="000B4A1E" w:rsidRPr="003E2DBE" w:rsidRDefault="000B4A1E" w:rsidP="00517E51">
            <w:pPr>
              <w:pStyle w:val="Tabletextheading"/>
              <w:rPr>
                <w:rFonts w:eastAsiaTheme="minorEastAsia"/>
                <w:vertAlign w:val="superscript"/>
                <w:lang w:eastAsia="en-AU"/>
              </w:rPr>
            </w:pPr>
            <w:r w:rsidRPr="003E2DBE">
              <w:rPr>
                <w:rFonts w:eastAsiaTheme="minorEastAsia"/>
                <w:lang w:eastAsia="en-AU"/>
              </w:rPr>
              <w:t>2013</w:t>
            </w:r>
          </w:p>
        </w:tc>
        <w:tc>
          <w:tcPr>
            <w:tcW w:w="1123" w:type="dxa"/>
            <w:tcBorders>
              <w:top w:val="single" w:sz="6" w:space="0" w:color="auto"/>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vertAlign w:val="superscript"/>
                <w:lang w:eastAsia="en-AU"/>
              </w:rPr>
            </w:pPr>
            <w:r w:rsidRPr="003E2DBE">
              <w:rPr>
                <w:rFonts w:eastAsiaTheme="minorEastAsia"/>
                <w:lang w:eastAsia="en-AU"/>
              </w:rPr>
              <w:t>2012</w:t>
            </w:r>
          </w:p>
        </w:tc>
      </w:tr>
      <w:tr w:rsidR="000B4A1E" w:rsidRPr="003E2DBE" w:rsidTr="00517E51">
        <w:tc>
          <w:tcPr>
            <w:tcW w:w="7402" w:type="dxa"/>
            <w:tcBorders>
              <w:top w:val="single" w:sz="4"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Public financial corporations</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Victorian WorkCover Authority</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192.5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147.0</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Transport Accident Commission</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176.0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140.0</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Treasury Corporation of Victoria</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54.7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52.6</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Rural Finance Corporation of Victoria</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15.3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13.8</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Victorian Funds Management Corporation</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7402"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Dividends from PFC sector</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440.7</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353.4</w:t>
            </w:r>
          </w:p>
        </w:tc>
      </w:tr>
      <w:tr w:rsidR="000B4A1E" w:rsidRPr="003E2DBE" w:rsidTr="00517E51">
        <w:trPr>
          <w:trHeight w:hRule="exact" w:val="120"/>
        </w:trPr>
        <w:tc>
          <w:tcPr>
            <w:tcW w:w="7402" w:type="dxa"/>
            <w:tcBorders>
              <w:top w:val="nil"/>
              <w:left w:val="nil"/>
              <w:bottom w:val="nil"/>
              <w:right w:val="nil"/>
            </w:tcBorders>
          </w:tcPr>
          <w:p w:rsidR="000B4A1E" w:rsidRPr="003E2DBE" w:rsidRDefault="000B4A1E" w:rsidP="00517E51">
            <w:pPr>
              <w:pStyle w:val="Tabletext"/>
              <w:rPr>
                <w:rFonts w:eastAsiaTheme="minorEastAsia"/>
                <w:b/>
                <w:bCs/>
                <w:lang w:eastAsia="en-AU"/>
              </w:rPr>
            </w:pP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Public non-financial corporations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Melbourne Water Corporation</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94.5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118.4</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City West Water Corporation</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24.8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45.2</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South East Water Corporation</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61.5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50.0</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Yarra Valley Water Corporation</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57.5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56.1</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Port of Melbourne Corporation</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29.7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34.4</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rPr>
              <w:t xml:space="preserve">State Electricity Commission of Victoria (Shell)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413.8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Others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38.4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1.8</w:t>
            </w:r>
          </w:p>
        </w:tc>
      </w:tr>
      <w:tr w:rsidR="000B4A1E" w:rsidRPr="003E2DBE" w:rsidTr="00517E51">
        <w:tc>
          <w:tcPr>
            <w:tcW w:w="7402"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Dividends from PNFC sector</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720.3</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305.9</w:t>
            </w:r>
          </w:p>
        </w:tc>
      </w:tr>
    </w:tbl>
    <w:p w:rsidR="000B4A1E" w:rsidRPr="00D00665" w:rsidRDefault="000B4A1E" w:rsidP="00517E51">
      <w:pPr>
        <w:pStyle w:val="Notes"/>
      </w:pPr>
      <w:r w:rsidRPr="00D00665">
        <w:t xml:space="preserve"> </w:t>
      </w:r>
    </w:p>
    <w:p w:rsidR="000B4A1E" w:rsidRPr="00D00665" w:rsidRDefault="000B4A1E" w:rsidP="00517E51">
      <w:pPr>
        <w:pStyle w:val="Notes"/>
      </w:pPr>
    </w:p>
    <w:p w:rsidR="000B4A1E" w:rsidRPr="00D00665" w:rsidRDefault="000B4A1E" w:rsidP="00517E51"/>
    <w:p w:rsidR="000B4A1E" w:rsidRPr="00D00665" w:rsidRDefault="000B4A1E" w:rsidP="00517E51"/>
    <w:p w:rsidR="000B4A1E" w:rsidRPr="00D00665" w:rsidRDefault="000B4A1E">
      <w:pPr>
        <w:spacing w:after="0"/>
        <w:rPr>
          <w:rFonts w:ascii="Calibri" w:hAnsi="Calibri"/>
          <w:b/>
          <w:kern w:val="28"/>
          <w:sz w:val="28"/>
          <w:szCs w:val="22"/>
        </w:rPr>
      </w:pPr>
      <w:r w:rsidRPr="00D00665">
        <w:br w:type="page"/>
      </w:r>
    </w:p>
    <w:p w:rsidR="000B4A1E" w:rsidRPr="00D00665" w:rsidRDefault="000B4A1E" w:rsidP="00517E51">
      <w:pPr>
        <w:pStyle w:val="Heading2Notes"/>
      </w:pPr>
      <w:bookmarkStart w:id="24" w:name="_Toc367947864"/>
      <w:r w:rsidRPr="00D00665">
        <w:lastRenderedPageBreak/>
        <w:t>Note 5:</w:t>
      </w:r>
      <w:r w:rsidRPr="00D00665">
        <w:tab/>
        <w:t>Sales of goods and services</w:t>
      </w:r>
      <w:bookmarkEnd w:id="24"/>
    </w:p>
    <w:p w:rsidR="000B4A1E" w:rsidRPr="003E2DBE" w:rsidRDefault="000B4A1E" w:rsidP="00517E51">
      <w:pPr>
        <w:pStyle w:val="million"/>
      </w:pPr>
      <w:r w:rsidRPr="00D00665">
        <w:t>($</w:t>
      </w:r>
      <w:r>
        <w:t> million</w:t>
      </w:r>
      <w:r w:rsidRPr="00D00665">
        <w:t>)</w:t>
      </w:r>
      <w:bookmarkStart w:id="25" w:name="RANGE!B5:F14"/>
    </w:p>
    <w:tbl>
      <w:tblPr>
        <w:tblW w:w="9694" w:type="dxa"/>
        <w:tblInd w:w="29" w:type="dxa"/>
        <w:tblCellMar>
          <w:left w:w="43" w:type="dxa"/>
          <w:right w:w="43" w:type="dxa"/>
        </w:tblCellMar>
        <w:tblLook w:val="04A0" w:firstRow="1" w:lastRow="0" w:firstColumn="1" w:lastColumn="0" w:noHBand="0" w:noVBand="1"/>
      </w:tblPr>
      <w:tblGrid>
        <w:gridCol w:w="5155"/>
        <w:gridCol w:w="106"/>
        <w:gridCol w:w="1017"/>
        <w:gridCol w:w="1123"/>
        <w:gridCol w:w="106"/>
        <w:gridCol w:w="1017"/>
        <w:gridCol w:w="1170"/>
      </w:tblGrid>
      <w:tr w:rsidR="000B4A1E" w:rsidRPr="003E2DBE" w:rsidTr="00517E51">
        <w:trPr>
          <w:divId w:val="1086146942"/>
        </w:trPr>
        <w:tc>
          <w:tcPr>
            <w:tcW w:w="5155" w:type="dxa"/>
            <w:tcBorders>
              <w:top w:val="single" w:sz="4" w:space="0" w:color="auto"/>
              <w:left w:val="single" w:sz="4" w:space="0" w:color="auto"/>
              <w:bottom w:val="nil"/>
              <w:right w:val="nil"/>
            </w:tcBorders>
            <w:shd w:val="clear" w:color="auto" w:fill="000000"/>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87"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General</w:t>
            </w:r>
            <w:r w:rsidRPr="003E2DBE">
              <w:rPr>
                <w:lang w:eastAsia="en-AU"/>
              </w:rPr>
              <w:br/>
              <w:t>government sector</w:t>
            </w:r>
          </w:p>
        </w:tc>
      </w:tr>
      <w:tr w:rsidR="000B4A1E" w:rsidRPr="003E2DBE" w:rsidTr="00517E51">
        <w:trPr>
          <w:divId w:val="1086146942"/>
        </w:trPr>
        <w:tc>
          <w:tcPr>
            <w:tcW w:w="5155"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70"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086146942"/>
        </w:trPr>
        <w:tc>
          <w:tcPr>
            <w:tcW w:w="5155"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Motor vehicle regulatory fees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168.6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158.7</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168.6</w:t>
            </w:r>
          </w:p>
        </w:tc>
        <w:tc>
          <w:tcPr>
            <w:tcW w:w="117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158.7</w:t>
            </w:r>
          </w:p>
        </w:tc>
      </w:tr>
      <w:tr w:rsidR="000B4A1E" w:rsidRPr="003E2DBE" w:rsidTr="00517E51">
        <w:trPr>
          <w:divId w:val="1086146942"/>
        </w:trPr>
        <w:tc>
          <w:tcPr>
            <w:tcW w:w="5155"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Other regulatory fees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486.4</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440.3</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470.3</w:t>
            </w:r>
          </w:p>
        </w:tc>
        <w:tc>
          <w:tcPr>
            <w:tcW w:w="117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425.0</w:t>
            </w:r>
          </w:p>
        </w:tc>
      </w:tr>
      <w:tr w:rsidR="000B4A1E" w:rsidRPr="003E2DBE" w:rsidTr="00517E51">
        <w:trPr>
          <w:divId w:val="1086146942"/>
        </w:trPr>
        <w:tc>
          <w:tcPr>
            <w:tcW w:w="5155"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Sale of goods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457.6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528.4</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83.3</w:t>
            </w:r>
          </w:p>
        </w:tc>
        <w:tc>
          <w:tcPr>
            <w:tcW w:w="117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125.5</w:t>
            </w:r>
          </w:p>
        </w:tc>
      </w:tr>
      <w:tr w:rsidR="000B4A1E" w:rsidRPr="003E2DBE" w:rsidTr="00517E51">
        <w:trPr>
          <w:divId w:val="1086146942"/>
        </w:trPr>
        <w:tc>
          <w:tcPr>
            <w:tcW w:w="5155"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Provision of services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11 </w:t>
            </w:r>
            <w:r w:rsidRPr="003E2DBE">
              <w:rPr>
                <w:rFonts w:cs="Calibri"/>
                <w:szCs w:val="22"/>
                <w:lang w:eastAsia="en-AU"/>
              </w:rPr>
              <w:t>557.5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11 </w:t>
            </w:r>
            <w:r w:rsidRPr="003E2DBE">
              <w:rPr>
                <w:rFonts w:cs="Calibri"/>
                <w:szCs w:val="22"/>
                <w:lang w:eastAsia="en-AU"/>
              </w:rPr>
              <w:t>197.6</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614.4</w:t>
            </w:r>
          </w:p>
        </w:tc>
        <w:tc>
          <w:tcPr>
            <w:tcW w:w="117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126.8</w:t>
            </w:r>
          </w:p>
        </w:tc>
      </w:tr>
      <w:tr w:rsidR="000B4A1E" w:rsidRPr="003E2DBE" w:rsidTr="00517E51">
        <w:trPr>
          <w:divId w:val="1086146942"/>
        </w:trPr>
        <w:tc>
          <w:tcPr>
            <w:tcW w:w="5155"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Rental</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77.6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73.7</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53.8</w:t>
            </w:r>
          </w:p>
        </w:tc>
        <w:tc>
          <w:tcPr>
            <w:tcW w:w="117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51.4</w:t>
            </w:r>
          </w:p>
        </w:tc>
      </w:tr>
      <w:tr w:rsidR="000B4A1E" w:rsidRPr="003E2DBE" w:rsidTr="00517E51">
        <w:trPr>
          <w:divId w:val="1086146942"/>
        </w:trPr>
        <w:tc>
          <w:tcPr>
            <w:tcW w:w="5155"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Refunds and reimbursements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149.2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210.9</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57.7</w:t>
            </w:r>
          </w:p>
        </w:tc>
        <w:tc>
          <w:tcPr>
            <w:tcW w:w="117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83.7</w:t>
            </w:r>
          </w:p>
        </w:tc>
      </w:tr>
      <w:tr w:rsidR="000B4A1E" w:rsidRPr="003E2DBE" w:rsidTr="00517E51">
        <w:trPr>
          <w:divId w:val="1086146942"/>
        </w:trPr>
        <w:tc>
          <w:tcPr>
            <w:tcW w:w="5155"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Inter-sector capital asset charge</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421.2</w:t>
            </w:r>
          </w:p>
        </w:tc>
        <w:tc>
          <w:tcPr>
            <w:tcW w:w="1170"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296.0</w:t>
            </w:r>
          </w:p>
        </w:tc>
      </w:tr>
      <w:tr w:rsidR="000B4A1E" w:rsidRPr="003E2DBE" w:rsidTr="00517E51">
        <w:trPr>
          <w:divId w:val="1086146942"/>
        </w:trPr>
        <w:tc>
          <w:tcPr>
            <w:tcW w:w="5155"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 sale of goods and services</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12 </w:t>
            </w:r>
            <w:r w:rsidRPr="003E2DBE">
              <w:rPr>
                <w:rFonts w:cs="Calibri"/>
                <w:b/>
                <w:bCs/>
                <w:szCs w:val="22"/>
                <w:lang w:eastAsia="en-AU"/>
              </w:rPr>
              <w:t>896.9</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12 </w:t>
            </w:r>
            <w:r w:rsidRPr="003E2DBE">
              <w:rPr>
                <w:rFonts w:cs="Calibri"/>
                <w:b/>
                <w:bCs/>
                <w:szCs w:val="22"/>
                <w:lang w:eastAsia="en-AU"/>
              </w:rPr>
              <w:t>609.6</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6 </w:t>
            </w:r>
            <w:r w:rsidRPr="003E2DBE">
              <w:rPr>
                <w:rFonts w:cs="Calibri"/>
                <w:b/>
                <w:bCs/>
                <w:szCs w:val="22"/>
                <w:lang w:eastAsia="en-AU"/>
              </w:rPr>
              <w:t>869.3</w:t>
            </w:r>
          </w:p>
        </w:tc>
        <w:tc>
          <w:tcPr>
            <w:tcW w:w="1170"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6 </w:t>
            </w:r>
            <w:r w:rsidRPr="003E2DBE">
              <w:rPr>
                <w:rFonts w:cs="Calibri"/>
                <w:b/>
                <w:bCs/>
                <w:szCs w:val="22"/>
                <w:lang w:eastAsia="en-AU"/>
              </w:rPr>
              <w:t>267.2</w:t>
            </w:r>
          </w:p>
        </w:tc>
      </w:tr>
      <w:bookmarkEnd w:id="25"/>
    </w:tbl>
    <w:p w:rsidR="000B4A1E" w:rsidRPr="00D00665" w:rsidRDefault="000B4A1E" w:rsidP="00517E51"/>
    <w:p w:rsidR="000B4A1E" w:rsidRPr="00D00665" w:rsidRDefault="000B4A1E" w:rsidP="00517E51"/>
    <w:p w:rsidR="000B4A1E" w:rsidRPr="00D00665" w:rsidRDefault="000B4A1E" w:rsidP="00517E51">
      <w:pPr>
        <w:pStyle w:val="Heading2Notes"/>
      </w:pPr>
      <w:bookmarkStart w:id="26" w:name="_Toc367947865"/>
      <w:r w:rsidRPr="00D00665">
        <w:t>Note 6:</w:t>
      </w:r>
      <w:r w:rsidRPr="00D00665">
        <w:tab/>
        <w:t>Grants</w:t>
      </w:r>
      <w:bookmarkEnd w:id="26"/>
    </w:p>
    <w:p w:rsidR="000B4A1E" w:rsidRDefault="000B4A1E" w:rsidP="00517E51">
      <w:pPr>
        <w:pStyle w:val="million"/>
        <w:rPr>
          <w:rFonts w:ascii="Times New Roman" w:hAnsi="Times New Roman"/>
          <w:lang w:eastAsia="en-AU"/>
        </w:rPr>
      </w:pPr>
      <w:r w:rsidRPr="00D00665">
        <w:t>($</w:t>
      </w:r>
      <w:r>
        <w:t> million</w:t>
      </w:r>
      <w:r w:rsidRPr="00D00665">
        <w:t>)</w:t>
      </w:r>
      <w:bookmarkStart w:id="27" w:name="RANGE!B6:F13"/>
    </w:p>
    <w:tbl>
      <w:tblPr>
        <w:tblW w:w="9648" w:type="dxa"/>
        <w:tblInd w:w="29" w:type="dxa"/>
        <w:tblCellMar>
          <w:left w:w="43" w:type="dxa"/>
          <w:right w:w="43" w:type="dxa"/>
        </w:tblCellMar>
        <w:tblLook w:val="04A0" w:firstRow="1" w:lastRow="0" w:firstColumn="1" w:lastColumn="0" w:noHBand="0" w:noVBand="1"/>
      </w:tblPr>
      <w:tblGrid>
        <w:gridCol w:w="5156"/>
        <w:gridCol w:w="258"/>
        <w:gridCol w:w="865"/>
        <w:gridCol w:w="1123"/>
        <w:gridCol w:w="262"/>
        <w:gridCol w:w="861"/>
        <w:gridCol w:w="1123"/>
      </w:tblGrid>
      <w:tr w:rsidR="000B4A1E" w:rsidRPr="003E2DBE" w:rsidTr="00517E51">
        <w:trPr>
          <w:divId w:val="1929844856"/>
        </w:trPr>
        <w:tc>
          <w:tcPr>
            <w:tcW w:w="5156" w:type="dxa"/>
            <w:tcBorders>
              <w:top w:val="single" w:sz="12" w:space="0" w:color="auto"/>
              <w:left w:val="single" w:sz="12"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258" w:type="dxa"/>
            <w:tcBorders>
              <w:top w:val="single" w:sz="12" w:space="0" w:color="auto"/>
              <w:left w:val="nil"/>
              <w:bottom w:val="nil"/>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t xml:space="preserve"> </w:t>
            </w:r>
          </w:p>
        </w:tc>
        <w:tc>
          <w:tcPr>
            <w:tcW w:w="1988" w:type="dxa"/>
            <w:gridSpan w:val="2"/>
            <w:tcBorders>
              <w:top w:val="single" w:sz="12"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262" w:type="dxa"/>
            <w:tcBorders>
              <w:top w:val="single" w:sz="12"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1984" w:type="dxa"/>
            <w:gridSpan w:val="2"/>
            <w:tcBorders>
              <w:top w:val="single" w:sz="12" w:space="0" w:color="auto"/>
              <w:left w:val="nil"/>
              <w:bottom w:val="nil"/>
              <w:right w:val="single" w:sz="12"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General</w:t>
            </w:r>
            <w:r w:rsidRPr="003E2DBE">
              <w:rPr>
                <w:lang w:eastAsia="en-AU"/>
              </w:rPr>
              <w:br/>
              <w:t>government sector</w:t>
            </w:r>
          </w:p>
        </w:tc>
      </w:tr>
      <w:tr w:rsidR="000B4A1E" w:rsidRPr="003E2DBE" w:rsidTr="00517E51">
        <w:trPr>
          <w:divId w:val="1929844856"/>
        </w:trPr>
        <w:tc>
          <w:tcPr>
            <w:tcW w:w="5156" w:type="dxa"/>
            <w:tcBorders>
              <w:top w:val="nil"/>
              <w:left w:val="single" w:sz="12" w:space="0" w:color="auto"/>
              <w:bottom w:val="single" w:sz="12"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12"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12"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12"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12" w:space="0" w:color="auto"/>
              <w:right w:val="single" w:sz="12"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929844856"/>
        </w:trPr>
        <w:tc>
          <w:tcPr>
            <w:tcW w:w="5156" w:type="dxa"/>
            <w:tcBorders>
              <w:top w:val="single" w:sz="12" w:space="0" w:color="auto"/>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General purpose grants</w:t>
            </w:r>
          </w:p>
        </w:tc>
        <w:tc>
          <w:tcPr>
            <w:tcW w:w="1123" w:type="dxa"/>
            <w:gridSpan w:val="2"/>
            <w:tcBorders>
              <w:top w:val="single" w:sz="12" w:space="0" w:color="auto"/>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10 989.5</w:t>
            </w:r>
          </w:p>
        </w:tc>
        <w:tc>
          <w:tcPr>
            <w:tcW w:w="1123" w:type="dxa"/>
            <w:tcBorders>
              <w:top w:val="single" w:sz="12" w:space="0" w:color="auto"/>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10 380.2</w:t>
            </w:r>
          </w:p>
        </w:tc>
        <w:tc>
          <w:tcPr>
            <w:tcW w:w="1123" w:type="dxa"/>
            <w:gridSpan w:val="2"/>
            <w:tcBorders>
              <w:top w:val="single" w:sz="12" w:space="0" w:color="auto"/>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10 989.5</w:t>
            </w:r>
          </w:p>
        </w:tc>
        <w:tc>
          <w:tcPr>
            <w:tcW w:w="1123" w:type="dxa"/>
            <w:tcBorders>
              <w:top w:val="single" w:sz="12" w:space="0" w:color="auto"/>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10 380.2</w:t>
            </w:r>
          </w:p>
        </w:tc>
      </w:tr>
      <w:tr w:rsidR="000B4A1E" w:rsidRPr="003E2DBE" w:rsidTr="00517E51">
        <w:trPr>
          <w:divId w:val="1929844856"/>
        </w:trPr>
        <w:tc>
          <w:tcPr>
            <w:tcW w:w="5156"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Specific purpose grants for on-passing</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2 746.3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2 781.4</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2 746.3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2 781.4</w:t>
            </w:r>
          </w:p>
        </w:tc>
      </w:tr>
      <w:tr w:rsidR="000B4A1E" w:rsidRPr="003E2DBE" w:rsidTr="00517E51">
        <w:trPr>
          <w:divId w:val="1929844856"/>
        </w:trPr>
        <w:tc>
          <w:tcPr>
            <w:tcW w:w="5156"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Other specific purpose grants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8 050.2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9 314.0</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8 048.5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9 309.5</w:t>
            </w:r>
          </w:p>
        </w:tc>
      </w:tr>
      <w:tr w:rsidR="000B4A1E" w:rsidRPr="003E2DBE" w:rsidTr="00517E51">
        <w:trPr>
          <w:divId w:val="1929844856"/>
        </w:trPr>
        <w:tc>
          <w:tcPr>
            <w:tcW w:w="5156" w:type="dxa"/>
            <w:tcBorders>
              <w:top w:val="single" w:sz="4" w:space="0" w:color="auto"/>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Total</w:t>
            </w:r>
          </w:p>
        </w:tc>
        <w:tc>
          <w:tcPr>
            <w:tcW w:w="1123" w:type="dxa"/>
            <w:gridSpan w:val="2"/>
            <w:tcBorders>
              <w:top w:val="single" w:sz="4" w:space="0" w:color="auto"/>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21 786.0</w:t>
            </w:r>
          </w:p>
        </w:tc>
        <w:tc>
          <w:tcPr>
            <w:tcW w:w="1123" w:type="dxa"/>
            <w:tcBorders>
              <w:top w:val="single" w:sz="4" w:space="0" w:color="auto"/>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22 475.6</w:t>
            </w:r>
          </w:p>
        </w:tc>
        <w:tc>
          <w:tcPr>
            <w:tcW w:w="1123" w:type="dxa"/>
            <w:gridSpan w:val="2"/>
            <w:tcBorders>
              <w:top w:val="single" w:sz="4" w:space="0" w:color="auto"/>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21 784.3</w:t>
            </w:r>
          </w:p>
        </w:tc>
        <w:tc>
          <w:tcPr>
            <w:tcW w:w="1123" w:type="dxa"/>
            <w:tcBorders>
              <w:top w:val="single" w:sz="4" w:space="0" w:color="auto"/>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22 471.1</w:t>
            </w:r>
          </w:p>
        </w:tc>
      </w:tr>
      <w:tr w:rsidR="000B4A1E" w:rsidRPr="003E2DBE" w:rsidTr="00517E51">
        <w:trPr>
          <w:divId w:val="1929844856"/>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Other contributions and grants</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4.5</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1.2</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118.0</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128.7</w:t>
            </w:r>
          </w:p>
        </w:tc>
      </w:tr>
      <w:tr w:rsidR="000B4A1E" w:rsidRPr="003E2DBE" w:rsidTr="00517E51">
        <w:trPr>
          <w:divId w:val="1929844856"/>
        </w:trPr>
        <w:tc>
          <w:tcPr>
            <w:tcW w:w="5156" w:type="dxa"/>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text"/>
              <w:rPr>
                <w:b/>
                <w:bCs/>
                <w:lang w:eastAsia="en-AU"/>
              </w:rPr>
            </w:pPr>
            <w:r w:rsidRPr="003E2DBE">
              <w:rPr>
                <w:b/>
                <w:bCs/>
                <w:lang w:eastAsia="en-AU"/>
              </w:rPr>
              <w:t>Total grants</w:t>
            </w:r>
          </w:p>
        </w:tc>
        <w:tc>
          <w:tcPr>
            <w:tcW w:w="1123" w:type="dxa"/>
            <w:gridSpan w:val="2"/>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ofFigures"/>
              <w:rPr>
                <w:b/>
                <w:bCs/>
                <w:lang w:eastAsia="en-AU"/>
              </w:rPr>
            </w:pPr>
            <w:r w:rsidRPr="003E2DBE">
              <w:rPr>
                <w:b/>
                <w:bCs/>
                <w:lang w:eastAsia="en-AU"/>
              </w:rPr>
              <w:t>21 790.4</w:t>
            </w:r>
          </w:p>
        </w:tc>
        <w:tc>
          <w:tcPr>
            <w:tcW w:w="1123" w:type="dxa"/>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ofFigures"/>
              <w:rPr>
                <w:b/>
                <w:bCs/>
                <w:lang w:eastAsia="en-AU"/>
              </w:rPr>
            </w:pPr>
            <w:r w:rsidRPr="003E2DBE">
              <w:rPr>
                <w:b/>
                <w:bCs/>
                <w:lang w:eastAsia="en-AU"/>
              </w:rPr>
              <w:t>22 476.7</w:t>
            </w:r>
          </w:p>
        </w:tc>
        <w:tc>
          <w:tcPr>
            <w:tcW w:w="1123" w:type="dxa"/>
            <w:gridSpan w:val="2"/>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ofFigures"/>
              <w:rPr>
                <w:b/>
                <w:bCs/>
                <w:lang w:eastAsia="en-AU"/>
              </w:rPr>
            </w:pPr>
            <w:r w:rsidRPr="003E2DBE">
              <w:rPr>
                <w:b/>
                <w:bCs/>
                <w:lang w:eastAsia="en-AU"/>
              </w:rPr>
              <w:t>21 902.2</w:t>
            </w:r>
          </w:p>
        </w:tc>
        <w:tc>
          <w:tcPr>
            <w:tcW w:w="1123" w:type="dxa"/>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ofFigures"/>
              <w:rPr>
                <w:b/>
                <w:bCs/>
                <w:lang w:eastAsia="en-AU"/>
              </w:rPr>
            </w:pPr>
            <w:r w:rsidRPr="003E2DBE">
              <w:rPr>
                <w:b/>
                <w:bCs/>
                <w:lang w:eastAsia="en-AU"/>
              </w:rPr>
              <w:t>22 599.8</w:t>
            </w:r>
          </w:p>
        </w:tc>
      </w:tr>
      <w:bookmarkEnd w:id="27"/>
    </w:tbl>
    <w:p w:rsidR="000B4A1E" w:rsidRPr="00D00665" w:rsidRDefault="000B4A1E" w:rsidP="00517E51"/>
    <w:p w:rsidR="000B4A1E" w:rsidRPr="00D00665" w:rsidRDefault="000B4A1E" w:rsidP="00517E51"/>
    <w:p w:rsidR="000B4A1E" w:rsidRPr="00D00665" w:rsidRDefault="000B4A1E" w:rsidP="00517E51">
      <w:pPr>
        <w:pStyle w:val="Heading2Notes"/>
      </w:pPr>
      <w:bookmarkStart w:id="28" w:name="_Toc367947866"/>
      <w:r w:rsidRPr="00D00665">
        <w:t>Note 7:</w:t>
      </w:r>
      <w:r w:rsidRPr="00D00665">
        <w:tab/>
        <w:t>Other revenue</w:t>
      </w:r>
      <w:bookmarkEnd w:id="28"/>
    </w:p>
    <w:p w:rsidR="000B4A1E" w:rsidRPr="003E2DBE" w:rsidRDefault="000B4A1E" w:rsidP="00517E51">
      <w:pPr>
        <w:pStyle w:val="million"/>
      </w:pPr>
      <w:r w:rsidRPr="00D00665">
        <w:t>($</w:t>
      </w:r>
      <w:r>
        <w:t> million</w:t>
      </w:r>
      <w:r w:rsidRPr="00D00665">
        <w:t>)</w:t>
      </w:r>
      <w:bookmarkStart w:id="29" w:name="RANGE!B4:F12"/>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23738922"/>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General</w:t>
            </w:r>
            <w:r w:rsidRPr="003E2DBE">
              <w:rPr>
                <w:lang w:eastAsia="en-AU"/>
              </w:rPr>
              <w:br/>
              <w:t>government sector</w:t>
            </w:r>
          </w:p>
        </w:tc>
      </w:tr>
      <w:tr w:rsidR="000B4A1E" w:rsidRPr="003E2DBE" w:rsidTr="00517E51">
        <w:trPr>
          <w:divId w:val="123738922"/>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23738922"/>
        </w:trPr>
        <w:tc>
          <w:tcPr>
            <w:tcW w:w="5156" w:type="dxa"/>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Fair value of assets received free of charge or for nominal consideration</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259.9</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468.4</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99.4</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268.9</w:t>
            </w:r>
          </w:p>
        </w:tc>
      </w:tr>
      <w:tr w:rsidR="000B4A1E" w:rsidRPr="003E2DBE" w:rsidTr="00517E51">
        <w:trPr>
          <w:divId w:val="12373892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Fines</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704.3</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550.6</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700.3</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548.0</w:t>
            </w:r>
          </w:p>
        </w:tc>
      </w:tr>
      <w:tr w:rsidR="000B4A1E" w:rsidRPr="003E2DBE" w:rsidTr="00517E51">
        <w:trPr>
          <w:divId w:val="12373892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Royalties</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51.4</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70.3</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45.1</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65.6</w:t>
            </w:r>
          </w:p>
        </w:tc>
      </w:tr>
      <w:tr w:rsidR="000B4A1E" w:rsidRPr="003E2DBE" w:rsidTr="00517E51">
        <w:trPr>
          <w:divId w:val="12373892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Donations and gifts</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299.0</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355.0</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272.3</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340.7</w:t>
            </w:r>
          </w:p>
        </w:tc>
      </w:tr>
      <w:tr w:rsidR="000B4A1E" w:rsidRPr="003E2DBE" w:rsidTr="00517E51">
        <w:trPr>
          <w:divId w:val="12373892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Other non-property rental</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83.1</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84.3</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29.4</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29.6</w:t>
            </w:r>
          </w:p>
        </w:tc>
      </w:tr>
      <w:tr w:rsidR="000B4A1E" w:rsidRPr="003E2DBE" w:rsidTr="00517E51">
        <w:trPr>
          <w:divId w:val="123738922"/>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Other miscellaneous revenue</w:t>
            </w:r>
          </w:p>
        </w:tc>
        <w:tc>
          <w:tcPr>
            <w:tcW w:w="1123"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351.9</w:t>
            </w:r>
          </w:p>
        </w:tc>
        <w:tc>
          <w:tcPr>
            <w:tcW w:w="1123"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280.1</w:t>
            </w:r>
          </w:p>
        </w:tc>
        <w:tc>
          <w:tcPr>
            <w:tcW w:w="1123"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121.9</w:t>
            </w:r>
          </w:p>
        </w:tc>
        <w:tc>
          <w:tcPr>
            <w:tcW w:w="1123"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383.9</w:t>
            </w:r>
          </w:p>
        </w:tc>
      </w:tr>
      <w:tr w:rsidR="000B4A1E" w:rsidRPr="003E2DBE" w:rsidTr="00517E51">
        <w:trPr>
          <w:divId w:val="123738922"/>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 other revenue</w:t>
            </w:r>
          </w:p>
        </w:tc>
        <w:tc>
          <w:tcPr>
            <w:tcW w:w="1123"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749.6</w:t>
            </w:r>
          </w:p>
        </w:tc>
        <w:tc>
          <w:tcPr>
            <w:tcW w:w="1123"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808.6</w:t>
            </w:r>
          </w:p>
        </w:tc>
        <w:tc>
          <w:tcPr>
            <w:tcW w:w="1123"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268.3</w:t>
            </w:r>
          </w:p>
        </w:tc>
        <w:tc>
          <w:tcPr>
            <w:tcW w:w="1123"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636.7</w:t>
            </w:r>
          </w:p>
        </w:tc>
      </w:tr>
      <w:bookmarkEnd w:id="29"/>
    </w:tbl>
    <w:p w:rsidR="000B4A1E" w:rsidRPr="00D00665" w:rsidRDefault="000B4A1E" w:rsidP="00517E51"/>
    <w:p w:rsidR="000B4A1E" w:rsidRPr="00D00665" w:rsidRDefault="000B4A1E" w:rsidP="00517E51">
      <w:pPr>
        <w:pStyle w:val="Heading2Notes"/>
      </w:pPr>
      <w:r w:rsidRPr="00D00665">
        <w:br w:type="page"/>
      </w:r>
      <w:bookmarkStart w:id="30" w:name="_Toc367947867"/>
      <w:r w:rsidRPr="00D00665">
        <w:lastRenderedPageBreak/>
        <w:t>Note 8:</w:t>
      </w:r>
      <w:r w:rsidRPr="00D00665">
        <w:tab/>
        <w:t>Superannuation</w:t>
      </w:r>
      <w:bookmarkEnd w:id="30"/>
    </w:p>
    <w:p w:rsidR="000B4A1E" w:rsidRPr="00D00665" w:rsidRDefault="000B4A1E" w:rsidP="00517E51">
      <w:pPr>
        <w:pStyle w:val="Heading3"/>
      </w:pPr>
      <w:r w:rsidRPr="00D00665">
        <w:t>Expense</w:t>
      </w:r>
    </w:p>
    <w:p w:rsidR="000B4A1E" w:rsidRPr="00D00665" w:rsidRDefault="000B4A1E" w:rsidP="00517E51">
      <w:r w:rsidRPr="00D00665">
        <w:t>Superannuation expense includes employer contributions to defined contribution superannuation plans, and the actuarially determined expense for defined benefit superannuation plans.</w:t>
      </w:r>
    </w:p>
    <w:p w:rsidR="000B4A1E" w:rsidRPr="00D00665" w:rsidRDefault="000B4A1E" w:rsidP="00517E51">
      <w:pPr>
        <w:pStyle w:val="Heading3"/>
      </w:pPr>
      <w:r w:rsidRPr="00D00665">
        <w:t>Liability</w:t>
      </w:r>
    </w:p>
    <w:p w:rsidR="000B4A1E" w:rsidRPr="00D00665" w:rsidRDefault="000B4A1E" w:rsidP="00517E51">
      <w:r w:rsidRPr="00D00665">
        <w:t>The liability for employee superannuation entitlements is the responsibility of the State</w:t>
      </w:r>
      <w:r>
        <w:t>’</w:t>
      </w:r>
      <w:r w:rsidRPr="00D00665">
        <w:t xml:space="preserve">s public sector superannuation plans. These plans are not consolidated in the </w:t>
      </w:r>
      <w:r w:rsidRPr="00D00665">
        <w:rPr>
          <w:i/>
        </w:rPr>
        <w:t>Annual Financial Report</w:t>
      </w:r>
      <w:r w:rsidRPr="00D00665">
        <w:t xml:space="preserve"> as they are not controlled by the State. However, the major proportion of the superannuation liability is the responsibility of the State and is recognised accordingly.</w:t>
      </w:r>
    </w:p>
    <w:p w:rsidR="000B4A1E" w:rsidRPr="00D00665" w:rsidRDefault="000B4A1E" w:rsidP="00517E51">
      <w:r w:rsidRPr="00D00665">
        <w:t>Each year, an actuarial valuation of members</w:t>
      </w:r>
      <w:r>
        <w:t>’</w:t>
      </w:r>
      <w:r w:rsidRPr="00D00665">
        <w:t xml:space="preserve"> accrued benefits is undertaken as at the reporting date. Accrued benefits are measured as the net present value of estimated future benefit payments to members arising from their membership of the plans up to the reporting date. The deficit of accrued benefits over the net market value of plan assets has been recognised as a liability in the balance sheet.</w:t>
      </w:r>
    </w:p>
    <w:p w:rsidR="000B4A1E" w:rsidRPr="00D00665" w:rsidRDefault="000B4A1E" w:rsidP="00517E51">
      <w:r w:rsidRPr="00D00665">
        <w:t>Of the $25.2</w:t>
      </w:r>
      <w:r>
        <w:t> billion</w:t>
      </w:r>
      <w:r w:rsidRPr="00D00665">
        <w:t xml:space="preserve"> superannuation liability recognised on the State</w:t>
      </w:r>
      <w:r>
        <w:t>’</w:t>
      </w:r>
      <w:r w:rsidRPr="00D00665">
        <w:t>s balance sheet, more than 99</w:t>
      </w:r>
      <w:r>
        <w:t> per cent</w:t>
      </w:r>
      <w:r w:rsidRPr="00D00665">
        <w:t xml:space="preserve"> is recorded in the general government sector. The superannuation liabilities of agencies for which the State is not responsible, such as universities, are not reflected in the balance sheet.</w:t>
      </w:r>
    </w:p>
    <w:p w:rsidR="000B4A1E" w:rsidRPr="00D00665" w:rsidRDefault="000B4A1E" w:rsidP="00517E51">
      <w:pPr>
        <w:pStyle w:val="Heading5"/>
      </w:pPr>
      <w:r w:rsidRPr="00D00665">
        <w:t>(a)</w:t>
      </w:r>
      <w:r w:rsidRPr="00D00665">
        <w:tab/>
        <w:t>Expense relating to superannuation recognised in the operating statement</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262"/>
        <w:gridCol w:w="861"/>
        <w:gridCol w:w="1123"/>
      </w:tblGrid>
      <w:tr w:rsidR="000B4A1E" w:rsidRPr="003E2DBE" w:rsidTr="00517E51">
        <w:tc>
          <w:tcPr>
            <w:tcW w:w="7402"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6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r>
      <w:tr w:rsidR="000B4A1E" w:rsidRPr="003E2DBE" w:rsidTr="00517E51">
        <w:tc>
          <w:tcPr>
            <w:tcW w:w="7402"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7402" w:type="dxa"/>
            <w:tcBorders>
              <w:top w:val="single" w:sz="4"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Defined benefit plans</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Interest cost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1 599.9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1 985.8</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Expected return on plan assets (net of expenses)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(1 156.1)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(1 177.4)</w:t>
            </w:r>
          </w:p>
        </w:tc>
      </w:tr>
      <w:tr w:rsidR="000B4A1E" w:rsidRPr="003E2DBE" w:rsidTr="00517E51">
        <w:tc>
          <w:tcPr>
            <w:tcW w:w="7402" w:type="dxa"/>
            <w:tcBorders>
              <w:top w:val="single" w:sz="6"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Superannuation interest expense</w:t>
            </w:r>
          </w:p>
        </w:tc>
        <w:tc>
          <w:tcPr>
            <w:tcW w:w="1123" w:type="dxa"/>
            <w:gridSpan w:val="2"/>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443.8</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808.4</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Current service cost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856.8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747.6</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Net actuarial (gains)/losses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(7 356.8)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9 389.2</w:t>
            </w:r>
          </w:p>
        </w:tc>
      </w:tr>
      <w:tr w:rsidR="000B4A1E" w:rsidRPr="003E2DBE" w:rsidTr="00517E51">
        <w:tc>
          <w:tcPr>
            <w:tcW w:w="7402" w:type="dxa"/>
            <w:tcBorders>
              <w:top w:val="single" w:sz="6" w:space="0" w:color="auto"/>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(gain)/expense recognised in respect of defined </w:t>
            </w:r>
            <w:r w:rsidRPr="003E2DBE">
              <w:rPr>
                <w:rFonts w:eastAsiaTheme="minorEastAsia" w:cs="Calibri"/>
                <w:b/>
                <w:bCs/>
                <w:szCs w:val="22"/>
                <w:lang w:eastAsia="en-AU"/>
              </w:rPr>
              <w:t>benefit plans</w:t>
            </w:r>
          </w:p>
        </w:tc>
        <w:tc>
          <w:tcPr>
            <w:tcW w:w="1123" w:type="dxa"/>
            <w:gridSpan w:val="2"/>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(6 056.2)</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10 945.2</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Defined contribution plans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Employer contributions to defined contribution plans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1 111.6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1 143.6</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Other (including pensions)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71.6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70.1</w:t>
            </w:r>
          </w:p>
        </w:tc>
      </w:tr>
      <w:tr w:rsidR="000B4A1E" w:rsidRPr="003E2DBE" w:rsidTr="00517E51">
        <w:tc>
          <w:tcPr>
            <w:tcW w:w="7402"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expense recognised in respect of defined contribution plans</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1 183.3</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1 213.7</w:t>
            </w:r>
          </w:p>
        </w:tc>
      </w:tr>
      <w:tr w:rsidR="000B4A1E" w:rsidRPr="003E2DBE" w:rsidTr="00517E51">
        <w:tc>
          <w:tcPr>
            <w:tcW w:w="7402"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superannuation (gain)/expense recognised in </w:t>
            </w:r>
            <w:r w:rsidRPr="003E2DBE">
              <w:rPr>
                <w:rFonts w:eastAsiaTheme="minorEastAsia" w:cs="Calibri"/>
                <w:b/>
                <w:bCs/>
                <w:szCs w:val="22"/>
                <w:lang w:eastAsia="en-AU"/>
              </w:rPr>
              <w:t>operating statement</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(4 872.9)</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12 158.9</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Represented by:</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Superannuation interest expense</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443.8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808.4</w:t>
            </w:r>
          </w:p>
        </w:tc>
      </w:tr>
      <w:tr w:rsidR="000B4A1E" w:rsidRPr="003E2DBE" w:rsidTr="00517E51">
        <w:tc>
          <w:tcPr>
            <w:tcW w:w="7402" w:type="dxa"/>
            <w:tcBorders>
              <w:top w:val="nil"/>
              <w:left w:val="nil"/>
              <w:bottom w:val="single" w:sz="12"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Other superannuation</w:t>
            </w:r>
          </w:p>
        </w:tc>
        <w:tc>
          <w:tcPr>
            <w:tcW w:w="1123"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2 040.1</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1 961.3</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Superannuation expense from transactions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2 483.9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2 769.7</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Net actuarial (gain)/loss of </w:t>
            </w:r>
            <w:r w:rsidRPr="003E2DBE">
              <w:rPr>
                <w:rFonts w:eastAsiaTheme="minorEastAsia" w:cs="Calibri"/>
                <w:szCs w:val="22"/>
                <w:lang w:eastAsia="en-AU"/>
              </w:rPr>
              <w:t xml:space="preserve">superannuation defined benefits plans included in other economic flows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(7 356.8)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9 389.2</w:t>
            </w:r>
          </w:p>
        </w:tc>
      </w:tr>
      <w:tr w:rsidR="000B4A1E" w:rsidRPr="003E2DBE" w:rsidTr="00517E51">
        <w:tc>
          <w:tcPr>
            <w:tcW w:w="7402"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superannuation (gain)/expense recognised in </w:t>
            </w:r>
            <w:r w:rsidRPr="003E2DBE">
              <w:rPr>
                <w:rFonts w:eastAsiaTheme="minorEastAsia" w:cs="Calibri"/>
                <w:b/>
                <w:bCs/>
                <w:szCs w:val="22"/>
                <w:lang w:eastAsia="en-AU"/>
              </w:rPr>
              <w:t>operating statement</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(4 872.9)</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12 158.9</w:t>
            </w:r>
          </w:p>
        </w:tc>
      </w:tr>
    </w:tbl>
    <w:p w:rsidR="000B4A1E" w:rsidRPr="00D00665" w:rsidRDefault="000B4A1E" w:rsidP="00517E51">
      <w:pPr>
        <w:pStyle w:val="million"/>
      </w:pPr>
    </w:p>
    <w:p w:rsidR="000B4A1E" w:rsidRPr="00D00665" w:rsidRDefault="000B4A1E" w:rsidP="00517E51"/>
    <w:p w:rsidR="000B4A1E" w:rsidRPr="00D00665" w:rsidRDefault="000B4A1E" w:rsidP="00517E51">
      <w:pPr>
        <w:pStyle w:val="Heading2NotesContd"/>
      </w:pPr>
      <w:r w:rsidRPr="00D00665">
        <w:br w:type="page"/>
      </w:r>
    </w:p>
    <w:p w:rsidR="000B4A1E" w:rsidRPr="009F74B3" w:rsidRDefault="000B4A1E" w:rsidP="00517E51">
      <w:pPr>
        <w:pStyle w:val="Heading2Notes"/>
        <w:rPr>
          <w:i/>
        </w:rPr>
      </w:pPr>
      <w:r w:rsidRPr="00D00665">
        <w:lastRenderedPageBreak/>
        <w:t>Note 8:</w:t>
      </w:r>
      <w:r w:rsidRPr="00D00665">
        <w:tab/>
        <w:t>Superannuation</w:t>
      </w:r>
      <w:r>
        <w:t xml:space="preserve"> </w:t>
      </w:r>
      <w:r w:rsidRPr="009F74B3">
        <w:rPr>
          <w:i/>
        </w:rPr>
        <w:t>(</w:t>
      </w:r>
      <w:r>
        <w:rPr>
          <w:i/>
        </w:rPr>
        <w:t>continued)</w:t>
      </w:r>
    </w:p>
    <w:p w:rsidR="000B4A1E" w:rsidRPr="00D00665" w:rsidRDefault="000B4A1E" w:rsidP="00517E51">
      <w:pPr>
        <w:pStyle w:val="Heading5"/>
      </w:pPr>
      <w:r w:rsidRPr="00D00665">
        <w:t>(b)</w:t>
      </w:r>
      <w:r w:rsidRPr="00D00665">
        <w:tab/>
        <w:t>Reconciliation of the present value of the defined benefit obligations</w:t>
      </w:r>
    </w:p>
    <w:p w:rsidR="000B4A1E" w:rsidRPr="003E2DBE" w:rsidRDefault="000B4A1E" w:rsidP="00517E51">
      <w:pPr>
        <w:pStyle w:val="million"/>
      </w:pPr>
      <w:r w:rsidRPr="00D00665">
        <w:t>($</w:t>
      </w:r>
      <w:r>
        <w:t> million</w:t>
      </w:r>
      <w:r w:rsidRPr="00D00665">
        <w:t>)</w:t>
      </w:r>
      <w:bookmarkStart w:id="31" w:name="RANGE!B39:D48"/>
    </w:p>
    <w:tbl>
      <w:tblPr>
        <w:tblW w:w="9648" w:type="dxa"/>
        <w:tblInd w:w="29" w:type="dxa"/>
        <w:tblCellMar>
          <w:left w:w="43" w:type="dxa"/>
          <w:right w:w="43" w:type="dxa"/>
        </w:tblCellMar>
        <w:tblLook w:val="04A0" w:firstRow="1" w:lastRow="0" w:firstColumn="1" w:lastColumn="0" w:noHBand="0" w:noVBand="1"/>
      </w:tblPr>
      <w:tblGrid>
        <w:gridCol w:w="7402"/>
        <w:gridCol w:w="106"/>
        <w:gridCol w:w="1017"/>
        <w:gridCol w:w="1123"/>
      </w:tblGrid>
      <w:tr w:rsidR="000B4A1E" w:rsidRPr="003E2DBE" w:rsidTr="00517E51">
        <w:trPr>
          <w:divId w:val="547884123"/>
        </w:trPr>
        <w:tc>
          <w:tcPr>
            <w:tcW w:w="7402"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State of Victoria</w:t>
            </w:r>
          </w:p>
        </w:tc>
      </w:tr>
      <w:tr w:rsidR="000B4A1E" w:rsidRPr="003E2DBE" w:rsidTr="00517E51">
        <w:trPr>
          <w:divId w:val="547884123"/>
        </w:trPr>
        <w:tc>
          <w:tcPr>
            <w:tcW w:w="7402"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547884123"/>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Opening balance of defined benefit obligation</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szCs w:val="22"/>
                <w:lang w:eastAsia="en-AU"/>
              </w:rPr>
            </w:pPr>
            <w:r w:rsidRPr="003E2DBE">
              <w:rPr>
                <w:b/>
                <w:lang w:eastAsia="en-AU"/>
              </w:rPr>
              <w:t xml:space="preserve">48 </w:t>
            </w:r>
            <w:r w:rsidRPr="003E2DBE">
              <w:rPr>
                <w:rFonts w:cs="Calibri"/>
                <w:b/>
                <w:szCs w:val="22"/>
                <w:lang w:eastAsia="en-AU"/>
              </w:rPr>
              <w:t>557.7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lang w:eastAsia="en-AU"/>
              </w:rPr>
              <w:t xml:space="preserve">39 </w:t>
            </w:r>
            <w:r w:rsidRPr="003E2DBE">
              <w:rPr>
                <w:rFonts w:cs="Calibri"/>
                <w:b/>
                <w:bCs/>
                <w:szCs w:val="22"/>
                <w:lang w:eastAsia="en-AU"/>
              </w:rPr>
              <w:t>175.3</w:t>
            </w:r>
          </w:p>
        </w:tc>
      </w:tr>
      <w:tr w:rsidR="000B4A1E" w:rsidRPr="003E2DBE" w:rsidTr="00517E51">
        <w:trPr>
          <w:divId w:val="547884123"/>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Current service cost</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856.8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747.6</w:t>
            </w:r>
          </w:p>
        </w:tc>
      </w:tr>
      <w:tr w:rsidR="000B4A1E" w:rsidRPr="003E2DBE" w:rsidTr="00517E51">
        <w:trPr>
          <w:divId w:val="547884123"/>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Interest cost</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599.9</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985.8</w:t>
            </w:r>
          </w:p>
        </w:tc>
      </w:tr>
      <w:tr w:rsidR="000B4A1E" w:rsidRPr="003E2DBE" w:rsidTr="00517E51">
        <w:trPr>
          <w:divId w:val="547884123"/>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Recognition of past service cost</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547884123"/>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Contributions by plan participants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222.7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225.7</w:t>
            </w:r>
          </w:p>
        </w:tc>
      </w:tr>
      <w:tr w:rsidR="000B4A1E" w:rsidRPr="003E2DBE" w:rsidTr="00517E51">
        <w:trPr>
          <w:divId w:val="547884123"/>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Actuarial (gains)/losses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(6</w:t>
            </w:r>
            <w:r w:rsidRPr="003E2DBE">
              <w:rPr>
                <w:rFonts w:cs="Calibri"/>
                <w:szCs w:val="22"/>
                <w:lang w:eastAsia="en-AU"/>
              </w:rPr>
              <w:t xml:space="preserve"> 137.5)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8 </w:t>
            </w:r>
            <w:r w:rsidRPr="003E2DBE">
              <w:rPr>
                <w:rFonts w:cs="Calibri"/>
                <w:szCs w:val="22"/>
                <w:lang w:eastAsia="en-AU"/>
              </w:rPr>
              <w:t>541.1</w:t>
            </w:r>
          </w:p>
        </w:tc>
      </w:tr>
      <w:tr w:rsidR="000B4A1E" w:rsidRPr="003E2DBE" w:rsidTr="00517E51">
        <w:trPr>
          <w:divId w:val="547884123"/>
        </w:trPr>
        <w:tc>
          <w:tcPr>
            <w:tcW w:w="7402"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Benefits paid</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(2</w:t>
            </w:r>
            <w:r w:rsidRPr="003E2DBE">
              <w:rPr>
                <w:rFonts w:cs="Calibri"/>
                <w:szCs w:val="22"/>
                <w:lang w:eastAsia="en-AU"/>
              </w:rPr>
              <w:t xml:space="preserve"> 296.0)</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(2</w:t>
            </w:r>
            <w:r w:rsidRPr="003E2DBE">
              <w:rPr>
                <w:rFonts w:cs="Calibri"/>
                <w:szCs w:val="22"/>
                <w:lang w:eastAsia="en-AU"/>
              </w:rPr>
              <w:t xml:space="preserve"> 117.9)</w:t>
            </w:r>
          </w:p>
        </w:tc>
      </w:tr>
      <w:tr w:rsidR="000B4A1E" w:rsidRPr="003E2DBE" w:rsidTr="00517E51">
        <w:trPr>
          <w:divId w:val="547884123"/>
        </w:trPr>
        <w:tc>
          <w:tcPr>
            <w:tcW w:w="7402"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Closing balance of defined benefit obligation</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42 </w:t>
            </w:r>
            <w:r w:rsidRPr="003E2DBE">
              <w:rPr>
                <w:rFonts w:cs="Calibri"/>
                <w:b/>
                <w:bCs/>
                <w:szCs w:val="22"/>
                <w:lang w:eastAsia="en-AU"/>
              </w:rPr>
              <w:t>803.6</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48 </w:t>
            </w:r>
            <w:r w:rsidRPr="003E2DBE">
              <w:rPr>
                <w:rFonts w:cs="Calibri"/>
                <w:b/>
                <w:bCs/>
                <w:szCs w:val="22"/>
                <w:lang w:eastAsia="en-AU"/>
              </w:rPr>
              <w:t>557.7</w:t>
            </w:r>
          </w:p>
        </w:tc>
      </w:tr>
      <w:bookmarkEnd w:id="31"/>
    </w:tbl>
    <w:p w:rsidR="000B4A1E" w:rsidRPr="00D00665" w:rsidRDefault="000B4A1E" w:rsidP="00517E51"/>
    <w:p w:rsidR="000B4A1E" w:rsidRPr="00D00665" w:rsidRDefault="000B4A1E" w:rsidP="00517E51"/>
    <w:p w:rsidR="000B4A1E" w:rsidRPr="00D00665" w:rsidRDefault="000B4A1E" w:rsidP="00517E51">
      <w:pPr>
        <w:pStyle w:val="Heading5"/>
      </w:pPr>
      <w:r w:rsidRPr="00D00665">
        <w:t>(c)</w:t>
      </w:r>
      <w:r w:rsidRPr="00D00665">
        <w:tab/>
        <w:t>Reconciliation of the fair value of superannuation plan assets</w:t>
      </w:r>
    </w:p>
    <w:p w:rsidR="000B4A1E" w:rsidRPr="003E2DBE" w:rsidRDefault="000B4A1E" w:rsidP="00517E51">
      <w:pPr>
        <w:pStyle w:val="million"/>
      </w:pPr>
      <w:r w:rsidRPr="00D00665">
        <w:t>($</w:t>
      </w:r>
      <w:r>
        <w:t> million</w:t>
      </w:r>
      <w:r w:rsidRPr="00D00665">
        <w:t>)</w:t>
      </w:r>
      <w:bookmarkStart w:id="32" w:name="RANGE!B52:D60"/>
    </w:p>
    <w:tbl>
      <w:tblPr>
        <w:tblW w:w="9648" w:type="dxa"/>
        <w:tblInd w:w="29" w:type="dxa"/>
        <w:tblCellMar>
          <w:left w:w="43" w:type="dxa"/>
          <w:right w:w="43" w:type="dxa"/>
        </w:tblCellMar>
        <w:tblLook w:val="04A0" w:firstRow="1" w:lastRow="0" w:firstColumn="1" w:lastColumn="0" w:noHBand="0" w:noVBand="1"/>
      </w:tblPr>
      <w:tblGrid>
        <w:gridCol w:w="7402"/>
        <w:gridCol w:w="106"/>
        <w:gridCol w:w="1017"/>
        <w:gridCol w:w="1123"/>
      </w:tblGrid>
      <w:tr w:rsidR="000B4A1E" w:rsidRPr="003E2DBE" w:rsidTr="00517E51">
        <w:trPr>
          <w:divId w:val="35392886"/>
        </w:trPr>
        <w:tc>
          <w:tcPr>
            <w:tcW w:w="7402"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State of Victoria</w:t>
            </w:r>
          </w:p>
        </w:tc>
      </w:tr>
      <w:tr w:rsidR="000B4A1E" w:rsidRPr="003E2DBE" w:rsidTr="00517E51">
        <w:trPr>
          <w:divId w:val="35392886"/>
        </w:trPr>
        <w:tc>
          <w:tcPr>
            <w:tcW w:w="7402"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35392886"/>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Opening balance of plan assets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lang w:eastAsia="en-AU"/>
              </w:rPr>
              <w:t xml:space="preserve">15 </w:t>
            </w:r>
            <w:r w:rsidRPr="003E2DBE">
              <w:rPr>
                <w:rFonts w:cs="Calibri"/>
                <w:b/>
                <w:bCs/>
                <w:szCs w:val="22"/>
                <w:lang w:eastAsia="en-AU"/>
              </w:rPr>
              <w:t>806.9</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lang w:eastAsia="en-AU"/>
              </w:rPr>
              <w:t xml:space="preserve">16 </w:t>
            </w:r>
            <w:r w:rsidRPr="003E2DBE">
              <w:rPr>
                <w:rFonts w:cs="Calibri"/>
                <w:b/>
                <w:bCs/>
                <w:szCs w:val="22"/>
                <w:lang w:eastAsia="en-AU"/>
              </w:rPr>
              <w:t>332.1</w:t>
            </w:r>
          </w:p>
        </w:tc>
      </w:tr>
      <w:tr w:rsidR="000B4A1E" w:rsidRPr="003E2DBE" w:rsidTr="00517E51">
        <w:trPr>
          <w:divId w:val="35392886"/>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Expected return on plan assets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156.1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177.4</w:t>
            </w:r>
          </w:p>
        </w:tc>
      </w:tr>
      <w:tr w:rsidR="000B4A1E" w:rsidRPr="003E2DBE" w:rsidTr="00517E51">
        <w:trPr>
          <w:divId w:val="35392886"/>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Actuarial gains/(losses)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219.3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848.1)</w:t>
            </w:r>
          </w:p>
        </w:tc>
      </w:tr>
      <w:tr w:rsidR="000B4A1E" w:rsidRPr="003E2DBE" w:rsidTr="00517E51">
        <w:trPr>
          <w:divId w:val="35392886"/>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Employer contributions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469.2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037.6</w:t>
            </w:r>
          </w:p>
        </w:tc>
      </w:tr>
      <w:tr w:rsidR="000B4A1E" w:rsidRPr="003E2DBE" w:rsidTr="00517E51">
        <w:trPr>
          <w:divId w:val="35392886"/>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Contributions by plan participants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222.7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225.7</w:t>
            </w:r>
          </w:p>
        </w:tc>
      </w:tr>
      <w:tr w:rsidR="000B4A1E" w:rsidRPr="003E2DBE" w:rsidTr="00517E51">
        <w:trPr>
          <w:divId w:val="35392886"/>
        </w:trPr>
        <w:tc>
          <w:tcPr>
            <w:tcW w:w="7402"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Benefits paid (including tax paid)</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(2</w:t>
            </w:r>
            <w:r w:rsidRPr="003E2DBE">
              <w:rPr>
                <w:rFonts w:cs="Calibri"/>
                <w:szCs w:val="22"/>
                <w:lang w:eastAsia="en-AU"/>
              </w:rPr>
              <w:t xml:space="preserve"> 296.0)</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(2</w:t>
            </w:r>
            <w:r w:rsidRPr="003E2DBE">
              <w:rPr>
                <w:rFonts w:cs="Calibri"/>
                <w:szCs w:val="22"/>
                <w:lang w:eastAsia="en-AU"/>
              </w:rPr>
              <w:t xml:space="preserve"> 117.9)</w:t>
            </w:r>
          </w:p>
        </w:tc>
      </w:tr>
      <w:tr w:rsidR="000B4A1E" w:rsidRPr="003E2DBE" w:rsidTr="00517E51">
        <w:trPr>
          <w:divId w:val="35392886"/>
        </w:trPr>
        <w:tc>
          <w:tcPr>
            <w:tcW w:w="7402"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Closing balance of plan assets</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17 </w:t>
            </w:r>
            <w:r w:rsidRPr="003E2DBE">
              <w:rPr>
                <w:rFonts w:cs="Calibri"/>
                <w:b/>
                <w:bCs/>
                <w:szCs w:val="22"/>
                <w:lang w:eastAsia="en-AU"/>
              </w:rPr>
              <w:t>578.1</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15 </w:t>
            </w:r>
            <w:r w:rsidRPr="003E2DBE">
              <w:rPr>
                <w:rFonts w:cs="Calibri"/>
                <w:b/>
                <w:bCs/>
                <w:szCs w:val="22"/>
                <w:lang w:eastAsia="en-AU"/>
              </w:rPr>
              <w:t>806.9</w:t>
            </w:r>
          </w:p>
        </w:tc>
      </w:tr>
      <w:bookmarkEnd w:id="32"/>
    </w:tbl>
    <w:p w:rsidR="000B4A1E" w:rsidRPr="00D00665" w:rsidRDefault="000B4A1E" w:rsidP="00517E51"/>
    <w:p w:rsidR="000B4A1E" w:rsidRPr="00D00665" w:rsidRDefault="000B4A1E" w:rsidP="00517E51"/>
    <w:p w:rsidR="000B4A1E" w:rsidRPr="00D00665" w:rsidRDefault="000B4A1E" w:rsidP="00517E51">
      <w:pPr>
        <w:pStyle w:val="Heading2NotesContd"/>
      </w:pPr>
      <w:r w:rsidRPr="00D00665">
        <w:br w:type="page"/>
      </w:r>
    </w:p>
    <w:p w:rsidR="000B4A1E" w:rsidRPr="009F74B3" w:rsidRDefault="000B4A1E" w:rsidP="00517E51">
      <w:pPr>
        <w:pStyle w:val="Heading2Notes"/>
        <w:rPr>
          <w:i/>
        </w:rPr>
      </w:pPr>
      <w:r w:rsidRPr="00D00665">
        <w:lastRenderedPageBreak/>
        <w:t>Note 8:</w:t>
      </w:r>
      <w:r w:rsidRPr="00D00665">
        <w:tab/>
        <w:t>Superannuation</w:t>
      </w:r>
      <w:r>
        <w:t xml:space="preserve"> </w:t>
      </w:r>
      <w:r w:rsidRPr="009F74B3">
        <w:rPr>
          <w:i/>
        </w:rPr>
        <w:t>(</w:t>
      </w:r>
      <w:r>
        <w:rPr>
          <w:i/>
        </w:rPr>
        <w:t>continued)</w:t>
      </w:r>
    </w:p>
    <w:p w:rsidR="000B4A1E" w:rsidRPr="00D00665" w:rsidRDefault="000B4A1E" w:rsidP="00517E51">
      <w:pPr>
        <w:pStyle w:val="Heading5"/>
        <w:spacing w:before="240" w:after="120"/>
      </w:pPr>
      <w:r w:rsidRPr="00D00665">
        <w:t>(d)</w:t>
      </w:r>
      <w:r w:rsidRPr="00D00665">
        <w:tab/>
        <w:t>Reconciliation of the superannuation liability</w:t>
      </w:r>
    </w:p>
    <w:p w:rsidR="000B4A1E" w:rsidRPr="00D00665" w:rsidRDefault="000B4A1E" w:rsidP="00517E51">
      <w:r w:rsidRPr="00D00665">
        <w:t>The table below shows the financial position of the State</w:t>
      </w:r>
      <w:r>
        <w:t>’</w:t>
      </w:r>
      <w:r w:rsidRPr="00D00665">
        <w:t>s share of liabilities in defined benefit plans for which it is responsible.</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262"/>
        <w:gridCol w:w="861"/>
        <w:gridCol w:w="1123"/>
      </w:tblGrid>
      <w:tr w:rsidR="000B4A1E" w:rsidRPr="003E2DBE" w:rsidTr="00517E51">
        <w:tc>
          <w:tcPr>
            <w:tcW w:w="7402"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6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r>
      <w:tr w:rsidR="000B4A1E" w:rsidRPr="003E2DBE" w:rsidTr="00517E51">
        <w:tc>
          <w:tcPr>
            <w:tcW w:w="7402"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7402" w:type="dxa"/>
            <w:tcBorders>
              <w:top w:val="single" w:sz="4"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Emergency Services and State Super</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Defined benefit obligation</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37 303.3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42 169.7</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vertAlign w:val="superscript"/>
                <w:lang w:eastAsia="en-AU"/>
              </w:rPr>
            </w:pPr>
            <w:r w:rsidRPr="003E2DBE">
              <w:rPr>
                <w:rFonts w:eastAsiaTheme="minorEastAsia"/>
                <w:lang w:eastAsia="en-AU"/>
              </w:rPr>
              <w:t xml:space="preserve">Tax liability </w:t>
            </w:r>
            <w:r w:rsidRPr="003E2DBE">
              <w:rPr>
                <w:rFonts w:eastAsiaTheme="minorEastAsia"/>
                <w:vertAlign w:val="superscript"/>
                <w:lang w:eastAsia="en-AU"/>
              </w:rPr>
              <w:t>(a)</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2 550.4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3 280.6</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Plan assets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(15 811.2)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(14 174.7)</w:t>
            </w:r>
          </w:p>
        </w:tc>
      </w:tr>
      <w:tr w:rsidR="000B4A1E" w:rsidRPr="003E2DBE" w:rsidTr="00517E51">
        <w:tc>
          <w:tcPr>
            <w:tcW w:w="7402"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Net liability/(asset)</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24 042.5</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31 275.6</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cs="Calibri"/>
                <w:b/>
                <w:bCs/>
                <w:szCs w:val="22"/>
                <w:vertAlign w:val="superscript"/>
                <w:lang w:eastAsia="en-AU"/>
              </w:rPr>
            </w:pPr>
            <w:r w:rsidRPr="003E2DBE">
              <w:rPr>
                <w:rFonts w:eastAsiaTheme="minorEastAsia"/>
                <w:b/>
                <w:bCs/>
                <w:lang w:eastAsia="en-AU"/>
              </w:rPr>
              <w:t xml:space="preserve">Other funds </w:t>
            </w:r>
            <w:r w:rsidRPr="003E2DBE">
              <w:rPr>
                <w:rFonts w:eastAsiaTheme="minorEastAsia"/>
                <w:vertAlign w:val="superscript"/>
                <w:lang w:eastAsia="en-AU"/>
              </w:rPr>
              <w:t>(</w:t>
            </w:r>
            <w:r w:rsidRPr="003E2DBE">
              <w:rPr>
                <w:rFonts w:eastAsiaTheme="minorEastAsia" w:cs="Calibri"/>
                <w:b/>
                <w:bCs/>
                <w:szCs w:val="22"/>
                <w:vertAlign w:val="superscript"/>
                <w:lang w:eastAsia="en-AU"/>
              </w:rPr>
              <w:t>b)</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Defined benefit obligation</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2 956.4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3 100.8</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vertAlign w:val="superscript"/>
                <w:lang w:eastAsia="en-AU"/>
              </w:rPr>
            </w:pPr>
            <w:r w:rsidRPr="003E2DBE">
              <w:rPr>
                <w:rFonts w:eastAsiaTheme="minorEastAsia"/>
                <w:lang w:eastAsia="en-AU"/>
              </w:rPr>
              <w:t xml:space="preserve">Tax liability </w:t>
            </w:r>
            <w:r w:rsidRPr="003E2DBE">
              <w:rPr>
                <w:rFonts w:eastAsiaTheme="minorEastAsia"/>
                <w:vertAlign w:val="superscript"/>
                <w:lang w:eastAsia="en-AU"/>
              </w:rPr>
              <w:t>(a)</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( 6.5)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6.6</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Plan assets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(1 766.9)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(1 632.1)</w:t>
            </w:r>
          </w:p>
        </w:tc>
      </w:tr>
      <w:tr w:rsidR="000B4A1E" w:rsidRPr="003E2DBE" w:rsidTr="00517E51">
        <w:tc>
          <w:tcPr>
            <w:tcW w:w="7402"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Net liability/(asset)</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1 182.9</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1 475.2</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superannuation</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Defined benefit obligation</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40 259.6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45 270.5</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vertAlign w:val="superscript"/>
                <w:lang w:eastAsia="en-AU"/>
              </w:rPr>
            </w:pPr>
            <w:r w:rsidRPr="003E2DBE">
              <w:rPr>
                <w:rFonts w:eastAsiaTheme="minorEastAsia"/>
                <w:lang w:eastAsia="en-AU"/>
              </w:rPr>
              <w:t xml:space="preserve">Tax liability </w:t>
            </w:r>
            <w:r w:rsidRPr="003E2DBE">
              <w:rPr>
                <w:rFonts w:eastAsiaTheme="minorEastAsia"/>
                <w:vertAlign w:val="superscript"/>
                <w:lang w:eastAsia="en-AU"/>
              </w:rPr>
              <w:t>(a)</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2 543.9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3 287.2</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Plan assets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(17 578.1)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(15 806.9)</w:t>
            </w:r>
          </w:p>
        </w:tc>
      </w:tr>
      <w:tr w:rsidR="000B4A1E" w:rsidRPr="003E2DBE" w:rsidTr="00517E51">
        <w:tc>
          <w:tcPr>
            <w:tcW w:w="7402"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Superannuation liability</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25 225.4</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32 750.8</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Represented by:</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Current liability</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1 014.5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963.3</w:t>
            </w:r>
          </w:p>
        </w:tc>
      </w:tr>
      <w:tr w:rsidR="000B4A1E" w:rsidRPr="003E2DBE" w:rsidTr="00517E51">
        <w:tc>
          <w:tcPr>
            <w:tcW w:w="7402"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Non-current liability</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24 210.9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31 787.5</w:t>
            </w:r>
          </w:p>
        </w:tc>
      </w:tr>
      <w:tr w:rsidR="000B4A1E" w:rsidRPr="003E2DBE" w:rsidTr="00517E51">
        <w:tc>
          <w:tcPr>
            <w:tcW w:w="7402" w:type="dxa"/>
            <w:tcBorders>
              <w:top w:val="nil"/>
              <w:left w:val="nil"/>
              <w:bottom w:val="single" w:sz="12" w:space="0" w:color="auto"/>
              <w:right w:val="nil"/>
            </w:tcBorders>
            <w:shd w:val="solid" w:color="FFFFFF" w:fill="auto"/>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superannuation liability</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25 225.4</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32 750.8</w:t>
            </w:r>
          </w:p>
        </w:tc>
      </w:tr>
    </w:tbl>
    <w:p w:rsidR="000B4A1E" w:rsidRPr="00D00665" w:rsidRDefault="000B4A1E" w:rsidP="00517E51">
      <w:pPr>
        <w:pStyle w:val="Notes"/>
      </w:pPr>
      <w:r w:rsidRPr="00D00665">
        <w:t>Notes:</w:t>
      </w:r>
    </w:p>
    <w:p w:rsidR="000B4A1E" w:rsidRPr="00D00665" w:rsidRDefault="000B4A1E" w:rsidP="00517E51">
      <w:pPr>
        <w:pStyle w:val="Notes"/>
      </w:pPr>
      <w:r w:rsidRPr="00D00665">
        <w:t>(a)</w:t>
      </w:r>
      <w:r w:rsidRPr="00D00665">
        <w:tab/>
        <w:t>Tax liability represents the present value of future tax payments on expected future employer contributions and the present value of future tax payments on investment income generated by superannuation assets is also included.</w:t>
      </w:r>
    </w:p>
    <w:p w:rsidR="000B4A1E" w:rsidRPr="00D00665" w:rsidRDefault="000B4A1E" w:rsidP="00517E51">
      <w:pPr>
        <w:pStyle w:val="Notes"/>
      </w:pPr>
      <w:r w:rsidRPr="00D00665">
        <w:t>(b)</w:t>
      </w:r>
      <w:r w:rsidRPr="00D00665">
        <w:tab/>
        <w:t>Other funds include constitutionally protected schemes, the Parliamentary Contributory Superannuation Fund and the State</w:t>
      </w:r>
      <w:r>
        <w:t>’</w:t>
      </w:r>
      <w:r w:rsidRPr="00D00665">
        <w:t>s share of liabilities of the Health Super defined benefit division of the First State Super.</w:t>
      </w:r>
    </w:p>
    <w:p w:rsidR="000B4A1E" w:rsidRPr="00D00665" w:rsidRDefault="000B4A1E" w:rsidP="00517E51"/>
    <w:p w:rsidR="000B4A1E" w:rsidRPr="00D00665" w:rsidRDefault="000B4A1E" w:rsidP="00517E51">
      <w:pPr>
        <w:pStyle w:val="Heading2NotesContd"/>
      </w:pPr>
      <w:r w:rsidRPr="00D00665">
        <w:br w:type="page"/>
      </w:r>
    </w:p>
    <w:p w:rsidR="000B4A1E" w:rsidRPr="009F74B3" w:rsidRDefault="000B4A1E" w:rsidP="00517E51">
      <w:pPr>
        <w:pStyle w:val="Heading2Notes"/>
        <w:rPr>
          <w:i/>
        </w:rPr>
      </w:pPr>
      <w:r w:rsidRPr="00D00665">
        <w:lastRenderedPageBreak/>
        <w:t>Note 8:</w:t>
      </w:r>
      <w:r w:rsidRPr="00D00665">
        <w:tab/>
        <w:t>Superannuation</w:t>
      </w:r>
      <w:r>
        <w:t xml:space="preserve"> </w:t>
      </w:r>
      <w:r w:rsidRPr="009F74B3">
        <w:rPr>
          <w:i/>
        </w:rPr>
        <w:t>(</w:t>
      </w:r>
      <w:r>
        <w:rPr>
          <w:i/>
        </w:rPr>
        <w:t>continued)</w:t>
      </w:r>
    </w:p>
    <w:p w:rsidR="000B4A1E" w:rsidRPr="003E2DBE" w:rsidRDefault="000B4A1E" w:rsidP="00517E51">
      <w:pPr>
        <w:pStyle w:val="Heading5"/>
      </w:pPr>
      <w:r w:rsidRPr="00D00665">
        <w:t>Superannuation assumptions</w:t>
      </w:r>
      <w:bookmarkStart w:id="33" w:name="RANGE!A6:E22"/>
    </w:p>
    <w:tbl>
      <w:tblPr>
        <w:tblW w:w="9644" w:type="dxa"/>
        <w:tblInd w:w="29" w:type="dxa"/>
        <w:tblCellMar>
          <w:left w:w="43" w:type="dxa"/>
          <w:right w:w="43" w:type="dxa"/>
        </w:tblCellMar>
        <w:tblLook w:val="04A0" w:firstRow="1" w:lastRow="0" w:firstColumn="1" w:lastColumn="0" w:noHBand="0" w:noVBand="1"/>
      </w:tblPr>
      <w:tblGrid>
        <w:gridCol w:w="3524"/>
        <w:gridCol w:w="1260"/>
        <w:gridCol w:w="2700"/>
        <w:gridCol w:w="123"/>
        <w:gridCol w:w="1000"/>
        <w:gridCol w:w="1037"/>
      </w:tblGrid>
      <w:tr w:rsidR="000B4A1E" w:rsidRPr="003E2DBE" w:rsidTr="00517E51">
        <w:trPr>
          <w:divId w:val="142239655"/>
        </w:trPr>
        <w:tc>
          <w:tcPr>
            <w:tcW w:w="3524" w:type="dxa"/>
            <w:tcBorders>
              <w:top w:val="single" w:sz="4" w:space="0" w:color="auto"/>
              <w:left w:val="single" w:sz="4" w:space="0" w:color="auto"/>
              <w:bottom w:val="nil"/>
              <w:right w:val="nil"/>
            </w:tcBorders>
            <w:shd w:val="clear" w:color="auto" w:fill="000000"/>
            <w:hideMark/>
          </w:tcPr>
          <w:p w:rsidR="000B4A1E" w:rsidRPr="003E2DBE" w:rsidRDefault="000B4A1E" w:rsidP="00517E51">
            <w:pPr>
              <w:pStyle w:val="TabletextheadingLeft"/>
              <w:rPr>
                <w:lang w:eastAsia="en-AU"/>
              </w:rPr>
            </w:pPr>
            <w:r w:rsidRPr="003E2DBE">
              <w:rPr>
                <w:lang w:eastAsia="en-AU"/>
              </w:rPr>
              <w:t>Victorian statutory</w:t>
            </w:r>
          </w:p>
        </w:tc>
        <w:tc>
          <w:tcPr>
            <w:tcW w:w="1260" w:type="dxa"/>
            <w:tcBorders>
              <w:top w:val="single" w:sz="4" w:space="0" w:color="auto"/>
              <w:left w:val="nil"/>
              <w:bottom w:val="nil"/>
              <w:right w:val="nil"/>
            </w:tcBorders>
            <w:shd w:val="clear" w:color="auto" w:fill="000000"/>
            <w:hideMark/>
          </w:tcPr>
          <w:p w:rsidR="000B4A1E" w:rsidRPr="003E2DBE" w:rsidRDefault="000B4A1E" w:rsidP="00517E51">
            <w:pPr>
              <w:pStyle w:val="TabletextheadingLeft"/>
            </w:pPr>
            <w:r w:rsidRPr="003E2DBE">
              <w:t xml:space="preserve"> </w:t>
            </w:r>
          </w:p>
        </w:tc>
        <w:tc>
          <w:tcPr>
            <w:tcW w:w="2700"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Left"/>
            </w:pPr>
            <w:r w:rsidRPr="003E2DBE">
              <w:t xml:space="preserve">Financial  </w:t>
            </w:r>
          </w:p>
        </w:tc>
        <w:tc>
          <w:tcPr>
            <w:tcW w:w="123" w:type="dxa"/>
            <w:tcBorders>
              <w:top w:val="single" w:sz="4" w:space="0" w:color="auto"/>
              <w:left w:val="nil"/>
              <w:bottom w:val="nil"/>
              <w:right w:val="nil"/>
            </w:tcBorders>
            <w:shd w:val="clear" w:color="auto" w:fill="000000"/>
            <w:hideMark/>
          </w:tcPr>
          <w:p w:rsidR="000B4A1E" w:rsidRPr="003E2DBE" w:rsidRDefault="000B4A1E" w:rsidP="00517E51">
            <w:pPr>
              <w:pStyle w:val="TabletextheadingLeft"/>
            </w:pPr>
            <w:r w:rsidRPr="003E2DBE">
              <w:t xml:space="preserve"> </w:t>
            </w:r>
          </w:p>
        </w:tc>
        <w:tc>
          <w:tcPr>
            <w:tcW w:w="2037" w:type="dxa"/>
            <w:gridSpan w:val="2"/>
            <w:tcBorders>
              <w:top w:val="single" w:sz="4" w:space="0" w:color="auto"/>
              <w:left w:val="nil"/>
              <w:bottom w:val="single" w:sz="4" w:space="0" w:color="auto"/>
              <w:right w:val="single" w:sz="4" w:space="0" w:color="auto"/>
            </w:tcBorders>
            <w:shd w:val="clear" w:color="auto" w:fill="000000"/>
            <w:vAlign w:val="bottom"/>
            <w:hideMark/>
          </w:tcPr>
          <w:p w:rsidR="000B4A1E" w:rsidRPr="003E2DBE" w:rsidRDefault="000B4A1E" w:rsidP="00517E51">
            <w:pPr>
              <w:pStyle w:val="TabletextheadingCentred"/>
            </w:pPr>
            <w:r w:rsidRPr="003E2DBE">
              <w:t>Per cent per annum</w:t>
            </w:r>
          </w:p>
        </w:tc>
      </w:tr>
      <w:tr w:rsidR="000B4A1E" w:rsidRPr="003E2DBE" w:rsidTr="00517E51">
        <w:trPr>
          <w:divId w:val="142239655"/>
        </w:trPr>
        <w:tc>
          <w:tcPr>
            <w:tcW w:w="3524" w:type="dxa"/>
            <w:tcBorders>
              <w:top w:val="nil"/>
              <w:left w:val="single" w:sz="4" w:space="0" w:color="auto"/>
              <w:bottom w:val="single" w:sz="4" w:space="0" w:color="auto"/>
              <w:right w:val="nil"/>
            </w:tcBorders>
            <w:shd w:val="clear" w:color="auto" w:fill="000000"/>
            <w:hideMark/>
          </w:tcPr>
          <w:p w:rsidR="000B4A1E" w:rsidRPr="003E2DBE" w:rsidRDefault="000B4A1E" w:rsidP="00517E51">
            <w:pPr>
              <w:pStyle w:val="TabletextheadingLeft"/>
              <w:rPr>
                <w:lang w:eastAsia="en-AU"/>
              </w:rPr>
            </w:pPr>
            <w:r w:rsidRPr="003E2DBE">
              <w:rPr>
                <w:lang w:eastAsia="en-AU"/>
              </w:rPr>
              <w:t>superannuation funds</w:t>
            </w:r>
          </w:p>
        </w:tc>
        <w:tc>
          <w:tcPr>
            <w:tcW w:w="1260" w:type="dxa"/>
            <w:tcBorders>
              <w:top w:val="nil"/>
              <w:left w:val="nil"/>
              <w:bottom w:val="single" w:sz="4" w:space="0" w:color="auto"/>
              <w:right w:val="nil"/>
            </w:tcBorders>
            <w:shd w:val="clear" w:color="auto" w:fill="000000"/>
            <w:hideMark/>
          </w:tcPr>
          <w:p w:rsidR="000B4A1E" w:rsidRPr="003E2DBE" w:rsidRDefault="000B4A1E" w:rsidP="00517E51">
            <w:pPr>
              <w:pStyle w:val="TabletextheadingLeft"/>
            </w:pPr>
            <w:r w:rsidRPr="003E2DBE">
              <w:t>Actuary</w:t>
            </w:r>
          </w:p>
        </w:tc>
        <w:tc>
          <w:tcPr>
            <w:tcW w:w="2700" w:type="dxa"/>
            <w:tcBorders>
              <w:top w:val="nil"/>
              <w:left w:val="nil"/>
              <w:bottom w:val="single" w:sz="4" w:space="0" w:color="auto"/>
              <w:right w:val="nil"/>
            </w:tcBorders>
            <w:shd w:val="clear" w:color="auto" w:fill="000000"/>
            <w:hideMark/>
          </w:tcPr>
          <w:p w:rsidR="000B4A1E" w:rsidRPr="003E2DBE" w:rsidRDefault="000B4A1E" w:rsidP="00517E51">
            <w:pPr>
              <w:pStyle w:val="TabletextheadingLeft"/>
            </w:pPr>
            <w:r w:rsidRPr="003E2DBE">
              <w:t>assumptions</w:t>
            </w:r>
          </w:p>
        </w:tc>
        <w:tc>
          <w:tcPr>
            <w:tcW w:w="1123" w:type="dxa"/>
            <w:gridSpan w:val="2"/>
            <w:tcBorders>
              <w:top w:val="nil"/>
              <w:left w:val="nil"/>
              <w:bottom w:val="single" w:sz="4" w:space="0" w:color="auto"/>
              <w:right w:val="nil"/>
            </w:tcBorders>
            <w:shd w:val="clear" w:color="auto" w:fill="000000"/>
            <w:hideMark/>
          </w:tcPr>
          <w:p w:rsidR="000B4A1E" w:rsidRPr="003E2DBE" w:rsidRDefault="000B4A1E" w:rsidP="00517E51">
            <w:pPr>
              <w:pStyle w:val="Tabletextheading"/>
            </w:pPr>
            <w:r w:rsidRPr="003E2DBE">
              <w:t>2013</w:t>
            </w:r>
          </w:p>
        </w:tc>
        <w:tc>
          <w:tcPr>
            <w:tcW w:w="1037" w:type="dxa"/>
            <w:tcBorders>
              <w:top w:val="nil"/>
              <w:left w:val="nil"/>
              <w:bottom w:val="single" w:sz="4" w:space="0" w:color="auto"/>
              <w:right w:val="single" w:sz="4" w:space="0" w:color="auto"/>
            </w:tcBorders>
            <w:shd w:val="clear" w:color="auto" w:fill="000000"/>
            <w:hideMark/>
          </w:tcPr>
          <w:p w:rsidR="000B4A1E" w:rsidRPr="003E2DBE" w:rsidRDefault="000B4A1E" w:rsidP="00517E51">
            <w:pPr>
              <w:pStyle w:val="Tabletextheading"/>
            </w:pPr>
            <w:r w:rsidRPr="003E2DBE">
              <w:t>2012</w:t>
            </w:r>
          </w:p>
        </w:tc>
      </w:tr>
      <w:tr w:rsidR="000B4A1E" w:rsidRPr="003E2DBE" w:rsidTr="00517E51">
        <w:trPr>
          <w:divId w:val="142239655"/>
        </w:trPr>
        <w:tc>
          <w:tcPr>
            <w:tcW w:w="3524" w:type="dxa"/>
            <w:tcBorders>
              <w:top w:val="nil"/>
              <w:left w:val="nil"/>
              <w:bottom w:val="nil"/>
              <w:right w:val="nil"/>
            </w:tcBorders>
            <w:shd w:val="clear" w:color="auto" w:fill="auto"/>
            <w:hideMark/>
          </w:tcPr>
          <w:p w:rsidR="000B4A1E" w:rsidRPr="003E2DBE" w:rsidRDefault="000B4A1E" w:rsidP="00517E51">
            <w:pPr>
              <w:pStyle w:val="Tabletext"/>
              <w:ind w:left="0" w:firstLine="0"/>
              <w:rPr>
                <w:lang w:eastAsia="en-AU"/>
              </w:rPr>
            </w:pPr>
            <w:r w:rsidRPr="003E2DBE">
              <w:rPr>
                <w:lang w:eastAsia="en-AU"/>
              </w:rPr>
              <w:t>Emergency Services and State Super</w:t>
            </w:r>
          </w:p>
        </w:tc>
        <w:tc>
          <w:tcPr>
            <w:tcW w:w="126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PwC </w:t>
            </w:r>
            <w:r w:rsidRPr="003E2DBE">
              <w:rPr>
                <w:vertAlign w:val="superscript"/>
                <w:lang w:eastAsia="en-AU"/>
              </w:rPr>
              <w:t>(a)</w:t>
            </w:r>
          </w:p>
        </w:tc>
        <w:tc>
          <w:tcPr>
            <w:tcW w:w="270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Expected return on assets </w:t>
            </w:r>
            <w:r w:rsidRPr="003E2DBE">
              <w:rPr>
                <w:vertAlign w:val="superscript"/>
                <w:lang w:eastAsia="en-AU"/>
              </w:rPr>
              <w:t>(b)</w:t>
            </w:r>
          </w:p>
        </w:tc>
        <w:tc>
          <w:tcPr>
            <w:tcW w:w="1123" w:type="dxa"/>
            <w:gridSpan w:val="2"/>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8.0</w:t>
            </w:r>
          </w:p>
        </w:tc>
        <w:tc>
          <w:tcPr>
            <w:tcW w:w="1037" w:type="dxa"/>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8.0</w:t>
            </w:r>
          </w:p>
        </w:tc>
      </w:tr>
      <w:tr w:rsidR="000B4A1E" w:rsidRPr="003E2DBE" w:rsidTr="00517E51">
        <w:trPr>
          <w:divId w:val="142239655"/>
        </w:trPr>
        <w:tc>
          <w:tcPr>
            <w:tcW w:w="3524" w:type="dxa"/>
            <w:tcBorders>
              <w:top w:val="nil"/>
              <w:left w:val="nil"/>
              <w:bottom w:val="nil"/>
              <w:right w:val="nil"/>
            </w:tcBorders>
            <w:shd w:val="clear" w:color="auto" w:fill="auto"/>
            <w:hideMark/>
          </w:tcPr>
          <w:p w:rsidR="000B4A1E" w:rsidRPr="003E2DBE" w:rsidRDefault="000B4A1E" w:rsidP="00517E51">
            <w:pPr>
              <w:pStyle w:val="Tabletext"/>
              <w:ind w:left="0" w:firstLine="0"/>
              <w:rPr>
                <w:lang w:eastAsia="en-AU"/>
              </w:rPr>
            </w:pPr>
            <w:r w:rsidRPr="003E2DBE">
              <w:rPr>
                <w:lang w:eastAsia="en-AU"/>
              </w:rPr>
              <w:t xml:space="preserve"> </w:t>
            </w:r>
          </w:p>
        </w:tc>
        <w:tc>
          <w:tcPr>
            <w:tcW w:w="126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 </w:t>
            </w:r>
          </w:p>
        </w:tc>
        <w:tc>
          <w:tcPr>
            <w:tcW w:w="270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Discount rate </w:t>
            </w:r>
            <w:r w:rsidRPr="003E2DBE">
              <w:rPr>
                <w:vertAlign w:val="superscript"/>
                <w:lang w:eastAsia="en-AU"/>
              </w:rPr>
              <w:t>(c)</w:t>
            </w:r>
          </w:p>
        </w:tc>
        <w:tc>
          <w:tcPr>
            <w:tcW w:w="1123" w:type="dxa"/>
            <w:gridSpan w:val="2"/>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4.3</w:t>
            </w:r>
          </w:p>
        </w:tc>
        <w:tc>
          <w:tcPr>
            <w:tcW w:w="1037" w:type="dxa"/>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3.4</w:t>
            </w:r>
          </w:p>
        </w:tc>
      </w:tr>
      <w:tr w:rsidR="000B4A1E" w:rsidRPr="003E2DBE" w:rsidTr="00517E51">
        <w:trPr>
          <w:divId w:val="142239655"/>
        </w:trPr>
        <w:tc>
          <w:tcPr>
            <w:tcW w:w="3524" w:type="dxa"/>
            <w:tcBorders>
              <w:top w:val="nil"/>
              <w:left w:val="nil"/>
              <w:bottom w:val="nil"/>
              <w:right w:val="nil"/>
            </w:tcBorders>
            <w:shd w:val="clear" w:color="auto" w:fill="auto"/>
            <w:hideMark/>
          </w:tcPr>
          <w:p w:rsidR="000B4A1E" w:rsidRPr="003E2DBE" w:rsidRDefault="000B4A1E" w:rsidP="00517E51">
            <w:pPr>
              <w:pStyle w:val="Tabletext"/>
              <w:ind w:left="0" w:firstLine="0"/>
              <w:rPr>
                <w:lang w:eastAsia="en-AU"/>
              </w:rPr>
            </w:pPr>
            <w:r w:rsidRPr="003E2DBE">
              <w:rPr>
                <w:lang w:eastAsia="en-AU"/>
              </w:rPr>
              <w:t xml:space="preserve"> </w:t>
            </w:r>
          </w:p>
        </w:tc>
        <w:tc>
          <w:tcPr>
            <w:tcW w:w="1260"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ascii="Arial" w:hAnsi="Arial" w:cs="Arial"/>
                <w:sz w:val="20"/>
                <w:lang w:eastAsia="en-AU"/>
              </w:rPr>
            </w:pPr>
            <w:r w:rsidRPr="003E2DBE">
              <w:rPr>
                <w:rFonts w:ascii="Arial" w:hAnsi="Arial" w:cs="Arial"/>
                <w:sz w:val="20"/>
                <w:lang w:eastAsia="en-AU"/>
              </w:rPr>
              <w:t xml:space="preserve"> </w:t>
            </w:r>
          </w:p>
        </w:tc>
        <w:tc>
          <w:tcPr>
            <w:tcW w:w="270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Wages growth </w:t>
            </w:r>
            <w:r w:rsidRPr="003E2DBE">
              <w:rPr>
                <w:vertAlign w:val="superscript"/>
                <w:lang w:eastAsia="en-AU"/>
              </w:rPr>
              <w:t>(d)</w:t>
            </w:r>
          </w:p>
        </w:tc>
        <w:tc>
          <w:tcPr>
            <w:tcW w:w="1123" w:type="dxa"/>
            <w:gridSpan w:val="2"/>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3.8</w:t>
            </w:r>
          </w:p>
        </w:tc>
        <w:tc>
          <w:tcPr>
            <w:tcW w:w="1037" w:type="dxa"/>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3.9</w:t>
            </w:r>
          </w:p>
        </w:tc>
      </w:tr>
      <w:tr w:rsidR="000B4A1E" w:rsidRPr="003E2DBE" w:rsidTr="00517E51">
        <w:trPr>
          <w:divId w:val="142239655"/>
        </w:trPr>
        <w:tc>
          <w:tcPr>
            <w:tcW w:w="3524" w:type="dxa"/>
            <w:tcBorders>
              <w:top w:val="nil"/>
              <w:left w:val="nil"/>
              <w:bottom w:val="single" w:sz="4" w:space="0" w:color="auto"/>
              <w:right w:val="nil"/>
            </w:tcBorders>
            <w:shd w:val="clear" w:color="auto" w:fill="auto"/>
            <w:hideMark/>
          </w:tcPr>
          <w:p w:rsidR="000B4A1E" w:rsidRPr="003E2DBE" w:rsidRDefault="000B4A1E" w:rsidP="00517E51">
            <w:pPr>
              <w:pStyle w:val="Tabletext"/>
              <w:ind w:left="0" w:firstLine="0"/>
              <w:rPr>
                <w:lang w:eastAsia="en-AU"/>
              </w:rPr>
            </w:pPr>
            <w:r w:rsidRPr="003E2DBE">
              <w:rPr>
                <w:lang w:eastAsia="en-AU"/>
              </w:rPr>
              <w:t xml:space="preserve"> </w:t>
            </w:r>
          </w:p>
        </w:tc>
        <w:tc>
          <w:tcPr>
            <w:tcW w:w="1260" w:type="dxa"/>
            <w:tcBorders>
              <w:top w:val="nil"/>
              <w:left w:val="nil"/>
              <w:bottom w:val="single" w:sz="4" w:space="0" w:color="auto"/>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 </w:t>
            </w:r>
          </w:p>
        </w:tc>
        <w:tc>
          <w:tcPr>
            <w:tcW w:w="2700" w:type="dxa"/>
            <w:tcBorders>
              <w:top w:val="nil"/>
              <w:left w:val="nil"/>
              <w:bottom w:val="single" w:sz="4" w:space="0" w:color="auto"/>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Inflation rate </w:t>
            </w:r>
          </w:p>
        </w:tc>
        <w:tc>
          <w:tcPr>
            <w:tcW w:w="1123" w:type="dxa"/>
            <w:gridSpan w:val="2"/>
            <w:tcBorders>
              <w:top w:val="nil"/>
              <w:left w:val="nil"/>
              <w:bottom w:val="single" w:sz="4" w:space="0" w:color="auto"/>
              <w:right w:val="nil"/>
            </w:tcBorders>
            <w:shd w:val="clear" w:color="auto" w:fill="auto"/>
            <w:hideMark/>
          </w:tcPr>
          <w:p w:rsidR="000B4A1E" w:rsidRPr="003E2DBE" w:rsidRDefault="000B4A1E" w:rsidP="00517E51">
            <w:pPr>
              <w:pStyle w:val="TableofFigures"/>
              <w:rPr>
                <w:lang w:eastAsia="en-AU"/>
              </w:rPr>
            </w:pPr>
            <w:r w:rsidRPr="003E2DBE">
              <w:rPr>
                <w:lang w:eastAsia="en-AU"/>
              </w:rPr>
              <w:t>2.3</w:t>
            </w:r>
          </w:p>
        </w:tc>
        <w:tc>
          <w:tcPr>
            <w:tcW w:w="1037" w:type="dxa"/>
            <w:tcBorders>
              <w:top w:val="nil"/>
              <w:left w:val="nil"/>
              <w:bottom w:val="single" w:sz="4" w:space="0" w:color="auto"/>
              <w:right w:val="nil"/>
            </w:tcBorders>
            <w:shd w:val="clear" w:color="auto" w:fill="auto"/>
            <w:hideMark/>
          </w:tcPr>
          <w:p w:rsidR="000B4A1E" w:rsidRPr="003E2DBE" w:rsidRDefault="000B4A1E" w:rsidP="00517E51">
            <w:pPr>
              <w:pStyle w:val="TableofFigures"/>
              <w:rPr>
                <w:lang w:eastAsia="en-AU"/>
              </w:rPr>
            </w:pPr>
            <w:r w:rsidRPr="003E2DBE">
              <w:rPr>
                <w:lang w:eastAsia="en-AU"/>
              </w:rPr>
              <w:t>2.4</w:t>
            </w:r>
          </w:p>
        </w:tc>
      </w:tr>
      <w:tr w:rsidR="000B4A1E" w:rsidRPr="003E2DBE" w:rsidTr="00517E51">
        <w:trPr>
          <w:divId w:val="142239655"/>
        </w:trPr>
        <w:tc>
          <w:tcPr>
            <w:tcW w:w="3524" w:type="dxa"/>
            <w:tcBorders>
              <w:top w:val="nil"/>
              <w:left w:val="nil"/>
              <w:bottom w:val="nil"/>
              <w:right w:val="nil"/>
            </w:tcBorders>
            <w:shd w:val="clear" w:color="auto" w:fill="auto"/>
            <w:hideMark/>
          </w:tcPr>
          <w:p w:rsidR="000B4A1E" w:rsidRPr="003E2DBE" w:rsidRDefault="000B4A1E" w:rsidP="00517E51">
            <w:pPr>
              <w:pStyle w:val="Tabletext"/>
              <w:ind w:left="0" w:firstLine="0"/>
              <w:rPr>
                <w:lang w:eastAsia="en-AU"/>
              </w:rPr>
            </w:pPr>
            <w:r w:rsidRPr="003E2DBE">
              <w:rPr>
                <w:lang w:eastAsia="en-AU"/>
              </w:rPr>
              <w:t>Constitutionally Protected Pensions</w:t>
            </w:r>
          </w:p>
        </w:tc>
        <w:tc>
          <w:tcPr>
            <w:tcW w:w="126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PwC </w:t>
            </w:r>
            <w:r w:rsidRPr="003E2DBE">
              <w:rPr>
                <w:vertAlign w:val="superscript"/>
                <w:lang w:eastAsia="en-AU"/>
              </w:rPr>
              <w:t>(a)</w:t>
            </w:r>
          </w:p>
        </w:tc>
        <w:tc>
          <w:tcPr>
            <w:tcW w:w="270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Discount rate </w:t>
            </w:r>
            <w:r w:rsidRPr="003E2DBE">
              <w:rPr>
                <w:vertAlign w:val="superscript"/>
                <w:lang w:eastAsia="en-AU"/>
              </w:rPr>
              <w:t>(c)</w:t>
            </w:r>
          </w:p>
        </w:tc>
        <w:tc>
          <w:tcPr>
            <w:tcW w:w="1123" w:type="dxa"/>
            <w:gridSpan w:val="2"/>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4.3</w:t>
            </w:r>
          </w:p>
        </w:tc>
        <w:tc>
          <w:tcPr>
            <w:tcW w:w="1037" w:type="dxa"/>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3.4</w:t>
            </w:r>
          </w:p>
        </w:tc>
      </w:tr>
      <w:tr w:rsidR="000B4A1E" w:rsidRPr="003E2DBE" w:rsidTr="00517E51">
        <w:trPr>
          <w:divId w:val="142239655"/>
        </w:trPr>
        <w:tc>
          <w:tcPr>
            <w:tcW w:w="3524" w:type="dxa"/>
            <w:tcBorders>
              <w:top w:val="nil"/>
              <w:left w:val="nil"/>
              <w:bottom w:val="nil"/>
              <w:right w:val="nil"/>
            </w:tcBorders>
            <w:shd w:val="clear" w:color="auto" w:fill="auto"/>
            <w:hideMark/>
          </w:tcPr>
          <w:p w:rsidR="000B4A1E" w:rsidRPr="003E2DBE" w:rsidRDefault="000B4A1E" w:rsidP="00517E51">
            <w:pPr>
              <w:pStyle w:val="Tabletext"/>
              <w:ind w:left="0" w:firstLine="0"/>
              <w:rPr>
                <w:lang w:eastAsia="en-AU"/>
              </w:rPr>
            </w:pPr>
            <w:r w:rsidRPr="003E2DBE">
              <w:rPr>
                <w:lang w:eastAsia="en-AU"/>
              </w:rPr>
              <w:t xml:space="preserve"> </w:t>
            </w:r>
          </w:p>
        </w:tc>
        <w:tc>
          <w:tcPr>
            <w:tcW w:w="1260"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ascii="Arial" w:hAnsi="Arial" w:cs="Arial"/>
                <w:sz w:val="20"/>
                <w:lang w:eastAsia="en-AU"/>
              </w:rPr>
            </w:pPr>
            <w:r w:rsidRPr="003E2DBE">
              <w:rPr>
                <w:rFonts w:ascii="Arial" w:hAnsi="Arial" w:cs="Arial"/>
                <w:sz w:val="20"/>
                <w:lang w:eastAsia="en-AU"/>
              </w:rPr>
              <w:t xml:space="preserve"> </w:t>
            </w:r>
          </w:p>
        </w:tc>
        <w:tc>
          <w:tcPr>
            <w:tcW w:w="270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Wages growth </w:t>
            </w:r>
            <w:r w:rsidRPr="003E2DBE">
              <w:rPr>
                <w:vertAlign w:val="superscript"/>
                <w:lang w:eastAsia="en-AU"/>
              </w:rPr>
              <w:t>(d)</w:t>
            </w:r>
          </w:p>
        </w:tc>
        <w:tc>
          <w:tcPr>
            <w:tcW w:w="1123" w:type="dxa"/>
            <w:gridSpan w:val="2"/>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3.8</w:t>
            </w:r>
          </w:p>
        </w:tc>
        <w:tc>
          <w:tcPr>
            <w:tcW w:w="1037" w:type="dxa"/>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3.9</w:t>
            </w:r>
          </w:p>
        </w:tc>
      </w:tr>
      <w:tr w:rsidR="000B4A1E" w:rsidRPr="003E2DBE" w:rsidTr="00517E51">
        <w:trPr>
          <w:divId w:val="142239655"/>
        </w:trPr>
        <w:tc>
          <w:tcPr>
            <w:tcW w:w="3524" w:type="dxa"/>
            <w:tcBorders>
              <w:top w:val="nil"/>
              <w:left w:val="nil"/>
              <w:bottom w:val="single" w:sz="4" w:space="0" w:color="auto"/>
              <w:right w:val="nil"/>
            </w:tcBorders>
            <w:shd w:val="clear" w:color="auto" w:fill="auto"/>
            <w:hideMark/>
          </w:tcPr>
          <w:p w:rsidR="000B4A1E" w:rsidRPr="003E2DBE" w:rsidRDefault="000B4A1E" w:rsidP="00517E51">
            <w:pPr>
              <w:pStyle w:val="Tabletext"/>
              <w:ind w:left="0" w:firstLine="0"/>
              <w:rPr>
                <w:lang w:eastAsia="en-AU"/>
              </w:rPr>
            </w:pPr>
            <w:r w:rsidRPr="003E2DBE">
              <w:rPr>
                <w:lang w:eastAsia="en-AU"/>
              </w:rPr>
              <w:t xml:space="preserve"> </w:t>
            </w:r>
          </w:p>
        </w:tc>
        <w:tc>
          <w:tcPr>
            <w:tcW w:w="1260" w:type="dxa"/>
            <w:tcBorders>
              <w:top w:val="nil"/>
              <w:left w:val="nil"/>
              <w:bottom w:val="single" w:sz="4" w:space="0" w:color="auto"/>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 </w:t>
            </w:r>
          </w:p>
        </w:tc>
        <w:tc>
          <w:tcPr>
            <w:tcW w:w="2700" w:type="dxa"/>
            <w:tcBorders>
              <w:top w:val="nil"/>
              <w:left w:val="nil"/>
              <w:bottom w:val="single" w:sz="4" w:space="0" w:color="auto"/>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Inflation rate </w:t>
            </w:r>
          </w:p>
        </w:tc>
        <w:tc>
          <w:tcPr>
            <w:tcW w:w="1123" w:type="dxa"/>
            <w:gridSpan w:val="2"/>
            <w:tcBorders>
              <w:top w:val="nil"/>
              <w:left w:val="nil"/>
              <w:bottom w:val="single" w:sz="4" w:space="0" w:color="auto"/>
              <w:right w:val="nil"/>
            </w:tcBorders>
            <w:shd w:val="clear" w:color="auto" w:fill="auto"/>
            <w:hideMark/>
          </w:tcPr>
          <w:p w:rsidR="000B4A1E" w:rsidRPr="003E2DBE" w:rsidRDefault="000B4A1E" w:rsidP="00517E51">
            <w:pPr>
              <w:pStyle w:val="TableofFigures"/>
              <w:rPr>
                <w:lang w:eastAsia="en-AU"/>
              </w:rPr>
            </w:pPr>
            <w:r w:rsidRPr="003E2DBE">
              <w:rPr>
                <w:lang w:eastAsia="en-AU"/>
              </w:rPr>
              <w:t>2.3</w:t>
            </w:r>
          </w:p>
        </w:tc>
        <w:tc>
          <w:tcPr>
            <w:tcW w:w="1037" w:type="dxa"/>
            <w:tcBorders>
              <w:top w:val="nil"/>
              <w:left w:val="nil"/>
              <w:bottom w:val="single" w:sz="4" w:space="0" w:color="auto"/>
              <w:right w:val="nil"/>
            </w:tcBorders>
            <w:shd w:val="clear" w:color="auto" w:fill="auto"/>
            <w:hideMark/>
          </w:tcPr>
          <w:p w:rsidR="000B4A1E" w:rsidRPr="003E2DBE" w:rsidRDefault="000B4A1E" w:rsidP="00517E51">
            <w:pPr>
              <w:pStyle w:val="TableofFigures"/>
              <w:rPr>
                <w:rFonts w:cs="Calibri"/>
                <w:szCs w:val="22"/>
                <w:lang w:eastAsia="en-AU"/>
              </w:rPr>
            </w:pPr>
            <w:r w:rsidRPr="003E2DBE">
              <w:rPr>
                <w:lang w:eastAsia="en-AU"/>
              </w:rPr>
              <w:t>n/</w:t>
            </w:r>
            <w:r w:rsidRPr="003E2DBE">
              <w:rPr>
                <w:rFonts w:cs="Calibri"/>
                <w:szCs w:val="22"/>
                <w:lang w:eastAsia="en-AU"/>
              </w:rPr>
              <w:t>a</w:t>
            </w:r>
          </w:p>
        </w:tc>
      </w:tr>
      <w:tr w:rsidR="000B4A1E" w:rsidRPr="003E2DBE" w:rsidTr="00517E51">
        <w:trPr>
          <w:divId w:val="142239655"/>
        </w:trPr>
        <w:tc>
          <w:tcPr>
            <w:tcW w:w="3524" w:type="dxa"/>
            <w:tcBorders>
              <w:top w:val="nil"/>
              <w:left w:val="nil"/>
              <w:bottom w:val="nil"/>
              <w:right w:val="nil"/>
            </w:tcBorders>
            <w:shd w:val="clear" w:color="auto" w:fill="auto"/>
            <w:hideMark/>
          </w:tcPr>
          <w:p w:rsidR="000B4A1E" w:rsidRPr="003E2DBE" w:rsidRDefault="000B4A1E" w:rsidP="00517E51">
            <w:pPr>
              <w:pStyle w:val="Tabletext"/>
              <w:ind w:left="0" w:firstLine="0"/>
              <w:rPr>
                <w:lang w:eastAsia="en-AU"/>
              </w:rPr>
            </w:pPr>
            <w:r w:rsidRPr="003E2DBE">
              <w:rPr>
                <w:lang w:eastAsia="en-AU"/>
              </w:rPr>
              <w:t xml:space="preserve">Parliamentary Contributory </w:t>
            </w:r>
          </w:p>
        </w:tc>
        <w:tc>
          <w:tcPr>
            <w:tcW w:w="126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PwC </w:t>
            </w:r>
            <w:r w:rsidRPr="003E2DBE">
              <w:rPr>
                <w:vertAlign w:val="superscript"/>
                <w:lang w:eastAsia="en-AU"/>
              </w:rPr>
              <w:t>(a)</w:t>
            </w:r>
          </w:p>
        </w:tc>
        <w:tc>
          <w:tcPr>
            <w:tcW w:w="270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Expected return on assets </w:t>
            </w:r>
            <w:r w:rsidRPr="003E2DBE">
              <w:rPr>
                <w:vertAlign w:val="superscript"/>
                <w:lang w:eastAsia="en-AU"/>
              </w:rPr>
              <w:t>(b)</w:t>
            </w:r>
          </w:p>
        </w:tc>
        <w:tc>
          <w:tcPr>
            <w:tcW w:w="1123" w:type="dxa"/>
            <w:gridSpan w:val="2"/>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8.0</w:t>
            </w:r>
          </w:p>
        </w:tc>
        <w:tc>
          <w:tcPr>
            <w:tcW w:w="1037" w:type="dxa"/>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8.0</w:t>
            </w:r>
          </w:p>
        </w:tc>
      </w:tr>
      <w:tr w:rsidR="000B4A1E" w:rsidRPr="003E2DBE" w:rsidTr="00517E51">
        <w:trPr>
          <w:divId w:val="142239655"/>
        </w:trPr>
        <w:tc>
          <w:tcPr>
            <w:tcW w:w="3524" w:type="dxa"/>
            <w:tcBorders>
              <w:top w:val="nil"/>
              <w:left w:val="nil"/>
              <w:bottom w:val="nil"/>
              <w:right w:val="nil"/>
            </w:tcBorders>
            <w:shd w:val="clear" w:color="auto" w:fill="auto"/>
            <w:hideMark/>
          </w:tcPr>
          <w:p w:rsidR="000B4A1E" w:rsidRPr="003E2DBE" w:rsidRDefault="000B4A1E" w:rsidP="00517E51">
            <w:pPr>
              <w:pStyle w:val="Tabletext"/>
              <w:ind w:left="0" w:firstLine="0"/>
              <w:rPr>
                <w:rFonts w:cs="Calibri"/>
                <w:szCs w:val="22"/>
                <w:vertAlign w:val="superscript"/>
                <w:lang w:eastAsia="en-AU"/>
              </w:rPr>
            </w:pPr>
            <w:r w:rsidRPr="003E2DBE">
              <w:rPr>
                <w:lang w:eastAsia="en-AU"/>
              </w:rPr>
              <w:t>Superannuation</w:t>
            </w:r>
            <w:r w:rsidRPr="003E2DBE">
              <w:t xml:space="preserve"> Fund </w:t>
            </w:r>
            <w:r w:rsidRPr="003E2DBE">
              <w:rPr>
                <w:vertAlign w:val="superscript"/>
              </w:rPr>
              <w:t>(e)</w:t>
            </w:r>
          </w:p>
        </w:tc>
        <w:tc>
          <w:tcPr>
            <w:tcW w:w="126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 </w:t>
            </w:r>
          </w:p>
        </w:tc>
        <w:tc>
          <w:tcPr>
            <w:tcW w:w="270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Discount rate </w:t>
            </w:r>
            <w:r w:rsidRPr="003E2DBE">
              <w:rPr>
                <w:vertAlign w:val="superscript"/>
                <w:lang w:eastAsia="en-AU"/>
              </w:rPr>
              <w:t>(c)</w:t>
            </w:r>
          </w:p>
        </w:tc>
        <w:tc>
          <w:tcPr>
            <w:tcW w:w="1123" w:type="dxa"/>
            <w:gridSpan w:val="2"/>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4.3</w:t>
            </w:r>
          </w:p>
        </w:tc>
        <w:tc>
          <w:tcPr>
            <w:tcW w:w="1037" w:type="dxa"/>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3.4</w:t>
            </w:r>
          </w:p>
        </w:tc>
      </w:tr>
      <w:tr w:rsidR="000B4A1E" w:rsidRPr="003E2DBE" w:rsidTr="00517E51">
        <w:trPr>
          <w:divId w:val="142239655"/>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ind w:left="0" w:firstLine="0"/>
              <w:rPr>
                <w:rFonts w:ascii="Arial" w:hAnsi="Arial" w:cs="Arial"/>
                <w:sz w:val="20"/>
                <w:lang w:eastAsia="en-AU"/>
              </w:rPr>
            </w:pPr>
            <w:r w:rsidRPr="003E2DBE">
              <w:rPr>
                <w:rFonts w:ascii="Arial" w:hAnsi="Arial" w:cs="Arial"/>
                <w:sz w:val="20"/>
                <w:lang w:eastAsia="en-AU"/>
              </w:rPr>
              <w:t xml:space="preserve"> </w:t>
            </w:r>
          </w:p>
        </w:tc>
        <w:tc>
          <w:tcPr>
            <w:tcW w:w="1260"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ascii="Arial" w:hAnsi="Arial" w:cs="Arial"/>
                <w:sz w:val="20"/>
                <w:lang w:eastAsia="en-AU"/>
              </w:rPr>
            </w:pPr>
            <w:r w:rsidRPr="003E2DBE">
              <w:rPr>
                <w:rFonts w:ascii="Arial" w:hAnsi="Arial" w:cs="Arial"/>
                <w:sz w:val="20"/>
                <w:lang w:eastAsia="en-AU"/>
              </w:rPr>
              <w:t xml:space="preserve"> </w:t>
            </w:r>
          </w:p>
        </w:tc>
        <w:tc>
          <w:tcPr>
            <w:tcW w:w="270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Wages growth </w:t>
            </w:r>
            <w:r w:rsidRPr="003E2DBE">
              <w:rPr>
                <w:vertAlign w:val="superscript"/>
                <w:lang w:eastAsia="en-AU"/>
              </w:rPr>
              <w:t>(d)</w:t>
            </w:r>
          </w:p>
        </w:tc>
        <w:tc>
          <w:tcPr>
            <w:tcW w:w="1123" w:type="dxa"/>
            <w:gridSpan w:val="2"/>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3.8</w:t>
            </w:r>
          </w:p>
        </w:tc>
        <w:tc>
          <w:tcPr>
            <w:tcW w:w="1037" w:type="dxa"/>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3.9</w:t>
            </w:r>
          </w:p>
        </w:tc>
      </w:tr>
      <w:tr w:rsidR="000B4A1E" w:rsidRPr="003E2DBE" w:rsidTr="00517E51">
        <w:trPr>
          <w:divId w:val="142239655"/>
        </w:trPr>
        <w:tc>
          <w:tcPr>
            <w:tcW w:w="3524" w:type="dxa"/>
            <w:tcBorders>
              <w:top w:val="nil"/>
              <w:left w:val="nil"/>
              <w:bottom w:val="single" w:sz="4" w:space="0" w:color="auto"/>
              <w:right w:val="nil"/>
            </w:tcBorders>
            <w:shd w:val="clear" w:color="auto" w:fill="auto"/>
            <w:hideMark/>
          </w:tcPr>
          <w:p w:rsidR="000B4A1E" w:rsidRPr="003E2DBE" w:rsidRDefault="000B4A1E" w:rsidP="00517E51">
            <w:pPr>
              <w:pStyle w:val="Tabletext"/>
              <w:ind w:left="0" w:firstLine="0"/>
              <w:rPr>
                <w:lang w:eastAsia="en-AU"/>
              </w:rPr>
            </w:pPr>
            <w:r w:rsidRPr="003E2DBE">
              <w:rPr>
                <w:lang w:eastAsia="en-AU"/>
              </w:rPr>
              <w:t xml:space="preserve"> </w:t>
            </w:r>
          </w:p>
        </w:tc>
        <w:tc>
          <w:tcPr>
            <w:tcW w:w="1260" w:type="dxa"/>
            <w:tcBorders>
              <w:top w:val="nil"/>
              <w:left w:val="nil"/>
              <w:bottom w:val="single" w:sz="4" w:space="0" w:color="auto"/>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 </w:t>
            </w:r>
          </w:p>
        </w:tc>
        <w:tc>
          <w:tcPr>
            <w:tcW w:w="2700" w:type="dxa"/>
            <w:tcBorders>
              <w:top w:val="nil"/>
              <w:left w:val="nil"/>
              <w:bottom w:val="single" w:sz="4" w:space="0" w:color="auto"/>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Inflation rate </w:t>
            </w:r>
          </w:p>
        </w:tc>
        <w:tc>
          <w:tcPr>
            <w:tcW w:w="1123" w:type="dxa"/>
            <w:gridSpan w:val="2"/>
            <w:tcBorders>
              <w:top w:val="nil"/>
              <w:left w:val="nil"/>
              <w:bottom w:val="single" w:sz="4" w:space="0" w:color="auto"/>
              <w:right w:val="nil"/>
            </w:tcBorders>
            <w:shd w:val="clear" w:color="auto" w:fill="auto"/>
            <w:hideMark/>
          </w:tcPr>
          <w:p w:rsidR="000B4A1E" w:rsidRPr="003E2DBE" w:rsidRDefault="000B4A1E" w:rsidP="00517E51">
            <w:pPr>
              <w:pStyle w:val="TableofFigures"/>
              <w:rPr>
                <w:lang w:eastAsia="en-AU"/>
              </w:rPr>
            </w:pPr>
            <w:r w:rsidRPr="003E2DBE">
              <w:rPr>
                <w:lang w:eastAsia="en-AU"/>
              </w:rPr>
              <w:t>2.3</w:t>
            </w:r>
          </w:p>
        </w:tc>
        <w:tc>
          <w:tcPr>
            <w:tcW w:w="1037" w:type="dxa"/>
            <w:tcBorders>
              <w:top w:val="nil"/>
              <w:left w:val="nil"/>
              <w:bottom w:val="single" w:sz="4" w:space="0" w:color="auto"/>
              <w:right w:val="nil"/>
            </w:tcBorders>
            <w:shd w:val="clear" w:color="auto" w:fill="auto"/>
            <w:hideMark/>
          </w:tcPr>
          <w:p w:rsidR="000B4A1E" w:rsidRPr="003E2DBE" w:rsidRDefault="000B4A1E" w:rsidP="00517E51">
            <w:pPr>
              <w:pStyle w:val="TableofFigures"/>
              <w:rPr>
                <w:rFonts w:cs="Calibri"/>
                <w:szCs w:val="22"/>
                <w:lang w:eastAsia="en-AU"/>
              </w:rPr>
            </w:pPr>
            <w:r w:rsidRPr="003E2DBE">
              <w:rPr>
                <w:lang w:eastAsia="en-AU"/>
              </w:rPr>
              <w:t>n/</w:t>
            </w:r>
            <w:r w:rsidRPr="003E2DBE">
              <w:rPr>
                <w:rFonts w:cs="Calibri"/>
                <w:szCs w:val="22"/>
                <w:lang w:eastAsia="en-AU"/>
              </w:rPr>
              <w:t>a</w:t>
            </w:r>
          </w:p>
        </w:tc>
      </w:tr>
      <w:tr w:rsidR="000B4A1E" w:rsidRPr="003E2DBE" w:rsidTr="00517E51">
        <w:trPr>
          <w:divId w:val="142239655"/>
        </w:trPr>
        <w:tc>
          <w:tcPr>
            <w:tcW w:w="3524" w:type="dxa"/>
            <w:tcBorders>
              <w:top w:val="nil"/>
              <w:left w:val="nil"/>
              <w:bottom w:val="nil"/>
              <w:right w:val="nil"/>
            </w:tcBorders>
            <w:shd w:val="clear" w:color="auto" w:fill="auto"/>
            <w:hideMark/>
          </w:tcPr>
          <w:p w:rsidR="000B4A1E" w:rsidRPr="003E2DBE" w:rsidRDefault="000B4A1E" w:rsidP="00517E51">
            <w:pPr>
              <w:pStyle w:val="Tabletext"/>
              <w:ind w:left="0" w:firstLine="0"/>
              <w:rPr>
                <w:lang w:eastAsia="en-AU"/>
              </w:rPr>
            </w:pPr>
            <w:r w:rsidRPr="003E2DBE">
              <w:rPr>
                <w:lang w:eastAsia="en-AU"/>
              </w:rPr>
              <w:t>Health Super Fund</w:t>
            </w:r>
          </w:p>
        </w:tc>
        <w:tc>
          <w:tcPr>
            <w:tcW w:w="1260" w:type="dxa"/>
            <w:tcBorders>
              <w:top w:val="nil"/>
              <w:left w:val="nil"/>
              <w:bottom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Mercer </w:t>
            </w:r>
            <w:r w:rsidRPr="003E2DBE">
              <w:rPr>
                <w:vertAlign w:val="superscript"/>
                <w:lang w:eastAsia="en-AU"/>
              </w:rPr>
              <w:t>(f)</w:t>
            </w:r>
          </w:p>
        </w:tc>
        <w:tc>
          <w:tcPr>
            <w:tcW w:w="2700" w:type="dxa"/>
            <w:tcBorders>
              <w:top w:val="nil"/>
              <w:left w:val="nil"/>
              <w:bottom w:val="nil"/>
              <w:right w:val="nil"/>
            </w:tcBorders>
            <w:shd w:val="clear" w:color="auto" w:fill="auto"/>
            <w:hideMark/>
          </w:tcPr>
          <w:p w:rsidR="000B4A1E" w:rsidRPr="003E2DBE" w:rsidRDefault="000B4A1E" w:rsidP="00517E51">
            <w:pPr>
              <w:pStyle w:val="Tabletext"/>
              <w:rPr>
                <w:vertAlign w:val="superscript"/>
                <w:lang w:eastAsia="en-AU"/>
              </w:rPr>
            </w:pPr>
            <w:r w:rsidRPr="003E2DBE">
              <w:rPr>
                <w:lang w:eastAsia="en-AU"/>
              </w:rPr>
              <w:t xml:space="preserve">Expected return on assets </w:t>
            </w:r>
            <w:r w:rsidRPr="003E2DBE">
              <w:rPr>
                <w:vertAlign w:val="superscript"/>
                <w:lang w:eastAsia="en-AU"/>
              </w:rPr>
              <w:t>(b)</w:t>
            </w:r>
          </w:p>
        </w:tc>
        <w:tc>
          <w:tcPr>
            <w:tcW w:w="1123" w:type="dxa"/>
            <w:gridSpan w:val="2"/>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7.2</w:t>
            </w:r>
          </w:p>
        </w:tc>
        <w:tc>
          <w:tcPr>
            <w:tcW w:w="1037" w:type="dxa"/>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7.2</w:t>
            </w:r>
          </w:p>
        </w:tc>
      </w:tr>
      <w:tr w:rsidR="000B4A1E" w:rsidRPr="003E2DBE" w:rsidTr="00517E51">
        <w:trPr>
          <w:divId w:val="142239655"/>
        </w:trPr>
        <w:tc>
          <w:tcPr>
            <w:tcW w:w="3524" w:type="dxa"/>
            <w:tcBorders>
              <w:top w:val="nil"/>
              <w:left w:val="nil"/>
              <w:right w:val="nil"/>
            </w:tcBorders>
            <w:shd w:val="clear" w:color="auto" w:fill="auto"/>
            <w:hideMark/>
          </w:tcPr>
          <w:p w:rsidR="000B4A1E" w:rsidRPr="003E2DBE" w:rsidRDefault="000B4A1E" w:rsidP="00517E51">
            <w:pPr>
              <w:pStyle w:val="Tabletext"/>
              <w:ind w:left="0" w:firstLine="0"/>
              <w:rPr>
                <w:lang w:eastAsia="en-AU"/>
              </w:rPr>
            </w:pPr>
            <w:r w:rsidRPr="003E2DBE">
              <w:rPr>
                <w:lang w:eastAsia="en-AU"/>
              </w:rPr>
              <w:t xml:space="preserve"> </w:t>
            </w:r>
          </w:p>
        </w:tc>
        <w:tc>
          <w:tcPr>
            <w:tcW w:w="1260" w:type="dxa"/>
            <w:tcBorders>
              <w:top w:val="nil"/>
              <w:left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 </w:t>
            </w:r>
          </w:p>
        </w:tc>
        <w:tc>
          <w:tcPr>
            <w:tcW w:w="2700" w:type="dxa"/>
            <w:tcBorders>
              <w:top w:val="nil"/>
              <w:left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Discount rate </w:t>
            </w:r>
            <w:r w:rsidRPr="003E2DBE">
              <w:rPr>
                <w:vertAlign w:val="superscript"/>
                <w:lang w:eastAsia="en-AU"/>
              </w:rPr>
              <w:t>(c)</w:t>
            </w:r>
          </w:p>
        </w:tc>
        <w:tc>
          <w:tcPr>
            <w:tcW w:w="1123" w:type="dxa"/>
            <w:gridSpan w:val="2"/>
            <w:tcBorders>
              <w:top w:val="nil"/>
              <w:left w:val="nil"/>
              <w:right w:val="nil"/>
            </w:tcBorders>
            <w:shd w:val="clear" w:color="auto" w:fill="auto"/>
            <w:hideMark/>
          </w:tcPr>
          <w:p w:rsidR="000B4A1E" w:rsidRPr="003E2DBE" w:rsidRDefault="000B4A1E" w:rsidP="00517E51">
            <w:pPr>
              <w:pStyle w:val="TableofFigures"/>
              <w:rPr>
                <w:lang w:eastAsia="en-AU"/>
              </w:rPr>
            </w:pPr>
            <w:r w:rsidRPr="003E2DBE">
              <w:rPr>
                <w:lang w:eastAsia="en-AU"/>
              </w:rPr>
              <w:t>4.3</w:t>
            </w:r>
          </w:p>
        </w:tc>
        <w:tc>
          <w:tcPr>
            <w:tcW w:w="1037" w:type="dxa"/>
            <w:tcBorders>
              <w:top w:val="nil"/>
              <w:left w:val="nil"/>
              <w:right w:val="nil"/>
            </w:tcBorders>
            <w:shd w:val="clear" w:color="auto" w:fill="auto"/>
            <w:hideMark/>
          </w:tcPr>
          <w:p w:rsidR="000B4A1E" w:rsidRPr="003E2DBE" w:rsidRDefault="000B4A1E" w:rsidP="00517E51">
            <w:pPr>
              <w:pStyle w:val="TableofFigures"/>
              <w:rPr>
                <w:lang w:eastAsia="en-AU"/>
              </w:rPr>
            </w:pPr>
            <w:r w:rsidRPr="003E2DBE">
              <w:rPr>
                <w:lang w:eastAsia="en-AU"/>
              </w:rPr>
              <w:t>3.4</w:t>
            </w:r>
          </w:p>
        </w:tc>
      </w:tr>
      <w:tr w:rsidR="000B4A1E" w:rsidRPr="003E2DBE" w:rsidTr="00517E51">
        <w:trPr>
          <w:divId w:val="142239655"/>
        </w:trPr>
        <w:tc>
          <w:tcPr>
            <w:tcW w:w="3524" w:type="dxa"/>
            <w:tcBorders>
              <w:top w:val="nil"/>
              <w:left w:val="nil"/>
              <w:right w:val="nil"/>
            </w:tcBorders>
            <w:shd w:val="clear" w:color="auto" w:fill="auto"/>
            <w:noWrap/>
            <w:vAlign w:val="bottom"/>
            <w:hideMark/>
          </w:tcPr>
          <w:p w:rsidR="000B4A1E" w:rsidRPr="003E2DBE" w:rsidRDefault="000B4A1E" w:rsidP="00517E51">
            <w:pPr>
              <w:pStyle w:val="Tabletext"/>
              <w:ind w:left="0" w:firstLine="0"/>
              <w:rPr>
                <w:rFonts w:ascii="Arial" w:hAnsi="Arial" w:cs="Arial"/>
                <w:sz w:val="20"/>
                <w:lang w:eastAsia="en-AU"/>
              </w:rPr>
            </w:pPr>
            <w:r w:rsidRPr="003E2DBE">
              <w:rPr>
                <w:rFonts w:ascii="Arial" w:hAnsi="Arial" w:cs="Arial"/>
                <w:sz w:val="20"/>
                <w:lang w:eastAsia="en-AU"/>
              </w:rPr>
              <w:t xml:space="preserve"> </w:t>
            </w:r>
          </w:p>
        </w:tc>
        <w:tc>
          <w:tcPr>
            <w:tcW w:w="1260" w:type="dxa"/>
            <w:tcBorders>
              <w:top w:val="nil"/>
              <w:left w:val="nil"/>
              <w:right w:val="nil"/>
            </w:tcBorders>
            <w:shd w:val="clear" w:color="auto" w:fill="auto"/>
            <w:noWrap/>
            <w:vAlign w:val="bottom"/>
            <w:hideMark/>
          </w:tcPr>
          <w:p w:rsidR="000B4A1E" w:rsidRPr="003E2DBE" w:rsidRDefault="000B4A1E" w:rsidP="00517E51">
            <w:pPr>
              <w:pStyle w:val="Tabletext"/>
              <w:rPr>
                <w:rFonts w:ascii="Arial" w:hAnsi="Arial" w:cs="Arial"/>
                <w:sz w:val="20"/>
                <w:lang w:eastAsia="en-AU"/>
              </w:rPr>
            </w:pPr>
            <w:r w:rsidRPr="003E2DBE">
              <w:rPr>
                <w:rFonts w:ascii="Arial" w:hAnsi="Arial" w:cs="Arial"/>
                <w:sz w:val="20"/>
                <w:lang w:eastAsia="en-AU"/>
              </w:rPr>
              <w:t xml:space="preserve"> </w:t>
            </w:r>
          </w:p>
        </w:tc>
        <w:tc>
          <w:tcPr>
            <w:tcW w:w="2700" w:type="dxa"/>
            <w:tcBorders>
              <w:top w:val="nil"/>
              <w:left w:val="nil"/>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Wages growth </w:t>
            </w:r>
            <w:r w:rsidRPr="003E2DBE">
              <w:rPr>
                <w:vertAlign w:val="superscript"/>
                <w:lang w:eastAsia="en-AU"/>
              </w:rPr>
              <w:t>(d)</w:t>
            </w:r>
          </w:p>
        </w:tc>
        <w:tc>
          <w:tcPr>
            <w:tcW w:w="1123" w:type="dxa"/>
            <w:gridSpan w:val="2"/>
            <w:tcBorders>
              <w:top w:val="nil"/>
              <w:left w:val="nil"/>
              <w:right w:val="nil"/>
            </w:tcBorders>
            <w:shd w:val="clear" w:color="auto" w:fill="auto"/>
            <w:hideMark/>
          </w:tcPr>
          <w:p w:rsidR="000B4A1E" w:rsidRPr="003E2DBE" w:rsidRDefault="000B4A1E" w:rsidP="00517E51">
            <w:pPr>
              <w:pStyle w:val="TableofFigures"/>
              <w:rPr>
                <w:lang w:eastAsia="en-AU"/>
              </w:rPr>
            </w:pPr>
            <w:r w:rsidRPr="003E2DBE">
              <w:rPr>
                <w:lang w:eastAsia="en-AU"/>
              </w:rPr>
              <w:t>3.8</w:t>
            </w:r>
          </w:p>
        </w:tc>
        <w:tc>
          <w:tcPr>
            <w:tcW w:w="1037" w:type="dxa"/>
            <w:tcBorders>
              <w:top w:val="nil"/>
              <w:left w:val="nil"/>
              <w:right w:val="nil"/>
            </w:tcBorders>
            <w:shd w:val="clear" w:color="auto" w:fill="auto"/>
            <w:hideMark/>
          </w:tcPr>
          <w:p w:rsidR="000B4A1E" w:rsidRPr="003E2DBE" w:rsidRDefault="000B4A1E" w:rsidP="00517E51">
            <w:pPr>
              <w:pStyle w:val="TableofFigures"/>
              <w:rPr>
                <w:lang w:eastAsia="en-AU"/>
              </w:rPr>
            </w:pPr>
            <w:r w:rsidRPr="003E2DBE">
              <w:rPr>
                <w:lang w:eastAsia="en-AU"/>
              </w:rPr>
              <w:t>3.9</w:t>
            </w:r>
          </w:p>
        </w:tc>
      </w:tr>
      <w:tr w:rsidR="000B4A1E" w:rsidRPr="003E2DBE" w:rsidTr="00517E51">
        <w:trPr>
          <w:divId w:val="142239655"/>
        </w:trPr>
        <w:tc>
          <w:tcPr>
            <w:tcW w:w="3524" w:type="dxa"/>
            <w:tcBorders>
              <w:left w:val="nil"/>
              <w:bottom w:val="single" w:sz="12" w:space="0" w:color="auto"/>
              <w:right w:val="nil"/>
            </w:tcBorders>
            <w:shd w:val="clear" w:color="auto" w:fill="auto"/>
            <w:hideMark/>
          </w:tcPr>
          <w:p w:rsidR="000B4A1E" w:rsidRPr="003E2DBE" w:rsidRDefault="000B4A1E" w:rsidP="00517E51">
            <w:pPr>
              <w:pStyle w:val="Tabletext"/>
              <w:ind w:left="0" w:firstLine="0"/>
              <w:rPr>
                <w:lang w:eastAsia="en-AU"/>
              </w:rPr>
            </w:pPr>
            <w:r w:rsidRPr="003E2DBE">
              <w:rPr>
                <w:lang w:eastAsia="en-AU"/>
              </w:rPr>
              <w:t xml:space="preserve"> </w:t>
            </w:r>
          </w:p>
        </w:tc>
        <w:tc>
          <w:tcPr>
            <w:tcW w:w="1260" w:type="dxa"/>
            <w:tcBorders>
              <w:left w:val="nil"/>
              <w:bottom w:val="single" w:sz="12" w:space="0" w:color="auto"/>
              <w:right w:val="nil"/>
            </w:tcBorders>
            <w:shd w:val="clear" w:color="auto" w:fill="auto"/>
            <w:hideMark/>
          </w:tcPr>
          <w:p w:rsidR="000B4A1E" w:rsidRPr="003E2DBE" w:rsidRDefault="000B4A1E" w:rsidP="00517E51">
            <w:pPr>
              <w:pStyle w:val="Tabletext"/>
              <w:rPr>
                <w:lang w:eastAsia="en-AU"/>
              </w:rPr>
            </w:pPr>
            <w:r w:rsidRPr="003E2DBE">
              <w:rPr>
                <w:lang w:eastAsia="en-AU"/>
              </w:rPr>
              <w:t xml:space="preserve"> </w:t>
            </w:r>
          </w:p>
        </w:tc>
        <w:tc>
          <w:tcPr>
            <w:tcW w:w="2700" w:type="dxa"/>
            <w:tcBorders>
              <w:left w:val="nil"/>
              <w:bottom w:val="single" w:sz="12" w:space="0" w:color="auto"/>
              <w:right w:val="nil"/>
            </w:tcBorders>
            <w:shd w:val="clear" w:color="auto" w:fill="auto"/>
            <w:hideMark/>
          </w:tcPr>
          <w:p w:rsidR="000B4A1E" w:rsidRPr="003E2DBE" w:rsidRDefault="000B4A1E" w:rsidP="00517E51">
            <w:pPr>
              <w:pStyle w:val="Tabletext"/>
              <w:rPr>
                <w:lang w:eastAsia="en-AU"/>
              </w:rPr>
            </w:pPr>
            <w:r w:rsidRPr="003E2DBE">
              <w:rPr>
                <w:lang w:eastAsia="en-AU"/>
              </w:rPr>
              <w:t>Inflation rate</w:t>
            </w:r>
          </w:p>
        </w:tc>
        <w:tc>
          <w:tcPr>
            <w:tcW w:w="1123" w:type="dxa"/>
            <w:gridSpan w:val="2"/>
            <w:tcBorders>
              <w:left w:val="nil"/>
              <w:bottom w:val="single" w:sz="12" w:space="0" w:color="auto"/>
              <w:right w:val="nil"/>
            </w:tcBorders>
            <w:shd w:val="clear" w:color="auto" w:fill="auto"/>
            <w:hideMark/>
          </w:tcPr>
          <w:p w:rsidR="000B4A1E" w:rsidRPr="003E2DBE" w:rsidRDefault="000B4A1E" w:rsidP="00517E51">
            <w:pPr>
              <w:pStyle w:val="TableofFigures"/>
              <w:rPr>
                <w:lang w:eastAsia="en-AU"/>
              </w:rPr>
            </w:pPr>
            <w:r w:rsidRPr="003E2DBE">
              <w:rPr>
                <w:lang w:eastAsia="en-AU"/>
              </w:rPr>
              <w:t>2.3</w:t>
            </w:r>
          </w:p>
        </w:tc>
        <w:tc>
          <w:tcPr>
            <w:tcW w:w="1037" w:type="dxa"/>
            <w:tcBorders>
              <w:left w:val="nil"/>
              <w:bottom w:val="single" w:sz="12" w:space="0" w:color="auto"/>
              <w:right w:val="nil"/>
            </w:tcBorders>
            <w:shd w:val="clear" w:color="auto" w:fill="auto"/>
            <w:hideMark/>
          </w:tcPr>
          <w:p w:rsidR="000B4A1E" w:rsidRPr="003E2DBE" w:rsidRDefault="000B4A1E" w:rsidP="00517E51">
            <w:pPr>
              <w:pStyle w:val="TableofFigures"/>
              <w:rPr>
                <w:lang w:eastAsia="en-AU"/>
              </w:rPr>
            </w:pPr>
            <w:r w:rsidRPr="003E2DBE">
              <w:rPr>
                <w:lang w:eastAsia="en-AU"/>
              </w:rPr>
              <w:t>2.4</w:t>
            </w:r>
          </w:p>
        </w:tc>
      </w:tr>
    </w:tbl>
    <w:bookmarkEnd w:id="33"/>
    <w:p w:rsidR="000B4A1E" w:rsidRPr="00D00665" w:rsidRDefault="000B4A1E" w:rsidP="00517E51">
      <w:pPr>
        <w:pStyle w:val="Notes"/>
      </w:pPr>
      <w:r w:rsidRPr="00D00665">
        <w:t>Notes:</w:t>
      </w:r>
    </w:p>
    <w:p w:rsidR="000B4A1E" w:rsidRPr="00D00665" w:rsidRDefault="000B4A1E" w:rsidP="00517E51">
      <w:pPr>
        <w:pStyle w:val="Notes"/>
      </w:pPr>
      <w:r w:rsidRPr="00D00665">
        <w:t>(a)</w:t>
      </w:r>
      <w:r w:rsidRPr="00D00665">
        <w:tab/>
        <w:t>PricewaterhouseCoopers Securities Ltd.</w:t>
      </w:r>
    </w:p>
    <w:p w:rsidR="000B4A1E" w:rsidRPr="00D00665" w:rsidRDefault="000B4A1E" w:rsidP="00517E51">
      <w:pPr>
        <w:pStyle w:val="Notes"/>
      </w:pPr>
      <w:r w:rsidRPr="00D00665">
        <w:t>(b)</w:t>
      </w:r>
      <w:r w:rsidRPr="00D00665">
        <w:tab/>
        <w:t>The expected return on assets stated is gross of tax. This rate is adjusted in the calculation process to reflect the assumed rate of tax payable by each scheme.</w:t>
      </w:r>
    </w:p>
    <w:p w:rsidR="000B4A1E" w:rsidRPr="00D00665" w:rsidRDefault="000B4A1E" w:rsidP="00517E51">
      <w:pPr>
        <w:pStyle w:val="Notes"/>
      </w:pPr>
      <w:r w:rsidRPr="00D00665">
        <w:t>(c)</w:t>
      </w:r>
      <w:r w:rsidRPr="00D00665">
        <w:tab/>
        <w:t>In accordance with accounting standards, the discount rate is based on a long</w:t>
      </w:r>
      <w:r w:rsidRPr="00D00665">
        <w:noBreakHyphen/>
        <w:t>term Commonwealth government bond rate. The rate stated above is an annual effective rate, gross of tax.</w:t>
      </w:r>
    </w:p>
    <w:p w:rsidR="000B4A1E" w:rsidRPr="00D00665" w:rsidRDefault="000B4A1E" w:rsidP="00517E51">
      <w:pPr>
        <w:pStyle w:val="Notes"/>
      </w:pPr>
      <w:r w:rsidRPr="00D00665">
        <w:t>(d)</w:t>
      </w:r>
      <w:r w:rsidRPr="00D00665">
        <w:tab/>
        <w:t>Wages growth in this table are actuarial assumptions and do not reflect the Government</w:t>
      </w:r>
      <w:r>
        <w:t>’</w:t>
      </w:r>
      <w:r w:rsidRPr="00D00665">
        <w:t>s wages policy.</w:t>
      </w:r>
    </w:p>
    <w:p w:rsidR="000B4A1E" w:rsidRPr="00D00665" w:rsidRDefault="000B4A1E" w:rsidP="00517E51">
      <w:pPr>
        <w:pStyle w:val="Notes"/>
      </w:pPr>
      <w:r w:rsidRPr="00D00665">
        <w:t>(e)</w:t>
      </w:r>
      <w:r w:rsidRPr="00D00665">
        <w:tab/>
        <w:t>Parliamentary salaries are determined by reference to equivalent salaries in the Commonwealth Parliament.</w:t>
      </w:r>
    </w:p>
    <w:p w:rsidR="000B4A1E" w:rsidRPr="00D00665" w:rsidRDefault="000B4A1E" w:rsidP="00517E51">
      <w:pPr>
        <w:pStyle w:val="Notes"/>
      </w:pPr>
      <w:r w:rsidRPr="00D00665">
        <w:t>(f)</w:t>
      </w:r>
      <w:r w:rsidRPr="00D00665">
        <w:tab/>
        <w:t>Mercer (Australia) Pty Ltd.</w:t>
      </w:r>
    </w:p>
    <w:p w:rsidR="000B4A1E" w:rsidRPr="00D00665" w:rsidRDefault="000B4A1E" w:rsidP="00517E51">
      <w:pPr>
        <w:pStyle w:val="Notes"/>
      </w:pPr>
    </w:p>
    <w:p w:rsidR="000B4A1E" w:rsidRPr="00D00665" w:rsidRDefault="000B4A1E" w:rsidP="00517E51"/>
    <w:p w:rsidR="000B4A1E" w:rsidRPr="00D00665" w:rsidRDefault="000B4A1E" w:rsidP="00517E51">
      <w:r w:rsidRPr="00D00665">
        <w:t>The expected return on assets, as shown above, is determined by weighting the expected long</w:t>
      </w:r>
      <w:r w:rsidRPr="00D00665">
        <w:noBreakHyphen/>
        <w:t>term return for each asset class by the target allocation of assets to each class, as depicted in the table below.</w:t>
      </w:r>
    </w:p>
    <w:p w:rsidR="000B4A1E" w:rsidRPr="00D00665" w:rsidRDefault="000B4A1E" w:rsidP="00517E51">
      <w:pPr>
        <w:pStyle w:val="Heading5"/>
      </w:pPr>
      <w:r w:rsidRPr="00D00665">
        <w:t>Target asset allocation</w:t>
      </w:r>
    </w:p>
    <w:p w:rsidR="000B4A1E" w:rsidRPr="003E2DBE" w:rsidRDefault="000B4A1E" w:rsidP="00517E51">
      <w:pPr>
        <w:pStyle w:val="million"/>
      </w:pPr>
      <w:r w:rsidRPr="00D00665">
        <w:t>(per cent)</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0B4A1E" w:rsidRPr="003E2DBE" w:rsidTr="00517E51">
        <w:tc>
          <w:tcPr>
            <w:tcW w:w="7402"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headingLeft"/>
              <w:rPr>
                <w:rFonts w:eastAsiaTheme="minorEastAsia"/>
                <w:lang w:eastAsia="en-AU"/>
              </w:rPr>
            </w:pPr>
            <w:r w:rsidRPr="003E2DBE">
              <w:rPr>
                <w:rFonts w:eastAsiaTheme="minorEastAsia"/>
                <w:lang w:eastAsia="en-AU"/>
              </w:rPr>
              <w:t>Asset class</w:t>
            </w:r>
          </w:p>
        </w:tc>
        <w:tc>
          <w:tcPr>
            <w:tcW w:w="1123"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7402" w:type="dxa"/>
            <w:tcBorders>
              <w:top w:val="single" w:sz="4"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Domestic equity</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26.7</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25.6</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International equity</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26.1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25.5</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Domestic debt assets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18.9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18.9</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International debt assets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Property</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8.2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8.2</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Cash</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6.0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5.0</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Other (including private equity, hedge funds and infrastructure)</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14.1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16.8</w:t>
            </w:r>
          </w:p>
        </w:tc>
      </w:tr>
      <w:tr w:rsidR="000B4A1E" w:rsidRPr="003E2DBE" w:rsidTr="00517E51">
        <w:tc>
          <w:tcPr>
            <w:tcW w:w="7402"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100.0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100.0</w:t>
            </w:r>
          </w:p>
        </w:tc>
      </w:tr>
    </w:tbl>
    <w:p w:rsidR="000B4A1E" w:rsidRPr="00D00665" w:rsidRDefault="000B4A1E" w:rsidP="00517E51">
      <w:pPr>
        <w:pStyle w:val="Source"/>
      </w:pPr>
    </w:p>
    <w:p w:rsidR="000B4A1E" w:rsidRPr="00D00665" w:rsidRDefault="000B4A1E" w:rsidP="00517E51"/>
    <w:p w:rsidR="000B4A1E" w:rsidRPr="00D00665" w:rsidRDefault="000B4A1E" w:rsidP="00517E51">
      <w:pPr>
        <w:pStyle w:val="Heading2Notes"/>
      </w:pPr>
      <w:r w:rsidRPr="00D00665">
        <w:br w:type="page"/>
      </w:r>
      <w:bookmarkStart w:id="34" w:name="_Toc367947868"/>
      <w:r w:rsidRPr="00D00665">
        <w:lastRenderedPageBreak/>
        <w:t>Note 9:</w:t>
      </w:r>
      <w:r w:rsidRPr="00D00665">
        <w:tab/>
        <w:t>Depreciation</w:t>
      </w:r>
      <w:bookmarkEnd w:id="34"/>
    </w:p>
    <w:p w:rsidR="000B4A1E" w:rsidRPr="007133C6" w:rsidRDefault="000B4A1E" w:rsidP="00517E51">
      <w:pPr>
        <w:pStyle w:val="million"/>
      </w:pPr>
      <w:r w:rsidRPr="00D00665">
        <w:t>($</w:t>
      </w:r>
      <w:r>
        <w:t> million</w:t>
      </w:r>
      <w:r w:rsidRPr="00D00665">
        <w:t>)</w:t>
      </w:r>
      <w:bookmarkStart w:id="35" w:name="RANGE!B4:F16"/>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7133C6" w:rsidTr="00517E51">
        <w:trPr>
          <w:divId w:val="751657655"/>
        </w:trPr>
        <w:tc>
          <w:tcPr>
            <w:tcW w:w="5156" w:type="dxa"/>
            <w:tcBorders>
              <w:top w:val="single" w:sz="4" w:space="0" w:color="auto"/>
              <w:left w:val="single" w:sz="4" w:space="0" w:color="auto"/>
              <w:bottom w:val="nil"/>
              <w:right w:val="nil"/>
            </w:tcBorders>
            <w:shd w:val="clear" w:color="auto" w:fill="000000"/>
            <w:vAlign w:val="bottom"/>
            <w:hideMark/>
          </w:tcPr>
          <w:p w:rsidR="000B4A1E" w:rsidRPr="007133C6" w:rsidRDefault="000B4A1E" w:rsidP="00517E51">
            <w:pPr>
              <w:pStyle w:val="Tabletext"/>
              <w:rPr>
                <w:lang w:eastAsia="en-AU"/>
              </w:rPr>
            </w:pPr>
            <w:r w:rsidRPr="007133C6">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7133C6" w:rsidRDefault="000B4A1E" w:rsidP="00517E51">
            <w:pPr>
              <w:pStyle w:val="TabletextheadingCentred"/>
              <w:rPr>
                <w:lang w:eastAsia="en-AU"/>
              </w:rPr>
            </w:pPr>
            <w:r w:rsidRPr="007133C6">
              <w:rPr>
                <w:lang w:eastAsia="en-AU"/>
              </w:rPr>
              <w:t xml:space="preserve"> </w:t>
            </w:r>
          </w:p>
        </w:tc>
        <w:tc>
          <w:tcPr>
            <w:tcW w:w="2140" w:type="dxa"/>
            <w:gridSpan w:val="2"/>
            <w:tcBorders>
              <w:top w:val="single" w:sz="4" w:space="0" w:color="auto"/>
              <w:left w:val="nil"/>
              <w:bottom w:val="nil"/>
              <w:right w:val="nil"/>
            </w:tcBorders>
            <w:shd w:val="clear" w:color="auto" w:fill="000000"/>
            <w:hideMark/>
          </w:tcPr>
          <w:p w:rsidR="000B4A1E" w:rsidRPr="007133C6" w:rsidRDefault="000B4A1E" w:rsidP="00517E51">
            <w:pPr>
              <w:pStyle w:val="TabletextheadingCentred"/>
              <w:rPr>
                <w:lang w:eastAsia="en-AU"/>
              </w:rPr>
            </w:pPr>
            <w:r w:rsidRPr="007133C6">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7133C6" w:rsidRDefault="000B4A1E" w:rsidP="00517E51">
            <w:pPr>
              <w:pStyle w:val="TabletextheadingCentred"/>
              <w:rPr>
                <w:lang w:eastAsia="en-AU"/>
              </w:rPr>
            </w:pPr>
            <w:r w:rsidRPr="007133C6">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7133C6" w:rsidRDefault="000B4A1E" w:rsidP="00517E51">
            <w:pPr>
              <w:pStyle w:val="TabletextheadingCentred"/>
              <w:rPr>
                <w:lang w:eastAsia="en-AU"/>
              </w:rPr>
            </w:pPr>
            <w:r w:rsidRPr="007133C6">
              <w:rPr>
                <w:lang w:eastAsia="en-AU"/>
              </w:rPr>
              <w:t>General</w:t>
            </w:r>
            <w:r w:rsidRPr="007133C6">
              <w:rPr>
                <w:lang w:eastAsia="en-AU"/>
              </w:rPr>
              <w:br/>
              <w:t>government sector</w:t>
            </w:r>
          </w:p>
        </w:tc>
      </w:tr>
      <w:tr w:rsidR="000B4A1E" w:rsidRPr="007133C6" w:rsidTr="00517E51">
        <w:trPr>
          <w:divId w:val="751657655"/>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7133C6" w:rsidRDefault="000B4A1E" w:rsidP="00517E51">
            <w:pPr>
              <w:pStyle w:val="Tabletext"/>
              <w:rPr>
                <w:lang w:eastAsia="en-AU"/>
              </w:rPr>
            </w:pPr>
            <w:r w:rsidRPr="007133C6">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7133C6" w:rsidRDefault="000B4A1E" w:rsidP="00517E51">
            <w:pPr>
              <w:pStyle w:val="Tabletextheading"/>
              <w:rPr>
                <w:lang w:eastAsia="en-AU"/>
              </w:rPr>
            </w:pPr>
            <w:r w:rsidRPr="007133C6">
              <w:rPr>
                <w:lang w:eastAsia="en-AU"/>
              </w:rPr>
              <w:t>2013</w:t>
            </w:r>
          </w:p>
        </w:tc>
        <w:tc>
          <w:tcPr>
            <w:tcW w:w="1123" w:type="dxa"/>
            <w:tcBorders>
              <w:top w:val="nil"/>
              <w:left w:val="nil"/>
              <w:bottom w:val="single" w:sz="4" w:space="0" w:color="auto"/>
              <w:right w:val="nil"/>
            </w:tcBorders>
            <w:shd w:val="clear" w:color="auto" w:fill="000000"/>
            <w:noWrap/>
            <w:hideMark/>
          </w:tcPr>
          <w:p w:rsidR="000B4A1E" w:rsidRPr="007133C6" w:rsidRDefault="000B4A1E" w:rsidP="00517E51">
            <w:pPr>
              <w:pStyle w:val="Tabletextheading"/>
              <w:rPr>
                <w:lang w:eastAsia="en-AU"/>
              </w:rPr>
            </w:pPr>
            <w:r w:rsidRPr="007133C6">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7133C6" w:rsidRDefault="000B4A1E" w:rsidP="00517E51">
            <w:pPr>
              <w:pStyle w:val="Tabletextheading"/>
              <w:rPr>
                <w:lang w:eastAsia="en-AU"/>
              </w:rPr>
            </w:pPr>
            <w:r w:rsidRPr="007133C6">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7133C6" w:rsidRDefault="000B4A1E" w:rsidP="00517E51">
            <w:pPr>
              <w:pStyle w:val="Tabletextheading"/>
              <w:rPr>
                <w:lang w:eastAsia="en-AU"/>
              </w:rPr>
            </w:pPr>
            <w:r w:rsidRPr="007133C6">
              <w:rPr>
                <w:lang w:eastAsia="en-AU"/>
              </w:rPr>
              <w:t>2012</w:t>
            </w:r>
          </w:p>
        </w:tc>
      </w:tr>
      <w:tr w:rsidR="000B4A1E" w:rsidRPr="007133C6" w:rsidTr="00517E51">
        <w:trPr>
          <w:divId w:val="751657655"/>
        </w:trPr>
        <w:tc>
          <w:tcPr>
            <w:tcW w:w="5156" w:type="dxa"/>
            <w:tcBorders>
              <w:top w:val="nil"/>
              <w:left w:val="nil"/>
              <w:bottom w:val="nil"/>
              <w:right w:val="nil"/>
            </w:tcBorders>
            <w:shd w:val="clear" w:color="auto" w:fill="auto"/>
            <w:noWrap/>
            <w:vAlign w:val="bottom"/>
            <w:hideMark/>
          </w:tcPr>
          <w:p w:rsidR="000B4A1E" w:rsidRPr="00B763A0" w:rsidRDefault="000B4A1E" w:rsidP="00517E51">
            <w:pPr>
              <w:pStyle w:val="Tabletext"/>
              <w:rPr>
                <w:vertAlign w:val="superscript"/>
                <w:lang w:eastAsia="en-AU"/>
              </w:rPr>
            </w:pPr>
            <w:r w:rsidRPr="007133C6">
              <w:rPr>
                <w:lang w:eastAsia="en-AU"/>
              </w:rPr>
              <w:t>Buildings</w:t>
            </w:r>
            <w:r>
              <w:rPr>
                <w:lang w:eastAsia="en-AU"/>
              </w:rPr>
              <w:t xml:space="preserve"> </w:t>
            </w:r>
            <w:r>
              <w:rPr>
                <w:vertAlign w:val="superscript"/>
                <w:lang w:eastAsia="en-AU"/>
              </w:rPr>
              <w:t>(a)</w:t>
            </w:r>
          </w:p>
        </w:tc>
        <w:tc>
          <w:tcPr>
            <w:tcW w:w="1123"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1 </w:t>
            </w:r>
            <w:r w:rsidRPr="007133C6">
              <w:rPr>
                <w:rFonts w:cs="Calibri"/>
                <w:szCs w:val="22"/>
                <w:lang w:eastAsia="en-AU"/>
              </w:rPr>
              <w:t>338.3</w:t>
            </w:r>
          </w:p>
        </w:tc>
        <w:tc>
          <w:tcPr>
            <w:tcW w:w="1123"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1 </w:t>
            </w:r>
            <w:r w:rsidRPr="007133C6">
              <w:rPr>
                <w:rFonts w:cs="Calibri"/>
                <w:szCs w:val="22"/>
                <w:lang w:eastAsia="en-AU"/>
              </w:rPr>
              <w:t>275.7</w:t>
            </w:r>
          </w:p>
        </w:tc>
        <w:tc>
          <w:tcPr>
            <w:tcW w:w="1123"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984.5</w:t>
            </w:r>
          </w:p>
        </w:tc>
        <w:tc>
          <w:tcPr>
            <w:tcW w:w="1123"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945.9</w:t>
            </w:r>
          </w:p>
        </w:tc>
      </w:tr>
      <w:tr w:rsidR="000B4A1E" w:rsidRPr="007133C6" w:rsidTr="00517E51">
        <w:trPr>
          <w:divId w:val="751657655"/>
        </w:trPr>
        <w:tc>
          <w:tcPr>
            <w:tcW w:w="5156" w:type="dxa"/>
            <w:tcBorders>
              <w:top w:val="nil"/>
              <w:left w:val="nil"/>
              <w:bottom w:val="nil"/>
              <w:right w:val="nil"/>
            </w:tcBorders>
            <w:shd w:val="clear" w:color="auto" w:fill="auto"/>
            <w:noWrap/>
            <w:vAlign w:val="bottom"/>
            <w:hideMark/>
          </w:tcPr>
          <w:p w:rsidR="000B4A1E" w:rsidRPr="007133C6" w:rsidRDefault="000B4A1E" w:rsidP="00517E51">
            <w:pPr>
              <w:pStyle w:val="Tabletext"/>
              <w:rPr>
                <w:rFonts w:cs="Calibri"/>
                <w:szCs w:val="22"/>
                <w:lang w:eastAsia="en-AU"/>
              </w:rPr>
            </w:pPr>
            <w:r w:rsidRPr="007133C6">
              <w:rPr>
                <w:lang w:eastAsia="en-AU"/>
              </w:rPr>
              <w:t xml:space="preserve">Infrastructure systems </w:t>
            </w:r>
            <w:r>
              <w:rPr>
                <w:rFonts w:cs="Calibri"/>
                <w:szCs w:val="22"/>
                <w:vertAlign w:val="superscript"/>
                <w:lang w:eastAsia="en-AU"/>
              </w:rPr>
              <w:t>(b</w:t>
            </w:r>
            <w:r w:rsidRPr="007133C6">
              <w:rPr>
                <w:rFonts w:cs="Calibri"/>
                <w:szCs w:val="22"/>
                <w:vertAlign w:val="superscript"/>
                <w:lang w:eastAsia="en-AU"/>
              </w:rPr>
              <w:t>)</w:t>
            </w:r>
          </w:p>
        </w:tc>
        <w:tc>
          <w:tcPr>
            <w:tcW w:w="1123"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1 </w:t>
            </w:r>
            <w:r w:rsidRPr="007133C6">
              <w:rPr>
                <w:rFonts w:cs="Calibri"/>
                <w:szCs w:val="22"/>
                <w:lang w:eastAsia="en-AU"/>
              </w:rPr>
              <w:t>178.0</w:t>
            </w:r>
          </w:p>
        </w:tc>
        <w:tc>
          <w:tcPr>
            <w:tcW w:w="1123"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1 </w:t>
            </w:r>
            <w:r w:rsidRPr="007133C6">
              <w:rPr>
                <w:rFonts w:cs="Calibri"/>
                <w:szCs w:val="22"/>
                <w:lang w:eastAsia="en-AU"/>
              </w:rPr>
              <w:t>091.9</w:t>
            </w:r>
          </w:p>
        </w:tc>
        <w:tc>
          <w:tcPr>
            <w:tcW w:w="1123"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42.8</w:t>
            </w:r>
          </w:p>
        </w:tc>
        <w:tc>
          <w:tcPr>
            <w:tcW w:w="1123"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37.3</w:t>
            </w:r>
          </w:p>
        </w:tc>
      </w:tr>
      <w:tr w:rsidR="000B4A1E" w:rsidRPr="007133C6" w:rsidTr="00517E51">
        <w:trPr>
          <w:divId w:val="751657655"/>
        </w:trPr>
        <w:tc>
          <w:tcPr>
            <w:tcW w:w="5156" w:type="dxa"/>
            <w:tcBorders>
              <w:top w:val="nil"/>
              <w:left w:val="nil"/>
              <w:bottom w:val="nil"/>
              <w:right w:val="nil"/>
            </w:tcBorders>
            <w:shd w:val="clear" w:color="auto" w:fill="auto"/>
            <w:noWrap/>
            <w:vAlign w:val="bottom"/>
            <w:hideMark/>
          </w:tcPr>
          <w:p w:rsidR="000B4A1E" w:rsidRPr="007133C6" w:rsidRDefault="000B4A1E" w:rsidP="00517E51">
            <w:pPr>
              <w:pStyle w:val="Tabletext"/>
              <w:rPr>
                <w:rFonts w:cs="Calibri"/>
                <w:szCs w:val="22"/>
                <w:lang w:eastAsia="en-AU"/>
              </w:rPr>
            </w:pPr>
            <w:r w:rsidRPr="007133C6">
              <w:rPr>
                <w:lang w:eastAsia="en-AU"/>
              </w:rPr>
              <w:t xml:space="preserve">Plant, equipment and vehicles </w:t>
            </w:r>
            <w:r>
              <w:rPr>
                <w:rFonts w:cs="Calibri"/>
                <w:szCs w:val="22"/>
                <w:vertAlign w:val="superscript"/>
                <w:lang w:eastAsia="en-AU"/>
              </w:rPr>
              <w:t>(b</w:t>
            </w:r>
            <w:r w:rsidRPr="007133C6">
              <w:rPr>
                <w:rFonts w:cs="Calibri"/>
                <w:szCs w:val="22"/>
                <w:vertAlign w:val="superscript"/>
                <w:lang w:eastAsia="en-AU"/>
              </w:rPr>
              <w:t>)</w:t>
            </w:r>
          </w:p>
        </w:tc>
        <w:tc>
          <w:tcPr>
            <w:tcW w:w="1123"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871.4</w:t>
            </w:r>
          </w:p>
        </w:tc>
        <w:tc>
          <w:tcPr>
            <w:tcW w:w="1123"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871.1</w:t>
            </w:r>
          </w:p>
        </w:tc>
        <w:tc>
          <w:tcPr>
            <w:tcW w:w="1123"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564.3</w:t>
            </w:r>
          </w:p>
        </w:tc>
        <w:tc>
          <w:tcPr>
            <w:tcW w:w="1123"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571.6</w:t>
            </w:r>
          </w:p>
        </w:tc>
      </w:tr>
      <w:tr w:rsidR="000B4A1E" w:rsidRPr="007133C6" w:rsidTr="00517E51">
        <w:trPr>
          <w:divId w:val="751657655"/>
        </w:trPr>
        <w:tc>
          <w:tcPr>
            <w:tcW w:w="5156" w:type="dxa"/>
            <w:tcBorders>
              <w:top w:val="nil"/>
              <w:left w:val="nil"/>
              <w:bottom w:val="nil"/>
              <w:right w:val="nil"/>
            </w:tcBorders>
            <w:shd w:val="clear" w:color="auto" w:fill="auto"/>
            <w:noWrap/>
            <w:vAlign w:val="bottom"/>
            <w:hideMark/>
          </w:tcPr>
          <w:p w:rsidR="000B4A1E" w:rsidRPr="007133C6" w:rsidRDefault="000B4A1E" w:rsidP="00517E51">
            <w:pPr>
              <w:pStyle w:val="Tabletext"/>
              <w:rPr>
                <w:rFonts w:cs="Calibri"/>
                <w:szCs w:val="22"/>
                <w:lang w:eastAsia="en-AU"/>
              </w:rPr>
            </w:pPr>
            <w:r w:rsidRPr="007133C6">
              <w:rPr>
                <w:lang w:eastAsia="en-AU"/>
              </w:rPr>
              <w:t xml:space="preserve">Road and road networks </w:t>
            </w:r>
          </w:p>
        </w:tc>
        <w:tc>
          <w:tcPr>
            <w:tcW w:w="1123"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543.9</w:t>
            </w:r>
          </w:p>
        </w:tc>
        <w:tc>
          <w:tcPr>
            <w:tcW w:w="1123"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477.7</w:t>
            </w:r>
          </w:p>
        </w:tc>
        <w:tc>
          <w:tcPr>
            <w:tcW w:w="1123"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541.0</w:t>
            </w:r>
          </w:p>
        </w:tc>
        <w:tc>
          <w:tcPr>
            <w:tcW w:w="1123"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476.3</w:t>
            </w:r>
          </w:p>
        </w:tc>
      </w:tr>
      <w:tr w:rsidR="000B4A1E" w:rsidRPr="007133C6" w:rsidTr="00517E51">
        <w:trPr>
          <w:divId w:val="751657655"/>
        </w:trPr>
        <w:tc>
          <w:tcPr>
            <w:tcW w:w="5156" w:type="dxa"/>
            <w:tcBorders>
              <w:top w:val="nil"/>
              <w:left w:val="nil"/>
              <w:bottom w:val="nil"/>
              <w:right w:val="nil"/>
            </w:tcBorders>
            <w:shd w:val="clear" w:color="auto" w:fill="auto"/>
            <w:noWrap/>
            <w:vAlign w:val="bottom"/>
            <w:hideMark/>
          </w:tcPr>
          <w:p w:rsidR="000B4A1E" w:rsidRPr="007133C6" w:rsidRDefault="000B4A1E" w:rsidP="00517E51">
            <w:pPr>
              <w:pStyle w:val="Tabletext"/>
              <w:rPr>
                <w:lang w:eastAsia="en-AU"/>
              </w:rPr>
            </w:pPr>
            <w:r w:rsidRPr="007133C6">
              <w:rPr>
                <w:lang w:eastAsia="en-AU"/>
              </w:rPr>
              <w:t>Cultural assets</w:t>
            </w:r>
          </w:p>
        </w:tc>
        <w:tc>
          <w:tcPr>
            <w:tcW w:w="1123"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21.8</w:t>
            </w:r>
          </w:p>
        </w:tc>
        <w:tc>
          <w:tcPr>
            <w:tcW w:w="1123"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15.6</w:t>
            </w:r>
          </w:p>
        </w:tc>
        <w:tc>
          <w:tcPr>
            <w:tcW w:w="1123"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21.8</w:t>
            </w:r>
          </w:p>
        </w:tc>
        <w:tc>
          <w:tcPr>
            <w:tcW w:w="1123"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15.6</w:t>
            </w:r>
          </w:p>
        </w:tc>
      </w:tr>
      <w:tr w:rsidR="000B4A1E" w:rsidRPr="007133C6" w:rsidTr="00517E51">
        <w:trPr>
          <w:divId w:val="751657655"/>
        </w:trPr>
        <w:tc>
          <w:tcPr>
            <w:tcW w:w="5156" w:type="dxa"/>
            <w:tcBorders>
              <w:top w:val="nil"/>
              <w:left w:val="nil"/>
              <w:bottom w:val="single" w:sz="4" w:space="0" w:color="auto"/>
              <w:right w:val="nil"/>
            </w:tcBorders>
            <w:shd w:val="clear" w:color="auto" w:fill="auto"/>
            <w:noWrap/>
            <w:vAlign w:val="bottom"/>
            <w:hideMark/>
          </w:tcPr>
          <w:p w:rsidR="000B4A1E" w:rsidRPr="007133C6" w:rsidRDefault="000B4A1E" w:rsidP="00517E51">
            <w:pPr>
              <w:pStyle w:val="Tabletext"/>
              <w:rPr>
                <w:lang w:eastAsia="en-AU"/>
              </w:rPr>
            </w:pPr>
            <w:r w:rsidRPr="007133C6">
              <w:rPr>
                <w:lang w:eastAsia="en-AU"/>
              </w:rPr>
              <w:t xml:space="preserve">Intangible produced assets </w:t>
            </w:r>
            <w:r>
              <w:rPr>
                <w:vertAlign w:val="superscript"/>
                <w:lang w:eastAsia="en-AU"/>
              </w:rPr>
              <w:t>(c</w:t>
            </w:r>
            <w:r w:rsidRPr="007133C6">
              <w:rPr>
                <w:vertAlign w:val="superscript"/>
                <w:lang w:eastAsia="en-AU"/>
              </w:rPr>
              <w:t>)</w:t>
            </w:r>
          </w:p>
        </w:tc>
        <w:tc>
          <w:tcPr>
            <w:tcW w:w="1123" w:type="dxa"/>
            <w:gridSpan w:val="2"/>
            <w:tcBorders>
              <w:top w:val="nil"/>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178.2</w:t>
            </w:r>
          </w:p>
        </w:tc>
        <w:tc>
          <w:tcPr>
            <w:tcW w:w="1123" w:type="dxa"/>
            <w:tcBorders>
              <w:top w:val="nil"/>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148.4</w:t>
            </w:r>
          </w:p>
        </w:tc>
        <w:tc>
          <w:tcPr>
            <w:tcW w:w="1123" w:type="dxa"/>
            <w:gridSpan w:val="2"/>
            <w:tcBorders>
              <w:top w:val="nil"/>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99.9</w:t>
            </w:r>
          </w:p>
        </w:tc>
        <w:tc>
          <w:tcPr>
            <w:tcW w:w="1123" w:type="dxa"/>
            <w:tcBorders>
              <w:top w:val="nil"/>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79.8</w:t>
            </w:r>
          </w:p>
        </w:tc>
      </w:tr>
      <w:tr w:rsidR="000B4A1E" w:rsidRPr="007133C6" w:rsidTr="00517E51">
        <w:trPr>
          <w:divId w:val="751657655"/>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7133C6" w:rsidRDefault="000B4A1E" w:rsidP="00517E51">
            <w:pPr>
              <w:pStyle w:val="Tabletext"/>
              <w:rPr>
                <w:b/>
                <w:bCs/>
                <w:lang w:eastAsia="en-AU"/>
              </w:rPr>
            </w:pPr>
            <w:r w:rsidRPr="007133C6">
              <w:rPr>
                <w:b/>
                <w:bCs/>
                <w:lang w:eastAsia="en-AU"/>
              </w:rPr>
              <w:t>Total depreciation</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4 </w:t>
            </w:r>
            <w:r w:rsidRPr="007133C6">
              <w:rPr>
                <w:rFonts w:cs="Calibri"/>
                <w:b/>
                <w:bCs/>
                <w:szCs w:val="22"/>
                <w:lang w:eastAsia="en-AU"/>
              </w:rPr>
              <w:t>131.6</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3 </w:t>
            </w:r>
            <w:r w:rsidRPr="007133C6">
              <w:rPr>
                <w:rFonts w:cs="Calibri"/>
                <w:b/>
                <w:bCs/>
                <w:szCs w:val="22"/>
                <w:lang w:eastAsia="en-AU"/>
              </w:rPr>
              <w:t>880.4</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2 </w:t>
            </w:r>
            <w:r w:rsidRPr="007133C6">
              <w:rPr>
                <w:rFonts w:cs="Calibri"/>
                <w:b/>
                <w:bCs/>
                <w:szCs w:val="22"/>
                <w:lang w:eastAsia="en-AU"/>
              </w:rPr>
              <w:t>254.3</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2 </w:t>
            </w:r>
            <w:r w:rsidRPr="007133C6">
              <w:rPr>
                <w:rFonts w:cs="Calibri"/>
                <w:b/>
                <w:bCs/>
                <w:szCs w:val="22"/>
                <w:lang w:eastAsia="en-AU"/>
              </w:rPr>
              <w:t>126.5</w:t>
            </w:r>
          </w:p>
        </w:tc>
      </w:tr>
    </w:tbl>
    <w:bookmarkEnd w:id="35"/>
    <w:p w:rsidR="000B4A1E" w:rsidRPr="00D00665" w:rsidRDefault="000B4A1E" w:rsidP="00517E51">
      <w:pPr>
        <w:pStyle w:val="Notes"/>
      </w:pPr>
      <w:r w:rsidRPr="00D00665">
        <w:t>Note</w:t>
      </w:r>
      <w:r>
        <w:t>s</w:t>
      </w:r>
      <w:r w:rsidRPr="00D00665">
        <w:t>:</w:t>
      </w:r>
    </w:p>
    <w:p w:rsidR="000B4A1E" w:rsidRDefault="000B4A1E" w:rsidP="00517E51">
      <w:pPr>
        <w:pStyle w:val="Notes"/>
      </w:pPr>
      <w:r w:rsidRPr="00D00665">
        <w:t>(a)</w:t>
      </w:r>
      <w:r w:rsidRPr="00D00665">
        <w:tab/>
      </w:r>
      <w:r>
        <w:t>Accumulated Depreciation of Buildings Leasehold  Assets was reclassified in line with disclosure of Building Leasehold (Written Down Value).</w:t>
      </w:r>
    </w:p>
    <w:p w:rsidR="000B4A1E" w:rsidRPr="00D00665" w:rsidRDefault="000B4A1E" w:rsidP="00517E51">
      <w:pPr>
        <w:pStyle w:val="Notes"/>
      </w:pPr>
      <w:r>
        <w:t>(b)</w:t>
      </w:r>
      <w:r>
        <w:tab/>
      </w:r>
      <w:r w:rsidRPr="00D00665">
        <w:t>The 2011-12 comparative figures have been restated due to a reclassification of Depreciation</w:t>
      </w:r>
      <w:r>
        <w:t xml:space="preserve"> – </w:t>
      </w:r>
      <w:r w:rsidRPr="00D00665">
        <w:t xml:space="preserve">Infrastructure Leasehold from </w:t>
      </w:r>
      <w:r>
        <w:t>‘</w:t>
      </w:r>
      <w:r w:rsidRPr="00D00665">
        <w:t>lease plant and equipment</w:t>
      </w:r>
      <w:r>
        <w:t>’</w:t>
      </w:r>
      <w:r w:rsidRPr="00D00665">
        <w:t xml:space="preserve"> to </w:t>
      </w:r>
      <w:r>
        <w:t>‘</w:t>
      </w:r>
      <w:r w:rsidRPr="00D00665">
        <w:t>infrastructure</w:t>
      </w:r>
      <w:r>
        <w:t>’</w:t>
      </w:r>
      <w:r w:rsidRPr="00D00665">
        <w:t>.</w:t>
      </w:r>
    </w:p>
    <w:p w:rsidR="000B4A1E" w:rsidRPr="00D00665" w:rsidRDefault="000B4A1E" w:rsidP="00517E51">
      <w:pPr>
        <w:pStyle w:val="Notes"/>
      </w:pPr>
      <w:r>
        <w:t>(c</w:t>
      </w:r>
      <w:r w:rsidRPr="00D00665">
        <w:t>)</w:t>
      </w:r>
      <w:r w:rsidRPr="002B3FF3">
        <w:t xml:space="preserve"> </w:t>
      </w:r>
      <w:r>
        <w:tab/>
      </w:r>
      <w:r w:rsidRPr="00D00665">
        <w:t>Amortisation of intangible non</w:t>
      </w:r>
      <w:r w:rsidRPr="00D00665">
        <w:noBreakHyphen/>
        <w:t>produced assets is included under economic flow</w:t>
      </w:r>
      <w:r>
        <w:t>s</w:t>
      </w:r>
      <w:r w:rsidRPr="00D00665">
        <w:t>.</w:t>
      </w:r>
    </w:p>
    <w:p w:rsidR="000B4A1E" w:rsidRPr="00D00665" w:rsidRDefault="000B4A1E" w:rsidP="00517E51"/>
    <w:p w:rsidR="000B4A1E" w:rsidRPr="00D00665" w:rsidRDefault="000B4A1E" w:rsidP="00517E51"/>
    <w:p w:rsidR="000B4A1E" w:rsidRPr="00D00665" w:rsidRDefault="000B4A1E" w:rsidP="00517E51">
      <w:pPr>
        <w:pStyle w:val="Heading2Notes"/>
      </w:pPr>
      <w:bookmarkStart w:id="36" w:name="_Toc367947869"/>
      <w:r w:rsidRPr="00D00665">
        <w:t>Note 10:</w:t>
      </w:r>
      <w:r w:rsidRPr="00D00665">
        <w:tab/>
        <w:t>Interest expense</w:t>
      </w:r>
      <w:bookmarkEnd w:id="36"/>
    </w:p>
    <w:p w:rsidR="000B4A1E" w:rsidRPr="003E2DBE" w:rsidRDefault="000B4A1E" w:rsidP="00517E51">
      <w:pPr>
        <w:pStyle w:val="million"/>
      </w:pPr>
      <w:r w:rsidRPr="00D00665">
        <w:t>($</w:t>
      </w:r>
      <w:r>
        <w:t> million</w:t>
      </w:r>
      <w:r w:rsidRPr="00D00665">
        <w:t>)</w:t>
      </w:r>
      <w:bookmarkStart w:id="37" w:name="RANGE!B4:F10"/>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570387871"/>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570387871"/>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570387871"/>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Interest on short-term interest-bearing liabilities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72.7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118.5</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46.0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24.1</w:t>
            </w:r>
          </w:p>
        </w:tc>
      </w:tr>
      <w:tr w:rsidR="000B4A1E" w:rsidRPr="003E2DBE" w:rsidTr="00517E51">
        <w:trPr>
          <w:divId w:val="570387871"/>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Interest on long-term interest-bearing liabilities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793.5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657.8</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135.6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986.6</w:t>
            </w:r>
          </w:p>
        </w:tc>
      </w:tr>
      <w:tr w:rsidR="000B4A1E" w:rsidRPr="003E2DBE" w:rsidTr="00517E51">
        <w:trPr>
          <w:divId w:val="570387871"/>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Finance charges on finance leases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622.7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256.7</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542.8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175.8</w:t>
            </w:r>
          </w:p>
        </w:tc>
      </w:tr>
      <w:tr w:rsidR="000B4A1E" w:rsidRPr="003E2DBE" w:rsidTr="00517E51">
        <w:trPr>
          <w:divId w:val="570387871"/>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Discount interest on payables</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49.6</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96.6</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51.0</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56.0</w:t>
            </w:r>
          </w:p>
        </w:tc>
      </w:tr>
      <w:tr w:rsidR="000B4A1E" w:rsidRPr="003E2DBE" w:rsidTr="00517E51">
        <w:trPr>
          <w:divId w:val="570387871"/>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 interest expense</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538.6</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129.6</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775.3</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242.6</w:t>
            </w:r>
          </w:p>
        </w:tc>
      </w:tr>
      <w:bookmarkEnd w:id="37"/>
    </w:tbl>
    <w:p w:rsidR="000B4A1E" w:rsidRPr="00D00665" w:rsidRDefault="000B4A1E" w:rsidP="00517E51"/>
    <w:p w:rsidR="000B4A1E" w:rsidRPr="00D00665" w:rsidRDefault="000B4A1E" w:rsidP="00517E51">
      <w:pPr>
        <w:pStyle w:val="Heading2Notes"/>
      </w:pPr>
      <w:r w:rsidRPr="00D00665">
        <w:br w:type="page"/>
      </w:r>
      <w:bookmarkStart w:id="38" w:name="_Toc367947870"/>
      <w:r w:rsidRPr="00D00665">
        <w:lastRenderedPageBreak/>
        <w:t>Note 11:</w:t>
      </w:r>
      <w:r w:rsidRPr="00D00665">
        <w:tab/>
        <w:t>Other operating expenses</w:t>
      </w:r>
      <w:bookmarkEnd w:id="38"/>
    </w:p>
    <w:p w:rsidR="000B4A1E" w:rsidRPr="003E2DBE" w:rsidRDefault="000B4A1E" w:rsidP="00517E51">
      <w:pPr>
        <w:pStyle w:val="million"/>
      </w:pPr>
      <w:r w:rsidRPr="00D00665">
        <w:t>($</w:t>
      </w:r>
      <w:r>
        <w:t> million</w:t>
      </w:r>
      <w:r w:rsidRPr="00D00665">
        <w:t>)</w:t>
      </w:r>
      <w:bookmarkStart w:id="39" w:name="RANGE!B4:F20"/>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506097965"/>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506097965"/>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50609796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 xml:space="preserve">Purchase of supplies and consumables </w:t>
            </w:r>
            <w:r w:rsidRPr="003E2DBE">
              <w:rPr>
                <w:rFonts w:cs="Calibri"/>
                <w:szCs w:val="22"/>
                <w:vertAlign w:val="superscript"/>
                <w:lang w:eastAsia="en-AU"/>
              </w:rPr>
              <w:t>(a)</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8 </w:t>
            </w:r>
            <w:r w:rsidRPr="003E2DBE">
              <w:rPr>
                <w:rFonts w:cs="Calibri"/>
                <w:szCs w:val="22"/>
                <w:lang w:eastAsia="en-AU"/>
              </w:rPr>
              <w:t>176.0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8 </w:t>
            </w:r>
            <w:r w:rsidRPr="003E2DBE">
              <w:rPr>
                <w:rFonts w:cs="Calibri"/>
                <w:szCs w:val="22"/>
                <w:lang w:eastAsia="en-AU"/>
              </w:rPr>
              <w:t>479.4</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7 </w:t>
            </w:r>
            <w:r w:rsidRPr="003E2DBE">
              <w:rPr>
                <w:rFonts w:cs="Calibri"/>
                <w:szCs w:val="22"/>
                <w:lang w:eastAsia="en-AU"/>
              </w:rPr>
              <w:t>078.1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7 </w:t>
            </w:r>
            <w:r w:rsidRPr="003E2DBE">
              <w:rPr>
                <w:rFonts w:cs="Calibri"/>
                <w:szCs w:val="22"/>
                <w:lang w:eastAsia="en-AU"/>
              </w:rPr>
              <w:t>294.6</w:t>
            </w:r>
          </w:p>
        </w:tc>
      </w:tr>
      <w:tr w:rsidR="000B4A1E" w:rsidRPr="003E2DBE" w:rsidTr="00517E51">
        <w:trPr>
          <w:divId w:val="50609796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Cost of goods sold</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231.1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201.8</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128.3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55.0</w:t>
            </w:r>
          </w:p>
        </w:tc>
      </w:tr>
      <w:tr w:rsidR="000B4A1E" w:rsidRPr="003E2DBE" w:rsidTr="00517E51">
        <w:trPr>
          <w:divId w:val="50609796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Finance expenses and fees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439.6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383.6</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22.1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17.3</w:t>
            </w:r>
          </w:p>
        </w:tc>
      </w:tr>
      <w:tr w:rsidR="000B4A1E" w:rsidRPr="003E2DBE" w:rsidTr="00517E51">
        <w:trPr>
          <w:divId w:val="50609796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 xml:space="preserve">Purchase of services </w:t>
            </w:r>
            <w:r w:rsidRPr="003E2DBE">
              <w:rPr>
                <w:rFonts w:cs="Calibri"/>
                <w:szCs w:val="22"/>
                <w:vertAlign w:val="superscript"/>
                <w:lang w:eastAsia="en-AU"/>
              </w:rPr>
              <w:t>(a)</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7 </w:t>
            </w:r>
            <w:r w:rsidRPr="003E2DBE">
              <w:rPr>
                <w:rFonts w:cs="Calibri"/>
                <w:szCs w:val="22"/>
                <w:lang w:eastAsia="en-AU"/>
              </w:rPr>
              <w:t>877.1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7 </w:t>
            </w:r>
            <w:r w:rsidRPr="003E2DBE">
              <w:rPr>
                <w:rFonts w:cs="Calibri"/>
                <w:szCs w:val="22"/>
                <w:lang w:eastAsia="en-AU"/>
              </w:rPr>
              <w:t>501.6</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7 </w:t>
            </w:r>
            <w:r w:rsidRPr="003E2DBE">
              <w:rPr>
                <w:rFonts w:cs="Calibri"/>
                <w:szCs w:val="22"/>
                <w:lang w:eastAsia="en-AU"/>
              </w:rPr>
              <w:t>135.0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6 </w:t>
            </w:r>
            <w:r w:rsidRPr="003E2DBE">
              <w:rPr>
                <w:rFonts w:cs="Calibri"/>
                <w:szCs w:val="22"/>
                <w:lang w:eastAsia="en-AU"/>
              </w:rPr>
              <w:t>786.2</w:t>
            </w:r>
          </w:p>
        </w:tc>
      </w:tr>
      <w:tr w:rsidR="000B4A1E" w:rsidRPr="003E2DBE" w:rsidTr="00517E51">
        <w:trPr>
          <w:divId w:val="50609796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Insurance claims expense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339.7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333.9</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20.3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25.5</w:t>
            </w:r>
          </w:p>
        </w:tc>
      </w:tr>
      <w:tr w:rsidR="000B4A1E" w:rsidRPr="003E2DBE" w:rsidTr="00517E51">
        <w:trPr>
          <w:divId w:val="50609796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Maintenance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253.7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367.9</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777.1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889.1</w:t>
            </w:r>
          </w:p>
        </w:tc>
      </w:tr>
      <w:tr w:rsidR="000B4A1E" w:rsidRPr="003E2DBE" w:rsidTr="00517E51">
        <w:trPr>
          <w:divId w:val="50609796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Operating lease payments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355.5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350.7</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280.3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279.2</w:t>
            </w:r>
          </w:p>
        </w:tc>
      </w:tr>
      <w:tr w:rsidR="000B4A1E" w:rsidRPr="003E2DBE" w:rsidTr="00517E51">
        <w:trPr>
          <w:divId w:val="506097965"/>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Other</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669.8</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614.1</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652.8</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608.6</w:t>
            </w:r>
          </w:p>
        </w:tc>
      </w:tr>
      <w:tr w:rsidR="000B4A1E" w:rsidRPr="003E2DBE" w:rsidTr="00517E51">
        <w:trPr>
          <w:divId w:val="506097965"/>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 xml:space="preserve">Total other operating expenses </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23 </w:t>
            </w:r>
            <w:r w:rsidRPr="003E2DBE">
              <w:rPr>
                <w:rFonts w:cs="Calibri"/>
                <w:b/>
                <w:bCs/>
                <w:szCs w:val="22"/>
                <w:lang w:eastAsia="en-AU"/>
              </w:rPr>
              <w:t>342.6</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23 </w:t>
            </w:r>
            <w:r w:rsidRPr="003E2DBE">
              <w:rPr>
                <w:rFonts w:cs="Calibri"/>
                <w:b/>
                <w:bCs/>
                <w:szCs w:val="22"/>
                <w:lang w:eastAsia="en-AU"/>
              </w:rPr>
              <w:t>233.0</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16 </w:t>
            </w:r>
            <w:r w:rsidRPr="003E2DBE">
              <w:rPr>
                <w:rFonts w:cs="Calibri"/>
                <w:b/>
                <w:bCs/>
                <w:szCs w:val="22"/>
                <w:lang w:eastAsia="en-AU"/>
              </w:rPr>
              <w:t>094.1</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15 </w:t>
            </w:r>
            <w:r w:rsidRPr="003E2DBE">
              <w:rPr>
                <w:rFonts w:cs="Calibri"/>
                <w:b/>
                <w:bCs/>
                <w:szCs w:val="22"/>
                <w:lang w:eastAsia="en-AU"/>
              </w:rPr>
              <w:t>955.6</w:t>
            </w:r>
          </w:p>
        </w:tc>
      </w:tr>
    </w:tbl>
    <w:bookmarkEnd w:id="39"/>
    <w:p w:rsidR="000B4A1E" w:rsidRPr="00D00665" w:rsidRDefault="000B4A1E" w:rsidP="00517E51">
      <w:pPr>
        <w:pStyle w:val="Notes"/>
      </w:pPr>
      <w:r w:rsidRPr="00D00665">
        <w:t>Note:</w:t>
      </w:r>
    </w:p>
    <w:p w:rsidR="000B4A1E" w:rsidRDefault="000B4A1E" w:rsidP="00517E51">
      <w:pPr>
        <w:pStyle w:val="Notes"/>
      </w:pPr>
      <w:r w:rsidRPr="00D00665">
        <w:t>(a)</w:t>
      </w:r>
      <w:r w:rsidRPr="00D00665">
        <w:tab/>
        <w:t>The 2011</w:t>
      </w:r>
      <w:r w:rsidRPr="00D00665">
        <w:noBreakHyphen/>
        <w:t xml:space="preserve">12 comparative figures have been restated due to a reclassification of the GST administration fee from </w:t>
      </w:r>
      <w:r>
        <w:t>‘</w:t>
      </w:r>
      <w:r w:rsidRPr="00D00665">
        <w:t>purchase of supplies and consumables</w:t>
      </w:r>
      <w:r>
        <w:t>’</w:t>
      </w:r>
      <w:r w:rsidRPr="00D00665">
        <w:t xml:space="preserve"> to </w:t>
      </w:r>
      <w:r>
        <w:t>‘</w:t>
      </w:r>
      <w:r w:rsidRPr="00D00665">
        <w:t>purchase of services</w:t>
      </w:r>
      <w:r>
        <w:t>’</w:t>
      </w:r>
      <w:r w:rsidRPr="00D00665">
        <w:t>.</w:t>
      </w:r>
    </w:p>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Pr>
        <w:pStyle w:val="Heading2Notes"/>
      </w:pPr>
      <w:bookmarkStart w:id="40" w:name="_Toc367947871"/>
      <w:r w:rsidRPr="00D00665">
        <w:t>Note 12:</w:t>
      </w:r>
      <w:r w:rsidRPr="00D00665">
        <w:tab/>
        <w:t>Grants and other transfers</w:t>
      </w:r>
      <w:bookmarkEnd w:id="40"/>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106"/>
        <w:gridCol w:w="1017"/>
        <w:gridCol w:w="1123"/>
        <w:gridCol w:w="106"/>
        <w:gridCol w:w="1017"/>
        <w:gridCol w:w="1123"/>
      </w:tblGrid>
      <w:tr w:rsidR="000B4A1E" w:rsidRPr="003E2DBE" w:rsidTr="00517E51">
        <w:tc>
          <w:tcPr>
            <w:tcW w:w="5156"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lang w:eastAsia="en-AU"/>
              </w:rPr>
            </w:pPr>
          </w:p>
          <w:p w:rsidR="000B4A1E" w:rsidRPr="003E2DBE" w:rsidRDefault="000B4A1E" w:rsidP="00517E51">
            <w:pPr>
              <w:pStyle w:val="TabletextheadingCentred"/>
              <w:rPr>
                <w:lang w:eastAsia="en-AU"/>
              </w:rPr>
            </w:pPr>
            <w:r w:rsidRPr="003E2DBE">
              <w:rPr>
                <w:lang w:eastAsia="en-AU"/>
              </w:rPr>
              <w:t>State of Victoria</w:t>
            </w:r>
          </w:p>
        </w:tc>
        <w:tc>
          <w:tcPr>
            <w:tcW w:w="106"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lang w:eastAsia="en-AU"/>
              </w:rPr>
            </w:pPr>
            <w:r w:rsidRPr="003E2DBE">
              <w:rPr>
                <w:lang w:eastAsia="en-AU"/>
              </w:rPr>
              <w:t xml:space="preserve">General </w:t>
            </w:r>
          </w:p>
          <w:p w:rsidR="000B4A1E" w:rsidRPr="003E2DBE" w:rsidRDefault="000B4A1E" w:rsidP="00517E51">
            <w:pPr>
              <w:pStyle w:val="TabletextheadingCentred"/>
              <w:rPr>
                <w:lang w:eastAsia="en-AU"/>
              </w:rPr>
            </w:pPr>
            <w:r w:rsidRPr="003E2DBE">
              <w:rPr>
                <w:lang w:eastAsia="en-AU"/>
              </w:rPr>
              <w:t>government sector</w:t>
            </w:r>
          </w:p>
        </w:tc>
      </w:tr>
      <w:tr w:rsidR="000B4A1E" w:rsidRPr="003E2DBE" w:rsidTr="00517E51">
        <w:tc>
          <w:tcPr>
            <w:tcW w:w="5156"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lang w:eastAsia="en-AU"/>
              </w:rPr>
            </w:pPr>
            <w:r w:rsidRPr="003E2DBE">
              <w:rPr>
                <w:lang w:eastAsia="en-AU"/>
              </w:rPr>
              <w:t>2012</w:t>
            </w:r>
          </w:p>
        </w:tc>
      </w:tr>
      <w:tr w:rsidR="000B4A1E" w:rsidRPr="003E2DBE" w:rsidTr="00517E51">
        <w:tc>
          <w:tcPr>
            <w:tcW w:w="5156" w:type="dxa"/>
            <w:tcBorders>
              <w:top w:val="single" w:sz="4" w:space="0" w:color="auto"/>
              <w:left w:val="nil"/>
              <w:bottom w:val="nil"/>
              <w:right w:val="nil"/>
            </w:tcBorders>
          </w:tcPr>
          <w:p w:rsidR="000B4A1E" w:rsidRPr="003E2DBE" w:rsidRDefault="000B4A1E" w:rsidP="00517E51">
            <w:pPr>
              <w:pStyle w:val="Tabletext"/>
              <w:rPr>
                <w:b/>
                <w:bCs/>
                <w:lang w:eastAsia="en-AU"/>
              </w:rPr>
            </w:pPr>
            <w:r w:rsidRPr="003E2DBE">
              <w:rPr>
                <w:b/>
                <w:bCs/>
                <w:lang w:eastAsia="en-AU"/>
              </w:rPr>
              <w:t>Current grants expense</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Commonwealth Government</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151.7</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149.7</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151.0</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149.2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Local government on-passing</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927.8</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961.9</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927.8</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961.9</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Private sector and not-for-profit on-passing</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567.4</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423.3</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548.8</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405.8</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Other private sector and not-for-profit</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320.4</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333.7</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317.5</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330.7</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Grants within the Victorian Government</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645.7</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626.3</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Grants to other state governments</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9.4</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16.4</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9.3</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16.3</w:t>
            </w:r>
          </w:p>
        </w:tc>
      </w:tr>
      <w:tr w:rsidR="000B4A1E" w:rsidRPr="003E2DBE" w:rsidTr="00517E51">
        <w:tc>
          <w:tcPr>
            <w:tcW w:w="5156" w:type="dxa"/>
            <w:tcBorders>
              <w:top w:val="single" w:sz="6" w:space="0" w:color="auto"/>
              <w:left w:val="nil"/>
              <w:bottom w:val="single" w:sz="6" w:space="0" w:color="auto"/>
              <w:right w:val="nil"/>
            </w:tcBorders>
          </w:tcPr>
          <w:p w:rsidR="000B4A1E" w:rsidRPr="003E2DBE" w:rsidRDefault="000B4A1E" w:rsidP="00517E51">
            <w:pPr>
              <w:pStyle w:val="Tabletext"/>
              <w:rPr>
                <w:b/>
                <w:bCs/>
                <w:lang w:eastAsia="en-AU"/>
              </w:rPr>
            </w:pPr>
            <w:r w:rsidRPr="003E2DBE">
              <w:rPr>
                <w:b/>
                <w:bCs/>
                <w:lang w:eastAsia="en-AU"/>
              </w:rPr>
              <w:t>Total current grants and other transfers</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976.7</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885.0</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7 </w:t>
            </w:r>
            <w:r w:rsidRPr="003E2DBE">
              <w:rPr>
                <w:rFonts w:cs="Calibri"/>
                <w:b/>
                <w:bCs/>
                <w:szCs w:val="22"/>
                <w:lang w:eastAsia="en-AU"/>
              </w:rPr>
              <w:t>600.2</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7 </w:t>
            </w:r>
            <w:r w:rsidRPr="003E2DBE">
              <w:rPr>
                <w:rFonts w:cs="Calibri"/>
                <w:b/>
                <w:bCs/>
                <w:szCs w:val="22"/>
                <w:lang w:eastAsia="en-AU"/>
              </w:rPr>
              <w:t>490.1</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b/>
                <w:bCs/>
                <w:lang w:eastAsia="en-AU"/>
              </w:rPr>
            </w:pPr>
            <w:r w:rsidRPr="003E2DBE">
              <w:rPr>
                <w:b/>
                <w:bCs/>
                <w:lang w:eastAsia="en-AU"/>
              </w:rPr>
              <w:t>Capital grants expense</w:t>
            </w:r>
          </w:p>
        </w:tc>
        <w:tc>
          <w:tcPr>
            <w:tcW w:w="1123"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c>
          <w:tcPr>
            <w:tcW w:w="5156" w:type="dxa"/>
            <w:tcBorders>
              <w:top w:val="nil"/>
              <w:left w:val="nil"/>
              <w:bottom w:val="nil"/>
              <w:right w:val="nil"/>
            </w:tcBorders>
            <w:shd w:val="solid" w:color="FFFFFF" w:fill="auto"/>
          </w:tcPr>
          <w:p w:rsidR="000B4A1E" w:rsidRPr="003E2DBE" w:rsidRDefault="000B4A1E" w:rsidP="00517E51">
            <w:pPr>
              <w:pStyle w:val="Tabletext"/>
              <w:rPr>
                <w:lang w:eastAsia="en-AU"/>
              </w:rPr>
            </w:pPr>
            <w:r w:rsidRPr="003E2DBE">
              <w:rPr>
                <w:lang w:eastAsia="en-AU"/>
              </w:rPr>
              <w:t>Commonwealth Government</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cs="Calibri"/>
                <w:szCs w:val="22"/>
                <w:lang w:eastAsia="en-AU"/>
              </w:rPr>
            </w:pPr>
            <w:r w:rsidRPr="003E2DBE">
              <w:rPr>
                <w:lang w:eastAsia="en-AU"/>
              </w:rPr>
              <w:t xml:space="preserve"> 0.2</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cs="Calibri"/>
                <w:szCs w:val="22"/>
                <w:lang w:eastAsia="en-AU"/>
              </w:rPr>
            </w:pPr>
            <w:r w:rsidRPr="003E2DBE">
              <w:rPr>
                <w:lang w:eastAsia="en-AU"/>
              </w:rPr>
              <w:t xml:space="preserve"> 0.2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Local government on-passing</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162.1</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181.3</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162.1</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181.3</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Private sector and not-for-profit on-passing</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159.8</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273.9</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144.8</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144.9</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Other private sector and not-for-profit</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1.0</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234.3</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0.9</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234.3</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Grants within the Victorian Government</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7.3</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10.1</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Other grants</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98.7</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60.7</w:t>
            </w:r>
          </w:p>
        </w:tc>
        <w:tc>
          <w:tcPr>
            <w:tcW w:w="1123" w:type="dxa"/>
            <w:gridSpan w:val="2"/>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98.7</w:t>
            </w:r>
          </w:p>
        </w:tc>
        <w:tc>
          <w:tcPr>
            <w:tcW w:w="1123" w:type="dxa"/>
            <w:tcBorders>
              <w:top w:val="nil"/>
              <w:left w:val="nil"/>
              <w:bottom w:val="nil"/>
              <w:right w:val="nil"/>
            </w:tcBorders>
          </w:tcPr>
          <w:p w:rsidR="000B4A1E" w:rsidRPr="003E2DBE" w:rsidRDefault="000B4A1E" w:rsidP="00517E51">
            <w:pPr>
              <w:pStyle w:val="TableofFigures"/>
              <w:rPr>
                <w:rFonts w:cs="Calibri"/>
                <w:szCs w:val="22"/>
                <w:lang w:eastAsia="en-AU"/>
              </w:rPr>
            </w:pPr>
            <w:r w:rsidRPr="003E2DBE">
              <w:rPr>
                <w:lang w:eastAsia="en-AU"/>
              </w:rPr>
              <w:t xml:space="preserve"> 173.0</w:t>
            </w:r>
          </w:p>
        </w:tc>
      </w:tr>
      <w:tr w:rsidR="000B4A1E" w:rsidRPr="003E2DBE" w:rsidTr="00517E51">
        <w:tc>
          <w:tcPr>
            <w:tcW w:w="5156" w:type="dxa"/>
            <w:tcBorders>
              <w:top w:val="single" w:sz="6" w:space="0" w:color="auto"/>
              <w:left w:val="nil"/>
              <w:bottom w:val="single" w:sz="6" w:space="0" w:color="auto"/>
              <w:right w:val="nil"/>
            </w:tcBorders>
          </w:tcPr>
          <w:p w:rsidR="000B4A1E" w:rsidRPr="003E2DBE" w:rsidRDefault="000B4A1E" w:rsidP="00517E51">
            <w:pPr>
              <w:pStyle w:val="Tabletext"/>
              <w:rPr>
                <w:b/>
                <w:bCs/>
                <w:lang w:eastAsia="en-AU"/>
              </w:rPr>
            </w:pPr>
            <w:r w:rsidRPr="003E2DBE">
              <w:rPr>
                <w:b/>
                <w:bCs/>
                <w:lang w:eastAsia="en-AU"/>
              </w:rPr>
              <w:t>Total capital grants and other transfers</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 421.5</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 750.3</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 413.8</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 743.7</w:t>
            </w:r>
          </w:p>
        </w:tc>
      </w:tr>
      <w:tr w:rsidR="000B4A1E" w:rsidRPr="003E2DBE" w:rsidTr="00517E51">
        <w:tc>
          <w:tcPr>
            <w:tcW w:w="5156" w:type="dxa"/>
            <w:tcBorders>
              <w:top w:val="nil"/>
              <w:left w:val="nil"/>
              <w:bottom w:val="single" w:sz="12" w:space="0" w:color="auto"/>
              <w:right w:val="nil"/>
            </w:tcBorders>
          </w:tcPr>
          <w:p w:rsidR="000B4A1E" w:rsidRPr="003E2DBE" w:rsidRDefault="000B4A1E" w:rsidP="00517E51">
            <w:pPr>
              <w:pStyle w:val="Tabletext"/>
              <w:rPr>
                <w:b/>
                <w:bCs/>
                <w:lang w:eastAsia="en-AU"/>
              </w:rPr>
            </w:pPr>
            <w:r w:rsidRPr="003E2DBE">
              <w:rPr>
                <w:b/>
                <w:bCs/>
                <w:lang w:eastAsia="en-AU"/>
              </w:rPr>
              <w:t>Total grants and other transfers</w:t>
            </w:r>
          </w:p>
        </w:tc>
        <w:tc>
          <w:tcPr>
            <w:tcW w:w="1123" w:type="dxa"/>
            <w:gridSpan w:val="2"/>
            <w:tcBorders>
              <w:top w:val="nil"/>
              <w:left w:val="nil"/>
              <w:bottom w:val="single" w:sz="12"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398.3</w:t>
            </w:r>
          </w:p>
        </w:tc>
        <w:tc>
          <w:tcPr>
            <w:tcW w:w="1123" w:type="dxa"/>
            <w:tcBorders>
              <w:top w:val="nil"/>
              <w:left w:val="nil"/>
              <w:bottom w:val="single" w:sz="12"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635.4</w:t>
            </w:r>
          </w:p>
        </w:tc>
        <w:tc>
          <w:tcPr>
            <w:tcW w:w="1123" w:type="dxa"/>
            <w:gridSpan w:val="2"/>
            <w:tcBorders>
              <w:top w:val="nil"/>
              <w:left w:val="nil"/>
              <w:bottom w:val="single" w:sz="12"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8 </w:t>
            </w:r>
            <w:r w:rsidRPr="003E2DBE">
              <w:rPr>
                <w:rFonts w:cs="Calibri"/>
                <w:b/>
                <w:bCs/>
                <w:szCs w:val="22"/>
                <w:lang w:eastAsia="en-AU"/>
              </w:rPr>
              <w:t>013.9</w:t>
            </w:r>
          </w:p>
        </w:tc>
        <w:tc>
          <w:tcPr>
            <w:tcW w:w="1123" w:type="dxa"/>
            <w:tcBorders>
              <w:top w:val="nil"/>
              <w:left w:val="nil"/>
              <w:bottom w:val="single" w:sz="12" w:space="0" w:color="auto"/>
              <w:right w:val="nil"/>
            </w:tcBorders>
          </w:tcPr>
          <w:p w:rsidR="000B4A1E" w:rsidRPr="003E2DBE" w:rsidRDefault="000B4A1E" w:rsidP="00517E51">
            <w:pPr>
              <w:pStyle w:val="TableofFigures"/>
              <w:rPr>
                <w:rFonts w:cs="Calibri"/>
                <w:b/>
                <w:bCs/>
                <w:szCs w:val="22"/>
                <w:lang w:eastAsia="en-AU"/>
              </w:rPr>
            </w:pPr>
            <w:r w:rsidRPr="003E2DBE">
              <w:rPr>
                <w:b/>
                <w:bCs/>
                <w:lang w:eastAsia="en-AU"/>
              </w:rPr>
              <w:t xml:space="preserve">8 </w:t>
            </w:r>
            <w:r w:rsidRPr="003E2DBE">
              <w:rPr>
                <w:rFonts w:cs="Calibri"/>
                <w:b/>
                <w:bCs/>
                <w:szCs w:val="22"/>
                <w:lang w:eastAsia="en-AU"/>
              </w:rPr>
              <w:t>233.8</w:t>
            </w:r>
          </w:p>
        </w:tc>
      </w:tr>
    </w:tbl>
    <w:p w:rsidR="000B4A1E" w:rsidRPr="00D00665" w:rsidRDefault="000B4A1E" w:rsidP="00517E51"/>
    <w:p w:rsidR="000B4A1E" w:rsidRPr="00D00665" w:rsidRDefault="000B4A1E" w:rsidP="00517E51">
      <w:pPr>
        <w:pStyle w:val="Heading2Notes"/>
      </w:pPr>
      <w:r w:rsidRPr="00D00665">
        <w:br w:type="page"/>
      </w:r>
      <w:bookmarkStart w:id="41" w:name="_Toc367947872"/>
      <w:r w:rsidRPr="00D00665">
        <w:lastRenderedPageBreak/>
        <w:t>Note 13:</w:t>
      </w:r>
      <w:r w:rsidRPr="00D00665">
        <w:tab/>
        <w:t>Total expenses by government purpose classification</w:t>
      </w:r>
      <w:bookmarkEnd w:id="41"/>
    </w:p>
    <w:p w:rsidR="000B4A1E" w:rsidRPr="003E2DBE" w:rsidRDefault="000B4A1E" w:rsidP="00517E51">
      <w:pPr>
        <w:pStyle w:val="million"/>
      </w:pPr>
      <w:r w:rsidRPr="00D00665">
        <w:t>($</w:t>
      </w:r>
      <w:r>
        <w:t> million</w:t>
      </w:r>
      <w:r w:rsidRPr="00D00665">
        <w:t>)</w:t>
      </w:r>
      <w:bookmarkStart w:id="42" w:name="RANGE!B5:F20"/>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95373359"/>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95373359"/>
        </w:trPr>
        <w:tc>
          <w:tcPr>
            <w:tcW w:w="5156" w:type="dxa"/>
            <w:tcBorders>
              <w:top w:val="nil"/>
              <w:left w:val="single" w:sz="4" w:space="0" w:color="auto"/>
              <w:bottom w:val="single" w:sz="4" w:space="0" w:color="auto"/>
              <w:right w:val="nil"/>
            </w:tcBorders>
            <w:shd w:val="clear" w:color="auto" w:fill="000000"/>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95373359"/>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General public services</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6 </w:t>
            </w:r>
            <w:r w:rsidRPr="003E2DBE">
              <w:rPr>
                <w:rFonts w:cs="Calibri"/>
                <w:szCs w:val="22"/>
                <w:lang w:eastAsia="en-AU"/>
              </w:rPr>
              <w:t>156.5</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6 </w:t>
            </w:r>
            <w:r w:rsidRPr="003E2DBE">
              <w:rPr>
                <w:rFonts w:cs="Calibri"/>
                <w:szCs w:val="22"/>
                <w:lang w:eastAsia="en-AU"/>
              </w:rPr>
              <w:t>022.6</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151.6</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808.6</w:t>
            </w:r>
          </w:p>
        </w:tc>
      </w:tr>
      <w:tr w:rsidR="000B4A1E" w:rsidRPr="003E2DBE" w:rsidTr="00517E51">
        <w:trPr>
          <w:divId w:val="95373359"/>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Public order and safety</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925.5</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717.7</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188.5</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962.0</w:t>
            </w:r>
          </w:p>
        </w:tc>
      </w:tr>
      <w:tr w:rsidR="000B4A1E" w:rsidRPr="003E2DBE" w:rsidTr="00517E51">
        <w:trPr>
          <w:divId w:val="95373359"/>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Education</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12 </w:t>
            </w:r>
            <w:r w:rsidRPr="003E2DBE">
              <w:rPr>
                <w:rFonts w:cs="Calibri"/>
                <w:szCs w:val="22"/>
                <w:lang w:eastAsia="en-AU"/>
              </w:rPr>
              <w:t>573.1</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12 </w:t>
            </w:r>
            <w:r w:rsidRPr="003E2DBE">
              <w:rPr>
                <w:rFonts w:cs="Calibri"/>
                <w:szCs w:val="22"/>
                <w:lang w:eastAsia="en-AU"/>
              </w:rPr>
              <w:t>324.9</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12 </w:t>
            </w:r>
            <w:r w:rsidRPr="003E2DBE">
              <w:rPr>
                <w:rFonts w:cs="Calibri"/>
                <w:szCs w:val="22"/>
                <w:lang w:eastAsia="en-AU"/>
              </w:rPr>
              <w:t>661.5</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12 </w:t>
            </w:r>
            <w:r w:rsidRPr="003E2DBE">
              <w:rPr>
                <w:rFonts w:cs="Calibri"/>
                <w:szCs w:val="22"/>
                <w:lang w:eastAsia="en-AU"/>
              </w:rPr>
              <w:t>412.1</w:t>
            </w:r>
          </w:p>
        </w:tc>
      </w:tr>
      <w:tr w:rsidR="000B4A1E" w:rsidRPr="003E2DBE" w:rsidTr="00517E51">
        <w:trPr>
          <w:divId w:val="95373359"/>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Health</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12 </w:t>
            </w:r>
            <w:r w:rsidRPr="003E2DBE">
              <w:rPr>
                <w:rFonts w:cs="Calibri"/>
                <w:szCs w:val="22"/>
                <w:lang w:eastAsia="en-AU"/>
              </w:rPr>
              <w:t>845.3</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12 </w:t>
            </w:r>
            <w:r w:rsidRPr="003E2DBE">
              <w:rPr>
                <w:rFonts w:cs="Calibri"/>
                <w:szCs w:val="22"/>
                <w:lang w:eastAsia="en-AU"/>
              </w:rPr>
              <w:t>409.1</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13 </w:t>
            </w:r>
            <w:r w:rsidRPr="003E2DBE">
              <w:rPr>
                <w:rFonts w:cs="Calibri"/>
                <w:szCs w:val="22"/>
                <w:lang w:eastAsia="en-AU"/>
              </w:rPr>
              <w:t>158.2</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12 </w:t>
            </w:r>
            <w:r w:rsidRPr="003E2DBE">
              <w:rPr>
                <w:rFonts w:cs="Calibri"/>
                <w:szCs w:val="22"/>
                <w:lang w:eastAsia="en-AU"/>
              </w:rPr>
              <w:t>741.3</w:t>
            </w:r>
          </w:p>
        </w:tc>
      </w:tr>
      <w:tr w:rsidR="000B4A1E" w:rsidRPr="003E2DBE" w:rsidTr="00517E51">
        <w:trPr>
          <w:divId w:val="95373359"/>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 xml:space="preserve">Social security and welfare </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780.4</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689.5</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868.0</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768.3</w:t>
            </w:r>
          </w:p>
        </w:tc>
      </w:tr>
      <w:tr w:rsidR="000B4A1E" w:rsidRPr="003E2DBE" w:rsidTr="00517E51">
        <w:trPr>
          <w:divId w:val="95373359"/>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Housing and community amenities</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782.0</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480.1</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543.2</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869.0</w:t>
            </w:r>
          </w:p>
        </w:tc>
      </w:tr>
      <w:tr w:rsidR="000B4A1E" w:rsidRPr="003E2DBE" w:rsidTr="00517E51">
        <w:trPr>
          <w:divId w:val="95373359"/>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Recreation and culture</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344.8</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532.8</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735.7</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830.1</w:t>
            </w:r>
          </w:p>
        </w:tc>
      </w:tr>
      <w:tr w:rsidR="000B4A1E" w:rsidRPr="003E2DBE" w:rsidTr="00517E51">
        <w:trPr>
          <w:divId w:val="95373359"/>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Fuel and energy</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16.6</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82.9</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28.6</w:t>
            </w:r>
          </w:p>
        </w:tc>
      </w:tr>
      <w:tr w:rsidR="000B4A1E" w:rsidRPr="003E2DBE" w:rsidTr="00517E51">
        <w:trPr>
          <w:divId w:val="95373359"/>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Agriculture, forestry, fishing and hunting</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608.3</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563.6</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519.9</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449.1</w:t>
            </w:r>
          </w:p>
        </w:tc>
      </w:tr>
      <w:tr w:rsidR="000B4A1E" w:rsidRPr="003E2DBE" w:rsidTr="00517E51">
        <w:trPr>
          <w:divId w:val="95373359"/>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Mining, manufacturing and construction</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95373359"/>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Transport and communications</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179.3</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161.6</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675.8</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545.1</w:t>
            </w:r>
          </w:p>
        </w:tc>
      </w:tr>
      <w:tr w:rsidR="000B4A1E" w:rsidRPr="003E2DBE" w:rsidTr="00517E51">
        <w:trPr>
          <w:divId w:val="95373359"/>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Other economic affairs</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888.0</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801.3</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982.4</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827.1</w:t>
            </w:r>
          </w:p>
        </w:tc>
      </w:tr>
      <w:tr w:rsidR="000B4A1E" w:rsidRPr="003E2DBE" w:rsidTr="00517E51">
        <w:trPr>
          <w:divId w:val="95373359"/>
        </w:trPr>
        <w:tc>
          <w:tcPr>
            <w:tcW w:w="5156" w:type="dxa"/>
            <w:tcBorders>
              <w:top w:val="nil"/>
              <w:left w:val="nil"/>
              <w:bottom w:val="single" w:sz="4" w:space="0" w:color="auto"/>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Other purposes</w:t>
            </w:r>
            <w:r w:rsidRPr="003E2DBE">
              <w:rPr>
                <w:vertAlign w:val="superscript"/>
                <w:lang w:eastAsia="en-AU"/>
              </w:rPr>
              <w:t xml:space="preserve"> </w:t>
            </w:r>
          </w:p>
        </w:tc>
        <w:tc>
          <w:tcPr>
            <w:tcW w:w="1123" w:type="dxa"/>
            <w:gridSpan w:val="2"/>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590.0</w:t>
            </w:r>
          </w:p>
        </w:tc>
        <w:tc>
          <w:tcPr>
            <w:tcW w:w="1123"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919.3</w:t>
            </w:r>
          </w:p>
        </w:tc>
        <w:tc>
          <w:tcPr>
            <w:tcW w:w="1123"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811.7</w:t>
            </w:r>
          </w:p>
        </w:tc>
        <w:tc>
          <w:tcPr>
            <w:tcW w:w="1123"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069.7</w:t>
            </w:r>
          </w:p>
        </w:tc>
      </w:tr>
      <w:tr w:rsidR="000B4A1E" w:rsidRPr="003E2DBE" w:rsidTr="00517E51">
        <w:trPr>
          <w:divId w:val="95373359"/>
        </w:trPr>
        <w:tc>
          <w:tcPr>
            <w:tcW w:w="5156" w:type="dxa"/>
            <w:tcBorders>
              <w:top w:val="single" w:sz="4" w:space="0" w:color="auto"/>
              <w:left w:val="nil"/>
              <w:bottom w:val="single" w:sz="12" w:space="0" w:color="auto"/>
              <w:right w:val="nil"/>
            </w:tcBorders>
            <w:shd w:val="clear" w:color="000000" w:fill="FFFFFF"/>
            <w:hideMark/>
          </w:tcPr>
          <w:p w:rsidR="000B4A1E" w:rsidRPr="003E2DBE" w:rsidRDefault="000B4A1E" w:rsidP="00517E51">
            <w:pPr>
              <w:pStyle w:val="Tabletext"/>
              <w:rPr>
                <w:b/>
                <w:bCs/>
                <w:lang w:eastAsia="en-AU"/>
              </w:rPr>
            </w:pPr>
            <w:r w:rsidRPr="003E2DBE">
              <w:rPr>
                <w:b/>
                <w:bCs/>
                <w:lang w:eastAsia="en-AU"/>
              </w:rPr>
              <w:t xml:space="preserve">Total expenses from transactions </w:t>
            </w:r>
            <w:r w:rsidRPr="003E2DBE">
              <w:rPr>
                <w:b/>
                <w:bCs/>
                <w:vertAlign w:val="superscript"/>
                <w:lang w:eastAsia="en-AU"/>
              </w:rPr>
              <w:t>(a)</w:t>
            </w:r>
          </w:p>
        </w:tc>
        <w:tc>
          <w:tcPr>
            <w:tcW w:w="1123" w:type="dxa"/>
            <w:gridSpan w:val="2"/>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56 </w:t>
            </w:r>
            <w:r w:rsidRPr="003E2DBE">
              <w:rPr>
                <w:rFonts w:cs="Calibri"/>
                <w:b/>
                <w:bCs/>
                <w:szCs w:val="22"/>
                <w:lang w:eastAsia="en-AU"/>
              </w:rPr>
              <w:t>689.8</w:t>
            </w:r>
          </w:p>
        </w:tc>
        <w:tc>
          <w:tcPr>
            <w:tcW w:w="1123"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55 </w:t>
            </w:r>
            <w:r w:rsidRPr="003E2DBE">
              <w:rPr>
                <w:rFonts w:cs="Calibri"/>
                <w:b/>
                <w:bCs/>
                <w:szCs w:val="22"/>
                <w:lang w:eastAsia="en-AU"/>
              </w:rPr>
              <w:t>705.3</w:t>
            </w:r>
          </w:p>
        </w:tc>
        <w:tc>
          <w:tcPr>
            <w:tcW w:w="1123" w:type="dxa"/>
            <w:gridSpan w:val="2"/>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48 </w:t>
            </w:r>
            <w:r w:rsidRPr="003E2DBE">
              <w:rPr>
                <w:rFonts w:cs="Calibri"/>
                <w:b/>
                <w:bCs/>
                <w:szCs w:val="22"/>
                <w:lang w:eastAsia="en-AU"/>
              </w:rPr>
              <w:t>296.4</w:t>
            </w:r>
          </w:p>
        </w:tc>
        <w:tc>
          <w:tcPr>
            <w:tcW w:w="1123"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47 </w:t>
            </w:r>
            <w:r w:rsidRPr="003E2DBE">
              <w:rPr>
                <w:rFonts w:cs="Calibri"/>
                <w:b/>
                <w:bCs/>
                <w:szCs w:val="22"/>
                <w:lang w:eastAsia="en-AU"/>
              </w:rPr>
              <w:t>311.0</w:t>
            </w:r>
          </w:p>
        </w:tc>
      </w:tr>
    </w:tbl>
    <w:bookmarkEnd w:id="42"/>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Note 40 provides definitions and descriptions of government purpose classification.</w:t>
      </w:r>
    </w:p>
    <w:p w:rsidR="000B4A1E" w:rsidRPr="00D00665" w:rsidRDefault="000B4A1E" w:rsidP="00517E51"/>
    <w:p w:rsidR="000B4A1E" w:rsidRPr="00D00665" w:rsidRDefault="000B4A1E" w:rsidP="00517E51"/>
    <w:p w:rsidR="000B4A1E" w:rsidRPr="00D00665" w:rsidRDefault="000B4A1E" w:rsidP="00517E51">
      <w:pPr>
        <w:pStyle w:val="Heading2Notes"/>
      </w:pPr>
      <w:bookmarkStart w:id="43" w:name="_Toc367947873"/>
      <w:r w:rsidRPr="00D00665">
        <w:t>Note 14:</w:t>
      </w:r>
      <w:r w:rsidRPr="00D00665">
        <w:tab/>
        <w:t>Net gain/(loss) on disposal of non</w:t>
      </w:r>
      <w:r w:rsidRPr="00D00665">
        <w:noBreakHyphen/>
        <w:t>financial assets</w:t>
      </w:r>
      <w:bookmarkEnd w:id="43"/>
    </w:p>
    <w:p w:rsidR="000B4A1E" w:rsidRPr="003E2DBE" w:rsidRDefault="000B4A1E" w:rsidP="00517E51">
      <w:pPr>
        <w:pStyle w:val="million"/>
      </w:pPr>
      <w:r w:rsidRPr="00D00665">
        <w:t>($</w:t>
      </w:r>
      <w:r>
        <w:t> million</w:t>
      </w:r>
      <w:r w:rsidRPr="00D00665">
        <w:t>)</w:t>
      </w:r>
      <w:bookmarkStart w:id="44" w:name="RANGE!B5:F9"/>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861555820"/>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861555820"/>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iCs/>
                <w:lang w:eastAsia="en-AU"/>
              </w:rPr>
            </w:pPr>
            <w:r w:rsidRPr="003E2DBE">
              <w:rPr>
                <w:iCs/>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861555820"/>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Proceeds from disposal of physical assets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406.3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291.8</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248.0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167.1</w:t>
            </w:r>
          </w:p>
        </w:tc>
      </w:tr>
      <w:tr w:rsidR="000B4A1E" w:rsidRPr="003E2DBE" w:rsidTr="00517E51">
        <w:trPr>
          <w:divId w:val="861555820"/>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Written down value of assets sold/(disposed)</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385.2)</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393.4)</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227.2)</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273.0)</w:t>
            </w:r>
          </w:p>
        </w:tc>
      </w:tr>
      <w:tr w:rsidR="000B4A1E" w:rsidRPr="003E2DBE" w:rsidTr="00517E51">
        <w:trPr>
          <w:divId w:val="861555820"/>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Net gain/(loss) on disposal of non-financial assets</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21.0</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w:t>
            </w:r>
            <w:r w:rsidRPr="003E2DBE">
              <w:rPr>
                <w:rFonts w:cs="Calibri"/>
                <w:b/>
                <w:bCs/>
                <w:szCs w:val="22"/>
                <w:lang w:eastAsia="en-AU"/>
              </w:rPr>
              <w:t>101.6)</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20.8</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w:t>
            </w:r>
            <w:r w:rsidRPr="003E2DBE">
              <w:rPr>
                <w:rFonts w:cs="Calibri"/>
                <w:b/>
                <w:bCs/>
                <w:szCs w:val="22"/>
                <w:lang w:eastAsia="en-AU"/>
              </w:rPr>
              <w:t>106.0)</w:t>
            </w:r>
          </w:p>
        </w:tc>
      </w:tr>
      <w:bookmarkEnd w:id="44"/>
    </w:tbl>
    <w:p w:rsidR="000B4A1E" w:rsidRPr="00D00665" w:rsidRDefault="000B4A1E" w:rsidP="00517E51"/>
    <w:p w:rsidR="000B4A1E" w:rsidRPr="00D00665" w:rsidRDefault="000B4A1E" w:rsidP="00517E51">
      <w:pPr>
        <w:pStyle w:val="Heading2Notes"/>
      </w:pPr>
      <w:r w:rsidRPr="00D00665">
        <w:br w:type="page"/>
      </w:r>
      <w:bookmarkStart w:id="45" w:name="_Toc367947874"/>
      <w:r w:rsidRPr="00D00665">
        <w:lastRenderedPageBreak/>
        <w:t>Note 15:</w:t>
      </w:r>
      <w:r w:rsidRPr="00D00665">
        <w:tab/>
        <w:t>Other gains/(losses) from other economic flows</w:t>
      </w:r>
      <w:bookmarkEnd w:id="45"/>
    </w:p>
    <w:p w:rsidR="000B4A1E" w:rsidRPr="003E2DBE" w:rsidRDefault="000B4A1E" w:rsidP="00517E51">
      <w:pPr>
        <w:pStyle w:val="million"/>
      </w:pPr>
      <w:r w:rsidRPr="00D00665">
        <w:t>($</w:t>
      </w:r>
      <w:r>
        <w:t> million</w:t>
      </w:r>
      <w:r w:rsidRPr="00D00665">
        <w:t>)</w:t>
      </w:r>
      <w:bookmarkStart w:id="46" w:name="RANGE!B6:F14"/>
    </w:p>
    <w:tbl>
      <w:tblPr>
        <w:tblW w:w="9648" w:type="dxa"/>
        <w:tblInd w:w="29" w:type="dxa"/>
        <w:tblCellMar>
          <w:left w:w="43" w:type="dxa"/>
          <w:right w:w="43" w:type="dxa"/>
        </w:tblCellMar>
        <w:tblLook w:val="04A0" w:firstRow="1" w:lastRow="0" w:firstColumn="1" w:lastColumn="0" w:noHBand="0" w:noVBand="1"/>
      </w:tblPr>
      <w:tblGrid>
        <w:gridCol w:w="5398"/>
        <w:gridCol w:w="106"/>
        <w:gridCol w:w="90"/>
        <w:gridCol w:w="900"/>
        <w:gridCol w:w="1064"/>
        <w:gridCol w:w="106"/>
        <w:gridCol w:w="990"/>
        <w:gridCol w:w="994"/>
      </w:tblGrid>
      <w:tr w:rsidR="000B4A1E" w:rsidRPr="003E2DBE" w:rsidTr="00517E51">
        <w:trPr>
          <w:divId w:val="1482187849"/>
        </w:trPr>
        <w:tc>
          <w:tcPr>
            <w:tcW w:w="5398" w:type="dxa"/>
            <w:tcBorders>
              <w:top w:val="single" w:sz="4" w:space="0" w:color="auto"/>
              <w:left w:val="single" w:sz="4" w:space="0" w:color="auto"/>
              <w:bottom w:val="nil"/>
              <w:right w:val="nil"/>
            </w:tcBorders>
            <w:shd w:val="clear" w:color="auto" w:fill="000000"/>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054" w:type="dxa"/>
            <w:gridSpan w:val="3"/>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1984"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482187849"/>
        </w:trPr>
        <w:tc>
          <w:tcPr>
            <w:tcW w:w="5398" w:type="dxa"/>
            <w:tcBorders>
              <w:top w:val="nil"/>
              <w:left w:val="single" w:sz="4" w:space="0" w:color="auto"/>
              <w:bottom w:val="single" w:sz="4" w:space="0" w:color="auto"/>
              <w:right w:val="nil"/>
            </w:tcBorders>
            <w:shd w:val="clear" w:color="auto" w:fill="000000"/>
            <w:vAlign w:val="bottom"/>
            <w:hideMark/>
          </w:tcPr>
          <w:p w:rsidR="000B4A1E" w:rsidRPr="003E2DBE" w:rsidRDefault="000B4A1E" w:rsidP="00517E51">
            <w:pPr>
              <w:pStyle w:val="Tabletext"/>
              <w:rPr>
                <w:lang w:eastAsia="en-AU"/>
              </w:rPr>
            </w:pPr>
            <w:r w:rsidRPr="003E2DBE">
              <w:rPr>
                <w:lang w:eastAsia="en-AU"/>
              </w:rPr>
              <w:t xml:space="preserve"> </w:t>
            </w:r>
          </w:p>
        </w:tc>
        <w:tc>
          <w:tcPr>
            <w:tcW w:w="1096" w:type="dxa"/>
            <w:gridSpan w:val="3"/>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064"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096"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994"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482187849"/>
        </w:trPr>
        <w:tc>
          <w:tcPr>
            <w:tcW w:w="5398" w:type="dxa"/>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Net gain/(loss) from revaluation of biological assets</w:t>
            </w:r>
          </w:p>
        </w:tc>
        <w:tc>
          <w:tcPr>
            <w:tcW w:w="1096"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0.6</w:t>
            </w:r>
          </w:p>
        </w:tc>
        <w:tc>
          <w:tcPr>
            <w:tcW w:w="106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15.9</w:t>
            </w:r>
          </w:p>
        </w:tc>
        <w:tc>
          <w:tcPr>
            <w:tcW w:w="1096"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3.2</w:t>
            </w:r>
          </w:p>
        </w:tc>
        <w:tc>
          <w:tcPr>
            <w:tcW w:w="99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19.0</w:t>
            </w:r>
          </w:p>
        </w:tc>
      </w:tr>
      <w:tr w:rsidR="000B4A1E" w:rsidRPr="003E2DBE" w:rsidTr="00517E51">
        <w:trPr>
          <w:divId w:val="1482187849"/>
        </w:trPr>
        <w:tc>
          <w:tcPr>
            <w:tcW w:w="5594" w:type="dxa"/>
            <w:gridSpan w:val="3"/>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Net (increase)/decrease in provision for doubtful receivables</w:t>
            </w:r>
          </w:p>
        </w:tc>
        <w:tc>
          <w:tcPr>
            <w:tcW w:w="90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261.0)</w:t>
            </w:r>
          </w:p>
        </w:tc>
        <w:tc>
          <w:tcPr>
            <w:tcW w:w="106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267.2)</w:t>
            </w:r>
          </w:p>
        </w:tc>
        <w:tc>
          <w:tcPr>
            <w:tcW w:w="1096"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252.6)</w:t>
            </w:r>
          </w:p>
        </w:tc>
        <w:tc>
          <w:tcPr>
            <w:tcW w:w="99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266.8)</w:t>
            </w:r>
          </w:p>
        </w:tc>
      </w:tr>
      <w:tr w:rsidR="000B4A1E" w:rsidRPr="003E2DBE" w:rsidTr="00517E51">
        <w:trPr>
          <w:divId w:val="1482187849"/>
        </w:trPr>
        <w:tc>
          <w:tcPr>
            <w:tcW w:w="5398" w:type="dxa"/>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Amortisation of intangible non-produced assets</w:t>
            </w:r>
          </w:p>
        </w:tc>
        <w:tc>
          <w:tcPr>
            <w:tcW w:w="1096"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23.8)</w:t>
            </w:r>
          </w:p>
        </w:tc>
        <w:tc>
          <w:tcPr>
            <w:tcW w:w="106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22.0)</w:t>
            </w:r>
          </w:p>
        </w:tc>
        <w:tc>
          <w:tcPr>
            <w:tcW w:w="1096"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15.7)</w:t>
            </w:r>
          </w:p>
        </w:tc>
        <w:tc>
          <w:tcPr>
            <w:tcW w:w="99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15.1)</w:t>
            </w:r>
          </w:p>
        </w:tc>
      </w:tr>
      <w:tr w:rsidR="000B4A1E" w:rsidRPr="003E2DBE" w:rsidTr="00517E51">
        <w:trPr>
          <w:divId w:val="1482187849"/>
        </w:trPr>
        <w:tc>
          <w:tcPr>
            <w:tcW w:w="5398" w:type="dxa"/>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Net swap interest revenue/(expense)</w:t>
            </w:r>
          </w:p>
        </w:tc>
        <w:tc>
          <w:tcPr>
            <w:tcW w:w="1096"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17.6)</w:t>
            </w:r>
          </w:p>
        </w:tc>
        <w:tc>
          <w:tcPr>
            <w:tcW w:w="106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6.9)</w:t>
            </w:r>
          </w:p>
        </w:tc>
        <w:tc>
          <w:tcPr>
            <w:tcW w:w="1096"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0.1)</w:t>
            </w:r>
          </w:p>
        </w:tc>
        <w:tc>
          <w:tcPr>
            <w:tcW w:w="99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482187849"/>
        </w:trPr>
        <w:tc>
          <w:tcPr>
            <w:tcW w:w="5398"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Bad debts written off</w:t>
            </w:r>
          </w:p>
        </w:tc>
        <w:tc>
          <w:tcPr>
            <w:tcW w:w="1096"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177.9)</w:t>
            </w:r>
          </w:p>
        </w:tc>
        <w:tc>
          <w:tcPr>
            <w:tcW w:w="106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101.3)</w:t>
            </w:r>
          </w:p>
        </w:tc>
        <w:tc>
          <w:tcPr>
            <w:tcW w:w="1096"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162.5)</w:t>
            </w:r>
          </w:p>
        </w:tc>
        <w:tc>
          <w:tcPr>
            <w:tcW w:w="99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87.7)</w:t>
            </w:r>
          </w:p>
        </w:tc>
      </w:tr>
      <w:tr w:rsidR="000B4A1E" w:rsidRPr="003E2DBE" w:rsidTr="00517E51">
        <w:trPr>
          <w:divId w:val="1482187849"/>
        </w:trPr>
        <w:tc>
          <w:tcPr>
            <w:tcW w:w="5398"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 xml:space="preserve">Other gains/(losses) </w:t>
            </w:r>
            <w:r w:rsidRPr="003E2DBE">
              <w:rPr>
                <w:rFonts w:cs="Calibri"/>
                <w:szCs w:val="22"/>
                <w:vertAlign w:val="superscript"/>
                <w:lang w:eastAsia="en-AU"/>
              </w:rPr>
              <w:t>(a)</w:t>
            </w:r>
          </w:p>
        </w:tc>
        <w:tc>
          <w:tcPr>
            <w:tcW w:w="1096" w:type="dxa"/>
            <w:gridSpan w:val="3"/>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029.5</w:t>
            </w:r>
          </w:p>
        </w:tc>
        <w:tc>
          <w:tcPr>
            <w:tcW w:w="106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(1</w:t>
            </w:r>
            <w:r w:rsidRPr="003E2DBE">
              <w:rPr>
                <w:rFonts w:cs="Calibri"/>
                <w:szCs w:val="22"/>
                <w:lang w:eastAsia="en-AU"/>
              </w:rPr>
              <w:t xml:space="preserve"> 597.5)</w:t>
            </w:r>
          </w:p>
        </w:tc>
        <w:tc>
          <w:tcPr>
            <w:tcW w:w="1096"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165.3</w:t>
            </w:r>
          </w:p>
        </w:tc>
        <w:tc>
          <w:tcPr>
            <w:tcW w:w="99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436.6)</w:t>
            </w:r>
          </w:p>
        </w:tc>
      </w:tr>
      <w:tr w:rsidR="000B4A1E" w:rsidRPr="003E2DBE" w:rsidTr="00517E51">
        <w:trPr>
          <w:divId w:val="1482187849"/>
        </w:trPr>
        <w:tc>
          <w:tcPr>
            <w:tcW w:w="5398"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 other gains/(losses) from other economic flows</w:t>
            </w:r>
          </w:p>
        </w:tc>
        <w:tc>
          <w:tcPr>
            <w:tcW w:w="1096" w:type="dxa"/>
            <w:gridSpan w:val="3"/>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549.7</w:t>
            </w:r>
          </w:p>
        </w:tc>
        <w:tc>
          <w:tcPr>
            <w:tcW w:w="106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(1</w:t>
            </w:r>
            <w:r w:rsidRPr="003E2DBE">
              <w:rPr>
                <w:rFonts w:cs="Calibri"/>
                <w:b/>
                <w:bCs/>
                <w:szCs w:val="22"/>
                <w:lang w:eastAsia="en-AU"/>
              </w:rPr>
              <w:t xml:space="preserve"> 979.0)</w:t>
            </w:r>
          </w:p>
        </w:tc>
        <w:tc>
          <w:tcPr>
            <w:tcW w:w="1096"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w:t>
            </w:r>
            <w:r w:rsidRPr="003E2DBE">
              <w:rPr>
                <w:rFonts w:cs="Calibri"/>
                <w:b/>
                <w:bCs/>
                <w:szCs w:val="22"/>
                <w:lang w:eastAsia="en-AU"/>
              </w:rPr>
              <w:t>262.3)</w:t>
            </w:r>
          </w:p>
        </w:tc>
        <w:tc>
          <w:tcPr>
            <w:tcW w:w="99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w:t>
            </w:r>
            <w:r w:rsidRPr="003E2DBE">
              <w:rPr>
                <w:rFonts w:cs="Calibri"/>
                <w:b/>
                <w:bCs/>
                <w:szCs w:val="22"/>
                <w:lang w:eastAsia="en-AU"/>
              </w:rPr>
              <w:t>787.2)</w:t>
            </w:r>
          </w:p>
        </w:tc>
      </w:tr>
    </w:tbl>
    <w:bookmarkEnd w:id="46"/>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The 2011</w:t>
      </w:r>
      <w:r w:rsidRPr="00D00665">
        <w:noBreakHyphen/>
        <w:t>12 comparative figures have been restated as part of Snowy Hydro Limited</w:t>
      </w:r>
      <w:r>
        <w:t>’</w:t>
      </w:r>
      <w:r w:rsidRPr="00D00665">
        <w:t>s adjustments.</w:t>
      </w:r>
    </w:p>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 w:rsidR="000B4A1E" w:rsidRPr="00D00665" w:rsidRDefault="000B4A1E" w:rsidP="00517E51"/>
    <w:p w:rsidR="000B4A1E" w:rsidRPr="00D00665" w:rsidRDefault="000B4A1E" w:rsidP="00517E51">
      <w:pPr>
        <w:pStyle w:val="Heading2Notes"/>
      </w:pPr>
      <w:bookmarkStart w:id="47" w:name="_Toc367947875"/>
      <w:r w:rsidRPr="00D00665">
        <w:t>Note 16:</w:t>
      </w:r>
      <w:r w:rsidRPr="00D00665">
        <w:tab/>
        <w:t>Advances paid and investments, loans and placements</w:t>
      </w:r>
      <w:bookmarkEnd w:id="47"/>
    </w:p>
    <w:p w:rsidR="000B4A1E" w:rsidRPr="003E2DBE" w:rsidRDefault="000B4A1E" w:rsidP="00517E51">
      <w:pPr>
        <w:pStyle w:val="million"/>
      </w:pPr>
      <w:r w:rsidRPr="00D00665">
        <w:t>($</w:t>
      </w:r>
      <w:r>
        <w:t> million</w:t>
      </w:r>
      <w:r w:rsidRPr="00D00665">
        <w:t>)</w:t>
      </w:r>
      <w:bookmarkStart w:id="48" w:name="RANGE!D5:H29"/>
      <w:bookmarkStart w:id="49" w:name="RANGE!D5:H28"/>
    </w:p>
    <w:tbl>
      <w:tblPr>
        <w:tblW w:w="9648" w:type="dxa"/>
        <w:tblInd w:w="29" w:type="dxa"/>
        <w:tblCellMar>
          <w:left w:w="43" w:type="dxa"/>
          <w:right w:w="43" w:type="dxa"/>
        </w:tblCellMar>
        <w:tblLook w:val="04A0" w:firstRow="1" w:lastRow="0" w:firstColumn="1" w:lastColumn="0" w:noHBand="0" w:noVBand="1"/>
      </w:tblPr>
      <w:tblGrid>
        <w:gridCol w:w="5054"/>
        <w:gridCol w:w="208"/>
        <w:gridCol w:w="911"/>
        <w:gridCol w:w="106"/>
        <w:gridCol w:w="1017"/>
        <w:gridCol w:w="106"/>
        <w:gridCol w:w="106"/>
        <w:gridCol w:w="1017"/>
        <w:gridCol w:w="1123"/>
      </w:tblGrid>
      <w:tr w:rsidR="000B4A1E" w:rsidRPr="003E2DBE" w:rsidTr="00517E51">
        <w:trPr>
          <w:divId w:val="1735077579"/>
        </w:trPr>
        <w:tc>
          <w:tcPr>
            <w:tcW w:w="5054"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208"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4"/>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735077579"/>
        </w:trPr>
        <w:tc>
          <w:tcPr>
            <w:tcW w:w="5054" w:type="dxa"/>
            <w:tcBorders>
              <w:top w:val="single" w:sz="4" w:space="0" w:color="auto"/>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225" w:type="dxa"/>
            <w:gridSpan w:val="3"/>
            <w:tcBorders>
              <w:top w:val="nil"/>
              <w:left w:val="nil"/>
              <w:bottom w:val="single" w:sz="4" w:space="0" w:color="auto"/>
              <w:right w:val="nil"/>
            </w:tcBorders>
            <w:shd w:val="clear" w:color="auto" w:fill="000000"/>
            <w:noWrap/>
            <w:vAlign w:val="bottom"/>
            <w:hideMark/>
          </w:tcPr>
          <w:p w:rsidR="000B4A1E" w:rsidRPr="003E2DBE" w:rsidRDefault="000B4A1E" w:rsidP="00517E51">
            <w:pPr>
              <w:pStyle w:val="Tabletextheading"/>
              <w:rPr>
                <w:iCs/>
                <w:lang w:eastAsia="en-AU"/>
              </w:rPr>
            </w:pPr>
            <w:r w:rsidRPr="003E2DBE">
              <w:rPr>
                <w:iCs/>
                <w:lang w:eastAsia="en-AU"/>
              </w:rPr>
              <w:t>2013</w:t>
            </w:r>
          </w:p>
        </w:tc>
        <w:tc>
          <w:tcPr>
            <w:tcW w:w="1123" w:type="dxa"/>
            <w:gridSpan w:val="2"/>
            <w:tcBorders>
              <w:top w:val="nil"/>
              <w:left w:val="nil"/>
              <w:bottom w:val="single" w:sz="4" w:space="0" w:color="auto"/>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735077579"/>
        </w:trPr>
        <w:tc>
          <w:tcPr>
            <w:tcW w:w="6173" w:type="dxa"/>
            <w:gridSpan w:val="3"/>
            <w:tcBorders>
              <w:top w:val="single" w:sz="4" w:space="0" w:color="auto"/>
              <w:left w:val="nil"/>
              <w:bottom w:val="nil"/>
              <w:right w:val="nil"/>
            </w:tcBorders>
            <w:shd w:val="clear" w:color="000000" w:fill="FFFFFF"/>
            <w:noWrap/>
            <w:vAlign w:val="bottom"/>
            <w:hideMark/>
          </w:tcPr>
          <w:p w:rsidR="000B4A1E" w:rsidRPr="003E2DBE" w:rsidRDefault="000B4A1E" w:rsidP="00517E51">
            <w:pPr>
              <w:pStyle w:val="Tabletext"/>
              <w:rPr>
                <w:b/>
                <w:bCs/>
                <w:lang w:eastAsia="en-AU"/>
              </w:rPr>
            </w:pPr>
            <w:r w:rsidRPr="003E2DBE">
              <w:rPr>
                <w:b/>
                <w:bCs/>
                <w:lang w:eastAsia="en-AU"/>
              </w:rPr>
              <w:t>Current advances paid and investments, loans and placements</w:t>
            </w:r>
          </w:p>
        </w:tc>
        <w:tc>
          <w:tcPr>
            <w:tcW w:w="106" w:type="dxa"/>
            <w:tcBorders>
              <w:top w:val="single" w:sz="4" w:space="0" w:color="auto"/>
              <w:left w:val="nil"/>
              <w:bottom w:val="nil"/>
              <w:right w:val="nil"/>
            </w:tcBorders>
            <w:shd w:val="clear" w:color="000000" w:fill="FFFFFF"/>
            <w:noWrap/>
            <w:hideMark/>
          </w:tcPr>
          <w:p w:rsidR="000B4A1E" w:rsidRPr="003E2DBE" w:rsidRDefault="000B4A1E" w:rsidP="00517E51">
            <w:pPr>
              <w:pStyle w:val="TableofFigures"/>
              <w:rPr>
                <w:b/>
                <w:bCs/>
                <w:i/>
                <w:iCs/>
                <w:lang w:eastAsia="en-AU"/>
              </w:rPr>
            </w:pPr>
            <w:r w:rsidRPr="003E2DBE">
              <w:rPr>
                <w:b/>
                <w:bCs/>
                <w:i/>
                <w:iCs/>
                <w:lang w:eastAsia="en-AU"/>
              </w:rPr>
              <w:t xml:space="preserve"> </w:t>
            </w:r>
          </w:p>
        </w:tc>
        <w:tc>
          <w:tcPr>
            <w:tcW w:w="1123" w:type="dxa"/>
            <w:gridSpan w:val="2"/>
            <w:tcBorders>
              <w:top w:val="single" w:sz="4" w:space="0" w:color="auto"/>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123" w:type="dxa"/>
            <w:gridSpan w:val="2"/>
            <w:tcBorders>
              <w:top w:val="single" w:sz="4" w:space="0" w:color="auto"/>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123" w:type="dxa"/>
            <w:tcBorders>
              <w:top w:val="single" w:sz="4" w:space="0" w:color="auto"/>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1735077579"/>
        </w:trPr>
        <w:tc>
          <w:tcPr>
            <w:tcW w:w="505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Loans and advances receivable</w:t>
            </w:r>
          </w:p>
        </w:tc>
        <w:tc>
          <w:tcPr>
            <w:tcW w:w="1225"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74.1</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137.0</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63.6</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11.3</w:t>
            </w:r>
          </w:p>
        </w:tc>
      </w:tr>
      <w:tr w:rsidR="000B4A1E" w:rsidRPr="003E2DBE" w:rsidTr="00517E51">
        <w:trPr>
          <w:divId w:val="1735077579"/>
        </w:trPr>
        <w:tc>
          <w:tcPr>
            <w:tcW w:w="505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 xml:space="preserve">Equities and managed investment schemes </w:t>
            </w:r>
          </w:p>
        </w:tc>
        <w:tc>
          <w:tcPr>
            <w:tcW w:w="1225"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461.8</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218.6</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453.2</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205.6</w:t>
            </w:r>
          </w:p>
        </w:tc>
      </w:tr>
      <w:tr w:rsidR="000B4A1E" w:rsidRPr="003E2DBE" w:rsidTr="00517E51">
        <w:trPr>
          <w:divId w:val="1735077579"/>
        </w:trPr>
        <w:tc>
          <w:tcPr>
            <w:tcW w:w="505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 xml:space="preserve">Australian dollar term deposits </w:t>
            </w:r>
            <w:r w:rsidRPr="003E2DBE">
              <w:rPr>
                <w:vertAlign w:val="superscript"/>
                <w:lang w:eastAsia="en-AU"/>
              </w:rPr>
              <w:t>(a)</w:t>
            </w:r>
          </w:p>
        </w:tc>
        <w:tc>
          <w:tcPr>
            <w:tcW w:w="1225"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897.1</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091.9</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453.9</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533.5</w:t>
            </w:r>
          </w:p>
        </w:tc>
      </w:tr>
      <w:tr w:rsidR="000B4A1E" w:rsidRPr="003E2DBE" w:rsidTr="00517E51">
        <w:trPr>
          <w:divId w:val="1735077579"/>
        </w:trPr>
        <w:tc>
          <w:tcPr>
            <w:tcW w:w="505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Foreign currency term deposits</w:t>
            </w:r>
          </w:p>
        </w:tc>
        <w:tc>
          <w:tcPr>
            <w:tcW w:w="1225"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0.1</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735077579"/>
        </w:trPr>
        <w:tc>
          <w:tcPr>
            <w:tcW w:w="505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Debt securities</w:t>
            </w:r>
            <w:r w:rsidRPr="003E2DBE">
              <w:rPr>
                <w:vertAlign w:val="superscript"/>
                <w:lang w:eastAsia="en-AU"/>
              </w:rPr>
              <w:t xml:space="preserve"> </w:t>
            </w:r>
          </w:p>
        </w:tc>
        <w:tc>
          <w:tcPr>
            <w:tcW w:w="1225"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750.2</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139.7</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1.8</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7.4</w:t>
            </w:r>
          </w:p>
        </w:tc>
      </w:tr>
      <w:tr w:rsidR="000B4A1E" w:rsidRPr="003E2DBE" w:rsidTr="00517E51">
        <w:trPr>
          <w:divId w:val="1735077579"/>
        </w:trPr>
        <w:tc>
          <w:tcPr>
            <w:tcW w:w="505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Derivative financial instruments</w:t>
            </w:r>
          </w:p>
        </w:tc>
        <w:tc>
          <w:tcPr>
            <w:tcW w:w="1225"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428.2</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280.1</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735077579"/>
        </w:trPr>
        <w:tc>
          <w:tcPr>
            <w:tcW w:w="5054" w:type="dxa"/>
            <w:tcBorders>
              <w:top w:val="single" w:sz="4" w:space="0" w:color="auto"/>
              <w:left w:val="nil"/>
              <w:bottom w:val="nil"/>
              <w:right w:val="nil"/>
            </w:tcBorders>
            <w:shd w:val="clear" w:color="000000" w:fill="FFFFFF"/>
            <w:noWrap/>
            <w:vAlign w:val="bottom"/>
            <w:hideMark/>
          </w:tcPr>
          <w:p w:rsidR="000B4A1E" w:rsidRPr="003E2DBE" w:rsidRDefault="000B4A1E" w:rsidP="00517E51">
            <w:pPr>
              <w:pStyle w:val="Tabletext"/>
              <w:rPr>
                <w:b/>
                <w:bCs/>
                <w:lang w:eastAsia="en-AU"/>
              </w:rPr>
            </w:pPr>
            <w:r w:rsidRPr="003E2DBE">
              <w:rPr>
                <w:b/>
                <w:bCs/>
                <w:lang w:eastAsia="en-AU"/>
              </w:rPr>
              <w:t>Total current advances paid and investments, loans and placements</w:t>
            </w:r>
          </w:p>
        </w:tc>
        <w:tc>
          <w:tcPr>
            <w:tcW w:w="1225" w:type="dxa"/>
            <w:gridSpan w:val="3"/>
            <w:tcBorders>
              <w:top w:val="single" w:sz="4" w:space="0" w:color="auto"/>
              <w:left w:val="nil"/>
              <w:bottom w:val="nil"/>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611.4</w:t>
            </w:r>
          </w:p>
        </w:tc>
        <w:tc>
          <w:tcPr>
            <w:tcW w:w="1123" w:type="dxa"/>
            <w:gridSpan w:val="2"/>
            <w:tcBorders>
              <w:top w:val="single" w:sz="4" w:space="0" w:color="auto"/>
              <w:left w:val="nil"/>
              <w:bottom w:val="nil"/>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6 </w:t>
            </w:r>
            <w:r w:rsidRPr="003E2DBE">
              <w:rPr>
                <w:rFonts w:cs="Calibri"/>
                <w:b/>
                <w:bCs/>
                <w:szCs w:val="22"/>
                <w:lang w:eastAsia="en-AU"/>
              </w:rPr>
              <w:t>867.3</w:t>
            </w:r>
          </w:p>
        </w:tc>
        <w:tc>
          <w:tcPr>
            <w:tcW w:w="1123" w:type="dxa"/>
            <w:gridSpan w:val="2"/>
            <w:tcBorders>
              <w:top w:val="single" w:sz="4" w:space="0" w:color="auto"/>
              <w:left w:val="nil"/>
              <w:bottom w:val="nil"/>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972.4</w:t>
            </w:r>
          </w:p>
        </w:tc>
        <w:tc>
          <w:tcPr>
            <w:tcW w:w="1123" w:type="dxa"/>
            <w:tcBorders>
              <w:top w:val="single" w:sz="4" w:space="0" w:color="auto"/>
              <w:left w:val="nil"/>
              <w:bottom w:val="nil"/>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757.8</w:t>
            </w:r>
          </w:p>
        </w:tc>
      </w:tr>
      <w:tr w:rsidR="000B4A1E" w:rsidRPr="003E2DBE" w:rsidTr="00517E51">
        <w:trPr>
          <w:divId w:val="1735077579"/>
        </w:trPr>
        <w:tc>
          <w:tcPr>
            <w:tcW w:w="5054" w:type="dxa"/>
            <w:tcBorders>
              <w:top w:val="nil"/>
              <w:left w:val="nil"/>
              <w:bottom w:val="nil"/>
              <w:right w:val="nil"/>
            </w:tcBorders>
            <w:shd w:val="clear" w:color="000000" w:fill="FFFFFF"/>
            <w:noWrap/>
            <w:vAlign w:val="bottom"/>
            <w:hideMark/>
          </w:tcPr>
          <w:p w:rsidR="000B4A1E" w:rsidRPr="003E2DBE" w:rsidRDefault="000B4A1E" w:rsidP="00517E51">
            <w:pPr>
              <w:pStyle w:val="Tabletext"/>
              <w:rPr>
                <w:b/>
                <w:bCs/>
                <w:lang w:eastAsia="en-AU"/>
              </w:rPr>
            </w:pPr>
            <w:r w:rsidRPr="003E2DBE">
              <w:rPr>
                <w:b/>
                <w:bCs/>
                <w:lang w:eastAsia="en-AU"/>
              </w:rPr>
              <w:t>Non-current advances paid and investments, loans and placements</w:t>
            </w:r>
          </w:p>
        </w:tc>
        <w:tc>
          <w:tcPr>
            <w:tcW w:w="2242" w:type="dxa"/>
            <w:gridSpan w:val="4"/>
            <w:tcBorders>
              <w:top w:val="nil"/>
              <w:left w:val="nil"/>
              <w:bottom w:val="nil"/>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 xml:space="preserve">  </w:t>
            </w:r>
          </w:p>
        </w:tc>
        <w:tc>
          <w:tcPr>
            <w:tcW w:w="106" w:type="dxa"/>
            <w:tcBorders>
              <w:top w:val="nil"/>
              <w:left w:val="nil"/>
              <w:bottom w:val="nil"/>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 xml:space="preserve">  </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1735077579"/>
        </w:trPr>
        <w:tc>
          <w:tcPr>
            <w:tcW w:w="505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Loans and advances receivable</w:t>
            </w:r>
          </w:p>
        </w:tc>
        <w:tc>
          <w:tcPr>
            <w:tcW w:w="1225"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653.2</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482.5</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563.2</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289.7</w:t>
            </w:r>
          </w:p>
        </w:tc>
      </w:tr>
      <w:tr w:rsidR="000B4A1E" w:rsidRPr="003E2DBE" w:rsidTr="00517E51">
        <w:trPr>
          <w:divId w:val="1735077579"/>
        </w:trPr>
        <w:tc>
          <w:tcPr>
            <w:tcW w:w="505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 xml:space="preserve">Equities and managed investment schemes </w:t>
            </w:r>
          </w:p>
        </w:tc>
        <w:tc>
          <w:tcPr>
            <w:tcW w:w="1225"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14 </w:t>
            </w:r>
            <w:r w:rsidRPr="003E2DBE">
              <w:rPr>
                <w:rFonts w:cs="Calibri"/>
                <w:szCs w:val="22"/>
                <w:lang w:eastAsia="en-AU"/>
              </w:rPr>
              <w:t>510.5</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10 </w:t>
            </w:r>
            <w:r w:rsidRPr="003E2DBE">
              <w:rPr>
                <w:rFonts w:cs="Calibri"/>
                <w:szCs w:val="22"/>
                <w:lang w:eastAsia="en-AU"/>
              </w:rPr>
              <w:t>734.0</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228.8</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215.8</w:t>
            </w:r>
          </w:p>
        </w:tc>
      </w:tr>
      <w:tr w:rsidR="000B4A1E" w:rsidRPr="003E2DBE" w:rsidTr="00517E51">
        <w:trPr>
          <w:divId w:val="1735077579"/>
        </w:trPr>
        <w:tc>
          <w:tcPr>
            <w:tcW w:w="505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Australian dollar term deposits</w:t>
            </w:r>
          </w:p>
        </w:tc>
        <w:tc>
          <w:tcPr>
            <w:tcW w:w="1225"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200.1</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203.6</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205.9</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227.9</w:t>
            </w:r>
          </w:p>
        </w:tc>
      </w:tr>
      <w:tr w:rsidR="000B4A1E" w:rsidRPr="003E2DBE" w:rsidTr="00517E51">
        <w:trPr>
          <w:divId w:val="1735077579"/>
        </w:trPr>
        <w:tc>
          <w:tcPr>
            <w:tcW w:w="505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Foreign currency term deposits</w:t>
            </w:r>
          </w:p>
        </w:tc>
        <w:tc>
          <w:tcPr>
            <w:tcW w:w="1225"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735077579"/>
        </w:trPr>
        <w:tc>
          <w:tcPr>
            <w:tcW w:w="505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 xml:space="preserve">Debt securities </w:t>
            </w:r>
          </w:p>
        </w:tc>
        <w:tc>
          <w:tcPr>
            <w:tcW w:w="1225"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6 </w:t>
            </w:r>
            <w:r w:rsidRPr="003E2DBE">
              <w:rPr>
                <w:rFonts w:cs="Calibri"/>
                <w:szCs w:val="22"/>
                <w:lang w:eastAsia="en-AU"/>
              </w:rPr>
              <w:t>435.1</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7 </w:t>
            </w:r>
            <w:r w:rsidRPr="003E2DBE">
              <w:rPr>
                <w:rFonts w:cs="Calibri"/>
                <w:szCs w:val="22"/>
                <w:lang w:eastAsia="en-AU"/>
              </w:rPr>
              <w:t>082.8</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39.9</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30.6</w:t>
            </w:r>
          </w:p>
        </w:tc>
      </w:tr>
      <w:tr w:rsidR="000B4A1E" w:rsidRPr="003E2DBE" w:rsidTr="00517E51">
        <w:trPr>
          <w:divId w:val="1735077579"/>
        </w:trPr>
        <w:tc>
          <w:tcPr>
            <w:tcW w:w="505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Derivative financial instruments</w:t>
            </w:r>
          </w:p>
        </w:tc>
        <w:tc>
          <w:tcPr>
            <w:tcW w:w="1225"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285.5</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374.6</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735077579"/>
        </w:trPr>
        <w:tc>
          <w:tcPr>
            <w:tcW w:w="5054" w:type="dxa"/>
            <w:tcBorders>
              <w:top w:val="single" w:sz="4" w:space="0" w:color="auto"/>
              <w:left w:val="nil"/>
              <w:bottom w:val="single" w:sz="4" w:space="0" w:color="auto"/>
              <w:right w:val="nil"/>
            </w:tcBorders>
            <w:shd w:val="clear" w:color="000000" w:fill="FFFFFF"/>
            <w:noWrap/>
            <w:vAlign w:val="bottom"/>
            <w:hideMark/>
          </w:tcPr>
          <w:p w:rsidR="000B4A1E" w:rsidRPr="003E2DBE" w:rsidRDefault="000B4A1E" w:rsidP="00517E51">
            <w:pPr>
              <w:pStyle w:val="Tabletext"/>
              <w:rPr>
                <w:b/>
                <w:bCs/>
                <w:lang w:eastAsia="en-AU"/>
              </w:rPr>
            </w:pPr>
            <w:r w:rsidRPr="003E2DBE">
              <w:rPr>
                <w:b/>
                <w:bCs/>
                <w:lang w:eastAsia="en-AU"/>
              </w:rPr>
              <w:t>Total non-current advances paid and investments, loans and placements</w:t>
            </w:r>
          </w:p>
        </w:tc>
        <w:tc>
          <w:tcPr>
            <w:tcW w:w="1225" w:type="dxa"/>
            <w:gridSpan w:val="3"/>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23 </w:t>
            </w:r>
            <w:r w:rsidRPr="003E2DBE">
              <w:rPr>
                <w:rFonts w:cs="Calibri"/>
                <w:b/>
                <w:bCs/>
                <w:szCs w:val="22"/>
                <w:lang w:eastAsia="en-AU"/>
              </w:rPr>
              <w:t>084.3</w:t>
            </w:r>
          </w:p>
        </w:tc>
        <w:tc>
          <w:tcPr>
            <w:tcW w:w="1123" w:type="dxa"/>
            <w:gridSpan w:val="2"/>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19 </w:t>
            </w:r>
            <w:r w:rsidRPr="003E2DBE">
              <w:rPr>
                <w:rFonts w:cs="Calibri"/>
                <w:b/>
                <w:bCs/>
                <w:szCs w:val="22"/>
                <w:lang w:eastAsia="en-AU"/>
              </w:rPr>
              <w:t>877.5</w:t>
            </w:r>
          </w:p>
        </w:tc>
        <w:tc>
          <w:tcPr>
            <w:tcW w:w="1123" w:type="dxa"/>
            <w:gridSpan w:val="2"/>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037.8</w:t>
            </w:r>
          </w:p>
        </w:tc>
        <w:tc>
          <w:tcPr>
            <w:tcW w:w="1123"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764.1</w:t>
            </w:r>
          </w:p>
        </w:tc>
      </w:tr>
      <w:tr w:rsidR="000B4A1E" w:rsidRPr="003E2DBE" w:rsidTr="00517E51">
        <w:trPr>
          <w:divId w:val="1735077579"/>
        </w:trPr>
        <w:tc>
          <w:tcPr>
            <w:tcW w:w="5054" w:type="dxa"/>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text"/>
              <w:rPr>
                <w:b/>
                <w:bCs/>
                <w:lang w:eastAsia="en-AU"/>
              </w:rPr>
            </w:pPr>
            <w:r w:rsidRPr="003E2DBE">
              <w:rPr>
                <w:b/>
                <w:bCs/>
                <w:lang w:eastAsia="en-AU"/>
              </w:rPr>
              <w:t>Total advances paid and investments, loans and placements</w:t>
            </w:r>
          </w:p>
        </w:tc>
        <w:tc>
          <w:tcPr>
            <w:tcW w:w="1225" w:type="dxa"/>
            <w:gridSpan w:val="3"/>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27 </w:t>
            </w:r>
            <w:r w:rsidRPr="003E2DBE">
              <w:rPr>
                <w:rFonts w:cs="Calibri"/>
                <w:b/>
                <w:bCs/>
                <w:szCs w:val="22"/>
                <w:lang w:eastAsia="en-AU"/>
              </w:rPr>
              <w:t>695.7</w:t>
            </w:r>
          </w:p>
        </w:tc>
        <w:tc>
          <w:tcPr>
            <w:tcW w:w="1123"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26 </w:t>
            </w:r>
            <w:r w:rsidRPr="003E2DBE">
              <w:rPr>
                <w:rFonts w:cs="Calibri"/>
                <w:b/>
                <w:bCs/>
                <w:szCs w:val="22"/>
                <w:lang w:eastAsia="en-AU"/>
              </w:rPr>
              <w:t>744.8</w:t>
            </w:r>
          </w:p>
        </w:tc>
        <w:tc>
          <w:tcPr>
            <w:tcW w:w="1123"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8 </w:t>
            </w:r>
            <w:r w:rsidRPr="003E2DBE">
              <w:rPr>
                <w:rFonts w:cs="Calibri"/>
                <w:b/>
                <w:bCs/>
                <w:szCs w:val="22"/>
                <w:lang w:eastAsia="en-AU"/>
              </w:rPr>
              <w:t>010.2</w:t>
            </w:r>
          </w:p>
        </w:tc>
        <w:tc>
          <w:tcPr>
            <w:tcW w:w="1123"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521.8</w:t>
            </w:r>
          </w:p>
        </w:tc>
      </w:tr>
    </w:tbl>
    <w:bookmarkEnd w:id="48"/>
    <w:bookmarkEnd w:id="49"/>
    <w:p w:rsidR="000B4A1E" w:rsidRPr="00D00665" w:rsidRDefault="000B4A1E" w:rsidP="00517E51">
      <w:pPr>
        <w:pStyle w:val="Notes"/>
      </w:pPr>
      <w:r w:rsidRPr="00D00665">
        <w:t>Note:</w:t>
      </w:r>
    </w:p>
    <w:p w:rsidR="000B4A1E" w:rsidRPr="00D00665" w:rsidRDefault="00405D0E" w:rsidP="00517E51">
      <w:pPr>
        <w:pStyle w:val="Notes"/>
      </w:pPr>
      <w:r>
        <w:t>(a)</w:t>
      </w:r>
      <w:r>
        <w:tab/>
      </w:r>
      <w:r w:rsidR="000B4A1E" w:rsidRPr="00D00665">
        <w:t>Review of Cash Investments in 2012-13 has reclassified some Australian Dollar Term Deposits held in 2011-12 to Cash and Deposits.</w:t>
      </w:r>
    </w:p>
    <w:p w:rsidR="000B4A1E" w:rsidRPr="00D00665" w:rsidRDefault="000B4A1E" w:rsidP="00517E51">
      <w:pPr>
        <w:pStyle w:val="Heading2Notes"/>
        <w:spacing w:before="120"/>
      </w:pPr>
      <w:r w:rsidRPr="00D00665">
        <w:br w:type="page"/>
      </w:r>
      <w:bookmarkStart w:id="50" w:name="_Toc367947876"/>
      <w:r w:rsidRPr="00D00665">
        <w:lastRenderedPageBreak/>
        <w:t>Note 17:</w:t>
      </w:r>
      <w:r w:rsidRPr="00D00665">
        <w:tab/>
        <w:t>Receivables</w:t>
      </w:r>
      <w:bookmarkEnd w:id="50"/>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865"/>
        <w:gridCol w:w="1123"/>
        <w:gridCol w:w="262"/>
        <w:gridCol w:w="861"/>
        <w:gridCol w:w="1123"/>
      </w:tblGrid>
      <w:tr w:rsidR="000B4A1E" w:rsidRPr="003E2DBE" w:rsidTr="00517E51">
        <w:tc>
          <w:tcPr>
            <w:tcW w:w="5156" w:type="dxa"/>
            <w:tcBorders>
              <w:top w:val="single" w:sz="6" w:space="0" w:color="auto"/>
              <w:left w:val="single" w:sz="6"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58"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8" w:type="dxa"/>
            <w:gridSpan w:val="2"/>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262"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2"/>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r>
      <w:tr w:rsidR="000B4A1E" w:rsidRPr="003E2DBE" w:rsidTr="00517E51">
        <w:tc>
          <w:tcPr>
            <w:tcW w:w="5156" w:type="dxa"/>
            <w:tcBorders>
              <w:top w:val="nil"/>
              <w:left w:val="single" w:sz="6"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6" w:space="0" w:color="auto"/>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Contractual</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Sales of goods and services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1 215.9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1 217.6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709.9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595.0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Accrued investment income</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234.5</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408.8</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185.3</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78.2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vertAlign w:val="superscript"/>
                <w:lang w:eastAsia="en-AU"/>
              </w:rPr>
            </w:pPr>
            <w:r w:rsidRPr="003E2DBE">
              <w:rPr>
                <w:rFonts w:eastAsiaTheme="minorEastAsia"/>
                <w:lang w:eastAsia="en-AU"/>
              </w:rPr>
              <w:t xml:space="preserve">Other receivables </w:t>
            </w:r>
            <w:r w:rsidRPr="003E2DBE">
              <w:rPr>
                <w:rFonts w:eastAsiaTheme="minorEastAsia" w:cs="Calibri"/>
                <w:szCs w:val="22"/>
                <w:vertAlign w:val="superscript"/>
                <w:lang w:eastAsia="en-AU"/>
              </w:rPr>
              <w:t>(a)(b)</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2 126.9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692.4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1 102.1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1 180.6</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Provision for doubtful contractual receivables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( 145.9)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( 134.0)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( 68.5)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( 63.0)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Statutory</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vertAlign w:val="superscript"/>
                <w:lang w:eastAsia="en-AU"/>
              </w:rPr>
            </w:pPr>
            <w:r w:rsidRPr="003E2DBE">
              <w:rPr>
                <w:rFonts w:eastAsiaTheme="minorEastAsia"/>
                <w:lang w:eastAsia="en-AU"/>
              </w:rPr>
              <w:t xml:space="preserve">Sales of goods and services </w:t>
            </w:r>
            <w:r w:rsidRPr="003E2DBE">
              <w:rPr>
                <w:rFonts w:eastAsiaTheme="minorEastAsia"/>
                <w:vertAlign w:val="superscript"/>
                <w:lang w:eastAsia="en-AU"/>
              </w:rPr>
              <w:t>(</w:t>
            </w:r>
            <w:r w:rsidRPr="003E2DBE">
              <w:rPr>
                <w:rFonts w:eastAsiaTheme="minorEastAsia" w:cs="Calibri"/>
                <w:szCs w:val="22"/>
                <w:vertAlign w:val="superscript"/>
                <w:lang w:eastAsia="en-AU"/>
              </w:rPr>
              <w:t>b)</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905.1</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799.4</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Pr>
                <w:rFonts w:eastAsiaTheme="minorEastAsia"/>
                <w:lang w:eastAsia="en-AU"/>
              </w:rPr>
              <w:t>..</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Taxes receivables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2 113.4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1 170.5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2 152.1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1 184.5</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Fines and regulatory fees</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1 519.9</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1 299.0</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1 519.9</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1 299.0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GST input tax credits recoverable</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727.5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706.4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285.7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258.9</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Provision for doubtful statutory receivables </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( 825.5)</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( 699.9)</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( 825.5)</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( 699.9)</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receivables</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7 871.9</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5 460.2</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5 061.0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3 833.5</w:t>
            </w:r>
          </w:p>
        </w:tc>
      </w:tr>
      <w:tr w:rsidR="000B4A1E" w:rsidRPr="003E2DBE" w:rsidTr="00517E51">
        <w:tc>
          <w:tcPr>
            <w:tcW w:w="5156" w:type="dxa"/>
            <w:tcBorders>
              <w:top w:val="single" w:sz="12"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Represented by:</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Current receivables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5 393.3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4 604.8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3 882.9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3 080.1</w:t>
            </w:r>
          </w:p>
        </w:tc>
      </w:tr>
      <w:tr w:rsidR="000B4A1E" w:rsidRPr="003E2DBE" w:rsidTr="00517E51">
        <w:tc>
          <w:tcPr>
            <w:tcW w:w="5156" w:type="dxa"/>
            <w:tcBorders>
              <w:top w:val="nil"/>
              <w:left w:val="nil"/>
              <w:bottom w:val="single" w:sz="12"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Non-current receivables</w:t>
            </w:r>
          </w:p>
        </w:tc>
        <w:tc>
          <w:tcPr>
            <w:tcW w:w="1123"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2 478.6</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855.3</w:t>
            </w:r>
          </w:p>
        </w:tc>
        <w:tc>
          <w:tcPr>
            <w:tcW w:w="1123"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1 178.1</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753.3</w:t>
            </w:r>
          </w:p>
        </w:tc>
      </w:tr>
    </w:tbl>
    <w:p w:rsidR="000B4A1E" w:rsidRPr="00D00665" w:rsidRDefault="000B4A1E" w:rsidP="00517E51">
      <w:pPr>
        <w:pStyle w:val="Notes"/>
      </w:pPr>
      <w:r w:rsidRPr="00D00665">
        <w:t>Notes:</w:t>
      </w:r>
    </w:p>
    <w:p w:rsidR="000B4A1E" w:rsidRPr="00D00665" w:rsidRDefault="000B4A1E" w:rsidP="00517E51">
      <w:pPr>
        <w:pStyle w:val="Notes"/>
      </w:pPr>
      <w:r w:rsidRPr="00D00665">
        <w:t>(a)</w:t>
      </w:r>
      <w:r w:rsidRPr="00D00665">
        <w:tab/>
        <w:t>Restated balances at 30 June 2012. Refer to Note 36 of the financial statements.</w:t>
      </w:r>
    </w:p>
    <w:p w:rsidR="000B4A1E" w:rsidRPr="00D00665" w:rsidRDefault="000B4A1E" w:rsidP="00517E51">
      <w:pPr>
        <w:pStyle w:val="Notes"/>
      </w:pPr>
      <w:r w:rsidRPr="00D00665">
        <w:t>(b)</w:t>
      </w:r>
      <w:r w:rsidRPr="00D00665">
        <w:tab/>
        <w:t xml:space="preserve">The 2012 figures differ from that presented in the </w:t>
      </w:r>
      <w:r w:rsidRPr="002C2EB6">
        <w:rPr>
          <w:i w:val="0"/>
        </w:rPr>
        <w:t>2011</w:t>
      </w:r>
      <w:r w:rsidRPr="002C2EB6">
        <w:rPr>
          <w:i w:val="0"/>
        </w:rPr>
        <w:noBreakHyphen/>
        <w:t>12 Financial Report</w:t>
      </w:r>
      <w:r w:rsidRPr="00D00665">
        <w:t xml:space="preserve"> to more accurately reflect classification of contractual and statutory receivables.</w:t>
      </w:r>
    </w:p>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 w:rsidR="000B4A1E" w:rsidRPr="00D00665" w:rsidRDefault="000B4A1E" w:rsidP="00517E51">
      <w:pPr>
        <w:pStyle w:val="Tableheading"/>
      </w:pPr>
      <w:r w:rsidRPr="00D00665">
        <w:t>Ageing analysis of contractual receivables – State of Victoria</w:t>
      </w:r>
    </w:p>
    <w:p w:rsidR="000B4A1E" w:rsidRPr="007133C6" w:rsidRDefault="000B4A1E" w:rsidP="00517E51">
      <w:pPr>
        <w:pStyle w:val="million"/>
      </w:pPr>
      <w:r w:rsidRPr="00D00665">
        <w:t>($</w:t>
      </w:r>
      <w:r>
        <w:t> million</w:t>
      </w:r>
      <w:r w:rsidRPr="00D00665">
        <w:t>)</w:t>
      </w:r>
      <w:bookmarkStart w:id="51" w:name="RANGE!B9:I20"/>
    </w:p>
    <w:tbl>
      <w:tblPr>
        <w:tblW w:w="9659" w:type="dxa"/>
        <w:tblInd w:w="29" w:type="dxa"/>
        <w:tblCellMar>
          <w:left w:w="43" w:type="dxa"/>
          <w:right w:w="43" w:type="dxa"/>
        </w:tblCellMar>
        <w:tblLook w:val="04A0" w:firstRow="1" w:lastRow="0" w:firstColumn="1" w:lastColumn="0" w:noHBand="0" w:noVBand="1"/>
      </w:tblPr>
      <w:tblGrid>
        <w:gridCol w:w="2101"/>
        <w:gridCol w:w="288"/>
        <w:gridCol w:w="234"/>
        <w:gridCol w:w="802"/>
        <w:gridCol w:w="106"/>
        <w:gridCol w:w="931"/>
        <w:gridCol w:w="952"/>
        <w:gridCol w:w="1080"/>
        <w:gridCol w:w="881"/>
        <w:gridCol w:w="106"/>
        <w:gridCol w:w="106"/>
        <w:gridCol w:w="1036"/>
        <w:gridCol w:w="1036"/>
      </w:tblGrid>
      <w:tr w:rsidR="000B4A1E" w:rsidRPr="007133C6" w:rsidTr="00517E51">
        <w:trPr>
          <w:divId w:val="1625693859"/>
        </w:trPr>
        <w:tc>
          <w:tcPr>
            <w:tcW w:w="2101" w:type="dxa"/>
            <w:tcBorders>
              <w:top w:val="single" w:sz="4" w:space="0" w:color="auto"/>
              <w:left w:val="single" w:sz="4" w:space="0" w:color="auto"/>
              <w:bottom w:val="nil"/>
              <w:right w:val="nil"/>
            </w:tcBorders>
            <w:shd w:val="clear" w:color="auto" w:fill="000000"/>
            <w:noWrap/>
            <w:vAlign w:val="bottom"/>
            <w:hideMark/>
          </w:tcPr>
          <w:p w:rsidR="000B4A1E" w:rsidRPr="007133C6" w:rsidRDefault="000B4A1E" w:rsidP="00517E51">
            <w:pPr>
              <w:pStyle w:val="Tabletext"/>
              <w:rPr>
                <w:lang w:eastAsia="en-AU"/>
              </w:rPr>
            </w:pPr>
            <w:r w:rsidRPr="007133C6">
              <w:rPr>
                <w:lang w:eastAsia="en-AU"/>
              </w:rPr>
              <w:t xml:space="preserve">  </w:t>
            </w:r>
          </w:p>
        </w:tc>
        <w:tc>
          <w:tcPr>
            <w:tcW w:w="1324" w:type="dxa"/>
            <w:gridSpan w:val="3"/>
            <w:tcBorders>
              <w:top w:val="single" w:sz="4" w:space="0" w:color="auto"/>
              <w:left w:val="nil"/>
              <w:bottom w:val="nil"/>
              <w:right w:val="nil"/>
            </w:tcBorders>
            <w:shd w:val="clear" w:color="auto" w:fill="000000"/>
            <w:noWrap/>
            <w:vAlign w:val="bottom"/>
            <w:hideMark/>
          </w:tcPr>
          <w:p w:rsidR="000B4A1E" w:rsidRPr="007133C6" w:rsidRDefault="000B4A1E" w:rsidP="00517E51">
            <w:pPr>
              <w:pStyle w:val="Tabletextheading"/>
              <w:rPr>
                <w:lang w:eastAsia="en-AU"/>
              </w:rPr>
            </w:pPr>
            <w:r w:rsidRPr="007133C6">
              <w:rPr>
                <w:lang w:eastAsia="en-AU"/>
              </w:rPr>
              <w:t>Not past due</w:t>
            </w:r>
          </w:p>
        </w:tc>
        <w:tc>
          <w:tcPr>
            <w:tcW w:w="106" w:type="dxa"/>
            <w:tcBorders>
              <w:top w:val="single" w:sz="4" w:space="0" w:color="auto"/>
              <w:left w:val="nil"/>
              <w:bottom w:val="single" w:sz="4" w:space="0" w:color="auto"/>
              <w:right w:val="nil"/>
            </w:tcBorders>
            <w:shd w:val="clear" w:color="auto" w:fill="000000"/>
            <w:noWrap/>
            <w:vAlign w:val="bottom"/>
            <w:hideMark/>
          </w:tcPr>
          <w:p w:rsidR="000B4A1E" w:rsidRPr="007133C6" w:rsidRDefault="000B4A1E" w:rsidP="00517E51">
            <w:pPr>
              <w:pStyle w:val="TabletextheadingCentred"/>
              <w:rPr>
                <w:lang w:eastAsia="en-AU"/>
              </w:rPr>
            </w:pPr>
            <w:r w:rsidRPr="007133C6">
              <w:rPr>
                <w:lang w:eastAsia="en-AU"/>
              </w:rPr>
              <w:t xml:space="preserve">  </w:t>
            </w:r>
          </w:p>
        </w:tc>
        <w:tc>
          <w:tcPr>
            <w:tcW w:w="3844" w:type="dxa"/>
            <w:gridSpan w:val="4"/>
            <w:tcBorders>
              <w:top w:val="single" w:sz="4" w:space="0" w:color="auto"/>
              <w:left w:val="nil"/>
              <w:bottom w:val="single" w:sz="4" w:space="0" w:color="auto"/>
              <w:right w:val="nil"/>
            </w:tcBorders>
            <w:shd w:val="clear" w:color="auto" w:fill="000000"/>
            <w:noWrap/>
            <w:vAlign w:val="bottom"/>
            <w:hideMark/>
          </w:tcPr>
          <w:p w:rsidR="000B4A1E" w:rsidRPr="007133C6" w:rsidRDefault="000B4A1E" w:rsidP="00517E51">
            <w:pPr>
              <w:pStyle w:val="TabletextheadingCentred"/>
              <w:rPr>
                <w:lang w:eastAsia="en-AU"/>
              </w:rPr>
            </w:pPr>
            <w:r w:rsidRPr="007133C6">
              <w:rPr>
                <w:lang w:eastAsia="en-AU"/>
              </w:rPr>
              <w:t>Past due and not impaired</w:t>
            </w:r>
          </w:p>
        </w:tc>
        <w:tc>
          <w:tcPr>
            <w:tcW w:w="106" w:type="dxa"/>
            <w:tcBorders>
              <w:top w:val="single" w:sz="4" w:space="0" w:color="auto"/>
              <w:left w:val="nil"/>
              <w:bottom w:val="single" w:sz="4" w:space="0" w:color="auto"/>
              <w:right w:val="nil"/>
            </w:tcBorders>
            <w:shd w:val="clear" w:color="auto" w:fill="000000"/>
            <w:noWrap/>
            <w:vAlign w:val="bottom"/>
            <w:hideMark/>
          </w:tcPr>
          <w:p w:rsidR="000B4A1E" w:rsidRPr="007133C6" w:rsidRDefault="000B4A1E" w:rsidP="00517E51">
            <w:pPr>
              <w:pStyle w:val="TabletextheadingCentred"/>
              <w:rPr>
                <w:lang w:eastAsia="en-AU"/>
              </w:rPr>
            </w:pPr>
            <w:r w:rsidRPr="007133C6">
              <w:rPr>
                <w:lang w:eastAsia="en-AU"/>
              </w:rPr>
              <w:t xml:space="preserve">  </w:t>
            </w:r>
          </w:p>
        </w:tc>
        <w:tc>
          <w:tcPr>
            <w:tcW w:w="106" w:type="dxa"/>
            <w:tcBorders>
              <w:top w:val="single" w:sz="4" w:space="0" w:color="auto"/>
              <w:left w:val="nil"/>
              <w:bottom w:val="single" w:sz="4" w:space="0" w:color="auto"/>
              <w:right w:val="nil"/>
            </w:tcBorders>
            <w:shd w:val="clear" w:color="auto" w:fill="000000"/>
            <w:noWrap/>
            <w:vAlign w:val="bottom"/>
            <w:hideMark/>
          </w:tcPr>
          <w:p w:rsidR="000B4A1E" w:rsidRPr="007133C6" w:rsidRDefault="000B4A1E" w:rsidP="00517E51">
            <w:pPr>
              <w:pStyle w:val="TabletextheadingCentred"/>
              <w:rPr>
                <w:lang w:eastAsia="en-AU"/>
              </w:rPr>
            </w:pPr>
            <w:r w:rsidRPr="007133C6">
              <w:rPr>
                <w:lang w:eastAsia="en-AU"/>
              </w:rPr>
              <w:t xml:space="preserve"> </w:t>
            </w:r>
          </w:p>
        </w:tc>
        <w:tc>
          <w:tcPr>
            <w:tcW w:w="1036" w:type="dxa"/>
            <w:tcBorders>
              <w:top w:val="single" w:sz="4" w:space="0" w:color="auto"/>
              <w:left w:val="nil"/>
              <w:bottom w:val="nil"/>
              <w:right w:val="nil"/>
            </w:tcBorders>
            <w:shd w:val="clear" w:color="auto" w:fill="000000"/>
            <w:noWrap/>
            <w:vAlign w:val="bottom"/>
            <w:hideMark/>
          </w:tcPr>
          <w:p w:rsidR="000B4A1E" w:rsidRPr="007133C6" w:rsidRDefault="000B4A1E" w:rsidP="00517E51">
            <w:pPr>
              <w:pStyle w:val="Tabletextheading"/>
              <w:rPr>
                <w:lang w:eastAsia="en-AU"/>
              </w:rPr>
            </w:pPr>
            <w:r w:rsidRPr="007133C6">
              <w:rPr>
                <w:lang w:eastAsia="en-AU"/>
              </w:rPr>
              <w:t>Impaired</w:t>
            </w:r>
          </w:p>
        </w:tc>
        <w:tc>
          <w:tcPr>
            <w:tcW w:w="1036" w:type="dxa"/>
            <w:tcBorders>
              <w:top w:val="single" w:sz="4" w:space="0" w:color="auto"/>
              <w:left w:val="nil"/>
              <w:bottom w:val="nil"/>
              <w:right w:val="single" w:sz="4" w:space="0" w:color="auto"/>
            </w:tcBorders>
            <w:shd w:val="clear" w:color="auto" w:fill="000000"/>
            <w:noWrap/>
            <w:vAlign w:val="bottom"/>
            <w:hideMark/>
          </w:tcPr>
          <w:p w:rsidR="000B4A1E" w:rsidRPr="007133C6" w:rsidRDefault="000B4A1E" w:rsidP="00517E51">
            <w:pPr>
              <w:pStyle w:val="Tabletextheading"/>
              <w:rPr>
                <w:lang w:eastAsia="en-AU"/>
              </w:rPr>
            </w:pPr>
            <w:r w:rsidRPr="007133C6">
              <w:rPr>
                <w:lang w:eastAsia="en-AU"/>
              </w:rPr>
              <w:t>Total</w:t>
            </w:r>
          </w:p>
        </w:tc>
      </w:tr>
      <w:tr w:rsidR="000B4A1E" w:rsidRPr="007133C6" w:rsidTr="00517E51">
        <w:trPr>
          <w:divId w:val="1625693859"/>
        </w:trPr>
        <w:tc>
          <w:tcPr>
            <w:tcW w:w="2389" w:type="dxa"/>
            <w:gridSpan w:val="2"/>
            <w:tcBorders>
              <w:top w:val="nil"/>
              <w:left w:val="single" w:sz="4" w:space="0" w:color="auto"/>
              <w:bottom w:val="single" w:sz="4" w:space="0" w:color="auto"/>
              <w:right w:val="nil"/>
            </w:tcBorders>
            <w:shd w:val="clear" w:color="auto" w:fill="000000"/>
            <w:vAlign w:val="bottom"/>
            <w:hideMark/>
          </w:tcPr>
          <w:p w:rsidR="000B4A1E" w:rsidRPr="007133C6" w:rsidRDefault="000B4A1E" w:rsidP="00517E51">
            <w:pPr>
              <w:pStyle w:val="Tabletext"/>
              <w:rPr>
                <w:i/>
                <w:iCs/>
                <w:lang w:eastAsia="en-AU"/>
              </w:rPr>
            </w:pPr>
            <w:r w:rsidRPr="007133C6">
              <w:rPr>
                <w:i/>
                <w:iCs/>
                <w:lang w:eastAsia="en-AU"/>
              </w:rPr>
              <w:t>State of Victoria</w:t>
            </w:r>
          </w:p>
        </w:tc>
        <w:tc>
          <w:tcPr>
            <w:tcW w:w="1036" w:type="dxa"/>
            <w:gridSpan w:val="2"/>
            <w:tcBorders>
              <w:top w:val="nil"/>
              <w:left w:val="nil"/>
              <w:bottom w:val="single" w:sz="4" w:space="0" w:color="auto"/>
              <w:right w:val="nil"/>
            </w:tcBorders>
            <w:shd w:val="clear" w:color="auto" w:fill="000000"/>
            <w:noWrap/>
            <w:vAlign w:val="bottom"/>
            <w:hideMark/>
          </w:tcPr>
          <w:p w:rsidR="000B4A1E" w:rsidRPr="007133C6" w:rsidRDefault="000B4A1E" w:rsidP="00517E51">
            <w:pPr>
              <w:pStyle w:val="Tabletextheading"/>
              <w:rPr>
                <w:lang w:eastAsia="en-AU"/>
              </w:rPr>
            </w:pPr>
            <w:r w:rsidRPr="007133C6">
              <w:rPr>
                <w:lang w:eastAsia="en-AU"/>
              </w:rPr>
              <w:t xml:space="preserve">and not </w:t>
            </w:r>
          </w:p>
        </w:tc>
        <w:tc>
          <w:tcPr>
            <w:tcW w:w="1037" w:type="dxa"/>
            <w:gridSpan w:val="2"/>
            <w:tcBorders>
              <w:top w:val="nil"/>
              <w:left w:val="nil"/>
              <w:bottom w:val="single" w:sz="4" w:space="0" w:color="auto"/>
              <w:right w:val="nil"/>
            </w:tcBorders>
            <w:shd w:val="clear" w:color="auto" w:fill="000000"/>
            <w:noWrap/>
            <w:vAlign w:val="bottom"/>
            <w:hideMark/>
          </w:tcPr>
          <w:p w:rsidR="000B4A1E" w:rsidRPr="007133C6" w:rsidRDefault="000B4A1E" w:rsidP="00517E51">
            <w:pPr>
              <w:pStyle w:val="Tabletextheading"/>
              <w:rPr>
                <w:lang w:eastAsia="en-AU"/>
              </w:rPr>
            </w:pPr>
            <w:r w:rsidRPr="007133C6">
              <w:rPr>
                <w:lang w:eastAsia="en-AU"/>
              </w:rPr>
              <w:t>Less than</w:t>
            </w:r>
          </w:p>
        </w:tc>
        <w:tc>
          <w:tcPr>
            <w:tcW w:w="952" w:type="dxa"/>
            <w:tcBorders>
              <w:top w:val="nil"/>
              <w:left w:val="nil"/>
              <w:bottom w:val="single" w:sz="4" w:space="0" w:color="auto"/>
              <w:right w:val="nil"/>
            </w:tcBorders>
            <w:shd w:val="clear" w:color="auto" w:fill="000000"/>
            <w:noWrap/>
            <w:vAlign w:val="bottom"/>
            <w:hideMark/>
          </w:tcPr>
          <w:p w:rsidR="000B4A1E" w:rsidRPr="007133C6" w:rsidRDefault="000B4A1E" w:rsidP="00517E51">
            <w:pPr>
              <w:pStyle w:val="Tabletextheading"/>
              <w:rPr>
                <w:lang w:eastAsia="en-AU"/>
              </w:rPr>
            </w:pPr>
            <w:r w:rsidRPr="007133C6">
              <w:rPr>
                <w:lang w:eastAsia="en-AU"/>
              </w:rPr>
              <w:t>1-3</w:t>
            </w:r>
          </w:p>
        </w:tc>
        <w:tc>
          <w:tcPr>
            <w:tcW w:w="1080" w:type="dxa"/>
            <w:tcBorders>
              <w:top w:val="nil"/>
              <w:left w:val="nil"/>
              <w:bottom w:val="single" w:sz="4" w:space="0" w:color="auto"/>
              <w:right w:val="nil"/>
            </w:tcBorders>
            <w:shd w:val="clear" w:color="auto" w:fill="000000"/>
            <w:noWrap/>
            <w:vAlign w:val="bottom"/>
            <w:hideMark/>
          </w:tcPr>
          <w:p w:rsidR="000B4A1E" w:rsidRPr="007133C6" w:rsidRDefault="000B4A1E" w:rsidP="00517E51">
            <w:pPr>
              <w:pStyle w:val="Tabletextheading"/>
              <w:rPr>
                <w:lang w:eastAsia="en-AU"/>
              </w:rPr>
            </w:pPr>
            <w:r w:rsidRPr="007133C6">
              <w:rPr>
                <w:lang w:eastAsia="en-AU"/>
              </w:rPr>
              <w:t>3 months-</w:t>
            </w:r>
          </w:p>
        </w:tc>
        <w:tc>
          <w:tcPr>
            <w:tcW w:w="1093" w:type="dxa"/>
            <w:gridSpan w:val="3"/>
            <w:tcBorders>
              <w:top w:val="nil"/>
              <w:left w:val="nil"/>
              <w:bottom w:val="single" w:sz="4" w:space="0" w:color="auto"/>
              <w:right w:val="nil"/>
            </w:tcBorders>
            <w:shd w:val="clear" w:color="auto" w:fill="000000"/>
            <w:vAlign w:val="bottom"/>
            <w:hideMark/>
          </w:tcPr>
          <w:p w:rsidR="000B4A1E" w:rsidRPr="007133C6" w:rsidRDefault="000B4A1E" w:rsidP="00517E51">
            <w:pPr>
              <w:pStyle w:val="Tabletextheading"/>
              <w:rPr>
                <w:lang w:eastAsia="en-AU"/>
              </w:rPr>
            </w:pPr>
            <w:r w:rsidRPr="007133C6">
              <w:rPr>
                <w:lang w:eastAsia="en-AU"/>
              </w:rPr>
              <w:t>More than</w:t>
            </w:r>
          </w:p>
        </w:tc>
        <w:tc>
          <w:tcPr>
            <w:tcW w:w="1036" w:type="dxa"/>
            <w:tcBorders>
              <w:top w:val="nil"/>
              <w:left w:val="nil"/>
              <w:bottom w:val="single" w:sz="4" w:space="0" w:color="auto"/>
              <w:right w:val="nil"/>
            </w:tcBorders>
            <w:shd w:val="clear" w:color="auto" w:fill="000000"/>
            <w:noWrap/>
            <w:vAlign w:val="bottom"/>
            <w:hideMark/>
          </w:tcPr>
          <w:p w:rsidR="000B4A1E" w:rsidRPr="007133C6" w:rsidRDefault="000B4A1E" w:rsidP="00517E51">
            <w:pPr>
              <w:pStyle w:val="Tabletextheading"/>
              <w:rPr>
                <w:lang w:eastAsia="en-AU"/>
              </w:rPr>
            </w:pPr>
            <w:r w:rsidRPr="007133C6">
              <w:rPr>
                <w:lang w:eastAsia="en-AU"/>
              </w:rPr>
              <w:t xml:space="preserve"> </w:t>
            </w:r>
          </w:p>
        </w:tc>
        <w:tc>
          <w:tcPr>
            <w:tcW w:w="1036" w:type="dxa"/>
            <w:tcBorders>
              <w:top w:val="nil"/>
              <w:left w:val="nil"/>
              <w:bottom w:val="single" w:sz="4" w:space="0" w:color="auto"/>
              <w:right w:val="single" w:sz="4" w:space="0" w:color="auto"/>
            </w:tcBorders>
            <w:shd w:val="clear" w:color="auto" w:fill="000000"/>
            <w:noWrap/>
            <w:vAlign w:val="bottom"/>
            <w:hideMark/>
          </w:tcPr>
          <w:p w:rsidR="000B4A1E" w:rsidRPr="007133C6" w:rsidRDefault="000B4A1E" w:rsidP="00517E51">
            <w:pPr>
              <w:pStyle w:val="Tabletextheading"/>
              <w:rPr>
                <w:lang w:eastAsia="en-AU"/>
              </w:rPr>
            </w:pPr>
            <w:r w:rsidRPr="007133C6">
              <w:rPr>
                <w:lang w:eastAsia="en-AU"/>
              </w:rPr>
              <w:t xml:space="preserve"> </w:t>
            </w:r>
          </w:p>
        </w:tc>
      </w:tr>
      <w:tr w:rsidR="000B4A1E" w:rsidRPr="007133C6" w:rsidTr="00517E51">
        <w:trPr>
          <w:divId w:val="1625693859"/>
        </w:trPr>
        <w:tc>
          <w:tcPr>
            <w:tcW w:w="2389" w:type="dxa"/>
            <w:gridSpan w:val="2"/>
            <w:tcBorders>
              <w:top w:val="single" w:sz="4" w:space="0" w:color="auto"/>
              <w:left w:val="single" w:sz="4" w:space="0" w:color="auto"/>
              <w:bottom w:val="single" w:sz="4" w:space="0" w:color="auto"/>
              <w:right w:val="nil"/>
            </w:tcBorders>
            <w:shd w:val="clear" w:color="000000" w:fill="000000"/>
            <w:noWrap/>
            <w:vAlign w:val="bottom"/>
            <w:hideMark/>
          </w:tcPr>
          <w:p w:rsidR="000B4A1E" w:rsidRPr="007133C6" w:rsidRDefault="000B4A1E" w:rsidP="00517E51">
            <w:pPr>
              <w:pStyle w:val="Tabletext"/>
              <w:rPr>
                <w:i/>
                <w:iCs/>
                <w:lang w:eastAsia="en-AU"/>
              </w:rPr>
            </w:pPr>
            <w:r w:rsidRPr="007133C6">
              <w:rPr>
                <w:i/>
                <w:iCs/>
                <w:lang w:eastAsia="en-AU"/>
              </w:rPr>
              <w:t>2013</w:t>
            </w:r>
          </w:p>
        </w:tc>
        <w:tc>
          <w:tcPr>
            <w:tcW w:w="1036" w:type="dxa"/>
            <w:gridSpan w:val="2"/>
            <w:tcBorders>
              <w:top w:val="single" w:sz="4" w:space="0" w:color="auto"/>
              <w:left w:val="nil"/>
              <w:bottom w:val="single" w:sz="4" w:space="0" w:color="auto"/>
              <w:right w:val="nil"/>
            </w:tcBorders>
            <w:shd w:val="clear" w:color="000000" w:fill="000000"/>
            <w:noWrap/>
            <w:vAlign w:val="bottom"/>
            <w:hideMark/>
          </w:tcPr>
          <w:p w:rsidR="000B4A1E" w:rsidRPr="007133C6" w:rsidRDefault="000B4A1E" w:rsidP="00517E51">
            <w:pPr>
              <w:pStyle w:val="Tabletextheading"/>
              <w:rPr>
                <w:lang w:eastAsia="en-AU"/>
              </w:rPr>
            </w:pPr>
            <w:r w:rsidRPr="007133C6">
              <w:rPr>
                <w:lang w:eastAsia="en-AU"/>
              </w:rPr>
              <w:t>impaired</w:t>
            </w:r>
          </w:p>
        </w:tc>
        <w:tc>
          <w:tcPr>
            <w:tcW w:w="1037" w:type="dxa"/>
            <w:gridSpan w:val="2"/>
            <w:tcBorders>
              <w:top w:val="single" w:sz="4" w:space="0" w:color="auto"/>
              <w:left w:val="nil"/>
              <w:bottom w:val="single" w:sz="4" w:space="0" w:color="auto"/>
              <w:right w:val="nil"/>
            </w:tcBorders>
            <w:shd w:val="clear" w:color="000000" w:fill="000000"/>
            <w:noWrap/>
            <w:vAlign w:val="bottom"/>
            <w:hideMark/>
          </w:tcPr>
          <w:p w:rsidR="000B4A1E" w:rsidRPr="007133C6" w:rsidRDefault="000B4A1E" w:rsidP="00517E51">
            <w:pPr>
              <w:pStyle w:val="Tabletextheading"/>
              <w:rPr>
                <w:lang w:eastAsia="en-AU"/>
              </w:rPr>
            </w:pPr>
            <w:r w:rsidRPr="007133C6">
              <w:rPr>
                <w:lang w:eastAsia="en-AU"/>
              </w:rPr>
              <w:t>1 month</w:t>
            </w:r>
          </w:p>
        </w:tc>
        <w:tc>
          <w:tcPr>
            <w:tcW w:w="952" w:type="dxa"/>
            <w:tcBorders>
              <w:top w:val="single" w:sz="4" w:space="0" w:color="auto"/>
              <w:left w:val="nil"/>
              <w:bottom w:val="single" w:sz="4" w:space="0" w:color="auto"/>
              <w:right w:val="nil"/>
            </w:tcBorders>
            <w:shd w:val="clear" w:color="000000" w:fill="000000"/>
            <w:noWrap/>
            <w:vAlign w:val="bottom"/>
            <w:hideMark/>
          </w:tcPr>
          <w:p w:rsidR="000B4A1E" w:rsidRPr="007133C6" w:rsidRDefault="000B4A1E" w:rsidP="00517E51">
            <w:pPr>
              <w:pStyle w:val="Tabletextheading"/>
              <w:rPr>
                <w:lang w:eastAsia="en-AU"/>
              </w:rPr>
            </w:pPr>
            <w:r w:rsidRPr="007133C6">
              <w:rPr>
                <w:lang w:eastAsia="en-AU"/>
              </w:rPr>
              <w:t>months</w:t>
            </w:r>
          </w:p>
        </w:tc>
        <w:tc>
          <w:tcPr>
            <w:tcW w:w="1080" w:type="dxa"/>
            <w:tcBorders>
              <w:top w:val="single" w:sz="4" w:space="0" w:color="auto"/>
              <w:left w:val="nil"/>
              <w:bottom w:val="single" w:sz="4" w:space="0" w:color="auto"/>
              <w:right w:val="nil"/>
            </w:tcBorders>
            <w:shd w:val="clear" w:color="000000" w:fill="000000"/>
            <w:noWrap/>
            <w:vAlign w:val="bottom"/>
            <w:hideMark/>
          </w:tcPr>
          <w:p w:rsidR="000B4A1E" w:rsidRPr="007133C6" w:rsidRDefault="000B4A1E" w:rsidP="00517E51">
            <w:pPr>
              <w:pStyle w:val="Tabletextheading"/>
              <w:rPr>
                <w:lang w:eastAsia="en-AU"/>
              </w:rPr>
            </w:pPr>
            <w:r w:rsidRPr="007133C6">
              <w:rPr>
                <w:lang w:eastAsia="en-AU"/>
              </w:rPr>
              <w:t>1 year</w:t>
            </w:r>
          </w:p>
        </w:tc>
        <w:tc>
          <w:tcPr>
            <w:tcW w:w="1093" w:type="dxa"/>
            <w:gridSpan w:val="3"/>
            <w:tcBorders>
              <w:top w:val="single" w:sz="4" w:space="0" w:color="auto"/>
              <w:left w:val="nil"/>
              <w:bottom w:val="single" w:sz="4" w:space="0" w:color="auto"/>
              <w:right w:val="nil"/>
            </w:tcBorders>
            <w:shd w:val="clear" w:color="000000" w:fill="000000"/>
            <w:noWrap/>
            <w:vAlign w:val="bottom"/>
            <w:hideMark/>
          </w:tcPr>
          <w:p w:rsidR="000B4A1E" w:rsidRPr="007133C6" w:rsidRDefault="000B4A1E" w:rsidP="00517E51">
            <w:pPr>
              <w:pStyle w:val="Tabletextheading"/>
              <w:rPr>
                <w:lang w:eastAsia="en-AU"/>
              </w:rPr>
            </w:pPr>
            <w:r w:rsidRPr="007133C6">
              <w:rPr>
                <w:lang w:eastAsia="en-AU"/>
              </w:rPr>
              <w:t>1 year</w:t>
            </w:r>
          </w:p>
        </w:tc>
        <w:tc>
          <w:tcPr>
            <w:tcW w:w="1036" w:type="dxa"/>
            <w:tcBorders>
              <w:top w:val="single" w:sz="4" w:space="0" w:color="auto"/>
              <w:left w:val="nil"/>
              <w:bottom w:val="single" w:sz="4" w:space="0" w:color="auto"/>
              <w:right w:val="nil"/>
            </w:tcBorders>
            <w:shd w:val="clear" w:color="000000" w:fill="000000"/>
            <w:noWrap/>
            <w:vAlign w:val="bottom"/>
            <w:hideMark/>
          </w:tcPr>
          <w:p w:rsidR="000B4A1E" w:rsidRPr="007133C6" w:rsidRDefault="000B4A1E" w:rsidP="00517E51">
            <w:pPr>
              <w:pStyle w:val="Tabletextheading"/>
              <w:rPr>
                <w:lang w:eastAsia="en-AU"/>
              </w:rPr>
            </w:pPr>
            <w:r w:rsidRPr="007133C6">
              <w:rPr>
                <w:lang w:eastAsia="en-AU"/>
              </w:rPr>
              <w:t xml:space="preserve"> </w:t>
            </w:r>
          </w:p>
        </w:tc>
        <w:tc>
          <w:tcPr>
            <w:tcW w:w="1036" w:type="dxa"/>
            <w:tcBorders>
              <w:top w:val="single" w:sz="4" w:space="0" w:color="auto"/>
              <w:left w:val="nil"/>
              <w:bottom w:val="single" w:sz="4" w:space="0" w:color="auto"/>
              <w:right w:val="single" w:sz="4" w:space="0" w:color="auto"/>
            </w:tcBorders>
            <w:shd w:val="clear" w:color="000000" w:fill="000000"/>
            <w:noWrap/>
            <w:vAlign w:val="bottom"/>
            <w:hideMark/>
          </w:tcPr>
          <w:p w:rsidR="000B4A1E" w:rsidRPr="007133C6" w:rsidRDefault="000B4A1E" w:rsidP="00517E51">
            <w:pPr>
              <w:pStyle w:val="Tabletextheading"/>
              <w:rPr>
                <w:lang w:eastAsia="en-AU"/>
              </w:rPr>
            </w:pPr>
            <w:r w:rsidRPr="007133C6">
              <w:rPr>
                <w:lang w:eastAsia="en-AU"/>
              </w:rPr>
              <w:t xml:space="preserve"> </w:t>
            </w:r>
          </w:p>
        </w:tc>
      </w:tr>
      <w:tr w:rsidR="000B4A1E" w:rsidRPr="007133C6" w:rsidTr="00517E51">
        <w:trPr>
          <w:divId w:val="1625693859"/>
        </w:trPr>
        <w:tc>
          <w:tcPr>
            <w:tcW w:w="2623" w:type="dxa"/>
            <w:gridSpan w:val="3"/>
            <w:tcBorders>
              <w:top w:val="nil"/>
              <w:left w:val="nil"/>
              <w:bottom w:val="nil"/>
              <w:right w:val="nil"/>
            </w:tcBorders>
            <w:shd w:val="clear" w:color="auto" w:fill="auto"/>
            <w:noWrap/>
            <w:vAlign w:val="bottom"/>
            <w:hideMark/>
          </w:tcPr>
          <w:p w:rsidR="000B4A1E" w:rsidRPr="007133C6" w:rsidRDefault="000B4A1E" w:rsidP="00517E51">
            <w:pPr>
              <w:pStyle w:val="Tabletext"/>
              <w:rPr>
                <w:lang w:eastAsia="en-AU"/>
              </w:rPr>
            </w:pPr>
            <w:r w:rsidRPr="007133C6">
              <w:rPr>
                <w:lang w:eastAsia="en-AU"/>
              </w:rPr>
              <w:t>Sale of goods and services</w:t>
            </w:r>
          </w:p>
        </w:tc>
        <w:tc>
          <w:tcPr>
            <w:tcW w:w="802"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764.2</w:t>
            </w:r>
          </w:p>
        </w:tc>
        <w:tc>
          <w:tcPr>
            <w:tcW w:w="1037"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190.3</w:t>
            </w:r>
          </w:p>
        </w:tc>
        <w:tc>
          <w:tcPr>
            <w:tcW w:w="952"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96.1</w:t>
            </w:r>
          </w:p>
        </w:tc>
        <w:tc>
          <w:tcPr>
            <w:tcW w:w="1080"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92.5</w:t>
            </w:r>
          </w:p>
        </w:tc>
        <w:tc>
          <w:tcPr>
            <w:tcW w:w="1093" w:type="dxa"/>
            <w:gridSpan w:val="3"/>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66.0</w:t>
            </w:r>
          </w:p>
        </w:tc>
        <w:tc>
          <w:tcPr>
            <w:tcW w:w="1036"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6.8</w:t>
            </w:r>
          </w:p>
        </w:tc>
        <w:tc>
          <w:tcPr>
            <w:tcW w:w="1036"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1 </w:t>
            </w:r>
            <w:r w:rsidRPr="007133C6">
              <w:rPr>
                <w:rFonts w:cs="Calibri"/>
                <w:szCs w:val="22"/>
                <w:lang w:eastAsia="en-AU"/>
              </w:rPr>
              <w:t>215.9</w:t>
            </w:r>
          </w:p>
        </w:tc>
      </w:tr>
      <w:tr w:rsidR="000B4A1E" w:rsidRPr="007133C6" w:rsidTr="00517E51">
        <w:trPr>
          <w:divId w:val="1625693859"/>
        </w:trPr>
        <w:tc>
          <w:tcPr>
            <w:tcW w:w="2623" w:type="dxa"/>
            <w:gridSpan w:val="3"/>
            <w:tcBorders>
              <w:top w:val="nil"/>
              <w:left w:val="nil"/>
              <w:bottom w:val="nil"/>
              <w:right w:val="nil"/>
            </w:tcBorders>
            <w:shd w:val="clear" w:color="auto" w:fill="auto"/>
            <w:noWrap/>
            <w:vAlign w:val="bottom"/>
            <w:hideMark/>
          </w:tcPr>
          <w:p w:rsidR="000B4A1E" w:rsidRPr="007133C6" w:rsidRDefault="000B4A1E" w:rsidP="00517E51">
            <w:pPr>
              <w:pStyle w:val="Tabletext"/>
              <w:rPr>
                <w:lang w:eastAsia="en-AU"/>
              </w:rPr>
            </w:pPr>
            <w:r w:rsidRPr="007133C6">
              <w:rPr>
                <w:lang w:eastAsia="en-AU"/>
              </w:rPr>
              <w:t>Accrued investment income</w:t>
            </w:r>
          </w:p>
        </w:tc>
        <w:tc>
          <w:tcPr>
            <w:tcW w:w="802"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233.4</w:t>
            </w:r>
          </w:p>
        </w:tc>
        <w:tc>
          <w:tcPr>
            <w:tcW w:w="1037"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0.3</w:t>
            </w:r>
          </w:p>
        </w:tc>
        <w:tc>
          <w:tcPr>
            <w:tcW w:w="952"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0.3</w:t>
            </w:r>
          </w:p>
        </w:tc>
        <w:tc>
          <w:tcPr>
            <w:tcW w:w="1080"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0.4</w:t>
            </w:r>
          </w:p>
        </w:tc>
        <w:tc>
          <w:tcPr>
            <w:tcW w:w="1093" w:type="dxa"/>
            <w:gridSpan w:val="3"/>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w:t>
            </w:r>
          </w:p>
        </w:tc>
        <w:tc>
          <w:tcPr>
            <w:tcW w:w="1036"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w:t>
            </w:r>
          </w:p>
        </w:tc>
        <w:tc>
          <w:tcPr>
            <w:tcW w:w="1036"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234.5</w:t>
            </w:r>
          </w:p>
        </w:tc>
      </w:tr>
      <w:tr w:rsidR="000B4A1E" w:rsidRPr="007133C6" w:rsidTr="00517E51">
        <w:trPr>
          <w:divId w:val="1625693859"/>
        </w:trPr>
        <w:tc>
          <w:tcPr>
            <w:tcW w:w="2623" w:type="dxa"/>
            <w:gridSpan w:val="3"/>
            <w:tcBorders>
              <w:top w:val="nil"/>
              <w:left w:val="nil"/>
              <w:bottom w:val="nil"/>
              <w:right w:val="nil"/>
            </w:tcBorders>
            <w:shd w:val="clear" w:color="auto" w:fill="auto"/>
            <w:noWrap/>
            <w:vAlign w:val="bottom"/>
            <w:hideMark/>
          </w:tcPr>
          <w:p w:rsidR="000B4A1E" w:rsidRPr="007133C6" w:rsidRDefault="000B4A1E" w:rsidP="00517E51">
            <w:pPr>
              <w:pStyle w:val="Tabletext"/>
              <w:rPr>
                <w:lang w:eastAsia="en-AU"/>
              </w:rPr>
            </w:pPr>
            <w:r w:rsidRPr="007133C6">
              <w:rPr>
                <w:lang w:eastAsia="en-AU"/>
              </w:rPr>
              <w:t>Other receivables</w:t>
            </w:r>
          </w:p>
        </w:tc>
        <w:tc>
          <w:tcPr>
            <w:tcW w:w="802"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1 </w:t>
            </w:r>
            <w:r w:rsidRPr="007133C6">
              <w:rPr>
                <w:rFonts w:cs="Calibri"/>
                <w:szCs w:val="22"/>
                <w:lang w:eastAsia="en-AU"/>
              </w:rPr>
              <w:t>826.3</w:t>
            </w:r>
          </w:p>
        </w:tc>
        <w:tc>
          <w:tcPr>
            <w:tcW w:w="1037"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136.7</w:t>
            </w:r>
          </w:p>
        </w:tc>
        <w:tc>
          <w:tcPr>
            <w:tcW w:w="952"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36.6</w:t>
            </w:r>
          </w:p>
        </w:tc>
        <w:tc>
          <w:tcPr>
            <w:tcW w:w="1080"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19.2</w:t>
            </w:r>
          </w:p>
        </w:tc>
        <w:tc>
          <w:tcPr>
            <w:tcW w:w="1093" w:type="dxa"/>
            <w:gridSpan w:val="3"/>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108.6</w:t>
            </w:r>
          </w:p>
        </w:tc>
        <w:tc>
          <w:tcPr>
            <w:tcW w:w="1036"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w:t>
            </w:r>
            <w:r w:rsidRPr="007133C6">
              <w:rPr>
                <w:rFonts w:cs="Calibri"/>
                <w:szCs w:val="22"/>
                <w:lang w:eastAsia="en-AU"/>
              </w:rPr>
              <w:t>0.5)</w:t>
            </w:r>
          </w:p>
        </w:tc>
        <w:tc>
          <w:tcPr>
            <w:tcW w:w="1036"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2 </w:t>
            </w:r>
            <w:r w:rsidRPr="007133C6">
              <w:rPr>
                <w:rFonts w:cs="Calibri"/>
                <w:szCs w:val="22"/>
                <w:lang w:eastAsia="en-AU"/>
              </w:rPr>
              <w:t>126.9</w:t>
            </w:r>
          </w:p>
        </w:tc>
      </w:tr>
      <w:tr w:rsidR="000B4A1E" w:rsidRPr="007133C6" w:rsidTr="00517E51">
        <w:trPr>
          <w:divId w:val="1625693859"/>
        </w:trPr>
        <w:tc>
          <w:tcPr>
            <w:tcW w:w="2389" w:type="dxa"/>
            <w:gridSpan w:val="2"/>
            <w:tcBorders>
              <w:top w:val="single" w:sz="4" w:space="0" w:color="auto"/>
              <w:left w:val="nil"/>
              <w:bottom w:val="single" w:sz="4" w:space="0" w:color="auto"/>
              <w:right w:val="nil"/>
            </w:tcBorders>
            <w:shd w:val="clear" w:color="auto" w:fill="auto"/>
            <w:noWrap/>
            <w:vAlign w:val="bottom"/>
            <w:hideMark/>
          </w:tcPr>
          <w:p w:rsidR="000B4A1E" w:rsidRPr="007133C6" w:rsidRDefault="000B4A1E" w:rsidP="00517E51">
            <w:pPr>
              <w:pStyle w:val="Tabletext"/>
              <w:rPr>
                <w:b/>
                <w:bCs/>
                <w:lang w:eastAsia="en-AU"/>
              </w:rPr>
            </w:pPr>
            <w:r w:rsidRPr="007133C6">
              <w:rPr>
                <w:b/>
                <w:bCs/>
                <w:lang w:eastAsia="en-AU"/>
              </w:rPr>
              <w:t xml:space="preserve"> </w:t>
            </w:r>
          </w:p>
        </w:tc>
        <w:tc>
          <w:tcPr>
            <w:tcW w:w="1036" w:type="dxa"/>
            <w:gridSpan w:val="2"/>
            <w:tcBorders>
              <w:top w:val="single" w:sz="4" w:space="0" w:color="auto"/>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2 </w:t>
            </w:r>
            <w:r w:rsidRPr="007133C6">
              <w:rPr>
                <w:rFonts w:cs="Calibri"/>
                <w:b/>
                <w:bCs/>
                <w:szCs w:val="22"/>
                <w:lang w:eastAsia="en-AU"/>
              </w:rPr>
              <w:t>823.9</w:t>
            </w:r>
          </w:p>
        </w:tc>
        <w:tc>
          <w:tcPr>
            <w:tcW w:w="1037" w:type="dxa"/>
            <w:gridSpan w:val="2"/>
            <w:tcBorders>
              <w:top w:val="single" w:sz="4" w:space="0" w:color="auto"/>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 327.3</w:t>
            </w:r>
          </w:p>
        </w:tc>
        <w:tc>
          <w:tcPr>
            <w:tcW w:w="952" w:type="dxa"/>
            <w:tcBorders>
              <w:top w:val="single" w:sz="4" w:space="0" w:color="auto"/>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 133.0</w:t>
            </w:r>
          </w:p>
        </w:tc>
        <w:tc>
          <w:tcPr>
            <w:tcW w:w="1080" w:type="dxa"/>
            <w:tcBorders>
              <w:top w:val="single" w:sz="4" w:space="0" w:color="auto"/>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 112.1</w:t>
            </w:r>
          </w:p>
        </w:tc>
        <w:tc>
          <w:tcPr>
            <w:tcW w:w="1093" w:type="dxa"/>
            <w:gridSpan w:val="3"/>
            <w:tcBorders>
              <w:top w:val="single" w:sz="4" w:space="0" w:color="auto"/>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 174.6</w:t>
            </w:r>
          </w:p>
        </w:tc>
        <w:tc>
          <w:tcPr>
            <w:tcW w:w="1036" w:type="dxa"/>
            <w:tcBorders>
              <w:top w:val="single" w:sz="4" w:space="0" w:color="auto"/>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 6.4</w:t>
            </w:r>
          </w:p>
        </w:tc>
        <w:tc>
          <w:tcPr>
            <w:tcW w:w="1036" w:type="dxa"/>
            <w:tcBorders>
              <w:top w:val="single" w:sz="4" w:space="0" w:color="auto"/>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3 </w:t>
            </w:r>
            <w:r w:rsidRPr="007133C6">
              <w:rPr>
                <w:rFonts w:cs="Calibri"/>
                <w:b/>
                <w:bCs/>
                <w:szCs w:val="22"/>
                <w:lang w:eastAsia="en-AU"/>
              </w:rPr>
              <w:t>577.3</w:t>
            </w:r>
          </w:p>
        </w:tc>
      </w:tr>
      <w:tr w:rsidR="000B4A1E" w:rsidRPr="007133C6" w:rsidTr="00517E51">
        <w:trPr>
          <w:divId w:val="1625693859"/>
        </w:trPr>
        <w:tc>
          <w:tcPr>
            <w:tcW w:w="2389" w:type="dxa"/>
            <w:gridSpan w:val="2"/>
            <w:tcBorders>
              <w:top w:val="single" w:sz="4" w:space="0" w:color="auto"/>
              <w:left w:val="single" w:sz="4" w:space="0" w:color="auto"/>
              <w:bottom w:val="single" w:sz="4" w:space="0" w:color="auto"/>
              <w:right w:val="nil"/>
            </w:tcBorders>
            <w:shd w:val="clear" w:color="000000" w:fill="000000"/>
            <w:noWrap/>
            <w:vAlign w:val="bottom"/>
            <w:hideMark/>
          </w:tcPr>
          <w:p w:rsidR="000B4A1E" w:rsidRPr="007133C6" w:rsidRDefault="000B4A1E" w:rsidP="00517E51">
            <w:pPr>
              <w:pStyle w:val="Tabletext"/>
              <w:rPr>
                <w:i/>
                <w:iCs/>
                <w:lang w:eastAsia="en-AU"/>
              </w:rPr>
            </w:pPr>
            <w:r w:rsidRPr="007133C6">
              <w:rPr>
                <w:i/>
                <w:iCs/>
                <w:lang w:eastAsia="en-AU"/>
              </w:rPr>
              <w:t>2012</w:t>
            </w:r>
          </w:p>
        </w:tc>
        <w:tc>
          <w:tcPr>
            <w:tcW w:w="1036" w:type="dxa"/>
            <w:gridSpan w:val="2"/>
            <w:tcBorders>
              <w:top w:val="single" w:sz="4" w:space="0" w:color="auto"/>
              <w:left w:val="nil"/>
              <w:bottom w:val="single" w:sz="4" w:space="0" w:color="auto"/>
              <w:right w:val="nil"/>
            </w:tcBorders>
            <w:shd w:val="clear" w:color="000000" w:fill="000000"/>
            <w:noWrap/>
            <w:vAlign w:val="bottom"/>
            <w:hideMark/>
          </w:tcPr>
          <w:p w:rsidR="000B4A1E" w:rsidRPr="007133C6" w:rsidRDefault="000B4A1E" w:rsidP="00517E51">
            <w:pPr>
              <w:pStyle w:val="TableofFigures"/>
              <w:rPr>
                <w:lang w:eastAsia="en-AU"/>
              </w:rPr>
            </w:pPr>
            <w:r w:rsidRPr="007133C6">
              <w:rPr>
                <w:lang w:eastAsia="en-AU"/>
              </w:rPr>
              <w:t xml:space="preserve">  </w:t>
            </w:r>
          </w:p>
        </w:tc>
        <w:tc>
          <w:tcPr>
            <w:tcW w:w="1037" w:type="dxa"/>
            <w:gridSpan w:val="2"/>
            <w:tcBorders>
              <w:top w:val="single" w:sz="4" w:space="0" w:color="auto"/>
              <w:left w:val="nil"/>
              <w:bottom w:val="single" w:sz="4" w:space="0" w:color="auto"/>
              <w:right w:val="nil"/>
            </w:tcBorders>
            <w:shd w:val="clear" w:color="000000" w:fill="000000"/>
            <w:noWrap/>
            <w:vAlign w:val="bottom"/>
            <w:hideMark/>
          </w:tcPr>
          <w:p w:rsidR="000B4A1E" w:rsidRPr="007133C6" w:rsidRDefault="000B4A1E" w:rsidP="00517E51">
            <w:pPr>
              <w:pStyle w:val="TableofFigures"/>
              <w:rPr>
                <w:lang w:eastAsia="en-AU"/>
              </w:rPr>
            </w:pPr>
            <w:r w:rsidRPr="007133C6">
              <w:rPr>
                <w:lang w:eastAsia="en-AU"/>
              </w:rPr>
              <w:t xml:space="preserve">  </w:t>
            </w:r>
          </w:p>
        </w:tc>
        <w:tc>
          <w:tcPr>
            <w:tcW w:w="952" w:type="dxa"/>
            <w:tcBorders>
              <w:top w:val="single" w:sz="4" w:space="0" w:color="auto"/>
              <w:left w:val="nil"/>
              <w:bottom w:val="single" w:sz="4" w:space="0" w:color="auto"/>
              <w:right w:val="nil"/>
            </w:tcBorders>
            <w:shd w:val="clear" w:color="000000" w:fill="000000"/>
            <w:noWrap/>
            <w:vAlign w:val="bottom"/>
            <w:hideMark/>
          </w:tcPr>
          <w:p w:rsidR="000B4A1E" w:rsidRPr="007133C6" w:rsidRDefault="000B4A1E" w:rsidP="00517E51">
            <w:pPr>
              <w:pStyle w:val="TableofFigures"/>
              <w:rPr>
                <w:lang w:eastAsia="en-AU"/>
              </w:rPr>
            </w:pPr>
            <w:r w:rsidRPr="007133C6">
              <w:rPr>
                <w:lang w:eastAsia="en-AU"/>
              </w:rPr>
              <w:t xml:space="preserve">  </w:t>
            </w:r>
          </w:p>
        </w:tc>
        <w:tc>
          <w:tcPr>
            <w:tcW w:w="1080" w:type="dxa"/>
            <w:tcBorders>
              <w:top w:val="single" w:sz="4" w:space="0" w:color="auto"/>
              <w:left w:val="nil"/>
              <w:bottom w:val="single" w:sz="4" w:space="0" w:color="auto"/>
              <w:right w:val="nil"/>
            </w:tcBorders>
            <w:shd w:val="clear" w:color="000000" w:fill="000000"/>
            <w:noWrap/>
            <w:vAlign w:val="bottom"/>
            <w:hideMark/>
          </w:tcPr>
          <w:p w:rsidR="000B4A1E" w:rsidRPr="007133C6" w:rsidRDefault="000B4A1E" w:rsidP="00517E51">
            <w:pPr>
              <w:pStyle w:val="TableofFigures"/>
              <w:rPr>
                <w:lang w:eastAsia="en-AU"/>
              </w:rPr>
            </w:pPr>
            <w:r w:rsidRPr="007133C6">
              <w:rPr>
                <w:lang w:eastAsia="en-AU"/>
              </w:rPr>
              <w:t xml:space="preserve">  </w:t>
            </w:r>
          </w:p>
        </w:tc>
        <w:tc>
          <w:tcPr>
            <w:tcW w:w="1093" w:type="dxa"/>
            <w:gridSpan w:val="3"/>
            <w:tcBorders>
              <w:top w:val="single" w:sz="4" w:space="0" w:color="auto"/>
              <w:left w:val="nil"/>
              <w:bottom w:val="single" w:sz="4" w:space="0" w:color="auto"/>
              <w:right w:val="nil"/>
            </w:tcBorders>
            <w:shd w:val="clear" w:color="000000" w:fill="000000"/>
            <w:noWrap/>
            <w:vAlign w:val="bottom"/>
            <w:hideMark/>
          </w:tcPr>
          <w:p w:rsidR="000B4A1E" w:rsidRPr="007133C6" w:rsidRDefault="000B4A1E" w:rsidP="00517E51">
            <w:pPr>
              <w:pStyle w:val="TableofFigures"/>
              <w:rPr>
                <w:lang w:eastAsia="en-AU"/>
              </w:rPr>
            </w:pPr>
            <w:r w:rsidRPr="007133C6">
              <w:rPr>
                <w:lang w:eastAsia="en-AU"/>
              </w:rPr>
              <w:t xml:space="preserve">  </w:t>
            </w:r>
          </w:p>
        </w:tc>
        <w:tc>
          <w:tcPr>
            <w:tcW w:w="1036" w:type="dxa"/>
            <w:tcBorders>
              <w:top w:val="single" w:sz="4" w:space="0" w:color="auto"/>
              <w:left w:val="nil"/>
              <w:bottom w:val="single" w:sz="4" w:space="0" w:color="auto"/>
              <w:right w:val="nil"/>
            </w:tcBorders>
            <w:shd w:val="clear" w:color="000000" w:fill="000000"/>
            <w:noWrap/>
            <w:vAlign w:val="bottom"/>
            <w:hideMark/>
          </w:tcPr>
          <w:p w:rsidR="000B4A1E" w:rsidRPr="007133C6" w:rsidRDefault="000B4A1E" w:rsidP="00517E51">
            <w:pPr>
              <w:pStyle w:val="TableofFigures"/>
              <w:rPr>
                <w:lang w:eastAsia="en-AU"/>
              </w:rPr>
            </w:pPr>
            <w:r w:rsidRPr="007133C6">
              <w:rPr>
                <w:lang w:eastAsia="en-AU"/>
              </w:rPr>
              <w:t xml:space="preserve">  </w:t>
            </w:r>
          </w:p>
        </w:tc>
        <w:tc>
          <w:tcPr>
            <w:tcW w:w="1036" w:type="dxa"/>
            <w:tcBorders>
              <w:top w:val="single" w:sz="4" w:space="0" w:color="auto"/>
              <w:left w:val="nil"/>
              <w:bottom w:val="single" w:sz="4" w:space="0" w:color="auto"/>
              <w:right w:val="single" w:sz="4" w:space="0" w:color="auto"/>
            </w:tcBorders>
            <w:shd w:val="clear" w:color="000000" w:fill="000000"/>
            <w:noWrap/>
            <w:vAlign w:val="bottom"/>
            <w:hideMark/>
          </w:tcPr>
          <w:p w:rsidR="000B4A1E" w:rsidRPr="007133C6" w:rsidRDefault="000B4A1E" w:rsidP="00517E51">
            <w:pPr>
              <w:pStyle w:val="TableofFigures"/>
              <w:rPr>
                <w:lang w:eastAsia="en-AU"/>
              </w:rPr>
            </w:pPr>
            <w:r w:rsidRPr="007133C6">
              <w:rPr>
                <w:lang w:eastAsia="en-AU"/>
              </w:rPr>
              <w:t xml:space="preserve">  </w:t>
            </w:r>
          </w:p>
        </w:tc>
      </w:tr>
      <w:tr w:rsidR="000B4A1E" w:rsidRPr="007133C6" w:rsidTr="00517E51">
        <w:trPr>
          <w:divId w:val="1625693859"/>
        </w:trPr>
        <w:tc>
          <w:tcPr>
            <w:tcW w:w="2623" w:type="dxa"/>
            <w:gridSpan w:val="3"/>
            <w:tcBorders>
              <w:top w:val="nil"/>
              <w:left w:val="nil"/>
              <w:bottom w:val="nil"/>
              <w:right w:val="nil"/>
            </w:tcBorders>
            <w:shd w:val="clear" w:color="auto" w:fill="auto"/>
            <w:noWrap/>
            <w:vAlign w:val="bottom"/>
            <w:hideMark/>
          </w:tcPr>
          <w:p w:rsidR="000B4A1E" w:rsidRPr="007133C6" w:rsidRDefault="000B4A1E" w:rsidP="00517E51">
            <w:pPr>
              <w:pStyle w:val="Tabletext"/>
              <w:rPr>
                <w:rFonts w:cs="Calibri"/>
                <w:szCs w:val="22"/>
                <w:lang w:eastAsia="en-AU"/>
              </w:rPr>
            </w:pPr>
            <w:r w:rsidRPr="007133C6">
              <w:rPr>
                <w:lang w:eastAsia="en-AU"/>
              </w:rPr>
              <w:t xml:space="preserve">Sale of goods and services </w:t>
            </w:r>
            <w:r w:rsidRPr="007133C6">
              <w:rPr>
                <w:rFonts w:cs="Calibri"/>
                <w:szCs w:val="22"/>
                <w:vertAlign w:val="superscript"/>
                <w:lang w:eastAsia="en-AU"/>
              </w:rPr>
              <w:t>(a)</w:t>
            </w:r>
          </w:p>
        </w:tc>
        <w:tc>
          <w:tcPr>
            <w:tcW w:w="802"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746.9</w:t>
            </w:r>
          </w:p>
        </w:tc>
        <w:tc>
          <w:tcPr>
            <w:tcW w:w="1037"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214.9</w:t>
            </w:r>
          </w:p>
        </w:tc>
        <w:tc>
          <w:tcPr>
            <w:tcW w:w="952"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75.7</w:t>
            </w:r>
          </w:p>
        </w:tc>
        <w:tc>
          <w:tcPr>
            <w:tcW w:w="1080"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105.6</w:t>
            </w:r>
          </w:p>
        </w:tc>
        <w:tc>
          <w:tcPr>
            <w:tcW w:w="1093" w:type="dxa"/>
            <w:gridSpan w:val="3"/>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70.3</w:t>
            </w:r>
          </w:p>
        </w:tc>
        <w:tc>
          <w:tcPr>
            <w:tcW w:w="1036"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4.2</w:t>
            </w:r>
          </w:p>
        </w:tc>
        <w:tc>
          <w:tcPr>
            <w:tcW w:w="1036"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1 </w:t>
            </w:r>
            <w:r w:rsidRPr="007133C6">
              <w:rPr>
                <w:rFonts w:cs="Calibri"/>
                <w:szCs w:val="22"/>
                <w:lang w:eastAsia="en-AU"/>
              </w:rPr>
              <w:t>217.6</w:t>
            </w:r>
          </w:p>
        </w:tc>
      </w:tr>
      <w:tr w:rsidR="000B4A1E" w:rsidRPr="007133C6" w:rsidTr="00517E51">
        <w:trPr>
          <w:divId w:val="1625693859"/>
        </w:trPr>
        <w:tc>
          <w:tcPr>
            <w:tcW w:w="2623" w:type="dxa"/>
            <w:gridSpan w:val="3"/>
            <w:tcBorders>
              <w:top w:val="nil"/>
              <w:left w:val="nil"/>
              <w:bottom w:val="nil"/>
              <w:right w:val="nil"/>
            </w:tcBorders>
            <w:shd w:val="clear" w:color="auto" w:fill="auto"/>
            <w:noWrap/>
            <w:vAlign w:val="bottom"/>
            <w:hideMark/>
          </w:tcPr>
          <w:p w:rsidR="000B4A1E" w:rsidRPr="007133C6" w:rsidRDefault="000B4A1E" w:rsidP="00517E51">
            <w:pPr>
              <w:pStyle w:val="Tabletext"/>
              <w:rPr>
                <w:lang w:eastAsia="en-AU"/>
              </w:rPr>
            </w:pPr>
            <w:r w:rsidRPr="007133C6">
              <w:rPr>
                <w:lang w:eastAsia="en-AU"/>
              </w:rPr>
              <w:t>Accrued investment income</w:t>
            </w:r>
          </w:p>
        </w:tc>
        <w:tc>
          <w:tcPr>
            <w:tcW w:w="802"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407.6</w:t>
            </w:r>
          </w:p>
        </w:tc>
        <w:tc>
          <w:tcPr>
            <w:tcW w:w="1037" w:type="dxa"/>
            <w:gridSpan w:val="2"/>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0.3</w:t>
            </w:r>
          </w:p>
        </w:tc>
        <w:tc>
          <w:tcPr>
            <w:tcW w:w="952"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w:t>
            </w:r>
          </w:p>
        </w:tc>
        <w:tc>
          <w:tcPr>
            <w:tcW w:w="1080"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0.9</w:t>
            </w:r>
          </w:p>
        </w:tc>
        <w:tc>
          <w:tcPr>
            <w:tcW w:w="1093" w:type="dxa"/>
            <w:gridSpan w:val="3"/>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w:t>
            </w:r>
          </w:p>
        </w:tc>
        <w:tc>
          <w:tcPr>
            <w:tcW w:w="1036"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w:t>
            </w:r>
          </w:p>
        </w:tc>
        <w:tc>
          <w:tcPr>
            <w:tcW w:w="1036" w:type="dxa"/>
            <w:tcBorders>
              <w:top w:val="nil"/>
              <w:left w:val="nil"/>
              <w:bottom w:val="nil"/>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408.8</w:t>
            </w:r>
          </w:p>
        </w:tc>
      </w:tr>
      <w:tr w:rsidR="000B4A1E" w:rsidRPr="007133C6" w:rsidTr="00517E51">
        <w:trPr>
          <w:divId w:val="1625693859"/>
        </w:trPr>
        <w:tc>
          <w:tcPr>
            <w:tcW w:w="2623" w:type="dxa"/>
            <w:gridSpan w:val="3"/>
            <w:tcBorders>
              <w:top w:val="nil"/>
              <w:left w:val="nil"/>
              <w:bottom w:val="single" w:sz="4" w:space="0" w:color="auto"/>
              <w:right w:val="nil"/>
            </w:tcBorders>
            <w:shd w:val="clear" w:color="auto" w:fill="auto"/>
            <w:noWrap/>
            <w:vAlign w:val="bottom"/>
            <w:hideMark/>
          </w:tcPr>
          <w:p w:rsidR="000B4A1E" w:rsidRPr="007133C6" w:rsidRDefault="000B4A1E" w:rsidP="00517E51">
            <w:pPr>
              <w:pStyle w:val="Tabletext"/>
              <w:rPr>
                <w:rFonts w:cs="Calibri"/>
                <w:szCs w:val="22"/>
                <w:lang w:eastAsia="en-AU"/>
              </w:rPr>
            </w:pPr>
            <w:r w:rsidRPr="007133C6">
              <w:rPr>
                <w:lang w:eastAsia="en-AU"/>
              </w:rPr>
              <w:t>Other receivables</w:t>
            </w:r>
            <w:r w:rsidRPr="007133C6">
              <w:rPr>
                <w:vertAlign w:val="superscript"/>
                <w:lang w:eastAsia="en-AU"/>
              </w:rPr>
              <w:t xml:space="preserve"> (</w:t>
            </w:r>
            <w:r w:rsidRPr="007133C6">
              <w:rPr>
                <w:rFonts w:cs="Calibri"/>
                <w:szCs w:val="22"/>
                <w:vertAlign w:val="superscript"/>
                <w:lang w:eastAsia="en-AU"/>
              </w:rPr>
              <w:t>a)</w:t>
            </w:r>
          </w:p>
        </w:tc>
        <w:tc>
          <w:tcPr>
            <w:tcW w:w="802" w:type="dxa"/>
            <w:tcBorders>
              <w:top w:val="nil"/>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453.8</w:t>
            </w:r>
          </w:p>
        </w:tc>
        <w:tc>
          <w:tcPr>
            <w:tcW w:w="1037" w:type="dxa"/>
            <w:gridSpan w:val="2"/>
            <w:tcBorders>
              <w:top w:val="nil"/>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21.7</w:t>
            </w:r>
          </w:p>
        </w:tc>
        <w:tc>
          <w:tcPr>
            <w:tcW w:w="952" w:type="dxa"/>
            <w:tcBorders>
              <w:top w:val="nil"/>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91.6</w:t>
            </w:r>
          </w:p>
        </w:tc>
        <w:tc>
          <w:tcPr>
            <w:tcW w:w="1080" w:type="dxa"/>
            <w:tcBorders>
              <w:top w:val="nil"/>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83.3</w:t>
            </w:r>
          </w:p>
        </w:tc>
        <w:tc>
          <w:tcPr>
            <w:tcW w:w="1093" w:type="dxa"/>
            <w:gridSpan w:val="3"/>
            <w:tcBorders>
              <w:top w:val="nil"/>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39.4</w:t>
            </w:r>
          </w:p>
        </w:tc>
        <w:tc>
          <w:tcPr>
            <w:tcW w:w="1036" w:type="dxa"/>
            <w:tcBorders>
              <w:top w:val="nil"/>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2.6</w:t>
            </w:r>
          </w:p>
        </w:tc>
        <w:tc>
          <w:tcPr>
            <w:tcW w:w="1036" w:type="dxa"/>
            <w:tcBorders>
              <w:top w:val="nil"/>
              <w:left w:val="nil"/>
              <w:bottom w:val="single" w:sz="4" w:space="0" w:color="auto"/>
              <w:right w:val="nil"/>
            </w:tcBorders>
            <w:shd w:val="clear" w:color="auto" w:fill="auto"/>
            <w:noWrap/>
            <w:vAlign w:val="bottom"/>
            <w:hideMark/>
          </w:tcPr>
          <w:p w:rsidR="000B4A1E" w:rsidRPr="007133C6" w:rsidRDefault="000B4A1E" w:rsidP="00517E51">
            <w:pPr>
              <w:pStyle w:val="TableofFigures"/>
              <w:rPr>
                <w:rFonts w:cs="Calibri"/>
                <w:szCs w:val="22"/>
                <w:lang w:eastAsia="en-AU"/>
              </w:rPr>
            </w:pPr>
            <w:r w:rsidRPr="007133C6">
              <w:rPr>
                <w:lang w:eastAsia="en-AU"/>
              </w:rPr>
              <w:t xml:space="preserve"> 692.4</w:t>
            </w:r>
          </w:p>
        </w:tc>
      </w:tr>
      <w:tr w:rsidR="000B4A1E" w:rsidRPr="007133C6" w:rsidTr="00517E51">
        <w:trPr>
          <w:divId w:val="1625693859"/>
        </w:trPr>
        <w:tc>
          <w:tcPr>
            <w:tcW w:w="2623" w:type="dxa"/>
            <w:gridSpan w:val="3"/>
            <w:tcBorders>
              <w:top w:val="single" w:sz="4" w:space="0" w:color="auto"/>
              <w:left w:val="nil"/>
              <w:bottom w:val="single" w:sz="12" w:space="0" w:color="auto"/>
              <w:right w:val="nil"/>
            </w:tcBorders>
            <w:shd w:val="clear" w:color="auto" w:fill="auto"/>
            <w:noWrap/>
            <w:vAlign w:val="bottom"/>
            <w:hideMark/>
          </w:tcPr>
          <w:p w:rsidR="000B4A1E" w:rsidRPr="007133C6" w:rsidRDefault="000B4A1E" w:rsidP="00517E51">
            <w:pPr>
              <w:pStyle w:val="Tabletext"/>
              <w:rPr>
                <w:b/>
                <w:bCs/>
                <w:lang w:eastAsia="en-AU"/>
              </w:rPr>
            </w:pPr>
            <w:r w:rsidRPr="007133C6">
              <w:rPr>
                <w:b/>
                <w:bCs/>
                <w:lang w:eastAsia="en-AU"/>
              </w:rPr>
              <w:t xml:space="preserve">  </w:t>
            </w:r>
          </w:p>
        </w:tc>
        <w:tc>
          <w:tcPr>
            <w:tcW w:w="802" w:type="dxa"/>
            <w:tcBorders>
              <w:top w:val="single" w:sz="4" w:space="0" w:color="auto"/>
              <w:left w:val="nil"/>
              <w:bottom w:val="single" w:sz="12"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1 </w:t>
            </w:r>
            <w:r w:rsidRPr="007133C6">
              <w:rPr>
                <w:rFonts w:cs="Calibri"/>
                <w:b/>
                <w:bCs/>
                <w:szCs w:val="22"/>
                <w:lang w:eastAsia="en-AU"/>
              </w:rPr>
              <w:t>608.3</w:t>
            </w:r>
          </w:p>
        </w:tc>
        <w:tc>
          <w:tcPr>
            <w:tcW w:w="1037" w:type="dxa"/>
            <w:gridSpan w:val="2"/>
            <w:tcBorders>
              <w:top w:val="single" w:sz="4" w:space="0" w:color="auto"/>
              <w:left w:val="nil"/>
              <w:bottom w:val="single" w:sz="12"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 236.9</w:t>
            </w:r>
          </w:p>
        </w:tc>
        <w:tc>
          <w:tcPr>
            <w:tcW w:w="952" w:type="dxa"/>
            <w:tcBorders>
              <w:top w:val="single" w:sz="4" w:space="0" w:color="auto"/>
              <w:left w:val="nil"/>
              <w:bottom w:val="single" w:sz="12"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 167.3</w:t>
            </w:r>
          </w:p>
        </w:tc>
        <w:tc>
          <w:tcPr>
            <w:tcW w:w="1080" w:type="dxa"/>
            <w:tcBorders>
              <w:top w:val="single" w:sz="4" w:space="0" w:color="auto"/>
              <w:left w:val="nil"/>
              <w:bottom w:val="single" w:sz="12"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 189.8</w:t>
            </w:r>
          </w:p>
        </w:tc>
        <w:tc>
          <w:tcPr>
            <w:tcW w:w="1093" w:type="dxa"/>
            <w:gridSpan w:val="3"/>
            <w:tcBorders>
              <w:top w:val="single" w:sz="4" w:space="0" w:color="auto"/>
              <w:left w:val="nil"/>
              <w:bottom w:val="single" w:sz="12"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 109.7</w:t>
            </w:r>
          </w:p>
        </w:tc>
        <w:tc>
          <w:tcPr>
            <w:tcW w:w="1036" w:type="dxa"/>
            <w:tcBorders>
              <w:top w:val="single" w:sz="4" w:space="0" w:color="auto"/>
              <w:left w:val="nil"/>
              <w:bottom w:val="single" w:sz="12"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 6.8</w:t>
            </w:r>
          </w:p>
        </w:tc>
        <w:tc>
          <w:tcPr>
            <w:tcW w:w="1036" w:type="dxa"/>
            <w:tcBorders>
              <w:top w:val="single" w:sz="4" w:space="0" w:color="auto"/>
              <w:left w:val="nil"/>
              <w:bottom w:val="single" w:sz="12" w:space="0" w:color="auto"/>
              <w:right w:val="nil"/>
            </w:tcBorders>
            <w:shd w:val="clear" w:color="auto" w:fill="auto"/>
            <w:noWrap/>
            <w:vAlign w:val="bottom"/>
            <w:hideMark/>
          </w:tcPr>
          <w:p w:rsidR="000B4A1E" w:rsidRPr="007133C6" w:rsidRDefault="000B4A1E" w:rsidP="00517E51">
            <w:pPr>
              <w:pStyle w:val="TableofFigures"/>
              <w:rPr>
                <w:rFonts w:cs="Calibri"/>
                <w:b/>
                <w:bCs/>
                <w:szCs w:val="22"/>
                <w:lang w:eastAsia="en-AU"/>
              </w:rPr>
            </w:pPr>
            <w:r w:rsidRPr="007133C6">
              <w:rPr>
                <w:b/>
                <w:bCs/>
                <w:lang w:eastAsia="en-AU"/>
              </w:rPr>
              <w:t xml:space="preserve">2 </w:t>
            </w:r>
            <w:r w:rsidRPr="007133C6">
              <w:rPr>
                <w:rFonts w:cs="Calibri"/>
                <w:b/>
                <w:bCs/>
                <w:szCs w:val="22"/>
                <w:lang w:eastAsia="en-AU"/>
              </w:rPr>
              <w:t>318.8</w:t>
            </w:r>
          </w:p>
        </w:tc>
      </w:tr>
    </w:tbl>
    <w:bookmarkEnd w:id="51"/>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 xml:space="preserve">The 2012 figures differ from that presented in the </w:t>
      </w:r>
      <w:r w:rsidRPr="009705F4">
        <w:rPr>
          <w:i w:val="0"/>
        </w:rPr>
        <w:t>2011</w:t>
      </w:r>
      <w:r w:rsidRPr="009705F4">
        <w:rPr>
          <w:i w:val="0"/>
        </w:rPr>
        <w:noBreakHyphen/>
        <w:t>12 Financial Report</w:t>
      </w:r>
      <w:r w:rsidRPr="00D00665">
        <w:t xml:space="preserve"> to more accurately reflect classification of contractual and statutory receivables.</w:t>
      </w:r>
    </w:p>
    <w:p w:rsidR="000B4A1E" w:rsidRPr="00D00665" w:rsidRDefault="000B4A1E" w:rsidP="00517E51"/>
    <w:p w:rsidR="000B4A1E" w:rsidRPr="00D00665" w:rsidRDefault="000B4A1E" w:rsidP="00517E51">
      <w:pPr>
        <w:pStyle w:val="Heading2NotesContd"/>
      </w:pPr>
      <w:r w:rsidRPr="00D00665">
        <w:br w:type="page"/>
      </w:r>
      <w:r w:rsidRPr="00D00665">
        <w:lastRenderedPageBreak/>
        <w:t>Note 17:</w:t>
      </w:r>
      <w:r w:rsidRPr="00D00665">
        <w:tab/>
        <w:t xml:space="preserve">Receivables </w:t>
      </w:r>
      <w:r w:rsidRPr="00D00665">
        <w:rPr>
          <w:i/>
        </w:rPr>
        <w:t>(continued)</w:t>
      </w:r>
    </w:p>
    <w:p w:rsidR="000B4A1E" w:rsidRPr="00D00665" w:rsidRDefault="000B4A1E" w:rsidP="00517E51">
      <w:pPr>
        <w:pStyle w:val="Tableheading"/>
      </w:pPr>
      <w:r w:rsidRPr="00D00665">
        <w:t>Ageing analysis of contractual receivables – general government sector</w:t>
      </w:r>
    </w:p>
    <w:p w:rsidR="000B4A1E" w:rsidRPr="007133C6"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2147"/>
        <w:gridCol w:w="243"/>
        <w:gridCol w:w="171"/>
        <w:gridCol w:w="90"/>
        <w:gridCol w:w="775"/>
        <w:gridCol w:w="106"/>
        <w:gridCol w:w="931"/>
        <w:gridCol w:w="861"/>
        <w:gridCol w:w="1170"/>
        <w:gridCol w:w="868"/>
        <w:gridCol w:w="106"/>
        <w:gridCol w:w="106"/>
        <w:gridCol w:w="1037"/>
        <w:gridCol w:w="1037"/>
      </w:tblGrid>
      <w:tr w:rsidR="000B4A1E" w:rsidRPr="007133C6" w:rsidTr="00517E51">
        <w:tc>
          <w:tcPr>
            <w:tcW w:w="2147" w:type="dxa"/>
            <w:tcBorders>
              <w:top w:val="single" w:sz="4" w:space="0" w:color="auto"/>
              <w:left w:val="single" w:sz="4" w:space="0" w:color="auto"/>
              <w:bottom w:val="nil"/>
              <w:right w:val="nil"/>
            </w:tcBorders>
            <w:shd w:val="clear" w:color="auto" w:fill="000000"/>
          </w:tcPr>
          <w:p w:rsidR="000B4A1E" w:rsidRPr="007133C6" w:rsidRDefault="000B4A1E" w:rsidP="00517E51">
            <w:pPr>
              <w:pStyle w:val="TabletextheadingLeft"/>
              <w:rPr>
                <w:lang w:eastAsia="en-AU"/>
              </w:rPr>
            </w:pPr>
            <w:r w:rsidRPr="007133C6">
              <w:rPr>
                <w:lang w:eastAsia="en-AU"/>
              </w:rPr>
              <w:t xml:space="preserve">General </w:t>
            </w:r>
          </w:p>
        </w:tc>
        <w:tc>
          <w:tcPr>
            <w:tcW w:w="1279" w:type="dxa"/>
            <w:gridSpan w:val="4"/>
            <w:tcBorders>
              <w:top w:val="single" w:sz="4" w:space="0" w:color="auto"/>
              <w:left w:val="nil"/>
              <w:bottom w:val="nil"/>
              <w:right w:val="nil"/>
            </w:tcBorders>
            <w:shd w:val="clear" w:color="auto" w:fill="000000"/>
          </w:tcPr>
          <w:p w:rsidR="000B4A1E" w:rsidRPr="007133C6" w:rsidRDefault="000B4A1E" w:rsidP="00517E51">
            <w:pPr>
              <w:pStyle w:val="TabletextheadingLeft"/>
              <w:rPr>
                <w:lang w:eastAsia="en-AU"/>
              </w:rPr>
            </w:pPr>
            <w:r w:rsidRPr="007133C6">
              <w:rPr>
                <w:lang w:eastAsia="en-AU"/>
              </w:rPr>
              <w:t>Not past due</w:t>
            </w:r>
          </w:p>
        </w:tc>
        <w:tc>
          <w:tcPr>
            <w:tcW w:w="106" w:type="dxa"/>
            <w:tcBorders>
              <w:top w:val="single" w:sz="4" w:space="0" w:color="auto"/>
              <w:left w:val="nil"/>
              <w:bottom w:val="single" w:sz="6" w:space="0" w:color="auto"/>
              <w:right w:val="nil"/>
            </w:tcBorders>
            <w:shd w:val="clear" w:color="auto" w:fill="000000"/>
          </w:tcPr>
          <w:p w:rsidR="000B4A1E" w:rsidRPr="007133C6" w:rsidRDefault="000B4A1E" w:rsidP="00517E51">
            <w:pPr>
              <w:pStyle w:val="TabletextheadingCentred"/>
              <w:rPr>
                <w:lang w:eastAsia="en-AU"/>
              </w:rPr>
            </w:pPr>
            <w:r w:rsidRPr="007133C6">
              <w:rPr>
                <w:lang w:eastAsia="en-AU"/>
              </w:rPr>
              <w:t xml:space="preserve"> </w:t>
            </w:r>
          </w:p>
        </w:tc>
        <w:tc>
          <w:tcPr>
            <w:tcW w:w="3830" w:type="dxa"/>
            <w:gridSpan w:val="4"/>
            <w:tcBorders>
              <w:top w:val="single" w:sz="4" w:space="0" w:color="auto"/>
              <w:left w:val="nil"/>
              <w:bottom w:val="single" w:sz="6" w:space="0" w:color="auto"/>
              <w:right w:val="nil"/>
            </w:tcBorders>
            <w:shd w:val="clear" w:color="auto" w:fill="000000"/>
          </w:tcPr>
          <w:p w:rsidR="000B4A1E" w:rsidRPr="007133C6" w:rsidRDefault="000B4A1E" w:rsidP="00517E51">
            <w:pPr>
              <w:pStyle w:val="TabletextheadingCentred"/>
              <w:rPr>
                <w:lang w:eastAsia="en-AU"/>
              </w:rPr>
            </w:pPr>
            <w:r w:rsidRPr="007133C6">
              <w:rPr>
                <w:lang w:eastAsia="en-AU"/>
              </w:rPr>
              <w:t>Past due and not impaired</w:t>
            </w:r>
          </w:p>
        </w:tc>
        <w:tc>
          <w:tcPr>
            <w:tcW w:w="106" w:type="dxa"/>
            <w:tcBorders>
              <w:top w:val="single" w:sz="4" w:space="0" w:color="auto"/>
              <w:left w:val="nil"/>
              <w:bottom w:val="single" w:sz="6" w:space="0" w:color="auto"/>
              <w:right w:val="nil"/>
            </w:tcBorders>
            <w:shd w:val="clear" w:color="auto" w:fill="000000"/>
          </w:tcPr>
          <w:p w:rsidR="000B4A1E" w:rsidRPr="007133C6" w:rsidRDefault="000B4A1E" w:rsidP="00517E51">
            <w:pPr>
              <w:pStyle w:val="TabletextheadingCentred"/>
              <w:rPr>
                <w:lang w:eastAsia="en-AU"/>
              </w:rPr>
            </w:pPr>
            <w:r w:rsidRPr="007133C6">
              <w:rPr>
                <w:lang w:eastAsia="en-AU"/>
              </w:rPr>
              <w:t xml:space="preserve"> </w:t>
            </w:r>
          </w:p>
        </w:tc>
        <w:tc>
          <w:tcPr>
            <w:tcW w:w="106" w:type="dxa"/>
            <w:tcBorders>
              <w:top w:val="single" w:sz="4" w:space="0" w:color="auto"/>
              <w:left w:val="nil"/>
              <w:bottom w:val="single" w:sz="6" w:space="0" w:color="auto"/>
              <w:right w:val="nil"/>
            </w:tcBorders>
            <w:shd w:val="clear" w:color="auto" w:fill="000000"/>
          </w:tcPr>
          <w:p w:rsidR="000B4A1E" w:rsidRPr="007133C6" w:rsidRDefault="000B4A1E" w:rsidP="00517E51">
            <w:pPr>
              <w:pStyle w:val="TabletextheadingCentred"/>
              <w:rPr>
                <w:lang w:eastAsia="en-AU"/>
              </w:rPr>
            </w:pPr>
            <w:r w:rsidRPr="007133C6">
              <w:rPr>
                <w:lang w:eastAsia="en-AU"/>
              </w:rPr>
              <w:t xml:space="preserve"> </w:t>
            </w:r>
          </w:p>
        </w:tc>
        <w:tc>
          <w:tcPr>
            <w:tcW w:w="1037" w:type="dxa"/>
            <w:tcBorders>
              <w:top w:val="single" w:sz="4" w:space="0" w:color="auto"/>
              <w:left w:val="nil"/>
              <w:bottom w:val="nil"/>
              <w:right w:val="nil"/>
            </w:tcBorders>
            <w:shd w:val="clear" w:color="auto" w:fill="000000"/>
          </w:tcPr>
          <w:p w:rsidR="000B4A1E" w:rsidRPr="007133C6" w:rsidRDefault="000B4A1E" w:rsidP="00517E51">
            <w:pPr>
              <w:pStyle w:val="Tabletextheading"/>
              <w:rPr>
                <w:lang w:eastAsia="en-AU"/>
              </w:rPr>
            </w:pPr>
            <w:r w:rsidRPr="007133C6">
              <w:rPr>
                <w:lang w:eastAsia="en-AU"/>
              </w:rPr>
              <w:t>Impaired</w:t>
            </w:r>
          </w:p>
        </w:tc>
        <w:tc>
          <w:tcPr>
            <w:tcW w:w="1037" w:type="dxa"/>
            <w:tcBorders>
              <w:top w:val="single" w:sz="4" w:space="0" w:color="auto"/>
              <w:left w:val="nil"/>
              <w:bottom w:val="nil"/>
              <w:right w:val="single" w:sz="4" w:space="0" w:color="auto"/>
            </w:tcBorders>
            <w:shd w:val="clear" w:color="auto" w:fill="000000"/>
          </w:tcPr>
          <w:p w:rsidR="000B4A1E" w:rsidRPr="007133C6" w:rsidRDefault="000B4A1E" w:rsidP="00517E51">
            <w:pPr>
              <w:pStyle w:val="Tabletextheading"/>
              <w:rPr>
                <w:lang w:eastAsia="en-AU"/>
              </w:rPr>
            </w:pPr>
            <w:r w:rsidRPr="007133C6">
              <w:rPr>
                <w:lang w:eastAsia="en-AU"/>
              </w:rPr>
              <w:t>Total</w:t>
            </w:r>
          </w:p>
        </w:tc>
      </w:tr>
      <w:tr w:rsidR="000B4A1E" w:rsidRPr="007133C6" w:rsidTr="00517E51">
        <w:tc>
          <w:tcPr>
            <w:tcW w:w="2390" w:type="dxa"/>
            <w:gridSpan w:val="2"/>
            <w:tcBorders>
              <w:top w:val="nil"/>
              <w:left w:val="single" w:sz="4" w:space="0" w:color="auto"/>
              <w:bottom w:val="single" w:sz="4" w:space="0" w:color="auto"/>
              <w:right w:val="nil"/>
            </w:tcBorders>
            <w:shd w:val="clear" w:color="auto" w:fill="000000"/>
          </w:tcPr>
          <w:p w:rsidR="000B4A1E" w:rsidRPr="007133C6" w:rsidRDefault="000B4A1E" w:rsidP="00517E51">
            <w:pPr>
              <w:pStyle w:val="TabletextheadingLeft"/>
              <w:rPr>
                <w:lang w:eastAsia="en-AU"/>
              </w:rPr>
            </w:pPr>
            <w:r w:rsidRPr="007133C6">
              <w:rPr>
                <w:lang w:eastAsia="en-AU"/>
              </w:rPr>
              <w:t>government sector</w:t>
            </w:r>
          </w:p>
        </w:tc>
        <w:tc>
          <w:tcPr>
            <w:tcW w:w="1036" w:type="dxa"/>
            <w:gridSpan w:val="3"/>
            <w:tcBorders>
              <w:top w:val="nil"/>
              <w:left w:val="nil"/>
              <w:bottom w:val="single" w:sz="4" w:space="0" w:color="auto"/>
              <w:right w:val="nil"/>
            </w:tcBorders>
            <w:shd w:val="clear" w:color="auto" w:fill="000000"/>
          </w:tcPr>
          <w:p w:rsidR="000B4A1E" w:rsidRPr="007133C6" w:rsidRDefault="000B4A1E" w:rsidP="00517E51">
            <w:pPr>
              <w:pStyle w:val="Tabletextheading"/>
              <w:rPr>
                <w:lang w:eastAsia="en-AU"/>
              </w:rPr>
            </w:pPr>
            <w:r w:rsidRPr="007133C6">
              <w:rPr>
                <w:lang w:eastAsia="en-AU"/>
              </w:rPr>
              <w:t xml:space="preserve">and not </w:t>
            </w:r>
          </w:p>
        </w:tc>
        <w:tc>
          <w:tcPr>
            <w:tcW w:w="1037" w:type="dxa"/>
            <w:gridSpan w:val="2"/>
            <w:tcBorders>
              <w:top w:val="nil"/>
              <w:left w:val="nil"/>
              <w:bottom w:val="single" w:sz="4" w:space="0" w:color="auto"/>
              <w:right w:val="nil"/>
            </w:tcBorders>
            <w:shd w:val="clear" w:color="auto" w:fill="000000"/>
          </w:tcPr>
          <w:p w:rsidR="000B4A1E" w:rsidRPr="007133C6" w:rsidRDefault="000B4A1E" w:rsidP="00517E51">
            <w:pPr>
              <w:pStyle w:val="Tabletextheading"/>
              <w:rPr>
                <w:lang w:eastAsia="en-AU"/>
              </w:rPr>
            </w:pPr>
            <w:r w:rsidRPr="007133C6">
              <w:rPr>
                <w:lang w:eastAsia="en-AU"/>
              </w:rPr>
              <w:t>Less than</w:t>
            </w:r>
          </w:p>
        </w:tc>
        <w:tc>
          <w:tcPr>
            <w:tcW w:w="861" w:type="dxa"/>
            <w:tcBorders>
              <w:top w:val="nil"/>
              <w:left w:val="nil"/>
              <w:bottom w:val="single" w:sz="4" w:space="0" w:color="auto"/>
              <w:right w:val="nil"/>
            </w:tcBorders>
            <w:shd w:val="clear" w:color="auto" w:fill="000000"/>
          </w:tcPr>
          <w:p w:rsidR="000B4A1E" w:rsidRPr="007133C6" w:rsidRDefault="000B4A1E" w:rsidP="00517E51">
            <w:pPr>
              <w:pStyle w:val="Tabletextheading"/>
              <w:rPr>
                <w:lang w:eastAsia="en-AU"/>
              </w:rPr>
            </w:pPr>
            <w:r w:rsidRPr="007133C6">
              <w:rPr>
                <w:lang w:eastAsia="en-AU"/>
              </w:rPr>
              <w:t xml:space="preserve">1-3 </w:t>
            </w:r>
          </w:p>
        </w:tc>
        <w:tc>
          <w:tcPr>
            <w:tcW w:w="1170" w:type="dxa"/>
            <w:tcBorders>
              <w:top w:val="nil"/>
              <w:left w:val="nil"/>
              <w:bottom w:val="single" w:sz="4" w:space="0" w:color="auto"/>
              <w:right w:val="nil"/>
            </w:tcBorders>
            <w:shd w:val="clear" w:color="auto" w:fill="000000"/>
          </w:tcPr>
          <w:p w:rsidR="000B4A1E" w:rsidRPr="007133C6" w:rsidRDefault="000B4A1E" w:rsidP="00517E51">
            <w:pPr>
              <w:pStyle w:val="Tabletextheading"/>
              <w:rPr>
                <w:lang w:eastAsia="en-AU"/>
              </w:rPr>
            </w:pPr>
            <w:r w:rsidRPr="007133C6">
              <w:rPr>
                <w:lang w:eastAsia="en-AU"/>
              </w:rPr>
              <w:t>3 months-</w:t>
            </w:r>
          </w:p>
        </w:tc>
        <w:tc>
          <w:tcPr>
            <w:tcW w:w="1080" w:type="dxa"/>
            <w:gridSpan w:val="3"/>
            <w:tcBorders>
              <w:top w:val="nil"/>
              <w:left w:val="nil"/>
              <w:bottom w:val="single" w:sz="4" w:space="0" w:color="auto"/>
              <w:right w:val="nil"/>
            </w:tcBorders>
            <w:shd w:val="clear" w:color="auto" w:fill="000000"/>
          </w:tcPr>
          <w:p w:rsidR="000B4A1E" w:rsidRPr="007133C6" w:rsidRDefault="000B4A1E" w:rsidP="00517E51">
            <w:pPr>
              <w:pStyle w:val="Tabletextheading"/>
              <w:rPr>
                <w:lang w:eastAsia="en-AU"/>
              </w:rPr>
            </w:pPr>
            <w:r w:rsidRPr="007133C6">
              <w:rPr>
                <w:lang w:eastAsia="en-AU"/>
              </w:rPr>
              <w:t>More than</w:t>
            </w:r>
          </w:p>
        </w:tc>
        <w:tc>
          <w:tcPr>
            <w:tcW w:w="1037" w:type="dxa"/>
            <w:tcBorders>
              <w:top w:val="nil"/>
              <w:left w:val="nil"/>
              <w:bottom w:val="single" w:sz="4" w:space="0" w:color="auto"/>
              <w:right w:val="nil"/>
            </w:tcBorders>
            <w:shd w:val="clear" w:color="auto" w:fill="000000"/>
          </w:tcPr>
          <w:p w:rsidR="000B4A1E" w:rsidRPr="007133C6" w:rsidRDefault="000B4A1E" w:rsidP="00517E51">
            <w:pPr>
              <w:pStyle w:val="Tabletextheading"/>
              <w:rPr>
                <w:lang w:eastAsia="en-AU"/>
              </w:rPr>
            </w:pPr>
            <w:r w:rsidRPr="007133C6">
              <w:rPr>
                <w:lang w:eastAsia="en-AU"/>
              </w:rPr>
              <w:t xml:space="preserve"> </w:t>
            </w:r>
          </w:p>
        </w:tc>
        <w:tc>
          <w:tcPr>
            <w:tcW w:w="1037" w:type="dxa"/>
            <w:tcBorders>
              <w:top w:val="nil"/>
              <w:left w:val="nil"/>
              <w:bottom w:val="single" w:sz="4" w:space="0" w:color="auto"/>
              <w:right w:val="single" w:sz="4" w:space="0" w:color="auto"/>
            </w:tcBorders>
            <w:shd w:val="clear" w:color="auto" w:fill="000000"/>
          </w:tcPr>
          <w:p w:rsidR="000B4A1E" w:rsidRPr="007133C6" w:rsidRDefault="000B4A1E" w:rsidP="00517E51">
            <w:pPr>
              <w:pStyle w:val="Tabletextheading"/>
              <w:rPr>
                <w:lang w:eastAsia="en-AU"/>
              </w:rPr>
            </w:pPr>
            <w:r w:rsidRPr="007133C6">
              <w:rPr>
                <w:lang w:eastAsia="en-AU"/>
              </w:rPr>
              <w:t xml:space="preserve"> </w:t>
            </w:r>
          </w:p>
        </w:tc>
      </w:tr>
      <w:tr w:rsidR="000B4A1E" w:rsidRPr="007133C6" w:rsidTr="00517E51">
        <w:tc>
          <w:tcPr>
            <w:tcW w:w="2390" w:type="dxa"/>
            <w:gridSpan w:val="2"/>
            <w:tcBorders>
              <w:top w:val="single" w:sz="4" w:space="0" w:color="auto"/>
              <w:left w:val="nil"/>
              <w:bottom w:val="single" w:sz="6" w:space="0" w:color="auto"/>
              <w:right w:val="nil"/>
            </w:tcBorders>
            <w:shd w:val="solid" w:color="000000" w:fill="auto"/>
          </w:tcPr>
          <w:p w:rsidR="000B4A1E" w:rsidRPr="007133C6" w:rsidRDefault="000B4A1E" w:rsidP="00517E51">
            <w:pPr>
              <w:pStyle w:val="TabletextheadingLeft"/>
              <w:rPr>
                <w:lang w:eastAsia="en-AU"/>
              </w:rPr>
            </w:pPr>
            <w:r w:rsidRPr="007133C6">
              <w:rPr>
                <w:lang w:eastAsia="en-AU"/>
              </w:rPr>
              <w:t>2013</w:t>
            </w:r>
          </w:p>
        </w:tc>
        <w:tc>
          <w:tcPr>
            <w:tcW w:w="1036" w:type="dxa"/>
            <w:gridSpan w:val="3"/>
            <w:tcBorders>
              <w:top w:val="single" w:sz="4" w:space="0" w:color="auto"/>
              <w:left w:val="nil"/>
              <w:bottom w:val="single" w:sz="6" w:space="0" w:color="auto"/>
              <w:right w:val="nil"/>
            </w:tcBorders>
            <w:shd w:val="solid" w:color="000000" w:fill="auto"/>
          </w:tcPr>
          <w:p w:rsidR="000B4A1E" w:rsidRPr="007133C6" w:rsidRDefault="000B4A1E" w:rsidP="00517E51">
            <w:pPr>
              <w:pStyle w:val="Tabletextheading"/>
              <w:rPr>
                <w:lang w:eastAsia="en-AU"/>
              </w:rPr>
            </w:pPr>
            <w:r w:rsidRPr="007133C6">
              <w:rPr>
                <w:lang w:eastAsia="en-AU"/>
              </w:rPr>
              <w:t>impaired</w:t>
            </w:r>
          </w:p>
        </w:tc>
        <w:tc>
          <w:tcPr>
            <w:tcW w:w="1037" w:type="dxa"/>
            <w:gridSpan w:val="2"/>
            <w:tcBorders>
              <w:top w:val="single" w:sz="4" w:space="0" w:color="auto"/>
              <w:left w:val="nil"/>
              <w:bottom w:val="single" w:sz="6" w:space="0" w:color="auto"/>
              <w:right w:val="nil"/>
            </w:tcBorders>
            <w:shd w:val="solid" w:color="000000" w:fill="auto"/>
          </w:tcPr>
          <w:p w:rsidR="000B4A1E" w:rsidRPr="007133C6" w:rsidRDefault="000B4A1E" w:rsidP="00517E51">
            <w:pPr>
              <w:pStyle w:val="Tabletextheading"/>
              <w:rPr>
                <w:lang w:eastAsia="en-AU"/>
              </w:rPr>
            </w:pPr>
            <w:r w:rsidRPr="007133C6">
              <w:rPr>
                <w:lang w:eastAsia="en-AU"/>
              </w:rPr>
              <w:t>1 month</w:t>
            </w:r>
          </w:p>
        </w:tc>
        <w:tc>
          <w:tcPr>
            <w:tcW w:w="861" w:type="dxa"/>
            <w:tcBorders>
              <w:top w:val="single" w:sz="4" w:space="0" w:color="auto"/>
              <w:left w:val="nil"/>
              <w:bottom w:val="single" w:sz="6" w:space="0" w:color="auto"/>
              <w:right w:val="nil"/>
            </w:tcBorders>
            <w:shd w:val="solid" w:color="000000" w:fill="auto"/>
          </w:tcPr>
          <w:p w:rsidR="000B4A1E" w:rsidRPr="007133C6" w:rsidRDefault="000B4A1E" w:rsidP="00517E51">
            <w:pPr>
              <w:pStyle w:val="Tabletextheading"/>
              <w:rPr>
                <w:lang w:eastAsia="en-AU"/>
              </w:rPr>
            </w:pPr>
            <w:r w:rsidRPr="007133C6">
              <w:rPr>
                <w:lang w:eastAsia="en-AU"/>
              </w:rPr>
              <w:t>months</w:t>
            </w:r>
          </w:p>
        </w:tc>
        <w:tc>
          <w:tcPr>
            <w:tcW w:w="1170" w:type="dxa"/>
            <w:tcBorders>
              <w:top w:val="single" w:sz="4" w:space="0" w:color="auto"/>
              <w:left w:val="nil"/>
              <w:bottom w:val="single" w:sz="6" w:space="0" w:color="auto"/>
              <w:right w:val="nil"/>
            </w:tcBorders>
            <w:shd w:val="solid" w:color="000000" w:fill="auto"/>
          </w:tcPr>
          <w:p w:rsidR="000B4A1E" w:rsidRPr="007133C6" w:rsidRDefault="000B4A1E" w:rsidP="00517E51">
            <w:pPr>
              <w:pStyle w:val="Tabletextheading"/>
              <w:rPr>
                <w:lang w:eastAsia="en-AU"/>
              </w:rPr>
            </w:pPr>
            <w:r w:rsidRPr="007133C6">
              <w:rPr>
                <w:lang w:eastAsia="en-AU"/>
              </w:rPr>
              <w:t>1 year</w:t>
            </w:r>
          </w:p>
        </w:tc>
        <w:tc>
          <w:tcPr>
            <w:tcW w:w="1080" w:type="dxa"/>
            <w:gridSpan w:val="3"/>
            <w:tcBorders>
              <w:top w:val="single" w:sz="4" w:space="0" w:color="auto"/>
              <w:left w:val="nil"/>
              <w:bottom w:val="single" w:sz="6" w:space="0" w:color="auto"/>
              <w:right w:val="nil"/>
            </w:tcBorders>
            <w:shd w:val="solid" w:color="000000" w:fill="auto"/>
          </w:tcPr>
          <w:p w:rsidR="000B4A1E" w:rsidRPr="007133C6" w:rsidRDefault="000B4A1E" w:rsidP="00517E51">
            <w:pPr>
              <w:pStyle w:val="Tabletextheading"/>
              <w:rPr>
                <w:lang w:eastAsia="en-AU"/>
              </w:rPr>
            </w:pPr>
            <w:r w:rsidRPr="007133C6">
              <w:rPr>
                <w:lang w:eastAsia="en-AU"/>
              </w:rPr>
              <w:t>1 year</w:t>
            </w:r>
          </w:p>
        </w:tc>
        <w:tc>
          <w:tcPr>
            <w:tcW w:w="1037" w:type="dxa"/>
            <w:tcBorders>
              <w:top w:val="single" w:sz="4" w:space="0" w:color="auto"/>
              <w:left w:val="nil"/>
              <w:bottom w:val="single" w:sz="6" w:space="0" w:color="auto"/>
              <w:right w:val="nil"/>
            </w:tcBorders>
            <w:shd w:val="solid" w:color="000000" w:fill="auto"/>
          </w:tcPr>
          <w:p w:rsidR="000B4A1E" w:rsidRPr="007133C6" w:rsidRDefault="000B4A1E" w:rsidP="00517E51">
            <w:pPr>
              <w:pStyle w:val="Tabletextheading"/>
              <w:rPr>
                <w:lang w:eastAsia="en-AU"/>
              </w:rPr>
            </w:pPr>
            <w:r w:rsidRPr="007133C6">
              <w:rPr>
                <w:lang w:eastAsia="en-AU"/>
              </w:rPr>
              <w:t xml:space="preserve"> </w:t>
            </w:r>
          </w:p>
        </w:tc>
        <w:tc>
          <w:tcPr>
            <w:tcW w:w="1037" w:type="dxa"/>
            <w:tcBorders>
              <w:top w:val="single" w:sz="4" w:space="0" w:color="auto"/>
              <w:left w:val="nil"/>
              <w:bottom w:val="single" w:sz="6" w:space="0" w:color="auto"/>
              <w:right w:val="nil"/>
            </w:tcBorders>
            <w:shd w:val="solid" w:color="000000" w:fill="auto"/>
          </w:tcPr>
          <w:p w:rsidR="000B4A1E" w:rsidRPr="007133C6" w:rsidRDefault="000B4A1E" w:rsidP="00517E51">
            <w:pPr>
              <w:pStyle w:val="Tabletextheading"/>
              <w:rPr>
                <w:lang w:eastAsia="en-AU"/>
              </w:rPr>
            </w:pPr>
            <w:r w:rsidRPr="007133C6">
              <w:rPr>
                <w:lang w:eastAsia="en-AU"/>
              </w:rPr>
              <w:t xml:space="preserve"> </w:t>
            </w:r>
          </w:p>
        </w:tc>
      </w:tr>
      <w:tr w:rsidR="000B4A1E" w:rsidRPr="007133C6" w:rsidTr="00517E51">
        <w:tc>
          <w:tcPr>
            <w:tcW w:w="2561" w:type="dxa"/>
            <w:gridSpan w:val="3"/>
            <w:tcBorders>
              <w:top w:val="nil"/>
              <w:left w:val="nil"/>
              <w:bottom w:val="nil"/>
              <w:right w:val="nil"/>
            </w:tcBorders>
          </w:tcPr>
          <w:p w:rsidR="000B4A1E" w:rsidRPr="007133C6" w:rsidRDefault="000B4A1E" w:rsidP="00517E51">
            <w:pPr>
              <w:pStyle w:val="Tabletext"/>
              <w:rPr>
                <w:lang w:eastAsia="en-AU"/>
              </w:rPr>
            </w:pPr>
            <w:r w:rsidRPr="007133C6">
              <w:rPr>
                <w:lang w:eastAsia="en-AU"/>
              </w:rPr>
              <w:t>Sale of goods and services</w:t>
            </w:r>
          </w:p>
        </w:tc>
        <w:tc>
          <w:tcPr>
            <w:tcW w:w="865" w:type="dxa"/>
            <w:gridSpan w:val="2"/>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433.1</w:t>
            </w:r>
          </w:p>
        </w:tc>
        <w:tc>
          <w:tcPr>
            <w:tcW w:w="1037" w:type="dxa"/>
            <w:gridSpan w:val="2"/>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76.8</w:t>
            </w:r>
          </w:p>
        </w:tc>
        <w:tc>
          <w:tcPr>
            <w:tcW w:w="861"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73.9</w:t>
            </w:r>
          </w:p>
        </w:tc>
        <w:tc>
          <w:tcPr>
            <w:tcW w:w="1170"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63.1</w:t>
            </w:r>
          </w:p>
        </w:tc>
        <w:tc>
          <w:tcPr>
            <w:tcW w:w="1080" w:type="dxa"/>
            <w:gridSpan w:val="3"/>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60.3</w:t>
            </w:r>
          </w:p>
        </w:tc>
        <w:tc>
          <w:tcPr>
            <w:tcW w:w="1037"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2.7</w:t>
            </w:r>
          </w:p>
        </w:tc>
        <w:tc>
          <w:tcPr>
            <w:tcW w:w="1037"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709.9</w:t>
            </w:r>
          </w:p>
        </w:tc>
      </w:tr>
      <w:tr w:rsidR="000B4A1E" w:rsidRPr="007133C6" w:rsidTr="00517E51">
        <w:tc>
          <w:tcPr>
            <w:tcW w:w="2651" w:type="dxa"/>
            <w:gridSpan w:val="4"/>
            <w:tcBorders>
              <w:top w:val="nil"/>
              <w:left w:val="nil"/>
              <w:bottom w:val="nil"/>
              <w:right w:val="nil"/>
            </w:tcBorders>
          </w:tcPr>
          <w:p w:rsidR="000B4A1E" w:rsidRPr="007133C6" w:rsidRDefault="000B4A1E" w:rsidP="00517E51">
            <w:pPr>
              <w:pStyle w:val="Tabletext"/>
              <w:rPr>
                <w:lang w:eastAsia="en-AU"/>
              </w:rPr>
            </w:pPr>
            <w:r w:rsidRPr="007133C6">
              <w:rPr>
                <w:lang w:eastAsia="en-AU"/>
              </w:rPr>
              <w:t>Accrued investment income</w:t>
            </w:r>
          </w:p>
        </w:tc>
        <w:tc>
          <w:tcPr>
            <w:tcW w:w="775"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184.0</w:t>
            </w:r>
          </w:p>
        </w:tc>
        <w:tc>
          <w:tcPr>
            <w:tcW w:w="1037" w:type="dxa"/>
            <w:gridSpan w:val="2"/>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0.4</w:t>
            </w:r>
          </w:p>
        </w:tc>
        <w:tc>
          <w:tcPr>
            <w:tcW w:w="861"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0.4</w:t>
            </w:r>
          </w:p>
        </w:tc>
        <w:tc>
          <w:tcPr>
            <w:tcW w:w="1170"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0.4</w:t>
            </w:r>
          </w:p>
        </w:tc>
        <w:tc>
          <w:tcPr>
            <w:tcW w:w="1080" w:type="dxa"/>
            <w:gridSpan w:val="3"/>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w:t>
            </w:r>
            <w:r w:rsidRPr="007133C6">
              <w:rPr>
                <w:rFonts w:eastAsiaTheme="minorEastAsia" w:cs="Calibri"/>
                <w:szCs w:val="22"/>
                <w:lang w:eastAsia="en-AU"/>
              </w:rPr>
              <w:t>.</w:t>
            </w:r>
          </w:p>
        </w:tc>
        <w:tc>
          <w:tcPr>
            <w:tcW w:w="1037"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w:t>
            </w:r>
            <w:r w:rsidRPr="007133C6">
              <w:rPr>
                <w:rFonts w:eastAsiaTheme="minorEastAsia" w:cs="Calibri"/>
                <w:szCs w:val="22"/>
                <w:lang w:eastAsia="en-AU"/>
              </w:rPr>
              <w:t>.</w:t>
            </w:r>
          </w:p>
        </w:tc>
        <w:tc>
          <w:tcPr>
            <w:tcW w:w="1037"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185.3</w:t>
            </w:r>
          </w:p>
        </w:tc>
      </w:tr>
      <w:tr w:rsidR="000B4A1E" w:rsidRPr="007133C6" w:rsidTr="00517E51">
        <w:tc>
          <w:tcPr>
            <w:tcW w:w="2561" w:type="dxa"/>
            <w:gridSpan w:val="3"/>
            <w:tcBorders>
              <w:top w:val="nil"/>
              <w:left w:val="nil"/>
              <w:bottom w:val="nil"/>
              <w:right w:val="nil"/>
            </w:tcBorders>
          </w:tcPr>
          <w:p w:rsidR="000B4A1E" w:rsidRPr="007133C6" w:rsidRDefault="000B4A1E" w:rsidP="00517E51">
            <w:pPr>
              <w:pStyle w:val="Tabletext"/>
              <w:rPr>
                <w:lang w:eastAsia="en-AU"/>
              </w:rPr>
            </w:pPr>
            <w:r w:rsidRPr="007133C6">
              <w:rPr>
                <w:lang w:eastAsia="en-AU"/>
              </w:rPr>
              <w:t>Other receivables</w:t>
            </w:r>
          </w:p>
        </w:tc>
        <w:tc>
          <w:tcPr>
            <w:tcW w:w="865" w:type="dxa"/>
            <w:gridSpan w:val="2"/>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555.3</w:t>
            </w:r>
          </w:p>
        </w:tc>
        <w:tc>
          <w:tcPr>
            <w:tcW w:w="1037" w:type="dxa"/>
            <w:gridSpan w:val="2"/>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112.4</w:t>
            </w:r>
          </w:p>
        </w:tc>
        <w:tc>
          <w:tcPr>
            <w:tcW w:w="861"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40.8</w:t>
            </w:r>
          </w:p>
        </w:tc>
        <w:tc>
          <w:tcPr>
            <w:tcW w:w="1170"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355.2</w:t>
            </w:r>
          </w:p>
        </w:tc>
        <w:tc>
          <w:tcPr>
            <w:tcW w:w="1080" w:type="dxa"/>
            <w:gridSpan w:val="3"/>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38.8</w:t>
            </w:r>
          </w:p>
        </w:tc>
        <w:tc>
          <w:tcPr>
            <w:tcW w:w="1037"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w:t>
            </w:r>
            <w:r w:rsidRPr="007133C6">
              <w:rPr>
                <w:rFonts w:eastAsiaTheme="minorEastAsia" w:cs="Calibri"/>
                <w:szCs w:val="22"/>
                <w:lang w:eastAsia="en-AU"/>
              </w:rPr>
              <w:t xml:space="preserve"> 0.5)</w:t>
            </w:r>
          </w:p>
        </w:tc>
        <w:tc>
          <w:tcPr>
            <w:tcW w:w="1037"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1</w:t>
            </w:r>
            <w:r w:rsidRPr="007133C6">
              <w:rPr>
                <w:rFonts w:eastAsiaTheme="minorEastAsia" w:cs="Calibri"/>
                <w:szCs w:val="22"/>
                <w:lang w:eastAsia="en-AU"/>
              </w:rPr>
              <w:t xml:space="preserve"> 102.1</w:t>
            </w:r>
          </w:p>
        </w:tc>
      </w:tr>
      <w:tr w:rsidR="000B4A1E" w:rsidRPr="007133C6" w:rsidTr="00517E51">
        <w:tc>
          <w:tcPr>
            <w:tcW w:w="2390" w:type="dxa"/>
            <w:gridSpan w:val="2"/>
            <w:tcBorders>
              <w:top w:val="single" w:sz="6" w:space="0" w:color="auto"/>
              <w:left w:val="nil"/>
              <w:bottom w:val="single" w:sz="12" w:space="0" w:color="auto"/>
              <w:right w:val="nil"/>
            </w:tcBorders>
          </w:tcPr>
          <w:p w:rsidR="000B4A1E" w:rsidRPr="007133C6" w:rsidRDefault="000B4A1E" w:rsidP="00517E51">
            <w:pPr>
              <w:pStyle w:val="Tabletext"/>
              <w:rPr>
                <w:b/>
                <w:bCs/>
                <w:lang w:eastAsia="en-AU"/>
              </w:rPr>
            </w:pPr>
            <w:r w:rsidRPr="007133C6">
              <w:rPr>
                <w:b/>
                <w:bCs/>
                <w:lang w:eastAsia="en-AU"/>
              </w:rPr>
              <w:t xml:space="preserve">  </w:t>
            </w:r>
          </w:p>
        </w:tc>
        <w:tc>
          <w:tcPr>
            <w:tcW w:w="1036" w:type="dxa"/>
            <w:gridSpan w:val="3"/>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1</w:t>
            </w:r>
            <w:r w:rsidRPr="007133C6">
              <w:rPr>
                <w:rFonts w:eastAsiaTheme="minorEastAsia" w:cs="Calibri"/>
                <w:b/>
                <w:bCs/>
                <w:szCs w:val="22"/>
                <w:lang w:eastAsia="en-AU"/>
              </w:rPr>
              <w:t xml:space="preserve"> 172.4</w:t>
            </w:r>
          </w:p>
        </w:tc>
        <w:tc>
          <w:tcPr>
            <w:tcW w:w="1037" w:type="dxa"/>
            <w:gridSpan w:val="2"/>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 xml:space="preserve"> </w:t>
            </w:r>
            <w:r w:rsidRPr="007133C6">
              <w:rPr>
                <w:rFonts w:eastAsiaTheme="minorEastAsia" w:cs="Calibri"/>
                <w:b/>
                <w:bCs/>
                <w:szCs w:val="22"/>
                <w:lang w:eastAsia="en-AU"/>
              </w:rPr>
              <w:t>189.6</w:t>
            </w:r>
          </w:p>
        </w:tc>
        <w:tc>
          <w:tcPr>
            <w:tcW w:w="861" w:type="dxa"/>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 xml:space="preserve"> </w:t>
            </w:r>
            <w:r w:rsidRPr="007133C6">
              <w:rPr>
                <w:rFonts w:eastAsiaTheme="minorEastAsia" w:cs="Calibri"/>
                <w:b/>
                <w:bCs/>
                <w:szCs w:val="22"/>
                <w:lang w:eastAsia="en-AU"/>
              </w:rPr>
              <w:t>115.2</w:t>
            </w:r>
          </w:p>
        </w:tc>
        <w:tc>
          <w:tcPr>
            <w:tcW w:w="1170" w:type="dxa"/>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 xml:space="preserve"> </w:t>
            </w:r>
            <w:r w:rsidRPr="007133C6">
              <w:rPr>
                <w:rFonts w:eastAsiaTheme="minorEastAsia" w:cs="Calibri"/>
                <w:b/>
                <w:bCs/>
                <w:szCs w:val="22"/>
                <w:lang w:eastAsia="en-AU"/>
              </w:rPr>
              <w:t>418.7</w:t>
            </w:r>
          </w:p>
        </w:tc>
        <w:tc>
          <w:tcPr>
            <w:tcW w:w="1080" w:type="dxa"/>
            <w:gridSpan w:val="3"/>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 xml:space="preserve"> </w:t>
            </w:r>
            <w:r w:rsidRPr="007133C6">
              <w:rPr>
                <w:rFonts w:eastAsiaTheme="minorEastAsia" w:cs="Calibri"/>
                <w:b/>
                <w:bCs/>
                <w:szCs w:val="22"/>
                <w:lang w:eastAsia="en-AU"/>
              </w:rPr>
              <w:t>99.2</w:t>
            </w:r>
          </w:p>
        </w:tc>
        <w:tc>
          <w:tcPr>
            <w:tcW w:w="1037" w:type="dxa"/>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 xml:space="preserve"> </w:t>
            </w:r>
            <w:r w:rsidRPr="007133C6">
              <w:rPr>
                <w:rFonts w:eastAsiaTheme="minorEastAsia" w:cs="Calibri"/>
                <w:b/>
                <w:bCs/>
                <w:szCs w:val="22"/>
                <w:lang w:eastAsia="en-AU"/>
              </w:rPr>
              <w:t>2.2</w:t>
            </w:r>
          </w:p>
        </w:tc>
        <w:tc>
          <w:tcPr>
            <w:tcW w:w="1037" w:type="dxa"/>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1</w:t>
            </w:r>
            <w:r w:rsidRPr="007133C6">
              <w:rPr>
                <w:rFonts w:eastAsiaTheme="minorEastAsia" w:cs="Calibri"/>
                <w:b/>
                <w:bCs/>
                <w:szCs w:val="22"/>
                <w:lang w:eastAsia="en-AU"/>
              </w:rPr>
              <w:t xml:space="preserve"> 997.3</w:t>
            </w:r>
          </w:p>
        </w:tc>
      </w:tr>
      <w:tr w:rsidR="000B4A1E" w:rsidRPr="007133C6" w:rsidTr="00517E51">
        <w:tc>
          <w:tcPr>
            <w:tcW w:w="2390" w:type="dxa"/>
            <w:gridSpan w:val="2"/>
            <w:tcBorders>
              <w:top w:val="single" w:sz="12" w:space="0" w:color="auto"/>
              <w:left w:val="nil"/>
              <w:bottom w:val="single" w:sz="6" w:space="0" w:color="auto"/>
              <w:right w:val="nil"/>
            </w:tcBorders>
            <w:shd w:val="solid" w:color="000000" w:fill="auto"/>
          </w:tcPr>
          <w:p w:rsidR="000B4A1E" w:rsidRPr="007133C6" w:rsidRDefault="000B4A1E" w:rsidP="00517E51">
            <w:pPr>
              <w:pStyle w:val="TabletextheadingLeft"/>
              <w:rPr>
                <w:rFonts w:eastAsiaTheme="minorEastAsia" w:cs="Calibri"/>
                <w:iCs/>
                <w:color w:val="FFFFFF"/>
                <w:szCs w:val="22"/>
                <w:vertAlign w:val="superscript"/>
                <w:lang w:eastAsia="en-AU"/>
              </w:rPr>
            </w:pPr>
            <w:r w:rsidRPr="007133C6">
              <w:rPr>
                <w:lang w:eastAsia="en-AU"/>
              </w:rPr>
              <w:t xml:space="preserve">2012 </w:t>
            </w:r>
            <w:r w:rsidRPr="007133C6">
              <w:rPr>
                <w:rFonts w:eastAsiaTheme="minorEastAsia" w:cs="Calibri"/>
                <w:iCs/>
                <w:color w:val="FFFFFF"/>
                <w:szCs w:val="22"/>
                <w:vertAlign w:val="superscript"/>
                <w:lang w:eastAsia="en-AU"/>
              </w:rPr>
              <w:t>(a)</w:t>
            </w:r>
          </w:p>
        </w:tc>
        <w:tc>
          <w:tcPr>
            <w:tcW w:w="1036" w:type="dxa"/>
            <w:gridSpan w:val="3"/>
            <w:tcBorders>
              <w:top w:val="single" w:sz="12" w:space="0" w:color="auto"/>
              <w:left w:val="nil"/>
              <w:bottom w:val="single" w:sz="6" w:space="0" w:color="auto"/>
              <w:right w:val="nil"/>
            </w:tcBorders>
            <w:shd w:val="solid" w:color="000000" w:fill="auto"/>
          </w:tcPr>
          <w:p w:rsidR="000B4A1E" w:rsidRPr="007133C6" w:rsidRDefault="000B4A1E" w:rsidP="00517E51">
            <w:pPr>
              <w:pStyle w:val="TableofFigures"/>
              <w:rPr>
                <w:lang w:eastAsia="en-AU"/>
              </w:rPr>
            </w:pPr>
          </w:p>
        </w:tc>
        <w:tc>
          <w:tcPr>
            <w:tcW w:w="1037" w:type="dxa"/>
            <w:gridSpan w:val="2"/>
            <w:tcBorders>
              <w:top w:val="single" w:sz="12" w:space="0" w:color="auto"/>
              <w:left w:val="nil"/>
              <w:bottom w:val="single" w:sz="6" w:space="0" w:color="auto"/>
              <w:right w:val="nil"/>
            </w:tcBorders>
            <w:shd w:val="solid" w:color="000000" w:fill="auto"/>
          </w:tcPr>
          <w:p w:rsidR="000B4A1E" w:rsidRPr="007133C6" w:rsidRDefault="000B4A1E" w:rsidP="00517E51">
            <w:pPr>
              <w:pStyle w:val="TableofFigures"/>
              <w:rPr>
                <w:lang w:eastAsia="en-AU"/>
              </w:rPr>
            </w:pPr>
          </w:p>
        </w:tc>
        <w:tc>
          <w:tcPr>
            <w:tcW w:w="861" w:type="dxa"/>
            <w:tcBorders>
              <w:top w:val="single" w:sz="12" w:space="0" w:color="auto"/>
              <w:left w:val="nil"/>
              <w:bottom w:val="single" w:sz="6" w:space="0" w:color="auto"/>
              <w:right w:val="nil"/>
            </w:tcBorders>
            <w:shd w:val="solid" w:color="000000" w:fill="auto"/>
          </w:tcPr>
          <w:p w:rsidR="000B4A1E" w:rsidRPr="007133C6" w:rsidRDefault="000B4A1E" w:rsidP="00517E51">
            <w:pPr>
              <w:pStyle w:val="TableofFigures"/>
              <w:rPr>
                <w:lang w:eastAsia="en-AU"/>
              </w:rPr>
            </w:pPr>
          </w:p>
        </w:tc>
        <w:tc>
          <w:tcPr>
            <w:tcW w:w="1170" w:type="dxa"/>
            <w:tcBorders>
              <w:top w:val="single" w:sz="12" w:space="0" w:color="auto"/>
              <w:left w:val="nil"/>
              <w:bottom w:val="single" w:sz="6" w:space="0" w:color="auto"/>
              <w:right w:val="nil"/>
            </w:tcBorders>
            <w:shd w:val="solid" w:color="000000" w:fill="auto"/>
          </w:tcPr>
          <w:p w:rsidR="000B4A1E" w:rsidRPr="007133C6" w:rsidRDefault="000B4A1E" w:rsidP="00517E51">
            <w:pPr>
              <w:pStyle w:val="TableofFigures"/>
              <w:rPr>
                <w:lang w:eastAsia="en-AU"/>
              </w:rPr>
            </w:pPr>
          </w:p>
        </w:tc>
        <w:tc>
          <w:tcPr>
            <w:tcW w:w="1080" w:type="dxa"/>
            <w:gridSpan w:val="3"/>
            <w:tcBorders>
              <w:top w:val="single" w:sz="12" w:space="0" w:color="auto"/>
              <w:left w:val="nil"/>
              <w:bottom w:val="single" w:sz="6" w:space="0" w:color="auto"/>
              <w:right w:val="nil"/>
            </w:tcBorders>
            <w:shd w:val="solid" w:color="000000" w:fill="auto"/>
          </w:tcPr>
          <w:p w:rsidR="000B4A1E" w:rsidRPr="007133C6" w:rsidRDefault="000B4A1E" w:rsidP="00517E51">
            <w:pPr>
              <w:pStyle w:val="TableofFigures"/>
              <w:rPr>
                <w:lang w:eastAsia="en-AU"/>
              </w:rPr>
            </w:pPr>
          </w:p>
        </w:tc>
        <w:tc>
          <w:tcPr>
            <w:tcW w:w="1037" w:type="dxa"/>
            <w:tcBorders>
              <w:top w:val="single" w:sz="12" w:space="0" w:color="auto"/>
              <w:left w:val="nil"/>
              <w:bottom w:val="single" w:sz="6" w:space="0" w:color="auto"/>
              <w:right w:val="nil"/>
            </w:tcBorders>
            <w:shd w:val="solid" w:color="000000" w:fill="auto"/>
          </w:tcPr>
          <w:p w:rsidR="000B4A1E" w:rsidRPr="007133C6" w:rsidRDefault="000B4A1E" w:rsidP="00517E51">
            <w:pPr>
              <w:pStyle w:val="TableofFigures"/>
              <w:rPr>
                <w:lang w:eastAsia="en-AU"/>
              </w:rPr>
            </w:pPr>
          </w:p>
        </w:tc>
        <w:tc>
          <w:tcPr>
            <w:tcW w:w="1037" w:type="dxa"/>
            <w:tcBorders>
              <w:top w:val="single" w:sz="12" w:space="0" w:color="auto"/>
              <w:left w:val="nil"/>
              <w:bottom w:val="single" w:sz="6" w:space="0" w:color="auto"/>
              <w:right w:val="nil"/>
            </w:tcBorders>
            <w:shd w:val="solid" w:color="000000" w:fill="auto"/>
          </w:tcPr>
          <w:p w:rsidR="000B4A1E" w:rsidRPr="007133C6" w:rsidRDefault="000B4A1E" w:rsidP="00517E51">
            <w:pPr>
              <w:pStyle w:val="TableofFigures"/>
              <w:rPr>
                <w:lang w:eastAsia="en-AU"/>
              </w:rPr>
            </w:pPr>
          </w:p>
        </w:tc>
      </w:tr>
      <w:tr w:rsidR="000B4A1E" w:rsidRPr="007133C6" w:rsidTr="00517E51">
        <w:tc>
          <w:tcPr>
            <w:tcW w:w="2561" w:type="dxa"/>
            <w:gridSpan w:val="3"/>
            <w:tcBorders>
              <w:top w:val="nil"/>
              <w:left w:val="nil"/>
              <w:bottom w:val="nil"/>
              <w:right w:val="nil"/>
            </w:tcBorders>
          </w:tcPr>
          <w:p w:rsidR="000B4A1E" w:rsidRPr="007133C6" w:rsidRDefault="000B4A1E" w:rsidP="00517E51">
            <w:pPr>
              <w:pStyle w:val="Tabletext"/>
              <w:rPr>
                <w:lang w:eastAsia="en-AU"/>
              </w:rPr>
            </w:pPr>
            <w:r w:rsidRPr="007133C6">
              <w:rPr>
                <w:lang w:eastAsia="en-AU"/>
              </w:rPr>
              <w:t>Sale of goods and services</w:t>
            </w:r>
          </w:p>
        </w:tc>
        <w:tc>
          <w:tcPr>
            <w:tcW w:w="865" w:type="dxa"/>
            <w:gridSpan w:val="2"/>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292.8</w:t>
            </w:r>
          </w:p>
        </w:tc>
        <w:tc>
          <w:tcPr>
            <w:tcW w:w="1037" w:type="dxa"/>
            <w:gridSpan w:val="2"/>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156.9</w:t>
            </w:r>
          </w:p>
        </w:tc>
        <w:tc>
          <w:tcPr>
            <w:tcW w:w="861"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39.7</w:t>
            </w:r>
          </w:p>
        </w:tc>
        <w:tc>
          <w:tcPr>
            <w:tcW w:w="1170"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56.4</w:t>
            </w:r>
          </w:p>
        </w:tc>
        <w:tc>
          <w:tcPr>
            <w:tcW w:w="1080" w:type="dxa"/>
            <w:gridSpan w:val="3"/>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48.5</w:t>
            </w:r>
          </w:p>
        </w:tc>
        <w:tc>
          <w:tcPr>
            <w:tcW w:w="1037"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0.7</w:t>
            </w:r>
          </w:p>
        </w:tc>
        <w:tc>
          <w:tcPr>
            <w:tcW w:w="1037"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595.0</w:t>
            </w:r>
          </w:p>
        </w:tc>
      </w:tr>
      <w:tr w:rsidR="000B4A1E" w:rsidRPr="007133C6" w:rsidTr="00517E51">
        <w:tc>
          <w:tcPr>
            <w:tcW w:w="2651" w:type="dxa"/>
            <w:gridSpan w:val="4"/>
            <w:tcBorders>
              <w:top w:val="nil"/>
              <w:left w:val="nil"/>
              <w:bottom w:val="nil"/>
              <w:right w:val="nil"/>
            </w:tcBorders>
          </w:tcPr>
          <w:p w:rsidR="000B4A1E" w:rsidRPr="007133C6" w:rsidRDefault="000B4A1E" w:rsidP="00517E51">
            <w:pPr>
              <w:pStyle w:val="Tabletext"/>
              <w:rPr>
                <w:lang w:eastAsia="en-AU"/>
              </w:rPr>
            </w:pPr>
            <w:r w:rsidRPr="007133C6">
              <w:rPr>
                <w:lang w:eastAsia="en-AU"/>
              </w:rPr>
              <w:t>Accrued investment income</w:t>
            </w:r>
          </w:p>
        </w:tc>
        <w:tc>
          <w:tcPr>
            <w:tcW w:w="775"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77.4</w:t>
            </w:r>
          </w:p>
        </w:tc>
        <w:tc>
          <w:tcPr>
            <w:tcW w:w="1037" w:type="dxa"/>
            <w:gridSpan w:val="2"/>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0.2</w:t>
            </w:r>
          </w:p>
        </w:tc>
        <w:tc>
          <w:tcPr>
            <w:tcW w:w="861"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w:t>
            </w:r>
            <w:r w:rsidRPr="007133C6">
              <w:rPr>
                <w:rFonts w:eastAsiaTheme="minorEastAsia" w:cs="Calibri"/>
                <w:szCs w:val="22"/>
                <w:lang w:eastAsia="en-AU"/>
              </w:rPr>
              <w:t>.</w:t>
            </w:r>
          </w:p>
        </w:tc>
        <w:tc>
          <w:tcPr>
            <w:tcW w:w="1170"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0.6</w:t>
            </w:r>
          </w:p>
        </w:tc>
        <w:tc>
          <w:tcPr>
            <w:tcW w:w="1080" w:type="dxa"/>
            <w:gridSpan w:val="3"/>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w:t>
            </w:r>
            <w:r w:rsidRPr="007133C6">
              <w:rPr>
                <w:rFonts w:eastAsiaTheme="minorEastAsia" w:cs="Calibri"/>
                <w:szCs w:val="22"/>
                <w:lang w:eastAsia="en-AU"/>
              </w:rPr>
              <w:t>.</w:t>
            </w:r>
          </w:p>
        </w:tc>
        <w:tc>
          <w:tcPr>
            <w:tcW w:w="1037"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w:t>
            </w:r>
            <w:r w:rsidRPr="007133C6">
              <w:rPr>
                <w:rFonts w:eastAsiaTheme="minorEastAsia" w:cs="Calibri"/>
                <w:szCs w:val="22"/>
                <w:lang w:eastAsia="en-AU"/>
              </w:rPr>
              <w:t>.</w:t>
            </w:r>
          </w:p>
        </w:tc>
        <w:tc>
          <w:tcPr>
            <w:tcW w:w="1037"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78.2</w:t>
            </w:r>
          </w:p>
        </w:tc>
      </w:tr>
      <w:tr w:rsidR="000B4A1E" w:rsidRPr="007133C6" w:rsidTr="00517E51">
        <w:tc>
          <w:tcPr>
            <w:tcW w:w="2390" w:type="dxa"/>
            <w:gridSpan w:val="2"/>
            <w:tcBorders>
              <w:top w:val="nil"/>
              <w:left w:val="nil"/>
              <w:bottom w:val="nil"/>
              <w:right w:val="nil"/>
            </w:tcBorders>
          </w:tcPr>
          <w:p w:rsidR="000B4A1E" w:rsidRPr="007133C6" w:rsidRDefault="000B4A1E" w:rsidP="00517E51">
            <w:pPr>
              <w:pStyle w:val="Tabletext"/>
              <w:rPr>
                <w:rFonts w:eastAsiaTheme="minorEastAsia" w:cs="Calibri"/>
                <w:szCs w:val="22"/>
                <w:vertAlign w:val="superscript"/>
                <w:lang w:eastAsia="en-AU"/>
              </w:rPr>
            </w:pPr>
            <w:r w:rsidRPr="007133C6">
              <w:rPr>
                <w:lang w:eastAsia="en-AU"/>
              </w:rPr>
              <w:t xml:space="preserve">Other receivables </w:t>
            </w:r>
            <w:r w:rsidRPr="007133C6">
              <w:rPr>
                <w:rFonts w:eastAsiaTheme="minorEastAsia" w:cs="Calibri"/>
                <w:szCs w:val="22"/>
                <w:vertAlign w:val="superscript"/>
                <w:lang w:eastAsia="en-AU"/>
              </w:rPr>
              <w:t>(b)</w:t>
            </w:r>
          </w:p>
        </w:tc>
        <w:tc>
          <w:tcPr>
            <w:tcW w:w="1036" w:type="dxa"/>
            <w:gridSpan w:val="3"/>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793.5</w:t>
            </w:r>
          </w:p>
        </w:tc>
        <w:tc>
          <w:tcPr>
            <w:tcW w:w="1037" w:type="dxa"/>
            <w:gridSpan w:val="2"/>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8.9</w:t>
            </w:r>
          </w:p>
        </w:tc>
        <w:tc>
          <w:tcPr>
            <w:tcW w:w="861"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52.0</w:t>
            </w:r>
          </w:p>
        </w:tc>
        <w:tc>
          <w:tcPr>
            <w:tcW w:w="1170"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33.7</w:t>
            </w:r>
          </w:p>
        </w:tc>
        <w:tc>
          <w:tcPr>
            <w:tcW w:w="1080" w:type="dxa"/>
            <w:gridSpan w:val="3"/>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6.6</w:t>
            </w:r>
          </w:p>
        </w:tc>
        <w:tc>
          <w:tcPr>
            <w:tcW w:w="1037"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2.6</w:t>
            </w:r>
          </w:p>
        </w:tc>
        <w:tc>
          <w:tcPr>
            <w:tcW w:w="1037" w:type="dxa"/>
            <w:tcBorders>
              <w:top w:val="nil"/>
              <w:left w:val="nil"/>
              <w:bottom w:val="nil"/>
              <w:right w:val="nil"/>
            </w:tcBorders>
          </w:tcPr>
          <w:p w:rsidR="000B4A1E" w:rsidRPr="007133C6" w:rsidRDefault="000B4A1E" w:rsidP="00517E51">
            <w:pPr>
              <w:pStyle w:val="TableofFigures"/>
              <w:rPr>
                <w:rFonts w:eastAsiaTheme="minorEastAsia" w:cs="Calibri"/>
                <w:szCs w:val="22"/>
                <w:lang w:eastAsia="en-AU"/>
              </w:rPr>
            </w:pPr>
            <w:r w:rsidRPr="007133C6">
              <w:rPr>
                <w:lang w:eastAsia="en-AU"/>
              </w:rPr>
              <w:t xml:space="preserve"> </w:t>
            </w:r>
            <w:r w:rsidRPr="007133C6">
              <w:rPr>
                <w:rFonts w:eastAsiaTheme="minorEastAsia" w:cs="Calibri"/>
                <w:szCs w:val="22"/>
                <w:lang w:eastAsia="en-AU"/>
              </w:rPr>
              <w:t>897.3</w:t>
            </w:r>
          </w:p>
        </w:tc>
      </w:tr>
      <w:tr w:rsidR="000B4A1E" w:rsidRPr="007133C6" w:rsidTr="00517E51">
        <w:tc>
          <w:tcPr>
            <w:tcW w:w="2390" w:type="dxa"/>
            <w:gridSpan w:val="2"/>
            <w:tcBorders>
              <w:top w:val="single" w:sz="6" w:space="0" w:color="auto"/>
              <w:left w:val="nil"/>
              <w:bottom w:val="single" w:sz="12" w:space="0" w:color="auto"/>
              <w:right w:val="nil"/>
            </w:tcBorders>
          </w:tcPr>
          <w:p w:rsidR="000B4A1E" w:rsidRPr="007133C6" w:rsidRDefault="000B4A1E" w:rsidP="00517E51">
            <w:pPr>
              <w:pStyle w:val="Tabletext"/>
              <w:rPr>
                <w:b/>
                <w:bCs/>
                <w:lang w:eastAsia="en-AU"/>
              </w:rPr>
            </w:pPr>
            <w:r w:rsidRPr="007133C6">
              <w:rPr>
                <w:b/>
                <w:bCs/>
                <w:lang w:eastAsia="en-AU"/>
              </w:rPr>
              <w:t xml:space="preserve">  </w:t>
            </w:r>
          </w:p>
        </w:tc>
        <w:tc>
          <w:tcPr>
            <w:tcW w:w="1036" w:type="dxa"/>
            <w:gridSpan w:val="3"/>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1</w:t>
            </w:r>
            <w:r w:rsidRPr="007133C6">
              <w:rPr>
                <w:rFonts w:eastAsiaTheme="minorEastAsia" w:cs="Calibri"/>
                <w:b/>
                <w:bCs/>
                <w:szCs w:val="22"/>
                <w:lang w:eastAsia="en-AU"/>
              </w:rPr>
              <w:t xml:space="preserve"> 163.8</w:t>
            </w:r>
          </w:p>
        </w:tc>
        <w:tc>
          <w:tcPr>
            <w:tcW w:w="1037" w:type="dxa"/>
            <w:gridSpan w:val="2"/>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 xml:space="preserve"> </w:t>
            </w:r>
            <w:r w:rsidRPr="007133C6">
              <w:rPr>
                <w:rFonts w:eastAsiaTheme="minorEastAsia" w:cs="Calibri"/>
                <w:b/>
                <w:bCs/>
                <w:szCs w:val="22"/>
                <w:lang w:eastAsia="en-AU"/>
              </w:rPr>
              <w:t>166.0</w:t>
            </w:r>
          </w:p>
        </w:tc>
        <w:tc>
          <w:tcPr>
            <w:tcW w:w="861" w:type="dxa"/>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 xml:space="preserve"> </w:t>
            </w:r>
            <w:r w:rsidRPr="007133C6">
              <w:rPr>
                <w:rFonts w:eastAsiaTheme="minorEastAsia" w:cs="Calibri"/>
                <w:b/>
                <w:bCs/>
                <w:szCs w:val="22"/>
                <w:lang w:eastAsia="en-AU"/>
              </w:rPr>
              <w:t>91.7</w:t>
            </w:r>
          </w:p>
        </w:tc>
        <w:tc>
          <w:tcPr>
            <w:tcW w:w="1170" w:type="dxa"/>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 xml:space="preserve"> </w:t>
            </w:r>
            <w:r w:rsidRPr="007133C6">
              <w:rPr>
                <w:rFonts w:eastAsiaTheme="minorEastAsia" w:cs="Calibri"/>
                <w:b/>
                <w:bCs/>
                <w:szCs w:val="22"/>
                <w:lang w:eastAsia="en-AU"/>
              </w:rPr>
              <w:t>90.7</w:t>
            </w:r>
          </w:p>
        </w:tc>
        <w:tc>
          <w:tcPr>
            <w:tcW w:w="1080" w:type="dxa"/>
            <w:gridSpan w:val="3"/>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 xml:space="preserve"> </w:t>
            </w:r>
            <w:r w:rsidRPr="007133C6">
              <w:rPr>
                <w:rFonts w:eastAsiaTheme="minorEastAsia" w:cs="Calibri"/>
                <w:b/>
                <w:bCs/>
                <w:szCs w:val="22"/>
                <w:lang w:eastAsia="en-AU"/>
              </w:rPr>
              <w:t>55.1</w:t>
            </w:r>
          </w:p>
        </w:tc>
        <w:tc>
          <w:tcPr>
            <w:tcW w:w="1037" w:type="dxa"/>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 xml:space="preserve"> </w:t>
            </w:r>
            <w:r w:rsidRPr="007133C6">
              <w:rPr>
                <w:rFonts w:eastAsiaTheme="minorEastAsia" w:cs="Calibri"/>
                <w:b/>
                <w:bCs/>
                <w:szCs w:val="22"/>
                <w:lang w:eastAsia="en-AU"/>
              </w:rPr>
              <w:t>3.3</w:t>
            </w:r>
          </w:p>
        </w:tc>
        <w:tc>
          <w:tcPr>
            <w:tcW w:w="1037" w:type="dxa"/>
            <w:tcBorders>
              <w:top w:val="single" w:sz="6" w:space="0" w:color="auto"/>
              <w:left w:val="nil"/>
              <w:bottom w:val="single" w:sz="12" w:space="0" w:color="auto"/>
              <w:right w:val="nil"/>
            </w:tcBorders>
          </w:tcPr>
          <w:p w:rsidR="000B4A1E" w:rsidRPr="007133C6" w:rsidRDefault="000B4A1E" w:rsidP="00517E51">
            <w:pPr>
              <w:pStyle w:val="TableofFigures"/>
              <w:rPr>
                <w:rFonts w:eastAsiaTheme="minorEastAsia" w:cs="Calibri"/>
                <w:b/>
                <w:bCs/>
                <w:szCs w:val="22"/>
                <w:lang w:eastAsia="en-AU"/>
              </w:rPr>
            </w:pPr>
            <w:r w:rsidRPr="007133C6">
              <w:rPr>
                <w:b/>
                <w:bCs/>
                <w:lang w:eastAsia="en-AU"/>
              </w:rPr>
              <w:t>1</w:t>
            </w:r>
            <w:r w:rsidRPr="007133C6">
              <w:rPr>
                <w:rFonts w:eastAsiaTheme="minorEastAsia" w:cs="Calibri"/>
                <w:b/>
                <w:bCs/>
                <w:szCs w:val="22"/>
                <w:lang w:eastAsia="en-AU"/>
              </w:rPr>
              <w:t xml:space="preserve"> 570.6</w:t>
            </w:r>
          </w:p>
        </w:tc>
      </w:tr>
    </w:tbl>
    <w:p w:rsidR="000B4A1E" w:rsidRPr="00D00665" w:rsidRDefault="000B4A1E" w:rsidP="00517E51">
      <w:pPr>
        <w:pStyle w:val="Notes"/>
      </w:pPr>
      <w:r w:rsidRPr="00D00665">
        <w:t>Note</w:t>
      </w:r>
      <w:r>
        <w:t>s</w:t>
      </w:r>
      <w:r w:rsidRPr="00D00665">
        <w:t>:</w:t>
      </w:r>
    </w:p>
    <w:p w:rsidR="000B4A1E" w:rsidRPr="00D00665" w:rsidRDefault="000B4A1E" w:rsidP="00517E51">
      <w:pPr>
        <w:pStyle w:val="Notes"/>
      </w:pPr>
      <w:r w:rsidRPr="00D00665">
        <w:t>(a)</w:t>
      </w:r>
      <w:r w:rsidRPr="00D00665">
        <w:tab/>
        <w:t>Restated balances at 30 June 2012. Refer to Note 36 of the financial statements.</w:t>
      </w:r>
    </w:p>
    <w:p w:rsidR="000B4A1E" w:rsidRPr="00D00665" w:rsidRDefault="000B4A1E" w:rsidP="00517E51">
      <w:pPr>
        <w:pStyle w:val="Notes"/>
      </w:pPr>
      <w:r w:rsidRPr="00D00665">
        <w:t xml:space="preserve">(b) </w:t>
      </w:r>
      <w:r w:rsidRPr="00D00665">
        <w:tab/>
        <w:t xml:space="preserve">The 2012 figures differ from that presented in the </w:t>
      </w:r>
      <w:r w:rsidRPr="009705F4">
        <w:rPr>
          <w:i w:val="0"/>
        </w:rPr>
        <w:t>2011-12 Financial Report</w:t>
      </w:r>
      <w:r w:rsidRPr="00D00665">
        <w:t xml:space="preserve"> to more correctly reflect clarification of contractual and statutory receivables</w:t>
      </w:r>
      <w:r w:rsidR="00667BF1">
        <w:t>.</w:t>
      </w:r>
    </w:p>
    <w:p w:rsidR="000B4A1E" w:rsidRPr="00D00665" w:rsidRDefault="000B4A1E" w:rsidP="00517E51"/>
    <w:p w:rsidR="000B4A1E" w:rsidRPr="00D00665" w:rsidRDefault="000B4A1E" w:rsidP="00517E51"/>
    <w:p w:rsidR="000B4A1E" w:rsidRPr="00D00665" w:rsidRDefault="000B4A1E" w:rsidP="00517E51">
      <w:pPr>
        <w:pStyle w:val="Tableheading"/>
      </w:pPr>
      <w:r w:rsidRPr="00D00665">
        <w:t>Movement in provision for doubtful contractual receivables</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865"/>
        <w:gridCol w:w="1123"/>
        <w:gridCol w:w="262"/>
        <w:gridCol w:w="861"/>
        <w:gridCol w:w="1123"/>
      </w:tblGrid>
      <w:tr w:rsidR="000B4A1E" w:rsidRPr="003E2DBE" w:rsidTr="00517E51">
        <w:tc>
          <w:tcPr>
            <w:tcW w:w="5156" w:type="dxa"/>
            <w:tcBorders>
              <w:top w:val="single" w:sz="6" w:space="0" w:color="auto"/>
              <w:left w:val="single" w:sz="6"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58"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8" w:type="dxa"/>
            <w:gridSpan w:val="2"/>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262"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2"/>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r>
      <w:tr w:rsidR="000B4A1E" w:rsidRPr="003E2DBE" w:rsidTr="00517E51">
        <w:tc>
          <w:tcPr>
            <w:tcW w:w="5156" w:type="dxa"/>
            <w:tcBorders>
              <w:top w:val="nil"/>
              <w:left w:val="single" w:sz="6"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iCs/>
                <w:lang w:eastAsia="en-AU"/>
              </w:rPr>
            </w:pPr>
            <w:r w:rsidRPr="003E2DBE">
              <w:rPr>
                <w:rFonts w:eastAsiaTheme="minorEastAsia"/>
                <w:iCs/>
                <w:lang w:eastAsia="en-AU"/>
              </w:rPr>
              <w:t>2013</w:t>
            </w:r>
          </w:p>
        </w:tc>
        <w:tc>
          <w:tcPr>
            <w:tcW w:w="1123"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iCs/>
                <w:lang w:eastAsia="en-AU"/>
              </w:rPr>
            </w:pPr>
            <w:r w:rsidRPr="003E2DBE">
              <w:rPr>
                <w:rFonts w:eastAsiaTheme="minorEastAsia"/>
                <w:iCs/>
                <w:lang w:eastAsia="en-AU"/>
              </w:rPr>
              <w:t>2013</w:t>
            </w:r>
          </w:p>
        </w:tc>
        <w:tc>
          <w:tcPr>
            <w:tcW w:w="1123" w:type="dxa"/>
            <w:tcBorders>
              <w:top w:val="nil"/>
              <w:left w:val="nil"/>
              <w:bottom w:val="single" w:sz="6" w:space="0" w:color="auto"/>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5156" w:type="dxa"/>
            <w:tcBorders>
              <w:top w:val="single" w:sz="6"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Balance at start of the year</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134.0</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118.2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63.0</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49.0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Reversal of unused provision recognised in the comprehensive operating statement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0.9</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( 9.2)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( 1.3</w:t>
            </w:r>
            <w:r w:rsidRPr="003E2DBE">
              <w:rPr>
                <w:rFonts w:eastAsiaTheme="minorEastAsia" w:cs="Calibri"/>
                <w:szCs w:val="22"/>
                <w:lang w:eastAsia="en-AU"/>
              </w:rPr>
              <w:t>)</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Increase in provision recognised in the comprehensive operating statement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27.8</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36.3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15.9</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22.8</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Receivables written off during the year as uncollectible</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( 16.8</w:t>
            </w:r>
            <w:r w:rsidRPr="003E2DBE">
              <w:rPr>
                <w:rFonts w:eastAsiaTheme="minorEastAsia" w:cs="Calibri"/>
                <w:szCs w:val="22"/>
                <w:lang w:eastAsia="en-AU"/>
              </w:rPr>
              <w:t>)</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( 11.3)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( 9.1</w:t>
            </w:r>
            <w:r w:rsidRPr="003E2DBE">
              <w:rPr>
                <w:rFonts w:eastAsiaTheme="minorEastAsia" w:cs="Calibri"/>
                <w:szCs w:val="22"/>
                <w:lang w:eastAsia="en-AU"/>
              </w:rPr>
              <w:t>)</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( 7.6)</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Balance at the end of the year</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145.9</w:t>
            </w:r>
          </w:p>
        </w:tc>
        <w:tc>
          <w:tcPr>
            <w:tcW w:w="1123"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134.0</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68.5</w:t>
            </w:r>
          </w:p>
        </w:tc>
        <w:tc>
          <w:tcPr>
            <w:tcW w:w="1123"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63.0</w:t>
            </w:r>
          </w:p>
        </w:tc>
      </w:tr>
    </w:tbl>
    <w:p w:rsidR="000B4A1E" w:rsidRPr="00D00665" w:rsidRDefault="000B4A1E" w:rsidP="00517E51">
      <w:pPr>
        <w:pStyle w:val="Notes"/>
      </w:pPr>
    </w:p>
    <w:p w:rsidR="000B4A1E" w:rsidRPr="00D00665" w:rsidRDefault="000B4A1E" w:rsidP="00517E51"/>
    <w:p w:rsidR="000B4A1E" w:rsidRPr="00D00665" w:rsidRDefault="000B4A1E" w:rsidP="00517E51">
      <w:pPr>
        <w:pStyle w:val="Heading5"/>
      </w:pPr>
      <w:r w:rsidRPr="00D00665">
        <w:t>Collateral held</w:t>
      </w:r>
    </w:p>
    <w:p w:rsidR="000B4A1E" w:rsidRPr="00D00665" w:rsidRDefault="000B4A1E" w:rsidP="00517E51">
      <w:r w:rsidRPr="00D00665">
        <w:t>The State did not hold any collateral against any of its contractual receivables during the current and prior periods.</w:t>
      </w:r>
    </w:p>
    <w:p w:rsidR="000B4A1E" w:rsidRPr="00D00665" w:rsidRDefault="000B4A1E" w:rsidP="00517E51">
      <w:pPr>
        <w:pStyle w:val="Heading2Notes"/>
      </w:pPr>
      <w:r w:rsidRPr="00D00665">
        <w:br w:type="page"/>
      </w:r>
      <w:bookmarkStart w:id="52" w:name="_Toc367947877"/>
      <w:r w:rsidRPr="00D00665">
        <w:lastRenderedPageBreak/>
        <w:t>Note 18:</w:t>
      </w:r>
      <w:r w:rsidRPr="00D00665">
        <w:tab/>
        <w:t>Joint ventures</w:t>
      </w:r>
      <w:bookmarkEnd w:id="52"/>
    </w:p>
    <w:p w:rsidR="000B4A1E" w:rsidRPr="00D00665" w:rsidRDefault="000B4A1E" w:rsidP="00517E51">
      <w:pPr>
        <w:pStyle w:val="Heading5"/>
      </w:pPr>
      <w:r w:rsidRPr="00D00665">
        <w:t>(a)</w:t>
      </w:r>
      <w:r w:rsidRPr="00D00665">
        <w:tab/>
        <w:t>Investments accounted for using the equity method</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0B4A1E" w:rsidRPr="003E2DBE" w:rsidTr="00517E51">
        <w:trPr>
          <w:trHeight w:hRule="exact" w:val="80"/>
        </w:trPr>
        <w:tc>
          <w:tcPr>
            <w:tcW w:w="7402"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1123"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7402" w:type="dxa"/>
            <w:tcBorders>
              <w:top w:val="single" w:sz="4"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The Australian Regenerative Medicine Institute</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35.0</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35.0</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National E-Conveyancing Development Limited</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14.4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9.2</w:t>
            </w:r>
          </w:p>
        </w:tc>
      </w:tr>
      <w:tr w:rsidR="000B4A1E" w:rsidRPr="003E2DBE" w:rsidTr="00517E51">
        <w:tc>
          <w:tcPr>
            <w:tcW w:w="7402" w:type="dxa"/>
            <w:tcBorders>
              <w:top w:val="single" w:sz="6" w:space="0" w:color="auto"/>
              <w:left w:val="nil"/>
              <w:bottom w:val="nil"/>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Total general government sector</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49.4</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44.2</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vertAlign w:val="superscript"/>
                <w:lang w:eastAsia="en-AU"/>
              </w:rPr>
            </w:pPr>
            <w:r w:rsidRPr="003E2DBE">
              <w:rPr>
                <w:rFonts w:eastAsiaTheme="minorEastAsia"/>
                <w:lang w:eastAsia="en-AU"/>
              </w:rPr>
              <w:t>Snowy Hydro Limited</w:t>
            </w:r>
            <w:r w:rsidRPr="003E2DBE">
              <w:rPr>
                <w:rFonts w:eastAsiaTheme="minorEastAsia"/>
                <w:vertAlign w:val="superscript"/>
                <w:lang w:eastAsia="en-AU"/>
              </w:rPr>
              <w:t xml:space="preserve"> (a)</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1 616.6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1 620.5</w:t>
            </w:r>
          </w:p>
        </w:tc>
      </w:tr>
      <w:tr w:rsidR="000B4A1E" w:rsidRPr="003E2DBE" w:rsidTr="00517E51">
        <w:tc>
          <w:tcPr>
            <w:tcW w:w="7402"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vertAlign w:val="superscript"/>
                <w:lang w:eastAsia="en-AU"/>
              </w:rPr>
            </w:pPr>
            <w:r w:rsidRPr="003E2DBE">
              <w:rPr>
                <w:rFonts w:eastAsiaTheme="minorEastAsia"/>
                <w:b/>
                <w:lang w:eastAsia="en-AU"/>
              </w:rPr>
              <w:t xml:space="preserve">Total investments </w:t>
            </w:r>
            <w:r w:rsidRPr="003E2DBE">
              <w:rPr>
                <w:rFonts w:eastAsiaTheme="minorEastAsia" w:cs="Calibri"/>
                <w:b/>
                <w:bCs/>
                <w:szCs w:val="22"/>
                <w:vertAlign w:val="superscript"/>
                <w:lang w:eastAsia="en-AU"/>
              </w:rPr>
              <w:t>(a)</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1 666.1</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1 664.7</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Restated balances at 30 June 2012. Refer to Note 36 of the financial statements.</w:t>
      </w:r>
    </w:p>
    <w:p w:rsidR="000B4A1E" w:rsidRPr="00D00665" w:rsidRDefault="000B4A1E" w:rsidP="00517E51">
      <w:pPr>
        <w:pStyle w:val="Notes"/>
      </w:pPr>
    </w:p>
    <w:p w:rsidR="000B4A1E" w:rsidRPr="00D00665" w:rsidRDefault="000B4A1E" w:rsidP="00517E51">
      <w:pPr>
        <w:pStyle w:val="Notes"/>
      </w:pPr>
    </w:p>
    <w:p w:rsidR="000B4A1E" w:rsidRPr="008946C5"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0B4A1E" w:rsidRPr="008946C5" w:rsidTr="00517E51">
        <w:trPr>
          <w:trHeight w:hRule="exact" w:val="80"/>
        </w:trPr>
        <w:tc>
          <w:tcPr>
            <w:tcW w:w="7402" w:type="dxa"/>
            <w:tcBorders>
              <w:top w:val="single" w:sz="4" w:space="0" w:color="auto"/>
              <w:left w:val="single" w:sz="4" w:space="0" w:color="auto"/>
              <w:bottom w:val="nil"/>
              <w:right w:val="nil"/>
            </w:tcBorders>
            <w:shd w:val="clear" w:color="auto" w:fill="000000"/>
          </w:tcPr>
          <w:p w:rsidR="000B4A1E" w:rsidRPr="008946C5" w:rsidRDefault="000B4A1E" w:rsidP="00517E51">
            <w:pPr>
              <w:pStyle w:val="Tabletext"/>
              <w:rPr>
                <w:rFonts w:eastAsiaTheme="minorEastAsia"/>
                <w:lang w:eastAsia="en-AU"/>
              </w:rPr>
            </w:pPr>
            <w:r w:rsidRPr="008946C5">
              <w:rPr>
                <w:rFonts w:eastAsiaTheme="minorEastAsia"/>
                <w:lang w:eastAsia="en-AU"/>
              </w:rPr>
              <w:t xml:space="preserve"> </w:t>
            </w:r>
          </w:p>
        </w:tc>
        <w:tc>
          <w:tcPr>
            <w:tcW w:w="1123" w:type="dxa"/>
            <w:tcBorders>
              <w:top w:val="single" w:sz="4" w:space="0" w:color="auto"/>
              <w:left w:val="nil"/>
              <w:bottom w:val="nil"/>
              <w:right w:val="nil"/>
            </w:tcBorders>
            <w:shd w:val="clear" w:color="auto" w:fill="000000"/>
          </w:tcPr>
          <w:p w:rsidR="000B4A1E" w:rsidRPr="008946C5" w:rsidRDefault="000B4A1E" w:rsidP="00517E51">
            <w:pPr>
              <w:pStyle w:val="Tabletextheading"/>
              <w:rPr>
                <w:rFonts w:eastAsiaTheme="minorEastAsia"/>
                <w:lang w:eastAsia="en-AU"/>
              </w:rPr>
            </w:pPr>
            <w:r w:rsidRPr="008946C5">
              <w:rPr>
                <w:rFonts w:eastAsiaTheme="minorEastAsia"/>
                <w:lang w:eastAsia="en-AU"/>
              </w:rPr>
              <w:t xml:space="preserve">  </w:t>
            </w:r>
          </w:p>
        </w:tc>
        <w:tc>
          <w:tcPr>
            <w:tcW w:w="1123" w:type="dxa"/>
            <w:tcBorders>
              <w:top w:val="single" w:sz="4" w:space="0" w:color="auto"/>
              <w:left w:val="nil"/>
              <w:bottom w:val="nil"/>
              <w:right w:val="single" w:sz="4" w:space="0" w:color="auto"/>
            </w:tcBorders>
            <w:shd w:val="clear" w:color="auto" w:fill="000000"/>
          </w:tcPr>
          <w:p w:rsidR="000B4A1E" w:rsidRPr="008946C5" w:rsidRDefault="000B4A1E" w:rsidP="00517E51">
            <w:pPr>
              <w:pStyle w:val="Tabletextheading"/>
              <w:rPr>
                <w:rFonts w:eastAsiaTheme="minorEastAsia"/>
                <w:lang w:eastAsia="en-AU"/>
              </w:rPr>
            </w:pPr>
            <w:r w:rsidRPr="008946C5">
              <w:rPr>
                <w:rFonts w:eastAsiaTheme="minorEastAsia"/>
                <w:lang w:eastAsia="en-AU"/>
              </w:rPr>
              <w:t xml:space="preserve">  </w:t>
            </w:r>
          </w:p>
        </w:tc>
      </w:tr>
      <w:tr w:rsidR="000B4A1E" w:rsidRPr="008946C5" w:rsidTr="00517E51">
        <w:tc>
          <w:tcPr>
            <w:tcW w:w="7402" w:type="dxa"/>
            <w:tcBorders>
              <w:top w:val="nil"/>
              <w:left w:val="single" w:sz="4" w:space="0" w:color="auto"/>
              <w:bottom w:val="single" w:sz="4" w:space="0" w:color="auto"/>
              <w:right w:val="nil"/>
            </w:tcBorders>
            <w:shd w:val="clear" w:color="auto" w:fill="000000"/>
          </w:tcPr>
          <w:p w:rsidR="000B4A1E" w:rsidRPr="008946C5" w:rsidRDefault="000B4A1E" w:rsidP="00517E51">
            <w:pPr>
              <w:pStyle w:val="TabletextheadingLeft"/>
              <w:rPr>
                <w:rFonts w:eastAsiaTheme="minorEastAsia"/>
                <w:lang w:eastAsia="en-AU"/>
              </w:rPr>
            </w:pPr>
            <w:r w:rsidRPr="008946C5">
              <w:rPr>
                <w:rFonts w:eastAsiaTheme="minorEastAsia"/>
                <w:lang w:eastAsia="en-AU"/>
              </w:rPr>
              <w:t>Movements in carrying amounts</w:t>
            </w:r>
          </w:p>
        </w:tc>
        <w:tc>
          <w:tcPr>
            <w:tcW w:w="1123" w:type="dxa"/>
            <w:tcBorders>
              <w:top w:val="nil"/>
              <w:left w:val="nil"/>
              <w:bottom w:val="single" w:sz="4" w:space="0" w:color="auto"/>
              <w:right w:val="nil"/>
            </w:tcBorders>
            <w:shd w:val="clear" w:color="auto" w:fill="000000"/>
          </w:tcPr>
          <w:p w:rsidR="000B4A1E" w:rsidRPr="008946C5" w:rsidRDefault="000B4A1E" w:rsidP="00517E51">
            <w:pPr>
              <w:pStyle w:val="Tabletextheading"/>
              <w:rPr>
                <w:rFonts w:eastAsiaTheme="minorEastAsia"/>
                <w:lang w:eastAsia="en-AU"/>
              </w:rPr>
            </w:pPr>
            <w:r w:rsidRPr="008946C5">
              <w:rPr>
                <w:rFonts w:eastAsiaTheme="minorEastAsia"/>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8946C5" w:rsidRDefault="000B4A1E" w:rsidP="00517E51">
            <w:pPr>
              <w:pStyle w:val="Tabletextheading"/>
              <w:rPr>
                <w:rFonts w:eastAsiaTheme="minorEastAsia"/>
                <w:lang w:eastAsia="en-AU"/>
              </w:rPr>
            </w:pPr>
            <w:r w:rsidRPr="008946C5">
              <w:rPr>
                <w:rFonts w:eastAsiaTheme="minorEastAsia"/>
                <w:lang w:eastAsia="en-AU"/>
              </w:rPr>
              <w:t>2012</w:t>
            </w:r>
          </w:p>
        </w:tc>
      </w:tr>
      <w:tr w:rsidR="000B4A1E" w:rsidRPr="008946C5" w:rsidTr="00517E51">
        <w:tc>
          <w:tcPr>
            <w:tcW w:w="7402" w:type="dxa"/>
            <w:tcBorders>
              <w:top w:val="single" w:sz="4" w:space="0" w:color="auto"/>
              <w:left w:val="nil"/>
              <w:bottom w:val="nil"/>
              <w:right w:val="nil"/>
            </w:tcBorders>
          </w:tcPr>
          <w:p w:rsidR="000B4A1E" w:rsidRPr="008946C5" w:rsidRDefault="000B4A1E" w:rsidP="00517E51">
            <w:pPr>
              <w:pStyle w:val="Tabletext"/>
              <w:rPr>
                <w:rFonts w:eastAsiaTheme="minorEastAsia"/>
                <w:b/>
                <w:bCs/>
                <w:lang w:eastAsia="en-AU"/>
              </w:rPr>
            </w:pPr>
            <w:r w:rsidRPr="008946C5">
              <w:rPr>
                <w:rFonts w:eastAsiaTheme="minorEastAsia"/>
                <w:b/>
                <w:bCs/>
                <w:lang w:eastAsia="en-AU"/>
              </w:rPr>
              <w:t>The Australian Regenerative Medicine Institute</w:t>
            </w:r>
          </w:p>
        </w:tc>
        <w:tc>
          <w:tcPr>
            <w:tcW w:w="1123" w:type="dxa"/>
            <w:tcBorders>
              <w:top w:val="single" w:sz="4" w:space="0" w:color="auto"/>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w:t>
            </w:r>
          </w:p>
        </w:tc>
        <w:tc>
          <w:tcPr>
            <w:tcW w:w="1123" w:type="dxa"/>
            <w:tcBorders>
              <w:top w:val="single" w:sz="4" w:space="0" w:color="auto"/>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w:t>
            </w:r>
          </w:p>
        </w:tc>
      </w:tr>
      <w:tr w:rsidR="000B4A1E" w:rsidRPr="008946C5" w:rsidTr="00517E51">
        <w:tc>
          <w:tcPr>
            <w:tcW w:w="7402" w:type="dxa"/>
            <w:tcBorders>
              <w:top w:val="nil"/>
              <w:left w:val="nil"/>
              <w:bottom w:val="nil"/>
              <w:right w:val="nil"/>
            </w:tcBorders>
          </w:tcPr>
          <w:p w:rsidR="000B4A1E" w:rsidRPr="008946C5" w:rsidRDefault="000B4A1E" w:rsidP="00517E51">
            <w:pPr>
              <w:pStyle w:val="Tabletext"/>
              <w:rPr>
                <w:rFonts w:eastAsiaTheme="minorEastAsia"/>
                <w:lang w:eastAsia="en-AU"/>
              </w:rPr>
            </w:pPr>
            <w:r w:rsidRPr="008946C5">
              <w:rPr>
                <w:rFonts w:eastAsiaTheme="minorEastAsia"/>
                <w:lang w:eastAsia="en-AU"/>
              </w:rPr>
              <w:t xml:space="preserve">   Carrying amount at the beginning of the period</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35.0</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35.0</w:t>
            </w:r>
          </w:p>
        </w:tc>
      </w:tr>
      <w:tr w:rsidR="000B4A1E" w:rsidRPr="008946C5" w:rsidTr="00517E51">
        <w:tc>
          <w:tcPr>
            <w:tcW w:w="7402" w:type="dxa"/>
            <w:tcBorders>
              <w:top w:val="nil"/>
              <w:left w:val="nil"/>
              <w:bottom w:val="nil"/>
              <w:right w:val="nil"/>
            </w:tcBorders>
          </w:tcPr>
          <w:p w:rsidR="000B4A1E" w:rsidRPr="008946C5" w:rsidRDefault="000B4A1E" w:rsidP="00517E51">
            <w:pPr>
              <w:pStyle w:val="Tabletext"/>
              <w:rPr>
                <w:rFonts w:eastAsiaTheme="minorEastAsia"/>
                <w:lang w:eastAsia="en-AU"/>
              </w:rPr>
            </w:pPr>
            <w:r w:rsidRPr="008946C5">
              <w:rPr>
                <w:rFonts w:eastAsiaTheme="minorEastAsia"/>
                <w:lang w:eastAsia="en-AU"/>
              </w:rPr>
              <w:t xml:space="preserve">   Share of profit after income tax</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w:t>
            </w:r>
          </w:p>
        </w:tc>
      </w:tr>
      <w:tr w:rsidR="000B4A1E" w:rsidRPr="008946C5" w:rsidTr="00517E51">
        <w:tc>
          <w:tcPr>
            <w:tcW w:w="7402" w:type="dxa"/>
            <w:tcBorders>
              <w:top w:val="nil"/>
              <w:left w:val="nil"/>
              <w:bottom w:val="nil"/>
              <w:right w:val="nil"/>
            </w:tcBorders>
          </w:tcPr>
          <w:p w:rsidR="000B4A1E" w:rsidRPr="008946C5" w:rsidRDefault="000B4A1E" w:rsidP="00517E51">
            <w:pPr>
              <w:pStyle w:val="Tabletext"/>
              <w:rPr>
                <w:rFonts w:eastAsiaTheme="minorEastAsia"/>
                <w:lang w:eastAsia="en-AU"/>
              </w:rPr>
            </w:pPr>
            <w:r w:rsidRPr="008946C5">
              <w:rPr>
                <w:rFonts w:eastAsiaTheme="minorEastAsia"/>
                <w:lang w:eastAsia="en-AU"/>
              </w:rPr>
              <w:t xml:space="preserve">   Dividends received/receivable</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w:t>
            </w:r>
          </w:p>
        </w:tc>
      </w:tr>
      <w:tr w:rsidR="000B4A1E" w:rsidRPr="008946C5" w:rsidTr="00517E51">
        <w:tc>
          <w:tcPr>
            <w:tcW w:w="7402" w:type="dxa"/>
            <w:tcBorders>
              <w:top w:val="single" w:sz="6" w:space="0" w:color="auto"/>
              <w:left w:val="nil"/>
              <w:bottom w:val="single" w:sz="12" w:space="0" w:color="auto"/>
              <w:right w:val="nil"/>
            </w:tcBorders>
          </w:tcPr>
          <w:p w:rsidR="000B4A1E" w:rsidRPr="008946C5" w:rsidRDefault="000B4A1E" w:rsidP="00517E51">
            <w:pPr>
              <w:pStyle w:val="Tabletext"/>
              <w:rPr>
                <w:rFonts w:eastAsiaTheme="minorEastAsia"/>
                <w:b/>
                <w:bCs/>
                <w:lang w:eastAsia="en-AU"/>
              </w:rPr>
            </w:pPr>
            <w:r w:rsidRPr="008946C5">
              <w:rPr>
                <w:rFonts w:eastAsiaTheme="minorEastAsia"/>
                <w:b/>
                <w:bCs/>
                <w:lang w:eastAsia="en-AU"/>
              </w:rPr>
              <w:t>Carrying amount at the end of the period</w:t>
            </w:r>
          </w:p>
        </w:tc>
        <w:tc>
          <w:tcPr>
            <w:tcW w:w="1123" w:type="dxa"/>
            <w:tcBorders>
              <w:top w:val="single" w:sz="6" w:space="0" w:color="auto"/>
              <w:left w:val="nil"/>
              <w:bottom w:val="single" w:sz="12" w:space="0" w:color="auto"/>
              <w:right w:val="nil"/>
            </w:tcBorders>
          </w:tcPr>
          <w:p w:rsidR="000B4A1E" w:rsidRPr="008946C5" w:rsidRDefault="000B4A1E" w:rsidP="00517E51">
            <w:pPr>
              <w:pStyle w:val="TableofFigures"/>
              <w:rPr>
                <w:rFonts w:eastAsiaTheme="minorEastAsia"/>
                <w:b/>
                <w:bCs/>
                <w:lang w:eastAsia="en-AU"/>
              </w:rPr>
            </w:pPr>
            <w:r w:rsidRPr="008946C5">
              <w:rPr>
                <w:rFonts w:eastAsiaTheme="minorEastAsia"/>
                <w:b/>
                <w:bCs/>
                <w:lang w:eastAsia="en-AU"/>
              </w:rPr>
              <w:t xml:space="preserve"> 35.0</w:t>
            </w:r>
          </w:p>
        </w:tc>
        <w:tc>
          <w:tcPr>
            <w:tcW w:w="1123" w:type="dxa"/>
            <w:tcBorders>
              <w:top w:val="single" w:sz="6" w:space="0" w:color="auto"/>
              <w:left w:val="nil"/>
              <w:bottom w:val="single" w:sz="12" w:space="0" w:color="auto"/>
              <w:right w:val="nil"/>
            </w:tcBorders>
          </w:tcPr>
          <w:p w:rsidR="000B4A1E" w:rsidRPr="008946C5" w:rsidRDefault="000B4A1E" w:rsidP="00517E51">
            <w:pPr>
              <w:pStyle w:val="TableofFigures"/>
              <w:rPr>
                <w:rFonts w:eastAsiaTheme="minorEastAsia"/>
                <w:b/>
                <w:bCs/>
                <w:lang w:eastAsia="en-AU"/>
              </w:rPr>
            </w:pPr>
            <w:r w:rsidRPr="008946C5">
              <w:rPr>
                <w:rFonts w:eastAsiaTheme="minorEastAsia"/>
                <w:b/>
                <w:bCs/>
                <w:lang w:eastAsia="en-AU"/>
              </w:rPr>
              <w:t xml:space="preserve"> 35.0</w:t>
            </w:r>
          </w:p>
        </w:tc>
      </w:tr>
      <w:tr w:rsidR="000B4A1E" w:rsidRPr="008946C5" w:rsidTr="00517E51">
        <w:tc>
          <w:tcPr>
            <w:tcW w:w="7402" w:type="dxa"/>
            <w:tcBorders>
              <w:top w:val="nil"/>
              <w:left w:val="nil"/>
              <w:bottom w:val="nil"/>
              <w:right w:val="nil"/>
            </w:tcBorders>
          </w:tcPr>
          <w:p w:rsidR="000B4A1E" w:rsidRPr="008946C5" w:rsidRDefault="000B4A1E" w:rsidP="00517E51">
            <w:pPr>
              <w:pStyle w:val="Tabletext"/>
              <w:rPr>
                <w:rFonts w:eastAsiaTheme="minorEastAsia"/>
                <w:b/>
                <w:bCs/>
                <w:lang w:eastAsia="en-AU"/>
              </w:rPr>
            </w:pPr>
            <w:r w:rsidRPr="008946C5">
              <w:rPr>
                <w:rFonts w:eastAsiaTheme="minorEastAsia"/>
                <w:b/>
                <w:bCs/>
                <w:lang w:eastAsia="en-AU"/>
              </w:rPr>
              <w:t>National E-Conveyancing Development Limited</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w:t>
            </w:r>
          </w:p>
        </w:tc>
      </w:tr>
      <w:tr w:rsidR="000B4A1E" w:rsidRPr="008946C5" w:rsidTr="00517E51">
        <w:tc>
          <w:tcPr>
            <w:tcW w:w="7402" w:type="dxa"/>
            <w:tcBorders>
              <w:top w:val="nil"/>
              <w:left w:val="nil"/>
              <w:bottom w:val="nil"/>
              <w:right w:val="nil"/>
            </w:tcBorders>
          </w:tcPr>
          <w:p w:rsidR="000B4A1E" w:rsidRPr="008946C5" w:rsidRDefault="000B4A1E" w:rsidP="00517E51">
            <w:pPr>
              <w:pStyle w:val="Tabletext"/>
              <w:rPr>
                <w:rFonts w:eastAsiaTheme="minorEastAsia"/>
                <w:lang w:eastAsia="en-AU"/>
              </w:rPr>
            </w:pPr>
            <w:r w:rsidRPr="008946C5">
              <w:rPr>
                <w:rFonts w:eastAsiaTheme="minorEastAsia"/>
                <w:lang w:eastAsia="en-AU"/>
              </w:rPr>
              <w:t xml:space="preserve">   Carrying amount at the beginning of the period</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9.2</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w:t>
            </w:r>
          </w:p>
        </w:tc>
      </w:tr>
      <w:tr w:rsidR="000B4A1E" w:rsidRPr="008946C5" w:rsidTr="00517E51">
        <w:tc>
          <w:tcPr>
            <w:tcW w:w="7402" w:type="dxa"/>
            <w:tcBorders>
              <w:top w:val="nil"/>
              <w:left w:val="nil"/>
              <w:bottom w:val="nil"/>
              <w:right w:val="nil"/>
            </w:tcBorders>
            <w:shd w:val="solid" w:color="FFFFFF" w:fill="auto"/>
          </w:tcPr>
          <w:p w:rsidR="000B4A1E" w:rsidRPr="008946C5" w:rsidRDefault="000B4A1E" w:rsidP="00517E51">
            <w:pPr>
              <w:pStyle w:val="Tabletext"/>
              <w:rPr>
                <w:rFonts w:eastAsiaTheme="minorEastAsia"/>
                <w:lang w:eastAsia="en-AU"/>
              </w:rPr>
            </w:pPr>
            <w:r w:rsidRPr="008946C5">
              <w:rPr>
                <w:rFonts w:eastAsiaTheme="minorEastAsia"/>
                <w:lang w:eastAsia="en-AU"/>
              </w:rPr>
              <w:t xml:space="preserve">   Joint venture undertaken during the year</w:t>
            </w:r>
          </w:p>
        </w:tc>
        <w:tc>
          <w:tcPr>
            <w:tcW w:w="1123" w:type="dxa"/>
            <w:tcBorders>
              <w:top w:val="nil"/>
              <w:left w:val="nil"/>
              <w:bottom w:val="nil"/>
              <w:right w:val="nil"/>
            </w:tcBorders>
            <w:shd w:val="solid" w:color="FFFFFF" w:fill="auto"/>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1.2</w:t>
            </w:r>
          </w:p>
        </w:tc>
        <w:tc>
          <w:tcPr>
            <w:tcW w:w="1123" w:type="dxa"/>
            <w:tcBorders>
              <w:top w:val="nil"/>
              <w:left w:val="nil"/>
              <w:bottom w:val="nil"/>
              <w:right w:val="nil"/>
            </w:tcBorders>
            <w:shd w:val="solid" w:color="FFFFFF" w:fill="auto"/>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10.8</w:t>
            </w:r>
          </w:p>
        </w:tc>
      </w:tr>
      <w:tr w:rsidR="000B4A1E" w:rsidRPr="008946C5" w:rsidTr="00517E51">
        <w:tc>
          <w:tcPr>
            <w:tcW w:w="7402" w:type="dxa"/>
            <w:tcBorders>
              <w:top w:val="nil"/>
              <w:left w:val="nil"/>
              <w:bottom w:val="nil"/>
              <w:right w:val="nil"/>
            </w:tcBorders>
          </w:tcPr>
          <w:p w:rsidR="000B4A1E" w:rsidRPr="008946C5" w:rsidRDefault="000B4A1E" w:rsidP="00517E51">
            <w:pPr>
              <w:pStyle w:val="Tabletext"/>
              <w:rPr>
                <w:rFonts w:eastAsiaTheme="minorEastAsia"/>
                <w:lang w:eastAsia="en-AU"/>
              </w:rPr>
            </w:pPr>
            <w:r w:rsidRPr="008946C5">
              <w:rPr>
                <w:rFonts w:eastAsiaTheme="minorEastAsia"/>
                <w:lang w:eastAsia="en-AU"/>
              </w:rPr>
              <w:t xml:space="preserve">   Share of profit after income tax</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4.0</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w:t>
            </w:r>
          </w:p>
        </w:tc>
      </w:tr>
      <w:tr w:rsidR="000B4A1E" w:rsidRPr="008946C5" w:rsidTr="00517E51">
        <w:tc>
          <w:tcPr>
            <w:tcW w:w="7402" w:type="dxa"/>
            <w:tcBorders>
              <w:top w:val="nil"/>
              <w:left w:val="nil"/>
              <w:bottom w:val="nil"/>
              <w:right w:val="nil"/>
            </w:tcBorders>
          </w:tcPr>
          <w:p w:rsidR="000B4A1E" w:rsidRPr="008946C5" w:rsidRDefault="000B4A1E" w:rsidP="00517E51">
            <w:pPr>
              <w:pStyle w:val="Tabletext"/>
              <w:rPr>
                <w:rFonts w:eastAsiaTheme="minorEastAsia"/>
                <w:lang w:eastAsia="en-AU"/>
              </w:rPr>
            </w:pPr>
            <w:r w:rsidRPr="008946C5">
              <w:rPr>
                <w:rFonts w:eastAsiaTheme="minorEastAsia"/>
                <w:lang w:eastAsia="en-AU"/>
              </w:rPr>
              <w:t xml:space="preserve">   Net loss on financial asset at fair value</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( 1.6)</w:t>
            </w:r>
          </w:p>
        </w:tc>
      </w:tr>
      <w:tr w:rsidR="000B4A1E" w:rsidRPr="008946C5" w:rsidTr="00517E51">
        <w:tc>
          <w:tcPr>
            <w:tcW w:w="7402" w:type="dxa"/>
            <w:tcBorders>
              <w:top w:val="single" w:sz="6" w:space="0" w:color="auto"/>
              <w:left w:val="nil"/>
              <w:bottom w:val="single" w:sz="12" w:space="0" w:color="auto"/>
              <w:right w:val="nil"/>
            </w:tcBorders>
          </w:tcPr>
          <w:p w:rsidR="000B4A1E" w:rsidRPr="008946C5" w:rsidRDefault="000B4A1E" w:rsidP="00517E51">
            <w:pPr>
              <w:pStyle w:val="Tabletext"/>
              <w:rPr>
                <w:rFonts w:eastAsiaTheme="minorEastAsia"/>
                <w:b/>
                <w:bCs/>
                <w:lang w:eastAsia="en-AU"/>
              </w:rPr>
            </w:pPr>
            <w:r w:rsidRPr="008946C5">
              <w:rPr>
                <w:rFonts w:eastAsiaTheme="minorEastAsia"/>
                <w:b/>
                <w:bCs/>
                <w:lang w:eastAsia="en-AU"/>
              </w:rPr>
              <w:t>Carrying amount at the end of the period</w:t>
            </w:r>
          </w:p>
        </w:tc>
        <w:tc>
          <w:tcPr>
            <w:tcW w:w="1123" w:type="dxa"/>
            <w:tcBorders>
              <w:top w:val="single" w:sz="6" w:space="0" w:color="auto"/>
              <w:left w:val="nil"/>
              <w:bottom w:val="single" w:sz="12" w:space="0" w:color="auto"/>
              <w:right w:val="nil"/>
            </w:tcBorders>
          </w:tcPr>
          <w:p w:rsidR="000B4A1E" w:rsidRPr="008946C5" w:rsidRDefault="000B4A1E" w:rsidP="00517E51">
            <w:pPr>
              <w:pStyle w:val="TableofFigures"/>
              <w:rPr>
                <w:rFonts w:eastAsiaTheme="minorEastAsia"/>
                <w:b/>
                <w:bCs/>
                <w:lang w:eastAsia="en-AU"/>
              </w:rPr>
            </w:pPr>
            <w:r w:rsidRPr="008946C5">
              <w:rPr>
                <w:rFonts w:eastAsiaTheme="minorEastAsia"/>
                <w:b/>
                <w:bCs/>
                <w:lang w:eastAsia="en-AU"/>
              </w:rPr>
              <w:t xml:space="preserve"> 14.4</w:t>
            </w:r>
          </w:p>
        </w:tc>
        <w:tc>
          <w:tcPr>
            <w:tcW w:w="1123" w:type="dxa"/>
            <w:tcBorders>
              <w:top w:val="single" w:sz="6" w:space="0" w:color="auto"/>
              <w:left w:val="nil"/>
              <w:bottom w:val="single" w:sz="12" w:space="0" w:color="auto"/>
              <w:right w:val="nil"/>
            </w:tcBorders>
          </w:tcPr>
          <w:p w:rsidR="000B4A1E" w:rsidRPr="008946C5" w:rsidRDefault="000B4A1E" w:rsidP="00517E51">
            <w:pPr>
              <w:pStyle w:val="TableofFigures"/>
              <w:rPr>
                <w:rFonts w:eastAsiaTheme="minorEastAsia"/>
                <w:b/>
                <w:bCs/>
                <w:lang w:eastAsia="en-AU"/>
              </w:rPr>
            </w:pPr>
            <w:r w:rsidRPr="008946C5">
              <w:rPr>
                <w:rFonts w:eastAsiaTheme="minorEastAsia"/>
                <w:b/>
                <w:bCs/>
                <w:lang w:eastAsia="en-AU"/>
              </w:rPr>
              <w:t xml:space="preserve"> 9.2</w:t>
            </w:r>
          </w:p>
        </w:tc>
      </w:tr>
      <w:tr w:rsidR="000B4A1E" w:rsidRPr="008946C5" w:rsidTr="00517E51">
        <w:tc>
          <w:tcPr>
            <w:tcW w:w="7402" w:type="dxa"/>
            <w:tcBorders>
              <w:top w:val="nil"/>
              <w:left w:val="nil"/>
              <w:bottom w:val="nil"/>
              <w:right w:val="nil"/>
            </w:tcBorders>
          </w:tcPr>
          <w:p w:rsidR="000B4A1E" w:rsidRPr="008946C5" w:rsidRDefault="000B4A1E" w:rsidP="00517E51">
            <w:pPr>
              <w:pStyle w:val="Tabletext"/>
              <w:rPr>
                <w:rFonts w:eastAsiaTheme="minorEastAsia"/>
                <w:b/>
                <w:bCs/>
                <w:lang w:eastAsia="en-AU"/>
              </w:rPr>
            </w:pPr>
            <w:r w:rsidRPr="008946C5">
              <w:rPr>
                <w:rFonts w:eastAsiaTheme="minorEastAsia"/>
                <w:b/>
                <w:bCs/>
                <w:lang w:eastAsia="en-AU"/>
              </w:rPr>
              <w:t xml:space="preserve">Snowy Hydro Limited </w:t>
            </w:r>
            <w:r w:rsidRPr="008946C5">
              <w:rPr>
                <w:rFonts w:eastAsiaTheme="minorEastAsia" w:cs="Calibri"/>
                <w:szCs w:val="22"/>
                <w:vertAlign w:val="superscript"/>
                <w:lang w:eastAsia="en-AU"/>
              </w:rPr>
              <w:t>(a)</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w:t>
            </w:r>
          </w:p>
        </w:tc>
      </w:tr>
      <w:tr w:rsidR="000B4A1E" w:rsidRPr="008946C5" w:rsidTr="00517E51">
        <w:tc>
          <w:tcPr>
            <w:tcW w:w="7402" w:type="dxa"/>
            <w:tcBorders>
              <w:top w:val="nil"/>
              <w:left w:val="nil"/>
              <w:bottom w:val="nil"/>
              <w:right w:val="nil"/>
            </w:tcBorders>
          </w:tcPr>
          <w:p w:rsidR="000B4A1E" w:rsidRPr="008946C5" w:rsidRDefault="000B4A1E" w:rsidP="00517E51">
            <w:pPr>
              <w:pStyle w:val="Tabletext"/>
              <w:rPr>
                <w:rFonts w:eastAsiaTheme="minorEastAsia"/>
                <w:lang w:eastAsia="en-AU"/>
              </w:rPr>
            </w:pPr>
            <w:r w:rsidRPr="008946C5">
              <w:rPr>
                <w:rFonts w:eastAsiaTheme="minorEastAsia"/>
                <w:lang w:eastAsia="en-AU"/>
              </w:rPr>
              <w:t xml:space="preserve">   Carrying amount at the beginning of the period</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1 620.5</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1 366.2</w:t>
            </w:r>
          </w:p>
        </w:tc>
      </w:tr>
      <w:tr w:rsidR="000B4A1E" w:rsidRPr="008946C5" w:rsidTr="00517E51">
        <w:tc>
          <w:tcPr>
            <w:tcW w:w="7402" w:type="dxa"/>
            <w:tcBorders>
              <w:top w:val="nil"/>
              <w:left w:val="nil"/>
              <w:bottom w:val="nil"/>
              <w:right w:val="nil"/>
            </w:tcBorders>
          </w:tcPr>
          <w:p w:rsidR="000B4A1E" w:rsidRPr="008946C5" w:rsidRDefault="000B4A1E" w:rsidP="00517E51">
            <w:pPr>
              <w:pStyle w:val="Tabletext"/>
              <w:rPr>
                <w:rFonts w:eastAsiaTheme="minorEastAsia"/>
                <w:lang w:eastAsia="en-AU"/>
              </w:rPr>
            </w:pPr>
            <w:r w:rsidRPr="008946C5">
              <w:rPr>
                <w:rFonts w:eastAsiaTheme="minorEastAsia"/>
                <w:lang w:eastAsia="en-AU"/>
              </w:rPr>
              <w:t xml:space="preserve">   Share of profit/(loss) after income tax</w:t>
            </w:r>
          </w:p>
        </w:tc>
        <w:tc>
          <w:tcPr>
            <w:tcW w:w="1123" w:type="dxa"/>
            <w:tcBorders>
              <w:top w:val="nil"/>
              <w:left w:val="nil"/>
              <w:bottom w:val="nil"/>
              <w:right w:val="nil"/>
            </w:tcBorders>
            <w:shd w:val="solid" w:color="FFFFFF" w:fill="auto"/>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45.0</w:t>
            </w:r>
          </w:p>
        </w:tc>
        <w:tc>
          <w:tcPr>
            <w:tcW w:w="1123" w:type="dxa"/>
            <w:tcBorders>
              <w:top w:val="nil"/>
              <w:left w:val="nil"/>
              <w:bottom w:val="nil"/>
              <w:right w:val="nil"/>
            </w:tcBorders>
            <w:shd w:val="solid" w:color="FFFFFF" w:fill="auto"/>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46.0</w:t>
            </w:r>
          </w:p>
        </w:tc>
      </w:tr>
      <w:tr w:rsidR="000B4A1E" w:rsidRPr="008946C5" w:rsidTr="00517E51">
        <w:tc>
          <w:tcPr>
            <w:tcW w:w="7402" w:type="dxa"/>
            <w:tcBorders>
              <w:top w:val="nil"/>
              <w:left w:val="nil"/>
              <w:bottom w:val="nil"/>
              <w:right w:val="nil"/>
            </w:tcBorders>
          </w:tcPr>
          <w:p w:rsidR="000B4A1E" w:rsidRPr="008946C5" w:rsidRDefault="000B4A1E" w:rsidP="00517E51">
            <w:pPr>
              <w:pStyle w:val="Tabletext"/>
              <w:rPr>
                <w:rFonts w:eastAsiaTheme="minorEastAsia"/>
                <w:lang w:eastAsia="en-AU"/>
              </w:rPr>
            </w:pPr>
            <w:r w:rsidRPr="008946C5">
              <w:rPr>
                <w:rFonts w:eastAsiaTheme="minorEastAsia"/>
                <w:lang w:eastAsia="en-AU"/>
              </w:rPr>
              <w:t xml:space="preserve">   Dividends received/receivable</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( 133.4)</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( 69.6)</w:t>
            </w:r>
          </w:p>
        </w:tc>
      </w:tr>
      <w:tr w:rsidR="000B4A1E" w:rsidRPr="008946C5" w:rsidTr="00517E51">
        <w:tc>
          <w:tcPr>
            <w:tcW w:w="7402" w:type="dxa"/>
            <w:tcBorders>
              <w:top w:val="nil"/>
              <w:left w:val="nil"/>
              <w:bottom w:val="nil"/>
              <w:right w:val="nil"/>
            </w:tcBorders>
          </w:tcPr>
          <w:p w:rsidR="000B4A1E" w:rsidRPr="008946C5" w:rsidRDefault="000B4A1E" w:rsidP="00517E51">
            <w:pPr>
              <w:pStyle w:val="Tabletext"/>
              <w:rPr>
                <w:rFonts w:eastAsiaTheme="minorEastAsia"/>
                <w:lang w:eastAsia="en-AU"/>
              </w:rPr>
            </w:pPr>
            <w:r w:rsidRPr="008946C5">
              <w:rPr>
                <w:rFonts w:eastAsiaTheme="minorEastAsia"/>
                <w:lang w:eastAsia="en-AU"/>
              </w:rPr>
              <w:t xml:space="preserve">   Other</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w:t>
            </w:r>
          </w:p>
        </w:tc>
      </w:tr>
      <w:tr w:rsidR="000B4A1E" w:rsidRPr="008946C5" w:rsidTr="00517E51">
        <w:tc>
          <w:tcPr>
            <w:tcW w:w="7402" w:type="dxa"/>
            <w:tcBorders>
              <w:top w:val="nil"/>
              <w:left w:val="nil"/>
              <w:bottom w:val="nil"/>
              <w:right w:val="nil"/>
            </w:tcBorders>
          </w:tcPr>
          <w:p w:rsidR="000B4A1E" w:rsidRPr="008946C5" w:rsidRDefault="000B4A1E" w:rsidP="00517E51">
            <w:pPr>
              <w:pStyle w:val="Tabletext"/>
              <w:rPr>
                <w:rFonts w:eastAsiaTheme="minorEastAsia"/>
                <w:lang w:eastAsia="en-AU"/>
              </w:rPr>
            </w:pPr>
            <w:r w:rsidRPr="008946C5">
              <w:rPr>
                <w:rFonts w:eastAsiaTheme="minorEastAsia"/>
                <w:lang w:eastAsia="en-AU"/>
              </w:rPr>
              <w:t xml:space="preserve">   Share of increment on revaluation of property, plant and equipment</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84.5</w:t>
            </w:r>
          </w:p>
        </w:tc>
        <w:tc>
          <w:tcPr>
            <w:tcW w:w="1123" w:type="dxa"/>
            <w:tcBorders>
              <w:top w:val="nil"/>
              <w:left w:val="nil"/>
              <w:bottom w:val="nil"/>
              <w:right w:val="nil"/>
            </w:tcBorders>
          </w:tcPr>
          <w:p w:rsidR="000B4A1E" w:rsidRPr="008946C5" w:rsidRDefault="000B4A1E" w:rsidP="00517E51">
            <w:pPr>
              <w:pStyle w:val="TableofFigures"/>
              <w:rPr>
                <w:rFonts w:eastAsiaTheme="minorEastAsia"/>
                <w:lang w:eastAsia="en-AU"/>
              </w:rPr>
            </w:pPr>
            <w:r w:rsidRPr="008946C5">
              <w:rPr>
                <w:rFonts w:eastAsiaTheme="minorEastAsia"/>
                <w:lang w:eastAsia="en-AU"/>
              </w:rPr>
              <w:t xml:space="preserve"> 277.9</w:t>
            </w:r>
          </w:p>
        </w:tc>
      </w:tr>
      <w:tr w:rsidR="000B4A1E" w:rsidRPr="008946C5" w:rsidTr="00517E51">
        <w:tc>
          <w:tcPr>
            <w:tcW w:w="7402" w:type="dxa"/>
            <w:tcBorders>
              <w:top w:val="single" w:sz="6" w:space="0" w:color="auto"/>
              <w:left w:val="nil"/>
              <w:bottom w:val="single" w:sz="12" w:space="0" w:color="auto"/>
              <w:right w:val="nil"/>
            </w:tcBorders>
          </w:tcPr>
          <w:p w:rsidR="000B4A1E" w:rsidRPr="008946C5" w:rsidRDefault="000B4A1E" w:rsidP="00517E51">
            <w:pPr>
              <w:pStyle w:val="Tabletext"/>
              <w:rPr>
                <w:rFonts w:eastAsiaTheme="minorEastAsia"/>
                <w:b/>
                <w:bCs/>
                <w:lang w:eastAsia="en-AU"/>
              </w:rPr>
            </w:pPr>
            <w:r w:rsidRPr="008946C5">
              <w:rPr>
                <w:rFonts w:eastAsiaTheme="minorEastAsia"/>
                <w:b/>
                <w:bCs/>
                <w:lang w:eastAsia="en-AU"/>
              </w:rPr>
              <w:t>Carrying amount at the end of the period</w:t>
            </w:r>
          </w:p>
        </w:tc>
        <w:tc>
          <w:tcPr>
            <w:tcW w:w="1123" w:type="dxa"/>
            <w:tcBorders>
              <w:top w:val="single" w:sz="6" w:space="0" w:color="auto"/>
              <w:left w:val="nil"/>
              <w:bottom w:val="single" w:sz="12" w:space="0" w:color="auto"/>
              <w:right w:val="nil"/>
            </w:tcBorders>
          </w:tcPr>
          <w:p w:rsidR="000B4A1E" w:rsidRPr="008946C5" w:rsidRDefault="000B4A1E" w:rsidP="00517E51">
            <w:pPr>
              <w:pStyle w:val="TableofFigures"/>
              <w:rPr>
                <w:rFonts w:eastAsiaTheme="minorEastAsia"/>
                <w:b/>
                <w:bCs/>
                <w:lang w:eastAsia="en-AU"/>
              </w:rPr>
            </w:pPr>
            <w:r w:rsidRPr="008946C5">
              <w:rPr>
                <w:rFonts w:eastAsiaTheme="minorEastAsia"/>
                <w:b/>
                <w:bCs/>
                <w:lang w:eastAsia="en-AU"/>
              </w:rPr>
              <w:t>1 616.6</w:t>
            </w:r>
          </w:p>
        </w:tc>
        <w:tc>
          <w:tcPr>
            <w:tcW w:w="1123" w:type="dxa"/>
            <w:tcBorders>
              <w:top w:val="single" w:sz="6" w:space="0" w:color="auto"/>
              <w:left w:val="nil"/>
              <w:bottom w:val="single" w:sz="12" w:space="0" w:color="auto"/>
              <w:right w:val="nil"/>
            </w:tcBorders>
          </w:tcPr>
          <w:p w:rsidR="000B4A1E" w:rsidRPr="008946C5" w:rsidRDefault="000B4A1E" w:rsidP="00517E51">
            <w:pPr>
              <w:pStyle w:val="TableofFigures"/>
              <w:rPr>
                <w:rFonts w:eastAsiaTheme="minorEastAsia"/>
                <w:b/>
                <w:bCs/>
                <w:lang w:eastAsia="en-AU"/>
              </w:rPr>
            </w:pPr>
            <w:r w:rsidRPr="008946C5">
              <w:rPr>
                <w:rFonts w:eastAsiaTheme="minorEastAsia"/>
                <w:b/>
                <w:bCs/>
                <w:lang w:eastAsia="en-AU"/>
              </w:rPr>
              <w:t>1 620.5</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Restated balances at 30 June 2012. Refer to Note 36 of the financial statements.</w:t>
      </w:r>
    </w:p>
    <w:p w:rsidR="000B4A1E" w:rsidRPr="00D00665" w:rsidRDefault="000B4A1E" w:rsidP="00517E51"/>
    <w:p w:rsidR="000B4A1E" w:rsidRPr="00D00665" w:rsidRDefault="000B4A1E" w:rsidP="00517E51">
      <w:pPr>
        <w:pStyle w:val="Heading2NotesContd"/>
      </w:pPr>
      <w:r w:rsidRPr="00D00665">
        <w:br w:type="page"/>
      </w:r>
    </w:p>
    <w:p w:rsidR="000B4A1E" w:rsidRPr="009F74B3" w:rsidRDefault="000B4A1E" w:rsidP="00517E51">
      <w:pPr>
        <w:pStyle w:val="Heading2Notes"/>
        <w:rPr>
          <w:i/>
        </w:rPr>
      </w:pPr>
      <w:r w:rsidRPr="00D00665">
        <w:lastRenderedPageBreak/>
        <w:t>Note 18:</w:t>
      </w:r>
      <w:r w:rsidRPr="00D00665">
        <w:tab/>
        <w:t>Joint ventures</w:t>
      </w:r>
      <w:r>
        <w:t xml:space="preserve"> </w:t>
      </w:r>
      <w:r>
        <w:rPr>
          <w:i/>
        </w:rPr>
        <w:t>(continued)</w:t>
      </w:r>
    </w:p>
    <w:p w:rsidR="000B4A1E" w:rsidRPr="00D00665" w:rsidRDefault="000B4A1E" w:rsidP="00517E51">
      <w:pPr>
        <w:pStyle w:val="Tableheading"/>
      </w:pPr>
      <w:r w:rsidRPr="00D00665">
        <w:t>The Australia Regenerative Medicine Institute</w:t>
      </w:r>
    </w:p>
    <w:p w:rsidR="000B4A1E" w:rsidRPr="00D00665" w:rsidRDefault="000B4A1E" w:rsidP="00517E51">
      <w:r w:rsidRPr="00D00665">
        <w:t>The Department of State Development, Business and Innovation (DSDBI) has a joint venture interest with Monash University in the Australian Regenerative Medicine Institute (ARMI). ARMI was established to construct and operate a facility which will promote Victoria as a global leader in regenerative medical research, foster and develop existing research collaboration on both domestic and overseas projects and provide a major site for both undergraduate and post graduate training programs.</w:t>
      </w:r>
    </w:p>
    <w:p w:rsidR="000B4A1E" w:rsidRPr="00D00665" w:rsidRDefault="000B4A1E" w:rsidP="00517E51">
      <w:r w:rsidRPr="00D00665">
        <w:t>The following table provides information on Victoria</w:t>
      </w:r>
      <w:r>
        <w:t>’</w:t>
      </w:r>
      <w:r w:rsidRPr="00D00665">
        <w:t>s share of the ARMI.</w:t>
      </w:r>
    </w:p>
    <w:p w:rsidR="000B4A1E" w:rsidRPr="003E2DBE" w:rsidRDefault="000B4A1E" w:rsidP="00517E51">
      <w:pPr>
        <w:pStyle w:val="million"/>
      </w:pPr>
      <w:r w:rsidRPr="00D00665">
        <w:t>($</w:t>
      </w:r>
      <w:r>
        <w:t> million</w:t>
      </w:r>
      <w:r w:rsidRPr="00D00665">
        <w:t>)</w:t>
      </w:r>
      <w:bookmarkStart w:id="53" w:name="RANGE!B43:D49"/>
    </w:p>
    <w:tbl>
      <w:tblPr>
        <w:tblW w:w="9648" w:type="dxa"/>
        <w:tblInd w:w="29" w:type="dxa"/>
        <w:tblCellMar>
          <w:left w:w="43" w:type="dxa"/>
          <w:right w:w="43" w:type="dxa"/>
        </w:tblCellMar>
        <w:tblLook w:val="04A0" w:firstRow="1" w:lastRow="0" w:firstColumn="1" w:lastColumn="0" w:noHBand="0" w:noVBand="1"/>
      </w:tblPr>
      <w:tblGrid>
        <w:gridCol w:w="7402"/>
        <w:gridCol w:w="1123"/>
        <w:gridCol w:w="1123"/>
      </w:tblGrid>
      <w:tr w:rsidR="000B4A1E" w:rsidRPr="003E2DBE" w:rsidTr="00517E51">
        <w:trPr>
          <w:divId w:val="1398475012"/>
          <w:trHeight w:hRule="exact" w:val="80"/>
        </w:trPr>
        <w:tc>
          <w:tcPr>
            <w:tcW w:w="7402"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1123" w:type="dxa"/>
            <w:tcBorders>
              <w:top w:val="single" w:sz="4" w:space="0" w:color="auto"/>
              <w:left w:val="nil"/>
              <w:bottom w:val="nil"/>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r>
      <w:tr w:rsidR="000B4A1E" w:rsidRPr="003E2DBE" w:rsidTr="00517E51">
        <w:trPr>
          <w:divId w:val="1398475012"/>
        </w:trPr>
        <w:tc>
          <w:tcPr>
            <w:tcW w:w="7402"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Balance sheet</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398475012"/>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Current assets</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398475012"/>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Non-current assets</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35.0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35.0</w:t>
            </w:r>
          </w:p>
        </w:tc>
      </w:tr>
      <w:tr w:rsidR="000B4A1E" w:rsidRPr="003E2DBE" w:rsidTr="00517E51">
        <w:trPr>
          <w:divId w:val="1398475012"/>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Current liabilities</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398475012"/>
        </w:trPr>
        <w:tc>
          <w:tcPr>
            <w:tcW w:w="7402"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Non-current liabilities</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398475012"/>
        </w:trPr>
        <w:tc>
          <w:tcPr>
            <w:tcW w:w="7402"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Net assets</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35.0</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35.0</w:t>
            </w:r>
          </w:p>
        </w:tc>
      </w:tr>
      <w:bookmarkEnd w:id="53"/>
    </w:tbl>
    <w:p w:rsidR="000B4A1E" w:rsidRPr="00D00665" w:rsidRDefault="000B4A1E" w:rsidP="00517E51">
      <w:pPr>
        <w:pStyle w:val="Source"/>
      </w:pPr>
    </w:p>
    <w:p w:rsidR="000B4A1E" w:rsidRPr="00D00665" w:rsidRDefault="000B4A1E" w:rsidP="00517E51">
      <w:r w:rsidRPr="00D00665">
        <w:t>The Government</w:t>
      </w:r>
      <w:r>
        <w:t>’</w:t>
      </w:r>
      <w:r w:rsidRPr="00D00665">
        <w:t>s ownership interest of ARMI at 30 June 2013 was 20</w:t>
      </w:r>
      <w:r>
        <w:t> per cent</w:t>
      </w:r>
      <w:r w:rsidRPr="00D00665">
        <w:t xml:space="preserve"> (2012: 21</w:t>
      </w:r>
      <w:r>
        <w:t> per cent</w:t>
      </w:r>
      <w:r w:rsidRPr="00D00665">
        <w:t xml:space="preserve">). </w:t>
      </w:r>
    </w:p>
    <w:p w:rsidR="000B4A1E" w:rsidRPr="00D00665" w:rsidRDefault="000B4A1E" w:rsidP="00517E51">
      <w:pPr>
        <w:pStyle w:val="Tableheading"/>
      </w:pPr>
      <w:r>
        <w:t>National E</w:t>
      </w:r>
      <w:r>
        <w:noBreakHyphen/>
      </w:r>
      <w:r w:rsidRPr="00D00665">
        <w:t>Conveyancing Development Limited</w:t>
      </w:r>
    </w:p>
    <w:p w:rsidR="000B4A1E" w:rsidRPr="00D00665" w:rsidRDefault="000B4A1E" w:rsidP="00517E51">
      <w:r w:rsidRPr="00D00665">
        <w:t>The Department of Environment and Primary Industries (DEPI) has an investment in an associate entity, National E</w:t>
      </w:r>
      <w:r w:rsidRPr="00D00665">
        <w:noBreakHyphen/>
        <w:t>Conveyancing Development Limited (NECDL). NECDL was established in January 2010 to develop a single national electronic conveyancing system for settling property transactions.</w:t>
      </w:r>
    </w:p>
    <w:p w:rsidR="000B4A1E" w:rsidRPr="00D00665" w:rsidRDefault="000B4A1E" w:rsidP="00517E51">
      <w:r w:rsidRPr="00D00665">
        <w:t>DEPI participated in an additional share subscription in October 2012 at a cost of $1.2</w:t>
      </w:r>
      <w:r>
        <w:t> million</w:t>
      </w:r>
      <w:r w:rsidRPr="00D00665">
        <w:t>. The subscription in October, plus further subscriptions in February and June 2013 have diluted the department</w:t>
      </w:r>
      <w:r>
        <w:t>’</w:t>
      </w:r>
      <w:r w:rsidRPr="00D00665">
        <w:t>s interest in NECDL. The department still holds significant influence by participating in policy</w:t>
      </w:r>
      <w:r w:rsidRPr="00D00665">
        <w:noBreakHyphen/>
        <w:t>making processes through its representation on the board of directors, and the provision of essential technical information (being the intellectual property for the Victorian electronic conveyancing system).</w:t>
      </w:r>
    </w:p>
    <w:p w:rsidR="000B4A1E" w:rsidRPr="00D00665" w:rsidRDefault="000B4A1E" w:rsidP="00517E51">
      <w:pPr>
        <w:pStyle w:val="million"/>
        <w:rPr>
          <w:rFonts w:ascii="Garamond" w:hAnsi="Garamond"/>
          <w:i w:val="0"/>
          <w:sz w:val="24"/>
          <w:szCs w:val="20"/>
        </w:rPr>
      </w:pPr>
    </w:p>
    <w:p w:rsidR="000B4A1E" w:rsidRPr="003E2DBE" w:rsidRDefault="000B4A1E" w:rsidP="00517E51">
      <w:pPr>
        <w:pStyle w:val="million"/>
      </w:pPr>
      <w:r w:rsidRPr="00D00665">
        <w:t>($</w:t>
      </w:r>
      <w:r>
        <w:t> million</w:t>
      </w:r>
      <w:r w:rsidRPr="00D00665">
        <w:t>)</w:t>
      </w:r>
      <w:bookmarkStart w:id="54" w:name="RANGE!B68:D74"/>
    </w:p>
    <w:tbl>
      <w:tblPr>
        <w:tblW w:w="9648" w:type="dxa"/>
        <w:tblInd w:w="29" w:type="dxa"/>
        <w:tblCellMar>
          <w:left w:w="43" w:type="dxa"/>
          <w:right w:w="43" w:type="dxa"/>
        </w:tblCellMar>
        <w:tblLook w:val="04A0" w:firstRow="1" w:lastRow="0" w:firstColumn="1" w:lastColumn="0" w:noHBand="0" w:noVBand="1"/>
      </w:tblPr>
      <w:tblGrid>
        <w:gridCol w:w="7402"/>
        <w:gridCol w:w="1123"/>
        <w:gridCol w:w="1123"/>
      </w:tblGrid>
      <w:tr w:rsidR="000B4A1E" w:rsidRPr="003E2DBE" w:rsidTr="00517E51">
        <w:trPr>
          <w:divId w:val="796527959"/>
          <w:trHeight w:hRule="exact" w:val="80"/>
        </w:trPr>
        <w:tc>
          <w:tcPr>
            <w:tcW w:w="7402"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1123" w:type="dxa"/>
            <w:tcBorders>
              <w:top w:val="single" w:sz="4" w:space="0" w:color="auto"/>
              <w:left w:val="nil"/>
              <w:bottom w:val="nil"/>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r>
      <w:tr w:rsidR="000B4A1E" w:rsidRPr="003E2DBE" w:rsidTr="00517E51">
        <w:trPr>
          <w:divId w:val="796527959"/>
        </w:trPr>
        <w:tc>
          <w:tcPr>
            <w:tcW w:w="7402"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Balance sheet</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796527959"/>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Current assets</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9.0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4.7</w:t>
            </w:r>
          </w:p>
        </w:tc>
      </w:tr>
      <w:tr w:rsidR="000B4A1E" w:rsidRPr="003E2DBE" w:rsidTr="00517E51">
        <w:trPr>
          <w:divId w:val="796527959"/>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Non-current assets</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6.9</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5.7</w:t>
            </w:r>
          </w:p>
        </w:tc>
      </w:tr>
      <w:tr w:rsidR="000B4A1E" w:rsidRPr="003E2DBE" w:rsidTr="00517E51">
        <w:trPr>
          <w:divId w:val="796527959"/>
        </w:trPr>
        <w:tc>
          <w:tcPr>
            <w:tcW w:w="740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Current liabilities</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1.4</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1.1</w:t>
            </w:r>
          </w:p>
        </w:tc>
      </w:tr>
      <w:tr w:rsidR="000B4A1E" w:rsidRPr="003E2DBE" w:rsidTr="00517E51">
        <w:trPr>
          <w:divId w:val="796527959"/>
        </w:trPr>
        <w:tc>
          <w:tcPr>
            <w:tcW w:w="7402"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Non-current liabilities</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0.1</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0.1</w:t>
            </w:r>
          </w:p>
        </w:tc>
      </w:tr>
      <w:tr w:rsidR="000B4A1E" w:rsidRPr="003E2DBE" w:rsidTr="00517E51">
        <w:trPr>
          <w:divId w:val="796527959"/>
        </w:trPr>
        <w:tc>
          <w:tcPr>
            <w:tcW w:w="7402"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Net assets</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14.4</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9.2</w:t>
            </w:r>
          </w:p>
        </w:tc>
      </w:tr>
      <w:bookmarkEnd w:id="54"/>
    </w:tbl>
    <w:p w:rsidR="000B4A1E" w:rsidRPr="00D00665" w:rsidRDefault="000B4A1E" w:rsidP="00517E51"/>
    <w:p w:rsidR="000B4A1E" w:rsidRPr="00D00665" w:rsidRDefault="000B4A1E" w:rsidP="00517E51">
      <w:r w:rsidRPr="00D00665">
        <w:t>The Government</w:t>
      </w:r>
      <w:r>
        <w:t>’</w:t>
      </w:r>
      <w:r w:rsidRPr="00D00665">
        <w:t>s ownership interest of NECDL at 30 June 2013 was 14</w:t>
      </w:r>
      <w:r>
        <w:t> per cent</w:t>
      </w:r>
      <w:r w:rsidRPr="00D00665">
        <w:t xml:space="preserve"> (2012: 24</w:t>
      </w:r>
      <w:r>
        <w:t> per cent</w:t>
      </w:r>
      <w:r w:rsidRPr="00D00665">
        <w:t>).</w:t>
      </w:r>
    </w:p>
    <w:p w:rsidR="000B4A1E" w:rsidRPr="00D00665" w:rsidRDefault="000B4A1E" w:rsidP="00517E51">
      <w:pPr>
        <w:pStyle w:val="Heading2NotesContd"/>
      </w:pPr>
      <w:r w:rsidRPr="00D00665">
        <w:br w:type="page"/>
      </w:r>
    </w:p>
    <w:p w:rsidR="000B4A1E" w:rsidRPr="009F74B3" w:rsidRDefault="000B4A1E" w:rsidP="00517E51">
      <w:pPr>
        <w:pStyle w:val="Heading2Notes"/>
        <w:rPr>
          <w:i/>
        </w:rPr>
      </w:pPr>
      <w:r w:rsidRPr="00D00665">
        <w:lastRenderedPageBreak/>
        <w:t>Note 18:</w:t>
      </w:r>
      <w:r w:rsidRPr="00D00665">
        <w:tab/>
        <w:t>Joint ventures</w:t>
      </w:r>
      <w:r>
        <w:t xml:space="preserve"> </w:t>
      </w:r>
      <w:r>
        <w:rPr>
          <w:i/>
        </w:rPr>
        <w:t>(continued)</w:t>
      </w:r>
    </w:p>
    <w:p w:rsidR="000B4A1E" w:rsidRPr="00D00665" w:rsidRDefault="000B4A1E" w:rsidP="00517E51">
      <w:pPr>
        <w:pStyle w:val="Tableheading"/>
      </w:pPr>
      <w:r w:rsidRPr="00D00665">
        <w:t>Snowy Hydro Limited</w:t>
      </w:r>
    </w:p>
    <w:p w:rsidR="000B4A1E" w:rsidRPr="00D00665" w:rsidRDefault="000B4A1E" w:rsidP="00517E51">
      <w:r w:rsidRPr="00D00665">
        <w:t>Snowy Hydro Limited is a company jointly owned by the Commonwealth (13</w:t>
      </w:r>
      <w:r>
        <w:t> per cent</w:t>
      </w:r>
      <w:r w:rsidRPr="00D00665">
        <w:t>), New South Wales (58</w:t>
      </w:r>
      <w:r>
        <w:t> per cent</w:t>
      </w:r>
      <w:r w:rsidRPr="00D00665">
        <w:t>) and Victoria (29</w:t>
      </w:r>
      <w:r>
        <w:t> per cent</w:t>
      </w:r>
      <w:r w:rsidRPr="00D00665">
        <w:t xml:space="preserve">), which owns and operates the Snowy Mountains Hydro Electric Scheme as an independent electricity generator in the National Electricity Market. </w:t>
      </w:r>
    </w:p>
    <w:p w:rsidR="000B4A1E" w:rsidRPr="00D00665" w:rsidRDefault="000B4A1E" w:rsidP="00517E51">
      <w:r w:rsidRPr="00D00665">
        <w:t>The following tables provide information on Victoria</w:t>
      </w:r>
      <w:r>
        <w:t>’</w:t>
      </w:r>
      <w:r w:rsidRPr="00D00665">
        <w:t>s share of Snowy Hydro Limited:</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6279"/>
        <w:gridCol w:w="1123"/>
        <w:gridCol w:w="1123"/>
        <w:gridCol w:w="1123"/>
      </w:tblGrid>
      <w:tr w:rsidR="000B4A1E" w:rsidRPr="003E2DBE" w:rsidTr="00517E51">
        <w:trPr>
          <w:trHeight w:hRule="exact" w:val="120"/>
        </w:trPr>
        <w:tc>
          <w:tcPr>
            <w:tcW w:w="6279" w:type="dxa"/>
            <w:tcBorders>
              <w:top w:val="single" w:sz="6" w:space="0" w:color="auto"/>
              <w:left w:val="single" w:sz="6"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single" w:sz="6"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1123" w:type="dxa"/>
            <w:tcBorders>
              <w:top w:val="single" w:sz="6"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1123" w:type="dxa"/>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
              <w:rPr>
                <w:rFonts w:eastAsiaTheme="minorEastAsia"/>
                <w:lang w:eastAsia="en-AU"/>
              </w:rPr>
            </w:pPr>
          </w:p>
        </w:tc>
      </w:tr>
      <w:tr w:rsidR="000B4A1E" w:rsidRPr="003E2DBE" w:rsidTr="00517E51">
        <w:tc>
          <w:tcPr>
            <w:tcW w:w="6279" w:type="dxa"/>
            <w:tcBorders>
              <w:top w:val="nil"/>
              <w:left w:val="single" w:sz="6" w:space="0" w:color="auto"/>
              <w:bottom w:val="single" w:sz="6" w:space="0" w:color="auto"/>
              <w:right w:val="nil"/>
            </w:tcBorders>
            <w:shd w:val="clear" w:color="auto" w:fill="000000"/>
          </w:tcPr>
          <w:p w:rsidR="000B4A1E" w:rsidRPr="003E2DBE" w:rsidRDefault="000B4A1E" w:rsidP="00517E51">
            <w:pPr>
              <w:pStyle w:val="TabletextheadingLeft"/>
              <w:rPr>
                <w:rFonts w:eastAsiaTheme="minorEastAsia"/>
                <w:lang w:eastAsia="en-AU"/>
              </w:rPr>
            </w:pPr>
            <w:r w:rsidRPr="003E2DBE">
              <w:rPr>
                <w:rFonts w:eastAsiaTheme="minorEastAsia"/>
              </w:rPr>
              <w:t>Balance</w:t>
            </w:r>
            <w:r w:rsidRPr="003E2DBE">
              <w:rPr>
                <w:rFonts w:eastAsiaTheme="minorEastAsia"/>
                <w:lang w:eastAsia="en-AU"/>
              </w:rPr>
              <w:t xml:space="preserve"> sheet</w:t>
            </w:r>
          </w:p>
        </w:tc>
        <w:tc>
          <w:tcPr>
            <w:tcW w:w="1123"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t>2013</w:t>
            </w:r>
          </w:p>
        </w:tc>
        <w:tc>
          <w:tcPr>
            <w:tcW w:w="1123"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cs="Calibri"/>
                <w:iCs/>
                <w:szCs w:val="22"/>
                <w:vertAlign w:val="superscript"/>
                <w:lang w:eastAsia="en-AU"/>
              </w:rPr>
            </w:pPr>
            <w:r w:rsidRPr="003E2DBE">
              <w:rPr>
                <w:rFonts w:eastAsiaTheme="minorEastAsia"/>
                <w:lang w:eastAsia="en-AU"/>
              </w:rPr>
              <w:t xml:space="preserve">2012 </w:t>
            </w:r>
            <w:r w:rsidRPr="003E2DBE">
              <w:rPr>
                <w:rFonts w:eastAsiaTheme="minorEastAsia" w:cs="Calibri"/>
                <w:iCs/>
                <w:szCs w:val="22"/>
                <w:vertAlign w:val="superscript"/>
                <w:lang w:eastAsia="en-AU"/>
              </w:rPr>
              <w:t>(a)</w:t>
            </w:r>
          </w:p>
        </w:tc>
        <w:tc>
          <w:tcPr>
            <w:tcW w:w="1123" w:type="dxa"/>
            <w:tcBorders>
              <w:top w:val="nil"/>
              <w:left w:val="nil"/>
              <w:bottom w:val="single" w:sz="6" w:space="0" w:color="auto"/>
              <w:right w:val="single" w:sz="6" w:space="0" w:color="auto"/>
            </w:tcBorders>
            <w:shd w:val="clear" w:color="auto" w:fill="000000"/>
          </w:tcPr>
          <w:p w:rsidR="000B4A1E" w:rsidRPr="003E2DBE" w:rsidRDefault="000B4A1E" w:rsidP="00517E51">
            <w:pPr>
              <w:pStyle w:val="Tabletextheading"/>
              <w:rPr>
                <w:rFonts w:eastAsiaTheme="minorEastAsia" w:cs="Calibri"/>
                <w:iCs/>
                <w:szCs w:val="22"/>
                <w:vertAlign w:val="superscript"/>
                <w:lang w:eastAsia="en-AU"/>
              </w:rPr>
            </w:pPr>
            <w:r w:rsidRPr="003E2DBE">
              <w:rPr>
                <w:rFonts w:eastAsiaTheme="minorEastAsia"/>
                <w:lang w:eastAsia="en-AU"/>
              </w:rPr>
              <w:t>2011</w:t>
            </w:r>
            <w:r w:rsidRPr="003E2DBE">
              <w:rPr>
                <w:rFonts w:eastAsiaTheme="minorEastAsia"/>
                <w:vertAlign w:val="superscript"/>
                <w:lang w:eastAsia="en-AU"/>
              </w:rPr>
              <w:t xml:space="preserve"> (a)</w:t>
            </w:r>
          </w:p>
        </w:tc>
      </w:tr>
      <w:tr w:rsidR="000B4A1E" w:rsidRPr="003E2DBE" w:rsidTr="00517E51">
        <w:tc>
          <w:tcPr>
            <w:tcW w:w="6279" w:type="dxa"/>
            <w:tcBorders>
              <w:top w:val="single" w:sz="6"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Current assets</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115.7</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141.7</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109.3</w:t>
            </w:r>
          </w:p>
        </w:tc>
      </w:tr>
      <w:tr w:rsidR="000B4A1E" w:rsidRPr="003E2DBE" w:rsidTr="00517E51">
        <w:tc>
          <w:tcPr>
            <w:tcW w:w="6279"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Non-current assets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1 680.0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1 634.1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1 381.9</w:t>
            </w:r>
          </w:p>
        </w:tc>
      </w:tr>
      <w:tr w:rsidR="000B4A1E" w:rsidRPr="003E2DBE" w:rsidTr="00517E51">
        <w:tc>
          <w:tcPr>
            <w:tcW w:w="6279"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Current liabilities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174.1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154.5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60.3</w:t>
            </w:r>
          </w:p>
        </w:tc>
      </w:tr>
      <w:tr w:rsidR="000B4A1E" w:rsidRPr="003E2DBE" w:rsidTr="00517E51">
        <w:tc>
          <w:tcPr>
            <w:tcW w:w="6279"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Non-current liabilities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0.8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64.7</w:t>
            </w:r>
          </w:p>
        </w:tc>
      </w:tr>
      <w:tr w:rsidR="000B4A1E" w:rsidRPr="003E2DBE" w:rsidTr="00517E51">
        <w:tc>
          <w:tcPr>
            <w:tcW w:w="6279"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Net assets</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1 616.6</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1 620.5</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1 366.2</w:t>
            </w:r>
          </w:p>
        </w:tc>
      </w:tr>
      <w:tr w:rsidR="000B4A1E" w:rsidRPr="003E2DBE" w:rsidTr="00517E51">
        <w:trPr>
          <w:trHeight w:hRule="exact" w:val="120"/>
        </w:trPr>
        <w:tc>
          <w:tcPr>
            <w:tcW w:w="6279" w:type="dxa"/>
            <w:tcBorders>
              <w:top w:val="nil"/>
              <w:left w:val="nil"/>
              <w:bottom w:val="single" w:sz="6" w:space="0" w:color="auto"/>
              <w:right w:val="nil"/>
            </w:tcBorders>
          </w:tcPr>
          <w:p w:rsidR="000B4A1E" w:rsidRPr="003E2DBE" w:rsidRDefault="000B4A1E" w:rsidP="00517E51">
            <w:pPr>
              <w:pStyle w:val="Tabletext"/>
              <w:rPr>
                <w:rFonts w:eastAsiaTheme="minorEastAsia"/>
                <w:i/>
                <w:iCs/>
                <w:lang w:eastAsia="en-AU"/>
              </w:rPr>
            </w:pPr>
            <w:r w:rsidRPr="003E2DBE">
              <w:rPr>
                <w:rFonts w:eastAsiaTheme="minorEastAsia"/>
                <w:i/>
                <w:i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sz w:val="20"/>
                <w:lang w:eastAsia="en-AU"/>
              </w:rPr>
            </w:pPr>
          </w:p>
        </w:tc>
      </w:tr>
      <w:tr w:rsidR="000B4A1E" w:rsidRPr="003E2DBE" w:rsidTr="00517E51">
        <w:tc>
          <w:tcPr>
            <w:tcW w:w="6279"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headingLeft"/>
              <w:rPr>
                <w:rFonts w:eastAsiaTheme="minorEastAsia"/>
                <w:lang w:eastAsia="en-AU"/>
              </w:rPr>
            </w:pPr>
            <w:r w:rsidRPr="003E2DBE">
              <w:rPr>
                <w:rFonts w:eastAsiaTheme="minorEastAsia"/>
                <w:lang w:eastAsia="en-AU"/>
              </w:rPr>
              <w:t>Revenue and profit</w:t>
            </w:r>
          </w:p>
        </w:tc>
        <w:tc>
          <w:tcPr>
            <w:tcW w:w="112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123"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rFonts w:eastAsiaTheme="minorEastAsia"/>
                <w:sz w:val="20"/>
                <w:lang w:eastAsia="en-AU"/>
              </w:rPr>
            </w:pPr>
          </w:p>
        </w:tc>
      </w:tr>
      <w:tr w:rsidR="000B4A1E" w:rsidRPr="003E2DBE" w:rsidTr="00517E51">
        <w:tc>
          <w:tcPr>
            <w:tcW w:w="6279" w:type="dxa"/>
            <w:tcBorders>
              <w:top w:val="single" w:sz="6"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Revenue from ordinary activities</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348.4</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242.5</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sz w:val="20"/>
                <w:lang w:eastAsia="en-AU"/>
              </w:rPr>
            </w:pPr>
          </w:p>
        </w:tc>
      </w:tr>
      <w:tr w:rsidR="000B4A1E" w:rsidRPr="003E2DBE" w:rsidTr="00517E51">
        <w:tc>
          <w:tcPr>
            <w:tcW w:w="6279"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Profit from ordinary activities before income tax</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75.9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77.8</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p>
        </w:tc>
      </w:tr>
      <w:tr w:rsidR="000B4A1E" w:rsidRPr="003E2DBE" w:rsidTr="00517E51">
        <w:tc>
          <w:tcPr>
            <w:tcW w:w="6279"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Income Tax expense relating to ordinary activities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30.9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31.8</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p>
        </w:tc>
      </w:tr>
      <w:tr w:rsidR="000B4A1E" w:rsidRPr="003E2DBE" w:rsidTr="00517E51">
        <w:tc>
          <w:tcPr>
            <w:tcW w:w="6279"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Net result</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45.0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46.0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p>
        </w:tc>
      </w:tr>
      <w:tr w:rsidR="000B4A1E" w:rsidRPr="003E2DBE" w:rsidTr="00517E51">
        <w:trPr>
          <w:trHeight w:hRule="exact" w:val="120"/>
        </w:trPr>
        <w:tc>
          <w:tcPr>
            <w:tcW w:w="6279" w:type="dxa"/>
            <w:tcBorders>
              <w:top w:val="nil"/>
              <w:left w:val="nil"/>
              <w:bottom w:val="single" w:sz="6" w:space="0" w:color="auto"/>
              <w:right w:val="nil"/>
            </w:tcBorders>
          </w:tcPr>
          <w:p w:rsidR="000B4A1E" w:rsidRPr="003E2DBE" w:rsidRDefault="000B4A1E" w:rsidP="00517E51">
            <w:pPr>
              <w:pStyle w:val="Tabletext"/>
              <w:rPr>
                <w:rFonts w:eastAsiaTheme="minorEastAsia"/>
                <w:i/>
                <w:iCs/>
                <w:lang w:eastAsia="en-AU"/>
              </w:rPr>
            </w:pPr>
            <w:r w:rsidRPr="003E2DBE">
              <w:rPr>
                <w:rFonts w:eastAsiaTheme="minorEastAsia"/>
                <w:i/>
                <w:i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sz w:val="20"/>
                <w:lang w:eastAsia="en-AU"/>
              </w:rPr>
            </w:pPr>
          </w:p>
        </w:tc>
      </w:tr>
      <w:tr w:rsidR="000B4A1E" w:rsidRPr="003E2DBE" w:rsidTr="00517E51">
        <w:tc>
          <w:tcPr>
            <w:tcW w:w="6279"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headingLeft"/>
              <w:rPr>
                <w:rFonts w:eastAsiaTheme="minorEastAsia"/>
                <w:lang w:eastAsia="en-AU"/>
              </w:rPr>
            </w:pPr>
            <w:r w:rsidRPr="003E2DBE">
              <w:rPr>
                <w:rFonts w:eastAsiaTheme="minorEastAsia"/>
                <w:lang w:eastAsia="en-AU"/>
              </w:rPr>
              <w:t>Commitments</w:t>
            </w:r>
          </w:p>
        </w:tc>
        <w:tc>
          <w:tcPr>
            <w:tcW w:w="112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123"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rFonts w:eastAsiaTheme="minorEastAsia"/>
                <w:sz w:val="20"/>
                <w:lang w:eastAsia="en-AU"/>
              </w:rPr>
            </w:pPr>
          </w:p>
        </w:tc>
      </w:tr>
      <w:tr w:rsidR="000B4A1E" w:rsidRPr="003E2DBE" w:rsidTr="00517E51">
        <w:tc>
          <w:tcPr>
            <w:tcW w:w="6279" w:type="dxa"/>
            <w:tcBorders>
              <w:top w:val="single" w:sz="6"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Capital expenditure commitments</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7.7</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10.7</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sz w:val="20"/>
                <w:lang w:eastAsia="en-AU"/>
              </w:rPr>
            </w:pPr>
          </w:p>
        </w:tc>
      </w:tr>
      <w:tr w:rsidR="000B4A1E" w:rsidRPr="003E2DBE" w:rsidTr="00517E51">
        <w:tc>
          <w:tcPr>
            <w:tcW w:w="6279"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Operating lease commitments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20.6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21.4</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p>
        </w:tc>
      </w:tr>
      <w:tr w:rsidR="000B4A1E" w:rsidRPr="003E2DBE" w:rsidTr="00517E51">
        <w:tc>
          <w:tcPr>
            <w:tcW w:w="6279"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Other commitments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4.7</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0"/>
                <w:lang w:eastAsia="en-AU"/>
              </w:rPr>
            </w:pPr>
          </w:p>
        </w:tc>
      </w:tr>
      <w:tr w:rsidR="000B4A1E" w:rsidRPr="003E2DBE" w:rsidTr="00517E51">
        <w:tc>
          <w:tcPr>
            <w:tcW w:w="6279"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33.0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36.8</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p>
        </w:tc>
      </w:tr>
    </w:tbl>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rsidRPr="00D00665">
        <w:tab/>
        <w:t>Restated balances at 30 June 2012 and 1 July 2011. Refer to Note 36 of the financial statements.</w:t>
      </w:r>
    </w:p>
    <w:p w:rsidR="000B4A1E" w:rsidRPr="00D00665" w:rsidRDefault="000B4A1E" w:rsidP="00517E51"/>
    <w:p w:rsidR="000B4A1E" w:rsidRPr="00D00665" w:rsidRDefault="000B4A1E" w:rsidP="00517E51">
      <w:r w:rsidRPr="00D00665">
        <w:t>The Victorian Government</w:t>
      </w:r>
      <w:r>
        <w:t>’</w:t>
      </w:r>
      <w:r w:rsidRPr="00D00665">
        <w:t>s ownership interest of Snowy Hydro Limited at 30 June 2013 was 29</w:t>
      </w:r>
      <w:r>
        <w:t> per cent</w:t>
      </w:r>
      <w:r w:rsidRPr="00D00665">
        <w:t xml:space="preserve"> (2012: 29</w:t>
      </w:r>
      <w:r>
        <w:t> per cent</w:t>
      </w:r>
      <w:r w:rsidRPr="00D00665">
        <w:t>).</w:t>
      </w:r>
    </w:p>
    <w:p w:rsidR="000B4A1E" w:rsidRPr="00D00665" w:rsidRDefault="000B4A1E" w:rsidP="00517E51"/>
    <w:p w:rsidR="000B4A1E" w:rsidRPr="00D00665" w:rsidRDefault="000B4A1E" w:rsidP="00517E51">
      <w:pPr>
        <w:pStyle w:val="Heading2NotesContd"/>
      </w:pPr>
      <w:r w:rsidRPr="00D00665">
        <w:br w:type="page"/>
      </w:r>
    </w:p>
    <w:p w:rsidR="000B4A1E" w:rsidRPr="009F74B3" w:rsidRDefault="000B4A1E" w:rsidP="00517E51">
      <w:pPr>
        <w:pStyle w:val="Heading2Notes"/>
        <w:rPr>
          <w:i/>
        </w:rPr>
      </w:pPr>
      <w:r w:rsidRPr="00D00665">
        <w:lastRenderedPageBreak/>
        <w:t>Note 18:</w:t>
      </w:r>
      <w:r w:rsidRPr="00D00665">
        <w:tab/>
        <w:t>Joint ventures</w:t>
      </w:r>
      <w:r>
        <w:t xml:space="preserve"> </w:t>
      </w:r>
      <w:r>
        <w:rPr>
          <w:i/>
        </w:rPr>
        <w:t>(continued)</w:t>
      </w:r>
    </w:p>
    <w:p w:rsidR="000B4A1E" w:rsidRPr="00D00665" w:rsidRDefault="000B4A1E" w:rsidP="00517E51">
      <w:pPr>
        <w:pStyle w:val="Heading5"/>
      </w:pPr>
      <w:r w:rsidRPr="00D00665">
        <w:t>(b)</w:t>
      </w:r>
      <w:r w:rsidRPr="00D00665">
        <w:tab/>
        <w:t>Jointly controlled assets</w:t>
      </w:r>
    </w:p>
    <w:p w:rsidR="000B4A1E" w:rsidRPr="00D00665" w:rsidRDefault="000B4A1E" w:rsidP="00517E51">
      <w:pPr>
        <w:pStyle w:val="Heading5a"/>
      </w:pPr>
      <w:r w:rsidRPr="00D00665">
        <w:t>Royal Melbourne Showgrounds</w:t>
      </w:r>
    </w:p>
    <w:p w:rsidR="000B4A1E" w:rsidRPr="00D00665" w:rsidRDefault="000B4A1E" w:rsidP="00517E51">
      <w:r w:rsidRPr="00D00665">
        <w:t>The State entered into a joint venture agreement with the Royal Agricultural Society of Victoria (RASV) in October 2003 to redevelop the Royal Melbourne Showgrounds. The agreement came into effect on 30 June 2005. Two joint venture structures have been established, an unincorporated joint venture to carry out and deliver the joint venture project, and an incorporated joint venture entity, Showgrounds Nominees Pty Ltd to hold the assets of the joint venture and to enter into agreements on behalf of the State and the RASV.</w:t>
      </w:r>
    </w:p>
    <w:p w:rsidR="000B4A1E" w:rsidRPr="00D00665" w:rsidRDefault="000B4A1E" w:rsidP="00517E51">
      <w:r w:rsidRPr="00D00665">
        <w:t>In June 2006, Showgrounds Nominees Pty Ltd entered into a development and operations agreement (on behalf of the State and the RASV) with the concessionaire, PPP Solutions (Showgrounds) Nominee Pty Ltd to design, construct, finance and maintain the new facilities at the Showgrounds. The project operation term is 25 years from the date of commercial acceptance of completed works which occurred in August 2006.</w:t>
      </w:r>
    </w:p>
    <w:p w:rsidR="000B4A1E" w:rsidRPr="00D00665" w:rsidRDefault="000B4A1E" w:rsidP="00517E51">
      <w:r w:rsidRPr="00D00665">
        <w:t>The State</w:t>
      </w:r>
      <w:r>
        <w:t>’</w:t>
      </w:r>
      <w:r w:rsidRPr="00D00665">
        <w:t>s interest in the unincorporated joint venture at 30 June 2013 was 50</w:t>
      </w:r>
      <w:r>
        <w:t> per cent</w:t>
      </w:r>
      <w:r w:rsidRPr="00D00665">
        <w:t xml:space="preserve"> (2012: 50</w:t>
      </w:r>
      <w:r>
        <w:t> percent</w:t>
      </w:r>
      <w:r w:rsidRPr="00D00665">
        <w:t>).</w:t>
      </w:r>
    </w:p>
    <w:p w:rsidR="000B4A1E" w:rsidRPr="003E2DBE" w:rsidRDefault="000B4A1E" w:rsidP="00517E51">
      <w:pPr>
        <w:pStyle w:val="million"/>
      </w:pPr>
      <w:r w:rsidRPr="00D00665">
        <w:t>($</w:t>
      </w:r>
      <w:r>
        <w:t> million</w:t>
      </w:r>
      <w:r w:rsidRPr="00D00665">
        <w:t>)</w:t>
      </w:r>
      <w:bookmarkStart w:id="55" w:name="RANGE!B7:F13"/>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697313816"/>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697313816"/>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Balance sheet</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69731381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Current assets</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6.4</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6.4</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6.4</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6.4</w:t>
            </w:r>
          </w:p>
        </w:tc>
      </w:tr>
      <w:tr w:rsidR="000B4A1E" w:rsidRPr="003E2DBE" w:rsidTr="00517E51">
        <w:trPr>
          <w:divId w:val="69731381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Non-current assets</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121.1</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125.8</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121.1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125.8</w:t>
            </w:r>
          </w:p>
        </w:tc>
      </w:tr>
      <w:tr w:rsidR="000B4A1E" w:rsidRPr="003E2DBE" w:rsidTr="00517E51">
        <w:trPr>
          <w:divId w:val="69731381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Current liabilities</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3.0</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2.8</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3.0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2.8</w:t>
            </w:r>
          </w:p>
        </w:tc>
      </w:tr>
      <w:tr w:rsidR="000B4A1E" w:rsidRPr="003E2DBE" w:rsidTr="00517E51">
        <w:trPr>
          <w:divId w:val="697313816"/>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Non-current liabilities</w:t>
            </w:r>
          </w:p>
        </w:tc>
        <w:tc>
          <w:tcPr>
            <w:tcW w:w="1123" w:type="dxa"/>
            <w:gridSpan w:val="2"/>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49.3</w:t>
            </w:r>
          </w:p>
        </w:tc>
        <w:tc>
          <w:tcPr>
            <w:tcW w:w="1123"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50.4</w:t>
            </w:r>
          </w:p>
        </w:tc>
        <w:tc>
          <w:tcPr>
            <w:tcW w:w="1123" w:type="dxa"/>
            <w:gridSpan w:val="2"/>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49.3</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50.4</w:t>
            </w:r>
          </w:p>
        </w:tc>
      </w:tr>
      <w:tr w:rsidR="000B4A1E" w:rsidRPr="003E2DBE" w:rsidTr="00517E51">
        <w:trPr>
          <w:divId w:val="697313816"/>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Net assets</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75.2</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79.0</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75.2</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79.0</w:t>
            </w:r>
          </w:p>
        </w:tc>
      </w:tr>
      <w:bookmarkEnd w:id="55"/>
    </w:tbl>
    <w:p w:rsidR="000B4A1E" w:rsidRPr="00D00665" w:rsidRDefault="000B4A1E" w:rsidP="00517E51"/>
    <w:p w:rsidR="000B4A1E" w:rsidRPr="00D00665" w:rsidRDefault="000B4A1E" w:rsidP="00517E51">
      <w:pPr>
        <w:pStyle w:val="Heading5a"/>
      </w:pPr>
      <w:r w:rsidRPr="00D00665">
        <w:t>Biosciences Research Centre</w:t>
      </w:r>
    </w:p>
    <w:p w:rsidR="000B4A1E" w:rsidRPr="00D00665" w:rsidRDefault="000B4A1E" w:rsidP="00517E51">
      <w:r w:rsidRPr="00D00665">
        <w:t>In April 2008, the State entered into a joint venture agreement with LaTrobe University (LTU) to establish a world class research facility on the LTU</w:t>
      </w:r>
      <w:r>
        <w:t>’</w:t>
      </w:r>
      <w:r w:rsidRPr="00D00665">
        <w:t>s campus at Bundoora. A similar structure to the Showgrounds joint venture has been adopted comprising an unincorporated joint venture to carry out and deliver the joint venture project, and an incorporated joint venture entity, Biosciences Research Centre Pty Ltd to hold the assets of the joint venture and to enter into agreements on behalf of the State and LTU.</w:t>
      </w:r>
    </w:p>
    <w:p w:rsidR="000B4A1E" w:rsidRPr="00D00665" w:rsidRDefault="000B4A1E" w:rsidP="00517E51">
      <w:r w:rsidRPr="00D00665">
        <w:t>The State</w:t>
      </w:r>
      <w:r>
        <w:t>’</w:t>
      </w:r>
      <w:r w:rsidRPr="00D00665">
        <w:t>s contribution to the joint venture is $227.3</w:t>
      </w:r>
      <w:r>
        <w:t> million</w:t>
      </w:r>
      <w:r w:rsidRPr="00D00665">
        <w:t xml:space="preserve"> (expressed in May 2009 dollars), while LTU</w:t>
      </w:r>
      <w:r>
        <w:t>’</w:t>
      </w:r>
      <w:r w:rsidRPr="00D00665">
        <w:t>s contribution is $60.4</w:t>
      </w:r>
      <w:r>
        <w:t> million</w:t>
      </w:r>
      <w:r w:rsidRPr="00D00665">
        <w:t xml:space="preserve"> (expressed in May 2009 dollars).</w:t>
      </w:r>
    </w:p>
    <w:p w:rsidR="000B4A1E" w:rsidRPr="00D00665" w:rsidRDefault="000B4A1E" w:rsidP="00517E51">
      <w:r w:rsidRPr="00D00665">
        <w:t>On 30 April 2009, Biosciences Research Centre Pty Ltd entered into a project agreement (on behalf of the State and LTU) with the concessionaire to design, construct, finance and maintain the Biosciences Research Centre facility over the project</w:t>
      </w:r>
      <w:r>
        <w:t>’</w:t>
      </w:r>
      <w:r w:rsidRPr="00D00665">
        <w:t>s operating term. The project operation term is 25 years from the date of commercial acceptance of completed works which occurred on 18 July 2012.</w:t>
      </w:r>
    </w:p>
    <w:p w:rsidR="000B4A1E" w:rsidRPr="00D00665" w:rsidRDefault="000B4A1E" w:rsidP="00517E51">
      <w:r w:rsidRPr="00D00665">
        <w:t>The State of Victoria</w:t>
      </w:r>
      <w:r>
        <w:t>’</w:t>
      </w:r>
      <w:r w:rsidRPr="00D00665">
        <w:t>s interest in the unincorporated joint venture at 30 June 2013 was 75</w:t>
      </w:r>
      <w:r>
        <w:t xml:space="preserve"> per cent </w:t>
      </w:r>
      <w:r w:rsidRPr="00D00665">
        <w:t>(2012: 75</w:t>
      </w:r>
      <w:r>
        <w:t> per cent</w:t>
      </w:r>
      <w:r w:rsidRPr="00D00665">
        <w:t>).</w:t>
      </w:r>
    </w:p>
    <w:p w:rsidR="000B4A1E" w:rsidRPr="00D00665" w:rsidRDefault="000B4A1E" w:rsidP="00517E51">
      <w:pPr>
        <w:pStyle w:val="Heading2NotesContd"/>
      </w:pPr>
      <w:r w:rsidRPr="00D00665">
        <w:br w:type="page"/>
      </w:r>
    </w:p>
    <w:p w:rsidR="000B4A1E" w:rsidRPr="009F74B3" w:rsidRDefault="000B4A1E" w:rsidP="00517E51">
      <w:pPr>
        <w:pStyle w:val="Heading2Notes"/>
        <w:rPr>
          <w:i/>
        </w:rPr>
      </w:pPr>
      <w:r w:rsidRPr="00D00665">
        <w:lastRenderedPageBreak/>
        <w:t>Note 18:</w:t>
      </w:r>
      <w:r w:rsidRPr="00D00665">
        <w:tab/>
        <w:t>Joint ventures</w:t>
      </w:r>
      <w:r>
        <w:t xml:space="preserve"> </w:t>
      </w:r>
      <w:r>
        <w:rPr>
          <w:i/>
        </w:rPr>
        <w:t>(continued)</w:t>
      </w:r>
    </w:p>
    <w:p w:rsidR="000B4A1E" w:rsidRPr="003E2DBE" w:rsidRDefault="000B4A1E" w:rsidP="00517E51">
      <w:pPr>
        <w:pStyle w:val="million"/>
      </w:pPr>
      <w:r w:rsidRPr="00D00665">
        <w:t xml:space="preserve"> ($</w:t>
      </w:r>
      <w:r>
        <w:t> million</w:t>
      </w:r>
      <w:r w:rsidRPr="00D00665">
        <w:t>)</w:t>
      </w:r>
      <w:bookmarkStart w:id="56" w:name="RANGE!B17:F23"/>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074743603"/>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074743603"/>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Balance sheet</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074743603"/>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Current assets</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5.1</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5.1</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074743603"/>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Non-current assets</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185.8</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185.8</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074743603"/>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Current liabilities</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4.2</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4.2</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074743603"/>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Non-current liabilities</w:t>
            </w:r>
          </w:p>
        </w:tc>
        <w:tc>
          <w:tcPr>
            <w:tcW w:w="1123" w:type="dxa"/>
            <w:gridSpan w:val="2"/>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193.3</w:t>
            </w:r>
          </w:p>
        </w:tc>
        <w:tc>
          <w:tcPr>
            <w:tcW w:w="1123"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193.3</w:t>
            </w:r>
          </w:p>
        </w:tc>
        <w:tc>
          <w:tcPr>
            <w:tcW w:w="1123"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074743603"/>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Net assets</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-6.6</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-6.6</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w:t>
            </w:r>
          </w:p>
        </w:tc>
      </w:tr>
      <w:bookmarkEnd w:id="56"/>
    </w:tbl>
    <w:p w:rsidR="000B4A1E" w:rsidRPr="00D00665" w:rsidRDefault="000B4A1E" w:rsidP="00517E51">
      <w:pPr>
        <w:pStyle w:val="Notes"/>
      </w:pPr>
    </w:p>
    <w:p w:rsidR="000B4A1E" w:rsidRPr="00D00665" w:rsidRDefault="000B4A1E" w:rsidP="00517E51">
      <w:pPr>
        <w:pStyle w:val="Tableheading"/>
      </w:pPr>
      <w:r w:rsidRPr="00D00665">
        <w:t>Murray Darling Basin Authority</w:t>
      </w:r>
    </w:p>
    <w:p w:rsidR="000B4A1E" w:rsidRPr="00D00665" w:rsidRDefault="000B4A1E" w:rsidP="00517E51">
      <w:r w:rsidRPr="00D00665">
        <w:t xml:space="preserve">On 26 March 2008, the Commonwealth and the basin states – New South Wales, Victoria, Queensland, South Australia and the Australian Capital Territory – signed a Memorandum of Understanding for Murray Darling Basin Reform. The Murray Darling Basin Authority (MDBA) was created by the </w:t>
      </w:r>
      <w:r w:rsidRPr="00D00665">
        <w:rPr>
          <w:i/>
        </w:rPr>
        <w:t>Water Act 2007</w:t>
      </w:r>
      <w:r w:rsidRPr="00D00665">
        <w:t xml:space="preserve"> and was established on 3 March 2008, however agreement to the proportional share of assets between the states and Commonwealth d</w:t>
      </w:r>
      <w:r>
        <w:t>id not occur until 2008</w:t>
      </w:r>
      <w:r>
        <w:noBreakHyphen/>
        <w:t>09. The </w:t>
      </w:r>
      <w:r w:rsidRPr="00D00665">
        <w:t>functions undertaken by the Murray Darling Basin Council (MDBC) were transferred to the MDBA and the existing MDBC dissolved, with a new Ministerial Council, Basin Officials Committee and Basin Community Committee established for the MDBA. The date of transition was 14 December 2008.</w:t>
      </w:r>
    </w:p>
    <w:p w:rsidR="000B4A1E" w:rsidRPr="00D00665" w:rsidRDefault="000B4A1E" w:rsidP="00517E51">
      <w:r w:rsidRPr="00D00665">
        <w:t>As a result, the State</w:t>
      </w:r>
      <w:r>
        <w:t>’</w:t>
      </w:r>
      <w:r w:rsidRPr="00D00665">
        <w:t>s equity investment in the MDBA was derecognised, with an associated increase in financial and non financial asset values, but mainly in buildings, plant and equipment classifications in the balance sheet, reflecting the State</w:t>
      </w:r>
      <w:r>
        <w:t>’</w:t>
      </w:r>
      <w:r w:rsidRPr="00D00665">
        <w:t>s direct interest in certain MDBA assets. The venturers have a joint interest in the infrastructure assets themselves and water rights (as opposed to an interest in an entity controlling/holding the assets). The share in the individually controlled assets was transferred at transition in the original proportions of the share of the entity held by the individual jurisdictions as follows: New South Wales 26.67</w:t>
      </w:r>
      <w:r>
        <w:t> per cent</w:t>
      </w:r>
      <w:r w:rsidRPr="00D00665">
        <w:t>, South Australia 26.67</w:t>
      </w:r>
      <w:r>
        <w:t> per cent</w:t>
      </w:r>
      <w:r w:rsidRPr="00D00665">
        <w:t>, Victoria 26.67</w:t>
      </w:r>
      <w:r>
        <w:t> per cent</w:t>
      </w:r>
      <w:r w:rsidRPr="00D00665">
        <w:t xml:space="preserve"> and the Commonwealth Government 20</w:t>
      </w:r>
      <w:r>
        <w:t> per cent</w:t>
      </w:r>
      <w:r w:rsidRPr="00D00665">
        <w:t>.</w:t>
      </w:r>
    </w:p>
    <w:p w:rsidR="000B4A1E" w:rsidRPr="003E2DBE" w:rsidRDefault="000B4A1E" w:rsidP="00517E51">
      <w:pPr>
        <w:pStyle w:val="million"/>
      </w:pPr>
      <w:r w:rsidRPr="00D00665">
        <w:t>($</w:t>
      </w:r>
      <w:r>
        <w:t> million</w:t>
      </w:r>
      <w:r w:rsidRPr="00D00665">
        <w:t>)</w:t>
      </w:r>
      <w:bookmarkStart w:id="57" w:name="RANGE!B27:F33"/>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166364731"/>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166364731"/>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Balance sheet</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166364731"/>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Current assets</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11.9</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13.8</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11.9</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13.8</w:t>
            </w:r>
          </w:p>
        </w:tc>
      </w:tr>
      <w:tr w:rsidR="000B4A1E" w:rsidRPr="003E2DBE" w:rsidTr="00517E51">
        <w:trPr>
          <w:divId w:val="1166364731"/>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Non-current assets</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793.8</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776.7</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793.8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776.7</w:t>
            </w:r>
          </w:p>
        </w:tc>
      </w:tr>
      <w:tr w:rsidR="000B4A1E" w:rsidRPr="003E2DBE" w:rsidTr="00517E51">
        <w:trPr>
          <w:divId w:val="1166364731"/>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Current liabilities</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166364731"/>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Non-current liabilities</w:t>
            </w:r>
          </w:p>
        </w:tc>
        <w:tc>
          <w:tcPr>
            <w:tcW w:w="1123" w:type="dxa"/>
            <w:gridSpan w:val="2"/>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166364731"/>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Net assets</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805.7</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790.5</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805.7</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790.5</w:t>
            </w:r>
          </w:p>
        </w:tc>
      </w:tr>
      <w:bookmarkEnd w:id="57"/>
    </w:tbl>
    <w:p w:rsidR="000B4A1E" w:rsidRPr="00D00665" w:rsidRDefault="000B4A1E" w:rsidP="00517E51"/>
    <w:p w:rsidR="000B4A1E" w:rsidRPr="00D00665" w:rsidRDefault="000B4A1E" w:rsidP="00517E51">
      <w:pPr>
        <w:pStyle w:val="Heading2Notes"/>
      </w:pPr>
      <w:r w:rsidRPr="00D00665">
        <w:br w:type="page"/>
      </w:r>
      <w:bookmarkStart w:id="58" w:name="_Toc367947878"/>
      <w:r w:rsidRPr="00D00665">
        <w:lastRenderedPageBreak/>
        <w:t>Note 19:</w:t>
      </w:r>
      <w:r w:rsidRPr="00D00665">
        <w:tab/>
        <w:t>Investments in other sector entities</w:t>
      </w:r>
      <w:bookmarkEnd w:id="58"/>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6404"/>
        <w:gridCol w:w="998"/>
        <w:gridCol w:w="1123"/>
        <w:gridCol w:w="1123"/>
      </w:tblGrid>
      <w:tr w:rsidR="000B4A1E" w:rsidRPr="003E2DBE" w:rsidTr="00517E51">
        <w:tc>
          <w:tcPr>
            <w:tcW w:w="6404"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998"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rFonts w:eastAsiaTheme="minorEastAsia"/>
                <w:vertAlign w:val="superscript"/>
                <w:lang w:eastAsia="en-AU"/>
              </w:rPr>
            </w:pPr>
            <w:r w:rsidRPr="003E2DBE">
              <w:rPr>
                <w:rFonts w:eastAsiaTheme="minorEastAsia"/>
                <w:lang w:eastAsia="en-AU"/>
              </w:rPr>
              <w:t xml:space="preserve">2012 </w:t>
            </w:r>
            <w:r w:rsidRPr="003E2DBE">
              <w:rPr>
                <w:rFonts w:eastAsiaTheme="minorEastAsia"/>
                <w:vertAlign w:val="superscript"/>
                <w:lang w:eastAsia="en-AU"/>
              </w:rPr>
              <w:t>(a)</w:t>
            </w:r>
          </w:p>
        </w:tc>
        <w:tc>
          <w:tcPr>
            <w:tcW w:w="1123"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
              <w:rPr>
                <w:rFonts w:eastAsiaTheme="minorEastAsia"/>
                <w:vertAlign w:val="superscript"/>
                <w:lang w:eastAsia="en-AU"/>
              </w:rPr>
            </w:pPr>
            <w:r w:rsidRPr="003E2DBE">
              <w:rPr>
                <w:rFonts w:eastAsiaTheme="minorEastAsia"/>
                <w:lang w:eastAsia="en-AU"/>
              </w:rPr>
              <w:t xml:space="preserve">2011 </w:t>
            </w:r>
            <w:r w:rsidRPr="003E2DBE">
              <w:rPr>
                <w:rFonts w:eastAsiaTheme="minorEastAsia"/>
                <w:vertAlign w:val="superscript"/>
                <w:lang w:eastAsia="en-AU"/>
              </w:rPr>
              <w:t>(a)</w:t>
            </w:r>
          </w:p>
        </w:tc>
      </w:tr>
      <w:tr w:rsidR="000B4A1E" w:rsidRPr="003E2DBE" w:rsidTr="00517E51">
        <w:tc>
          <w:tcPr>
            <w:tcW w:w="6404" w:type="dxa"/>
            <w:tcBorders>
              <w:top w:val="single" w:sz="4"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Balance of investment in PNFC and PFC sectors at beginning of period</w:t>
            </w:r>
          </w:p>
        </w:tc>
        <w:tc>
          <w:tcPr>
            <w:tcW w:w="998"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67 513.8</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65 763.5</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60 413.2</w:t>
            </w:r>
          </w:p>
        </w:tc>
      </w:tr>
      <w:tr w:rsidR="000B4A1E" w:rsidRPr="003E2DBE" w:rsidTr="00517E51">
        <w:tc>
          <w:tcPr>
            <w:tcW w:w="640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Net contributions to other sectors by owner</w:t>
            </w:r>
          </w:p>
        </w:tc>
        <w:tc>
          <w:tcPr>
            <w:tcW w:w="99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2 785.9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2 450.9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1 754.6</w:t>
            </w:r>
          </w:p>
        </w:tc>
      </w:tr>
      <w:tr w:rsidR="000B4A1E" w:rsidRPr="003E2DBE" w:rsidTr="00517E51">
        <w:tc>
          <w:tcPr>
            <w:tcW w:w="6404" w:type="dxa"/>
            <w:tcBorders>
              <w:top w:val="nil"/>
              <w:left w:val="nil"/>
              <w:bottom w:val="nil"/>
              <w:right w:val="nil"/>
            </w:tcBorders>
            <w:shd w:val="solid" w:color="FFFFFF" w:fill="auto"/>
          </w:tcPr>
          <w:p w:rsidR="000B4A1E" w:rsidRPr="003E2DBE" w:rsidRDefault="000B4A1E" w:rsidP="00517E51">
            <w:pPr>
              <w:pStyle w:val="Tabletext"/>
              <w:rPr>
                <w:rFonts w:eastAsiaTheme="minorEastAsia"/>
                <w:lang w:eastAsia="en-AU"/>
              </w:rPr>
            </w:pPr>
            <w:r w:rsidRPr="003E2DBE">
              <w:rPr>
                <w:rFonts w:eastAsiaTheme="minorEastAsia"/>
                <w:lang w:eastAsia="en-AU"/>
              </w:rPr>
              <w:t>Revaluation gain/(loss) for period</w:t>
            </w:r>
          </w:p>
        </w:tc>
        <w:tc>
          <w:tcPr>
            <w:tcW w:w="99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( 810.3)</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( 700.5)</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3 595.6</w:t>
            </w:r>
          </w:p>
        </w:tc>
      </w:tr>
      <w:tr w:rsidR="000B4A1E" w:rsidRPr="003E2DBE" w:rsidTr="00517E51">
        <w:tc>
          <w:tcPr>
            <w:tcW w:w="640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investments in other sector entities</w:t>
            </w:r>
          </w:p>
        </w:tc>
        <w:tc>
          <w:tcPr>
            <w:tcW w:w="99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69 489.5</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67 513.8</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65 763.5</w:t>
            </w:r>
          </w:p>
        </w:tc>
      </w:tr>
    </w:tbl>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rsidRPr="00D00665">
        <w:tab/>
        <w:t>Restated balances at 30 June 2012 and 1 July 2011. Refer to Note 36 of the financial statements.</w:t>
      </w:r>
    </w:p>
    <w:p w:rsidR="000B4A1E" w:rsidRPr="00D00665" w:rsidRDefault="000B4A1E" w:rsidP="00517E51"/>
    <w:p w:rsidR="000B4A1E" w:rsidRPr="00D00665" w:rsidRDefault="000B4A1E" w:rsidP="00517E51"/>
    <w:p w:rsidR="000B4A1E" w:rsidRPr="00D00665" w:rsidRDefault="000B4A1E" w:rsidP="00517E51">
      <w:pPr>
        <w:pStyle w:val="Heading2Notes"/>
      </w:pPr>
      <w:bookmarkStart w:id="59" w:name="_Toc367947879"/>
      <w:r w:rsidRPr="00D00665">
        <w:t>Note 20:</w:t>
      </w:r>
      <w:r w:rsidRPr="00D00665">
        <w:tab/>
        <w:t>Inventories</w:t>
      </w:r>
      <w:bookmarkEnd w:id="59"/>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865"/>
        <w:gridCol w:w="1123"/>
        <w:gridCol w:w="262"/>
        <w:gridCol w:w="861"/>
        <w:gridCol w:w="1123"/>
      </w:tblGrid>
      <w:tr w:rsidR="000B4A1E" w:rsidRPr="003E2DBE" w:rsidTr="00517E51">
        <w:tc>
          <w:tcPr>
            <w:tcW w:w="5156"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58"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8"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26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r>
      <w:tr w:rsidR="000B4A1E" w:rsidRPr="003E2DBE" w:rsidTr="00517E51">
        <w:tc>
          <w:tcPr>
            <w:tcW w:w="5156"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iCs/>
                <w:lang w:eastAsia="en-AU"/>
              </w:rPr>
            </w:pPr>
            <w:r w:rsidRPr="003E2DBE">
              <w:rPr>
                <w:rFonts w:eastAsiaTheme="minorEastAsia"/>
                <w:iCs/>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5156" w:type="dxa"/>
            <w:tcBorders>
              <w:top w:val="single" w:sz="4"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At cost</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Raw materials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36.2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35.6</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Work in progress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52.7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116.0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66.4</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Finished goods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48.2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64.1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6.1</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Consumable stores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149.7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144.9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113.5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113.9</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vertAlign w:val="superscript"/>
                <w:lang w:eastAsia="en-AU"/>
              </w:rPr>
            </w:pPr>
            <w:r w:rsidRPr="003E2DBE">
              <w:rPr>
                <w:rFonts w:eastAsiaTheme="minorEastAsia"/>
                <w:lang w:eastAsia="en-AU"/>
              </w:rPr>
              <w:t xml:space="preserve">Land and other assets held as inventory </w:t>
            </w:r>
            <w:r w:rsidRPr="003E2DBE">
              <w:rPr>
                <w:rFonts w:eastAsiaTheme="minorEastAsia"/>
                <w:vertAlign w:val="superscript"/>
                <w:lang w:eastAsia="en-AU"/>
              </w:rPr>
              <w:t>(a)</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598.6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622.3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60.3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70.0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At net realisable value</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Finished goods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0.1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0.1</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Consumable stores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Pr>
                <w:rFonts w:eastAsiaTheme="minorEastAsia"/>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Land and other assets held as inventory</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4.1</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inventories</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871.0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1 000.6</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192.1</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296.2</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Including inventory held for distribution.</w:t>
      </w:r>
    </w:p>
    <w:p w:rsidR="000B4A1E" w:rsidRPr="00D00665" w:rsidRDefault="000B4A1E" w:rsidP="00517E51"/>
    <w:p w:rsidR="000B4A1E" w:rsidRPr="00D00665" w:rsidRDefault="000B4A1E">
      <w:pPr>
        <w:spacing w:after="0"/>
        <w:rPr>
          <w:rFonts w:ascii="Calibri" w:hAnsi="Calibri"/>
          <w:b/>
          <w:sz w:val="25"/>
        </w:rPr>
      </w:pPr>
      <w:r w:rsidRPr="00D00665">
        <w:br w:type="page"/>
      </w:r>
    </w:p>
    <w:p w:rsidR="000B4A1E" w:rsidRPr="009F74B3" w:rsidRDefault="000B4A1E" w:rsidP="00517E51">
      <w:pPr>
        <w:pStyle w:val="Heading2Notes"/>
        <w:rPr>
          <w:i/>
        </w:rPr>
      </w:pPr>
      <w:r w:rsidRPr="00D00665">
        <w:lastRenderedPageBreak/>
        <w:t>Note 20:</w:t>
      </w:r>
      <w:r w:rsidRPr="00D00665">
        <w:tab/>
        <w:t>Inventories</w:t>
      </w:r>
      <w:r>
        <w:t xml:space="preserve"> </w:t>
      </w:r>
      <w:r>
        <w:rPr>
          <w:i/>
        </w:rPr>
        <w:t>(continued)</w:t>
      </w:r>
    </w:p>
    <w:p w:rsidR="000B4A1E" w:rsidRPr="00D00665" w:rsidRDefault="000B4A1E" w:rsidP="00517E51">
      <w:pPr>
        <w:pStyle w:val="Tableheading"/>
      </w:pPr>
      <w:r w:rsidRPr="00D00665">
        <w:t>Reconciliation of movements in land and other assets held as inventory</w:t>
      </w:r>
    </w:p>
    <w:p w:rsidR="000B4A1E" w:rsidRPr="003E2DBE" w:rsidRDefault="000B4A1E" w:rsidP="00517E51">
      <w:pPr>
        <w:pStyle w:val="million"/>
      </w:pPr>
      <w:r w:rsidRPr="00D00665">
        <w:t>($</w:t>
      </w:r>
      <w:r>
        <w:t> million</w:t>
      </w:r>
      <w:r w:rsidRPr="00D00665">
        <w:t>)</w:t>
      </w:r>
      <w:bookmarkStart w:id="60" w:name="RANGE!B29:F36"/>
      <w:bookmarkStart w:id="61" w:name="RANGE!C29:G36"/>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640651607"/>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640651607"/>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640651607"/>
        </w:trPr>
        <w:tc>
          <w:tcPr>
            <w:tcW w:w="5156"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Opening balance</w:t>
            </w:r>
          </w:p>
        </w:tc>
        <w:tc>
          <w:tcPr>
            <w:tcW w:w="1123" w:type="dxa"/>
            <w:gridSpan w:val="2"/>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626.4</w:t>
            </w:r>
          </w:p>
        </w:tc>
        <w:tc>
          <w:tcPr>
            <w:tcW w:w="1123"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705.9</w:t>
            </w:r>
          </w:p>
        </w:tc>
        <w:tc>
          <w:tcPr>
            <w:tcW w:w="1123" w:type="dxa"/>
            <w:gridSpan w:val="2"/>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74.1</w:t>
            </w:r>
          </w:p>
        </w:tc>
        <w:tc>
          <w:tcPr>
            <w:tcW w:w="1123"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79.5</w:t>
            </w:r>
          </w:p>
        </w:tc>
      </w:tr>
      <w:tr w:rsidR="000B4A1E" w:rsidRPr="003E2DBE" w:rsidTr="00517E51">
        <w:trPr>
          <w:divId w:val="1640651607"/>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Acquisitions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159.1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83.7</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16.4</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4.2</w:t>
            </w:r>
          </w:p>
        </w:tc>
      </w:tr>
      <w:tr w:rsidR="000B4A1E" w:rsidRPr="003E2DBE" w:rsidTr="00517E51">
        <w:trPr>
          <w:divId w:val="1640651607"/>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Assets transferred</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47.6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22.8</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24.6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22.7</w:t>
            </w:r>
          </w:p>
        </w:tc>
      </w:tr>
      <w:tr w:rsidR="000B4A1E" w:rsidRPr="003E2DBE" w:rsidTr="00517E51">
        <w:trPr>
          <w:divId w:val="1640651607"/>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Revaluations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(126.4</w:t>
            </w:r>
            <w:r w:rsidRPr="003E2DBE">
              <w:rPr>
                <w:rFonts w:cs="Calibri"/>
                <w:szCs w:val="22"/>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(48.0</w:t>
            </w:r>
            <w:r w:rsidRPr="003E2DBE">
              <w:rPr>
                <w:rFonts w:cs="Calibri"/>
                <w:szCs w:val="22"/>
                <w:lang w:eastAsia="en-AU"/>
              </w:rPr>
              <w:t>)</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(12.0</w:t>
            </w:r>
            <w:r w:rsidRPr="003E2DBE">
              <w:rPr>
                <w:rFonts w:cs="Calibri"/>
                <w:szCs w:val="22"/>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(5.9</w:t>
            </w:r>
            <w:r w:rsidRPr="003E2DBE">
              <w:rPr>
                <w:rFonts w:cs="Calibri"/>
                <w:szCs w:val="22"/>
                <w:lang w:eastAsia="en-AU"/>
              </w:rPr>
              <w:t>)</w:t>
            </w:r>
          </w:p>
        </w:tc>
      </w:tr>
      <w:tr w:rsidR="000B4A1E" w:rsidRPr="003E2DBE" w:rsidTr="00517E51">
        <w:trPr>
          <w:divId w:val="1640651607"/>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Disposals</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(104.4</w:t>
            </w:r>
            <w:r w:rsidRPr="003E2DBE">
              <w:rPr>
                <w:rFonts w:cs="Calibri"/>
                <w:szCs w:val="22"/>
                <w:lang w:eastAsia="en-AU"/>
              </w:rPr>
              <w:t>)</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(137.9</w:t>
            </w:r>
            <w:r w:rsidRPr="003E2DBE">
              <w:rPr>
                <w:rFonts w:cs="Calibri"/>
                <w:szCs w:val="22"/>
                <w:lang w:eastAsia="en-AU"/>
              </w:rPr>
              <w:t>)</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(39.0</w:t>
            </w:r>
            <w:r w:rsidRPr="003E2DBE">
              <w:rPr>
                <w:rFonts w:cs="Calibri"/>
                <w:szCs w:val="22"/>
                <w:lang w:eastAsia="en-AU"/>
              </w:rPr>
              <w:t>)</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szCs w:val="24"/>
                <w:lang w:eastAsia="en-AU"/>
              </w:rPr>
              <w:t>(26.4</w:t>
            </w:r>
            <w:r w:rsidRPr="003E2DBE">
              <w:rPr>
                <w:rFonts w:cs="Calibri"/>
                <w:szCs w:val="22"/>
                <w:lang w:eastAsia="en-AU"/>
              </w:rPr>
              <w:t>)</w:t>
            </w:r>
          </w:p>
        </w:tc>
      </w:tr>
      <w:tr w:rsidR="000B4A1E" w:rsidRPr="003E2DBE" w:rsidTr="00517E51">
        <w:trPr>
          <w:divId w:val="1640651607"/>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Closing balance</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602.4</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626.4</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64.1</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74.1</w:t>
            </w:r>
          </w:p>
        </w:tc>
      </w:tr>
      <w:bookmarkEnd w:id="60"/>
      <w:bookmarkEnd w:id="61"/>
    </w:tbl>
    <w:p w:rsidR="000B4A1E" w:rsidRPr="00D00665" w:rsidRDefault="000B4A1E" w:rsidP="00517E51"/>
    <w:p w:rsidR="000B4A1E" w:rsidRPr="00D00665" w:rsidRDefault="000B4A1E" w:rsidP="00517E51"/>
    <w:p w:rsidR="000B4A1E" w:rsidRPr="00D00665" w:rsidRDefault="000B4A1E" w:rsidP="00517E51"/>
    <w:p w:rsidR="000B4A1E" w:rsidRPr="00D00665" w:rsidRDefault="000B4A1E" w:rsidP="00517E51">
      <w:pPr>
        <w:pStyle w:val="Heading2Notes"/>
      </w:pPr>
      <w:bookmarkStart w:id="62" w:name="_Toc367947880"/>
      <w:r w:rsidRPr="00D00665">
        <w:t>Note 21:</w:t>
      </w:r>
      <w:r w:rsidRPr="00D00665">
        <w:tab/>
        <w:t>Non</w:t>
      </w:r>
      <w:r w:rsidRPr="00D00665">
        <w:noBreakHyphen/>
        <w:t>financial assets held for sale</w:t>
      </w:r>
      <w:bookmarkEnd w:id="62"/>
    </w:p>
    <w:p w:rsidR="000B4A1E" w:rsidRPr="003E2DBE" w:rsidRDefault="000B4A1E" w:rsidP="00517E51">
      <w:pPr>
        <w:pStyle w:val="million"/>
      </w:pPr>
      <w:r w:rsidRPr="00D00665">
        <w:t>($</w:t>
      </w:r>
      <w:r>
        <w:t> million</w:t>
      </w:r>
      <w:r w:rsidRPr="00D00665">
        <w:t>)</w:t>
      </w:r>
      <w:bookmarkStart w:id="63" w:name="RANGE!B5:F11"/>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30483171"/>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30483171"/>
        </w:trPr>
        <w:tc>
          <w:tcPr>
            <w:tcW w:w="5156" w:type="dxa"/>
            <w:tcBorders>
              <w:top w:val="single" w:sz="4" w:space="0" w:color="auto"/>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iCs/>
                <w:lang w:eastAsia="en-AU"/>
              </w:rPr>
            </w:pPr>
            <w:r w:rsidRPr="003E2DBE">
              <w:rPr>
                <w:iCs/>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30483171"/>
        </w:trPr>
        <w:tc>
          <w:tcPr>
            <w:tcW w:w="5156"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Land</w:t>
            </w:r>
          </w:p>
        </w:tc>
        <w:tc>
          <w:tcPr>
            <w:tcW w:w="1123" w:type="dxa"/>
            <w:gridSpan w:val="2"/>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87.9</w:t>
            </w:r>
          </w:p>
        </w:tc>
        <w:tc>
          <w:tcPr>
            <w:tcW w:w="1123"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90.2</w:t>
            </w:r>
          </w:p>
        </w:tc>
        <w:tc>
          <w:tcPr>
            <w:tcW w:w="1123" w:type="dxa"/>
            <w:gridSpan w:val="2"/>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68.7</w:t>
            </w:r>
          </w:p>
        </w:tc>
        <w:tc>
          <w:tcPr>
            <w:tcW w:w="1123"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69.2</w:t>
            </w:r>
          </w:p>
        </w:tc>
      </w:tr>
      <w:tr w:rsidR="000B4A1E" w:rsidRPr="003E2DBE" w:rsidTr="00517E51">
        <w:trPr>
          <w:divId w:val="130483171"/>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Buildings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12.5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69.2</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0.9</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69.2</w:t>
            </w:r>
          </w:p>
        </w:tc>
      </w:tr>
      <w:tr w:rsidR="000B4A1E" w:rsidRPr="003E2DBE" w:rsidTr="00517E51">
        <w:trPr>
          <w:divId w:val="130483171"/>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Infrastructure, plant, equipment and vehicles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10.7</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10.7</w:t>
            </w:r>
          </w:p>
        </w:tc>
      </w:tr>
      <w:tr w:rsidR="000B4A1E" w:rsidRPr="003E2DBE" w:rsidTr="00517E51">
        <w:trPr>
          <w:divId w:val="130483171"/>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 xml:space="preserve">Other </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69.3</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0.1</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69.3</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0.1</w:t>
            </w:r>
          </w:p>
        </w:tc>
      </w:tr>
      <w:tr w:rsidR="000B4A1E" w:rsidRPr="003E2DBE" w:rsidTr="00517E51">
        <w:trPr>
          <w:divId w:val="130483171"/>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 non-financial assets held for sale</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173.0</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170.3</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142.1</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149.2</w:t>
            </w:r>
          </w:p>
        </w:tc>
      </w:tr>
      <w:bookmarkEnd w:id="63"/>
    </w:tbl>
    <w:p w:rsidR="000B4A1E" w:rsidRPr="00D00665" w:rsidRDefault="000B4A1E" w:rsidP="00517E51"/>
    <w:p w:rsidR="000B4A1E" w:rsidRPr="00D00665" w:rsidRDefault="000B4A1E" w:rsidP="00517E51">
      <w:pPr>
        <w:pStyle w:val="Heading2Notes"/>
      </w:pPr>
      <w:r w:rsidRPr="00D00665">
        <w:br w:type="page"/>
      </w:r>
      <w:bookmarkStart w:id="64" w:name="_Toc367947881"/>
      <w:r w:rsidRPr="00D00665">
        <w:lastRenderedPageBreak/>
        <w:t>Note 22:</w:t>
      </w:r>
      <w:r w:rsidRPr="00D00665">
        <w:tab/>
        <w:t>Land, buildings, infrastructure, plant and equipment</w:t>
      </w:r>
      <w:bookmarkEnd w:id="64"/>
    </w:p>
    <w:p w:rsidR="000B4A1E" w:rsidRPr="00D00665" w:rsidRDefault="000B4A1E" w:rsidP="00517E51">
      <w:pPr>
        <w:pStyle w:val="Heading5"/>
      </w:pPr>
      <w:r w:rsidRPr="00D00665">
        <w:t>(a)</w:t>
      </w:r>
      <w:r w:rsidRPr="00D00665">
        <w:tab/>
        <w:t>Total land, buildings, infrastructure, plant and equipment</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270"/>
        <w:gridCol w:w="595"/>
        <w:gridCol w:w="1123"/>
        <w:gridCol w:w="262"/>
        <w:gridCol w:w="861"/>
        <w:gridCol w:w="887"/>
        <w:gridCol w:w="236"/>
      </w:tblGrid>
      <w:tr w:rsidR="000B4A1E" w:rsidRPr="003E2DBE" w:rsidTr="00517E51">
        <w:tc>
          <w:tcPr>
            <w:tcW w:w="5156"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lang w:eastAsia="en-AU"/>
              </w:rPr>
            </w:pPr>
            <w:r w:rsidRPr="003E2DBE">
              <w:rPr>
                <w:sz w:val="21"/>
                <w:lang w:eastAsia="en-AU"/>
              </w:rPr>
              <w:t xml:space="preserve"> </w:t>
            </w:r>
          </w:p>
        </w:tc>
        <w:tc>
          <w:tcPr>
            <w:tcW w:w="258"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372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Public Administration</w:t>
            </w:r>
          </w:p>
        </w:tc>
        <w:tc>
          <w:tcPr>
            <w:tcW w:w="236"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r>
      <w:tr w:rsidR="000B4A1E" w:rsidRPr="003E2DBE" w:rsidTr="00517E51">
        <w:tc>
          <w:tcPr>
            <w:tcW w:w="5156" w:type="dxa"/>
            <w:tcBorders>
              <w:top w:val="single" w:sz="6"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lang w:eastAsia="en-AU"/>
              </w:rPr>
            </w:pPr>
            <w:r w:rsidRPr="003E2DBE">
              <w:rPr>
                <w:sz w:val="21"/>
                <w:lang w:eastAsia="en-AU"/>
              </w:rPr>
              <w:t xml:space="preserve"> </w:t>
            </w:r>
          </w:p>
        </w:tc>
        <w:tc>
          <w:tcPr>
            <w:tcW w:w="258"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1988" w:type="dxa"/>
            <w:gridSpan w:val="3"/>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p>
          <w:p w:rsidR="000B4A1E" w:rsidRPr="003E2DBE" w:rsidRDefault="000B4A1E" w:rsidP="00517E51">
            <w:pPr>
              <w:pStyle w:val="TabletextheadingCentred"/>
              <w:rPr>
                <w:sz w:val="21"/>
                <w:lang w:eastAsia="en-AU"/>
              </w:rPr>
            </w:pPr>
            <w:r w:rsidRPr="003E2DBE">
              <w:rPr>
                <w:sz w:val="21"/>
                <w:lang w:eastAsia="en-AU"/>
              </w:rPr>
              <w:t>State of Victoria</w:t>
            </w:r>
          </w:p>
        </w:tc>
        <w:tc>
          <w:tcPr>
            <w:tcW w:w="262"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1984" w:type="dxa"/>
            <w:gridSpan w:val="3"/>
            <w:tcBorders>
              <w:top w:val="single" w:sz="6"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General </w:t>
            </w:r>
          </w:p>
          <w:p w:rsidR="000B4A1E" w:rsidRPr="003E2DBE" w:rsidRDefault="000B4A1E" w:rsidP="00517E51">
            <w:pPr>
              <w:pStyle w:val="TabletextheadingCentred"/>
              <w:rPr>
                <w:sz w:val="21"/>
                <w:lang w:eastAsia="en-AU"/>
              </w:rPr>
            </w:pPr>
            <w:r w:rsidRPr="003E2DBE">
              <w:rPr>
                <w:sz w:val="21"/>
                <w:lang w:eastAsia="en-AU"/>
              </w:rPr>
              <w:t>government sector</w:t>
            </w:r>
          </w:p>
        </w:tc>
      </w:tr>
      <w:tr w:rsidR="000B4A1E" w:rsidRPr="003E2DBE" w:rsidTr="00517E51">
        <w:tc>
          <w:tcPr>
            <w:tcW w:w="5156"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
              <w:rPr>
                <w:sz w:val="21"/>
                <w:lang w:eastAsia="en-AU"/>
              </w:rPr>
            </w:pPr>
            <w:r w:rsidRPr="003E2DBE">
              <w:rPr>
                <w:sz w:val="21"/>
                <w:lang w:eastAsia="en-AU"/>
              </w:rPr>
              <w:t xml:space="preserve"> </w:t>
            </w:r>
          </w:p>
        </w:tc>
        <w:tc>
          <w:tcPr>
            <w:tcW w:w="1123" w:type="dxa"/>
            <w:gridSpan w:val="3"/>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12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123"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123" w:type="dxa"/>
            <w:gridSpan w:val="2"/>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 xml:space="preserve">Buildings (written down value) </w:t>
            </w:r>
            <w:r w:rsidRPr="003E2DBE">
              <w:rPr>
                <w:sz w:val="21"/>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059.8</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868.0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032.1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990.3</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Land and national parks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402.1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417.9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946.6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957.3</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 w:val="21"/>
                <w:szCs w:val="22"/>
                <w:lang w:eastAsia="en-AU"/>
              </w:rPr>
            </w:pPr>
            <w:r w:rsidRPr="003E2DBE">
              <w:rPr>
                <w:sz w:val="21"/>
                <w:lang w:eastAsia="en-AU"/>
              </w:rPr>
              <w:t xml:space="preserve">Buildings leasehold </w:t>
            </w:r>
            <w:r w:rsidRPr="003E2DBE">
              <w:rPr>
                <w:rFonts w:eastAsiaTheme="minorEastAsia" w:cs="Calibri"/>
                <w:sz w:val="21"/>
                <w:szCs w:val="22"/>
                <w:lang w:eastAsia="en-AU"/>
              </w:rPr>
              <w:t xml:space="preserve">(written down value) </w:t>
            </w:r>
            <w:r w:rsidRPr="003E2DBE">
              <w:rPr>
                <w:rFonts w:eastAsiaTheme="minorEastAsia" w:cs="Calibri"/>
                <w:sz w:val="21"/>
                <w:szCs w:val="22"/>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72.5</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75.0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39.1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50.0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Infrastructure systems (written down value)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81.5</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242.5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74.6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75.6</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Plant, equipment and vehicles (written down value)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406.2</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314.9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235.2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165.9</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Roads and road networks (written down value)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22.6</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22.0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Earthworks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0.5</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0.5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Cultural assets (written down value)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200.7</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206.8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200.7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206.8</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b/>
                <w:bCs/>
                <w:sz w:val="21"/>
                <w:lang w:eastAsia="en-AU"/>
              </w:rPr>
            </w:pPr>
            <w:r w:rsidRPr="003E2DBE">
              <w:rPr>
                <w:b/>
                <w:bCs/>
                <w:sz w:val="21"/>
                <w:lang w:eastAsia="en-AU"/>
              </w:rPr>
              <w:t>Total land, buildings, infrastructure, plant and equipment</w:t>
            </w:r>
          </w:p>
        </w:tc>
        <w:tc>
          <w:tcPr>
            <w:tcW w:w="1123"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4 </w:t>
            </w:r>
            <w:r w:rsidRPr="003E2DBE">
              <w:rPr>
                <w:rFonts w:eastAsiaTheme="minorEastAsia" w:cs="Calibri"/>
                <w:b/>
                <w:bCs/>
                <w:sz w:val="21"/>
                <w:szCs w:val="22"/>
                <w:lang w:eastAsia="en-AU"/>
              </w:rPr>
              <w:t>245.8</w:t>
            </w:r>
          </w:p>
        </w:tc>
        <w:tc>
          <w:tcPr>
            <w:tcW w:w="1123"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4 </w:t>
            </w:r>
            <w:r w:rsidRPr="003E2DBE">
              <w:rPr>
                <w:rFonts w:eastAsiaTheme="minorEastAsia" w:cs="Calibri"/>
                <w:b/>
                <w:bCs/>
                <w:sz w:val="21"/>
                <w:szCs w:val="22"/>
                <w:lang w:eastAsia="en-AU"/>
              </w:rPr>
              <w:t>147.5</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2 </w:t>
            </w:r>
            <w:r w:rsidRPr="003E2DBE">
              <w:rPr>
                <w:rFonts w:eastAsiaTheme="minorEastAsia" w:cs="Calibri"/>
                <w:b/>
                <w:bCs/>
                <w:sz w:val="21"/>
                <w:szCs w:val="22"/>
                <w:lang w:eastAsia="en-AU"/>
              </w:rPr>
              <w:t>528.3</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2 </w:t>
            </w:r>
            <w:r w:rsidRPr="003E2DBE">
              <w:rPr>
                <w:rFonts w:eastAsiaTheme="minorEastAsia" w:cs="Calibri"/>
                <w:b/>
                <w:bCs/>
                <w:sz w:val="21"/>
                <w:szCs w:val="22"/>
                <w:lang w:eastAsia="en-AU"/>
              </w:rPr>
              <w:t>445.9</w:t>
            </w:r>
          </w:p>
        </w:tc>
      </w:tr>
    </w:tbl>
    <w:p w:rsidR="000B4A1E" w:rsidRPr="00D00665" w:rsidRDefault="000B4A1E" w:rsidP="00517E51">
      <w:pPr>
        <w:pStyle w:val="Notes"/>
      </w:pPr>
    </w:p>
    <w:p w:rsidR="000B4A1E" w:rsidRPr="003E2DBE" w:rsidRDefault="000B4A1E" w:rsidP="00517E51">
      <w:pPr>
        <w:pStyle w:val="Notes"/>
      </w:pP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270"/>
        <w:gridCol w:w="595"/>
        <w:gridCol w:w="1123"/>
        <w:gridCol w:w="262"/>
        <w:gridCol w:w="861"/>
        <w:gridCol w:w="887"/>
        <w:gridCol w:w="236"/>
      </w:tblGrid>
      <w:tr w:rsidR="000B4A1E" w:rsidRPr="003E2DBE" w:rsidTr="00517E51">
        <w:tc>
          <w:tcPr>
            <w:tcW w:w="5156"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lang w:eastAsia="en-AU"/>
              </w:rPr>
            </w:pPr>
            <w:r w:rsidRPr="003E2DBE">
              <w:rPr>
                <w:sz w:val="21"/>
                <w:lang w:eastAsia="en-AU"/>
              </w:rPr>
              <w:t xml:space="preserve"> </w:t>
            </w:r>
          </w:p>
        </w:tc>
        <w:tc>
          <w:tcPr>
            <w:tcW w:w="258"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372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Community Housing</w:t>
            </w:r>
          </w:p>
        </w:tc>
        <w:tc>
          <w:tcPr>
            <w:tcW w:w="236"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r>
      <w:tr w:rsidR="000B4A1E" w:rsidRPr="003E2DBE" w:rsidTr="00517E51">
        <w:tc>
          <w:tcPr>
            <w:tcW w:w="5156" w:type="dxa"/>
            <w:tcBorders>
              <w:top w:val="single" w:sz="6"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lang w:eastAsia="en-AU"/>
              </w:rPr>
            </w:pPr>
            <w:r w:rsidRPr="003E2DBE">
              <w:rPr>
                <w:sz w:val="21"/>
                <w:lang w:eastAsia="en-AU"/>
              </w:rPr>
              <w:t xml:space="preserve"> </w:t>
            </w:r>
          </w:p>
        </w:tc>
        <w:tc>
          <w:tcPr>
            <w:tcW w:w="258"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 xml:space="preserve"> </w:t>
            </w:r>
          </w:p>
        </w:tc>
        <w:tc>
          <w:tcPr>
            <w:tcW w:w="1988" w:type="dxa"/>
            <w:gridSpan w:val="3"/>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p>
          <w:p w:rsidR="000B4A1E" w:rsidRPr="003E2DBE" w:rsidRDefault="000B4A1E" w:rsidP="00517E51">
            <w:pPr>
              <w:pStyle w:val="TabletextheadingCentred"/>
              <w:rPr>
                <w:sz w:val="21"/>
                <w:lang w:eastAsia="en-AU"/>
              </w:rPr>
            </w:pPr>
            <w:r w:rsidRPr="003E2DBE">
              <w:rPr>
                <w:sz w:val="21"/>
                <w:lang w:eastAsia="en-AU"/>
              </w:rPr>
              <w:t>State of Victoria</w:t>
            </w:r>
          </w:p>
        </w:tc>
        <w:tc>
          <w:tcPr>
            <w:tcW w:w="262"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1984" w:type="dxa"/>
            <w:gridSpan w:val="3"/>
            <w:tcBorders>
              <w:top w:val="single" w:sz="6"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General </w:t>
            </w:r>
          </w:p>
          <w:p w:rsidR="000B4A1E" w:rsidRPr="003E2DBE" w:rsidRDefault="000B4A1E" w:rsidP="00517E51">
            <w:pPr>
              <w:pStyle w:val="TabletextheadingCentred"/>
              <w:rPr>
                <w:sz w:val="21"/>
                <w:lang w:eastAsia="en-AU"/>
              </w:rPr>
            </w:pPr>
            <w:r w:rsidRPr="003E2DBE">
              <w:rPr>
                <w:sz w:val="21"/>
                <w:lang w:eastAsia="en-AU"/>
              </w:rPr>
              <w:t>government sector</w:t>
            </w:r>
          </w:p>
        </w:tc>
      </w:tr>
      <w:tr w:rsidR="000B4A1E" w:rsidRPr="003E2DBE" w:rsidTr="00517E51">
        <w:tc>
          <w:tcPr>
            <w:tcW w:w="5156"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
              <w:rPr>
                <w:sz w:val="21"/>
                <w:lang w:eastAsia="en-AU"/>
              </w:rPr>
            </w:pPr>
            <w:r w:rsidRPr="003E2DBE">
              <w:rPr>
                <w:sz w:val="21"/>
                <w:lang w:eastAsia="en-AU"/>
              </w:rPr>
              <w:t xml:space="preserve">  </w:t>
            </w:r>
          </w:p>
        </w:tc>
        <w:tc>
          <w:tcPr>
            <w:tcW w:w="1123" w:type="dxa"/>
            <w:gridSpan w:val="3"/>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12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123"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123" w:type="dxa"/>
            <w:gridSpan w:val="2"/>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 xml:space="preserve">Buildings (written down value) </w:t>
            </w:r>
            <w:r w:rsidRPr="003E2DBE">
              <w:rPr>
                <w:sz w:val="21"/>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8 </w:t>
            </w:r>
            <w:r w:rsidRPr="003E2DBE">
              <w:rPr>
                <w:rFonts w:eastAsiaTheme="minorEastAsia" w:cs="Calibri"/>
                <w:sz w:val="21"/>
                <w:szCs w:val="22"/>
                <w:lang w:eastAsia="en-AU"/>
              </w:rPr>
              <w:t>486.5</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8 </w:t>
            </w:r>
            <w:r w:rsidRPr="003E2DBE">
              <w:rPr>
                <w:rFonts w:eastAsiaTheme="minorEastAsia" w:cs="Calibri"/>
                <w:sz w:val="21"/>
                <w:szCs w:val="22"/>
                <w:lang w:eastAsia="en-AU"/>
              </w:rPr>
              <w:t>415.9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Land and national parks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9 </w:t>
            </w:r>
            <w:r w:rsidRPr="003E2DBE">
              <w:rPr>
                <w:rFonts w:eastAsiaTheme="minorEastAsia" w:cs="Calibri"/>
                <w:sz w:val="21"/>
                <w:szCs w:val="22"/>
                <w:lang w:eastAsia="en-AU"/>
              </w:rPr>
              <w:t>511.6</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9 </w:t>
            </w:r>
            <w:r w:rsidRPr="003E2DBE">
              <w:rPr>
                <w:rFonts w:eastAsiaTheme="minorEastAsia" w:cs="Calibri"/>
                <w:sz w:val="21"/>
                <w:szCs w:val="22"/>
                <w:lang w:eastAsia="en-AU"/>
              </w:rPr>
              <w:t>552.6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 xml:space="preserve">Buildings leasehold </w:t>
            </w:r>
            <w:r w:rsidRPr="003E2DBE">
              <w:rPr>
                <w:sz w:val="21"/>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4.1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4.5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Infrastructure systems (written down value)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Plant, equipment and vehicles (written down value)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0.5</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Roads (written down value)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Earthworks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Cultural assets (written down value)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b/>
                <w:bCs/>
                <w:sz w:val="21"/>
                <w:lang w:eastAsia="en-AU"/>
              </w:rPr>
            </w:pPr>
            <w:r w:rsidRPr="003E2DBE">
              <w:rPr>
                <w:b/>
                <w:bCs/>
                <w:sz w:val="21"/>
                <w:lang w:eastAsia="en-AU"/>
              </w:rPr>
              <w:t>Total land, buildings, infrastructure, plant and equipment</w:t>
            </w:r>
          </w:p>
        </w:tc>
        <w:tc>
          <w:tcPr>
            <w:tcW w:w="1123"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18 </w:t>
            </w:r>
            <w:r w:rsidRPr="003E2DBE">
              <w:rPr>
                <w:rFonts w:eastAsiaTheme="minorEastAsia" w:cs="Calibri"/>
                <w:b/>
                <w:bCs/>
                <w:sz w:val="21"/>
                <w:szCs w:val="22"/>
                <w:lang w:eastAsia="en-AU"/>
              </w:rPr>
              <w:t>002.7</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17 </w:t>
            </w:r>
            <w:r w:rsidRPr="003E2DBE">
              <w:rPr>
                <w:rFonts w:eastAsiaTheme="minorEastAsia" w:cs="Calibri"/>
                <w:b/>
                <w:bCs/>
                <w:sz w:val="21"/>
                <w:szCs w:val="22"/>
                <w:lang w:eastAsia="en-AU"/>
              </w:rPr>
              <w:t>974.2</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w:t>
            </w:r>
          </w:p>
        </w:tc>
      </w:tr>
    </w:tbl>
    <w:p w:rsidR="000B4A1E" w:rsidRPr="00D00665" w:rsidRDefault="000B4A1E" w:rsidP="00517E51">
      <w:pPr>
        <w:pStyle w:val="Notes"/>
      </w:pPr>
    </w:p>
    <w:p w:rsidR="000B4A1E" w:rsidRPr="003E2DBE" w:rsidRDefault="000B4A1E" w:rsidP="00517E51">
      <w:pPr>
        <w:pStyle w:val="Notes"/>
      </w:pP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270"/>
        <w:gridCol w:w="595"/>
        <w:gridCol w:w="1123"/>
        <w:gridCol w:w="262"/>
        <w:gridCol w:w="861"/>
        <w:gridCol w:w="887"/>
        <w:gridCol w:w="236"/>
      </w:tblGrid>
      <w:tr w:rsidR="000B4A1E" w:rsidRPr="003E2DBE" w:rsidTr="00517E51">
        <w:tc>
          <w:tcPr>
            <w:tcW w:w="5156"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lang w:eastAsia="en-AU"/>
              </w:rPr>
            </w:pPr>
            <w:r w:rsidRPr="003E2DBE">
              <w:rPr>
                <w:sz w:val="21"/>
                <w:lang w:eastAsia="en-AU"/>
              </w:rPr>
              <w:t xml:space="preserve"> </w:t>
            </w:r>
          </w:p>
        </w:tc>
        <w:tc>
          <w:tcPr>
            <w:tcW w:w="258"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372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Total</w:t>
            </w:r>
          </w:p>
        </w:tc>
        <w:tc>
          <w:tcPr>
            <w:tcW w:w="236"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r>
      <w:tr w:rsidR="000B4A1E" w:rsidRPr="003E2DBE" w:rsidTr="00517E51">
        <w:tc>
          <w:tcPr>
            <w:tcW w:w="5156" w:type="dxa"/>
            <w:tcBorders>
              <w:top w:val="single" w:sz="6"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lang w:eastAsia="en-AU"/>
              </w:rPr>
            </w:pPr>
            <w:r w:rsidRPr="003E2DBE">
              <w:rPr>
                <w:sz w:val="21"/>
                <w:lang w:eastAsia="en-AU"/>
              </w:rPr>
              <w:t xml:space="preserve"> </w:t>
            </w:r>
          </w:p>
        </w:tc>
        <w:tc>
          <w:tcPr>
            <w:tcW w:w="258"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1988" w:type="dxa"/>
            <w:gridSpan w:val="3"/>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p>
          <w:p w:rsidR="000B4A1E" w:rsidRPr="003E2DBE" w:rsidRDefault="000B4A1E" w:rsidP="00517E51">
            <w:pPr>
              <w:pStyle w:val="TabletextheadingCentred"/>
              <w:rPr>
                <w:sz w:val="21"/>
                <w:lang w:eastAsia="en-AU"/>
              </w:rPr>
            </w:pPr>
            <w:r w:rsidRPr="003E2DBE">
              <w:rPr>
                <w:sz w:val="21"/>
                <w:lang w:eastAsia="en-AU"/>
              </w:rPr>
              <w:t>State of Victoria</w:t>
            </w:r>
          </w:p>
        </w:tc>
        <w:tc>
          <w:tcPr>
            <w:tcW w:w="262"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1984" w:type="dxa"/>
            <w:gridSpan w:val="3"/>
            <w:tcBorders>
              <w:top w:val="single" w:sz="6"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General </w:t>
            </w:r>
          </w:p>
          <w:p w:rsidR="000B4A1E" w:rsidRPr="003E2DBE" w:rsidRDefault="000B4A1E" w:rsidP="00517E51">
            <w:pPr>
              <w:pStyle w:val="TabletextheadingCentred"/>
              <w:rPr>
                <w:sz w:val="21"/>
                <w:lang w:eastAsia="en-AU"/>
              </w:rPr>
            </w:pPr>
            <w:r w:rsidRPr="003E2DBE">
              <w:rPr>
                <w:sz w:val="21"/>
                <w:lang w:eastAsia="en-AU"/>
              </w:rPr>
              <w:t>government sector</w:t>
            </w:r>
          </w:p>
        </w:tc>
      </w:tr>
      <w:tr w:rsidR="000B4A1E" w:rsidRPr="003E2DBE" w:rsidTr="00517E51">
        <w:tc>
          <w:tcPr>
            <w:tcW w:w="5156"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
              <w:rPr>
                <w:sz w:val="21"/>
                <w:lang w:eastAsia="en-AU"/>
              </w:rPr>
            </w:pPr>
            <w:r w:rsidRPr="003E2DBE">
              <w:rPr>
                <w:sz w:val="21"/>
                <w:lang w:eastAsia="en-AU"/>
              </w:rPr>
              <w:t xml:space="preserve">  </w:t>
            </w:r>
          </w:p>
        </w:tc>
        <w:tc>
          <w:tcPr>
            <w:tcW w:w="1123" w:type="dxa"/>
            <w:gridSpan w:val="3"/>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12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123"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123" w:type="dxa"/>
            <w:gridSpan w:val="2"/>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 xml:space="preserve">Buildings (written down value) </w:t>
            </w:r>
            <w:r w:rsidRPr="003E2DBE">
              <w:rPr>
                <w:sz w:val="21"/>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36 </w:t>
            </w:r>
            <w:r w:rsidRPr="003E2DBE">
              <w:rPr>
                <w:rFonts w:eastAsiaTheme="minorEastAsia" w:cs="Calibri"/>
                <w:sz w:val="21"/>
                <w:szCs w:val="22"/>
                <w:lang w:eastAsia="en-AU"/>
              </w:rPr>
              <w:t>004.9</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36 </w:t>
            </w:r>
            <w:r w:rsidRPr="003E2DBE">
              <w:rPr>
                <w:rFonts w:eastAsiaTheme="minorEastAsia" w:cs="Calibri"/>
                <w:sz w:val="21"/>
                <w:szCs w:val="22"/>
                <w:lang w:eastAsia="en-AU"/>
              </w:rPr>
              <w:t>080.0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21 </w:t>
            </w:r>
            <w:r w:rsidRPr="003E2DBE">
              <w:rPr>
                <w:rFonts w:eastAsiaTheme="minorEastAsia" w:cs="Calibri"/>
                <w:sz w:val="21"/>
                <w:szCs w:val="22"/>
                <w:lang w:eastAsia="en-AU"/>
              </w:rPr>
              <w:t>708.8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21 </w:t>
            </w:r>
            <w:r w:rsidRPr="003E2DBE">
              <w:rPr>
                <w:rFonts w:eastAsiaTheme="minorEastAsia" w:cs="Calibri"/>
                <w:sz w:val="21"/>
                <w:szCs w:val="22"/>
                <w:lang w:eastAsia="en-AU"/>
              </w:rPr>
              <w:t>008.0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Land and national parks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55 </w:t>
            </w:r>
            <w:r w:rsidRPr="003E2DBE">
              <w:rPr>
                <w:rFonts w:eastAsiaTheme="minorEastAsia" w:cs="Calibri"/>
                <w:sz w:val="21"/>
                <w:szCs w:val="22"/>
                <w:lang w:eastAsia="en-AU"/>
              </w:rPr>
              <w:t>437.0</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53 </w:t>
            </w:r>
            <w:r w:rsidRPr="003E2DBE">
              <w:rPr>
                <w:rFonts w:eastAsiaTheme="minorEastAsia" w:cs="Calibri"/>
                <w:sz w:val="21"/>
                <w:szCs w:val="22"/>
                <w:lang w:eastAsia="en-AU"/>
              </w:rPr>
              <w:t>612.9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37 </w:t>
            </w:r>
            <w:r w:rsidRPr="003E2DBE">
              <w:rPr>
                <w:rFonts w:eastAsiaTheme="minorEastAsia" w:cs="Calibri"/>
                <w:sz w:val="21"/>
                <w:szCs w:val="22"/>
                <w:lang w:eastAsia="en-AU"/>
              </w:rPr>
              <w:t>465.7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36 </w:t>
            </w:r>
            <w:r w:rsidRPr="003E2DBE">
              <w:rPr>
                <w:rFonts w:eastAsiaTheme="minorEastAsia" w:cs="Calibri"/>
                <w:sz w:val="21"/>
                <w:szCs w:val="22"/>
                <w:lang w:eastAsia="en-AU"/>
              </w:rPr>
              <w:t>728.0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 xml:space="preserve">Buildings leasehold </w:t>
            </w:r>
            <w:r w:rsidRPr="003E2DBE">
              <w:rPr>
                <w:sz w:val="21"/>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339.1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537.6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291.9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488.8</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Infrastructure systems (written down value)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53 </w:t>
            </w:r>
            <w:r w:rsidRPr="003E2DBE">
              <w:rPr>
                <w:rFonts w:eastAsiaTheme="minorEastAsia" w:cs="Calibri"/>
                <w:sz w:val="21"/>
                <w:szCs w:val="22"/>
                <w:lang w:eastAsia="en-AU"/>
              </w:rPr>
              <w:t>370.7</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47 </w:t>
            </w:r>
            <w:r w:rsidRPr="003E2DBE">
              <w:rPr>
                <w:rFonts w:eastAsiaTheme="minorEastAsia" w:cs="Calibri"/>
                <w:sz w:val="21"/>
                <w:szCs w:val="22"/>
                <w:lang w:eastAsia="en-AU"/>
              </w:rPr>
              <w:t>543.9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291.0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296.5</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Plant, equipment and vehicles (written down value)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8 </w:t>
            </w:r>
            <w:r w:rsidRPr="003E2DBE">
              <w:rPr>
                <w:rFonts w:eastAsiaTheme="minorEastAsia" w:cs="Calibri"/>
                <w:sz w:val="21"/>
                <w:szCs w:val="22"/>
                <w:lang w:eastAsia="en-AU"/>
              </w:rPr>
              <w:t>070.0</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7 </w:t>
            </w:r>
            <w:r w:rsidRPr="003E2DBE">
              <w:rPr>
                <w:rFonts w:eastAsiaTheme="minorEastAsia" w:cs="Calibri"/>
                <w:sz w:val="21"/>
                <w:szCs w:val="22"/>
                <w:lang w:eastAsia="en-AU"/>
              </w:rPr>
              <w:t>103.4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921.3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 </w:t>
            </w:r>
            <w:r w:rsidRPr="003E2DBE">
              <w:rPr>
                <w:rFonts w:eastAsiaTheme="minorEastAsia" w:cs="Calibri"/>
                <w:sz w:val="21"/>
                <w:szCs w:val="22"/>
                <w:lang w:eastAsia="en-AU"/>
              </w:rPr>
              <w:t>285.5</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Roads (written down value)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21 </w:t>
            </w:r>
            <w:r w:rsidRPr="003E2DBE">
              <w:rPr>
                <w:rFonts w:eastAsiaTheme="minorEastAsia" w:cs="Calibri"/>
                <w:sz w:val="21"/>
                <w:szCs w:val="22"/>
                <w:lang w:eastAsia="en-AU"/>
              </w:rPr>
              <w:t>097.9</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20 </w:t>
            </w:r>
            <w:r w:rsidRPr="003E2DBE">
              <w:rPr>
                <w:rFonts w:eastAsiaTheme="minorEastAsia" w:cs="Calibri"/>
                <w:sz w:val="21"/>
                <w:szCs w:val="22"/>
                <w:lang w:eastAsia="en-AU"/>
              </w:rPr>
              <w:t>299.7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21 </w:t>
            </w:r>
            <w:r w:rsidRPr="003E2DBE">
              <w:rPr>
                <w:rFonts w:eastAsiaTheme="minorEastAsia" w:cs="Calibri"/>
                <w:sz w:val="21"/>
                <w:szCs w:val="22"/>
                <w:lang w:eastAsia="en-AU"/>
              </w:rPr>
              <w:t>027.9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20 </w:t>
            </w:r>
            <w:r w:rsidRPr="003E2DBE">
              <w:rPr>
                <w:rFonts w:eastAsiaTheme="minorEastAsia" w:cs="Calibri"/>
                <w:sz w:val="21"/>
                <w:szCs w:val="22"/>
                <w:lang w:eastAsia="en-AU"/>
              </w:rPr>
              <w:t>252.3</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Earthworks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7 </w:t>
            </w:r>
            <w:r w:rsidRPr="003E2DBE">
              <w:rPr>
                <w:rFonts w:eastAsiaTheme="minorEastAsia" w:cs="Calibri"/>
                <w:sz w:val="21"/>
                <w:szCs w:val="22"/>
                <w:lang w:eastAsia="en-AU"/>
              </w:rPr>
              <w:t>639.2</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7 </w:t>
            </w:r>
            <w:r w:rsidRPr="003E2DBE">
              <w:rPr>
                <w:rFonts w:eastAsiaTheme="minorEastAsia" w:cs="Calibri"/>
                <w:sz w:val="21"/>
                <w:szCs w:val="22"/>
                <w:lang w:eastAsia="en-AU"/>
              </w:rPr>
              <w:t>279.9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7 </w:t>
            </w:r>
            <w:r w:rsidRPr="003E2DBE">
              <w:rPr>
                <w:rFonts w:eastAsiaTheme="minorEastAsia" w:cs="Calibri"/>
                <w:sz w:val="21"/>
                <w:szCs w:val="22"/>
                <w:lang w:eastAsia="en-AU"/>
              </w:rPr>
              <w:t>638.8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7 </w:t>
            </w:r>
            <w:r w:rsidRPr="003E2DBE">
              <w:rPr>
                <w:rFonts w:eastAsiaTheme="minorEastAsia" w:cs="Calibri"/>
                <w:sz w:val="21"/>
                <w:szCs w:val="22"/>
                <w:lang w:eastAsia="en-AU"/>
              </w:rPr>
              <w:t>279.4</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Cultural assets (written down value)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5 </w:t>
            </w:r>
            <w:r w:rsidRPr="003E2DBE">
              <w:rPr>
                <w:rFonts w:eastAsiaTheme="minorEastAsia" w:cs="Calibri"/>
                <w:sz w:val="21"/>
                <w:szCs w:val="22"/>
                <w:lang w:eastAsia="en-AU"/>
              </w:rPr>
              <w:t>514.1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5 </w:t>
            </w:r>
            <w:r w:rsidRPr="003E2DBE">
              <w:rPr>
                <w:rFonts w:eastAsiaTheme="minorEastAsia" w:cs="Calibri"/>
                <w:sz w:val="21"/>
                <w:szCs w:val="22"/>
                <w:lang w:eastAsia="en-AU"/>
              </w:rPr>
              <w:t>513.1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5 </w:t>
            </w:r>
            <w:r w:rsidRPr="003E2DBE">
              <w:rPr>
                <w:rFonts w:eastAsiaTheme="minorEastAsia" w:cs="Calibri"/>
                <w:sz w:val="21"/>
                <w:szCs w:val="22"/>
                <w:lang w:eastAsia="en-AU"/>
              </w:rPr>
              <w:t>458.7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5 </w:t>
            </w:r>
            <w:r w:rsidRPr="003E2DBE">
              <w:rPr>
                <w:rFonts w:eastAsiaTheme="minorEastAsia" w:cs="Calibri"/>
                <w:sz w:val="21"/>
                <w:szCs w:val="22"/>
                <w:lang w:eastAsia="en-AU"/>
              </w:rPr>
              <w:t>458.1</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b/>
                <w:bCs/>
                <w:sz w:val="21"/>
                <w:lang w:eastAsia="en-AU"/>
              </w:rPr>
            </w:pPr>
            <w:r w:rsidRPr="003E2DBE">
              <w:rPr>
                <w:b/>
                <w:bCs/>
                <w:sz w:val="21"/>
                <w:lang w:eastAsia="en-AU"/>
              </w:rPr>
              <w:t xml:space="preserve">Total land, buildings, infrastructure, plant and equipment </w:t>
            </w:r>
          </w:p>
        </w:tc>
        <w:tc>
          <w:tcPr>
            <w:tcW w:w="1123"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189 </w:t>
            </w:r>
            <w:r w:rsidRPr="003E2DBE">
              <w:rPr>
                <w:rFonts w:eastAsiaTheme="minorEastAsia" w:cs="Calibri"/>
                <w:b/>
                <w:bCs/>
                <w:sz w:val="21"/>
                <w:szCs w:val="22"/>
                <w:lang w:eastAsia="en-AU"/>
              </w:rPr>
              <w:t>473.0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179 </w:t>
            </w:r>
            <w:r w:rsidRPr="003E2DBE">
              <w:rPr>
                <w:rFonts w:eastAsiaTheme="minorEastAsia" w:cs="Calibri"/>
                <w:b/>
                <w:bCs/>
                <w:sz w:val="21"/>
                <w:szCs w:val="22"/>
                <w:lang w:eastAsia="en-AU"/>
              </w:rPr>
              <w:t>970.6</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100 </w:t>
            </w:r>
            <w:r w:rsidRPr="003E2DBE">
              <w:rPr>
                <w:rFonts w:eastAsiaTheme="minorEastAsia" w:cs="Calibri"/>
                <w:b/>
                <w:bCs/>
                <w:sz w:val="21"/>
                <w:szCs w:val="22"/>
                <w:lang w:eastAsia="en-AU"/>
              </w:rPr>
              <w:t>804.0</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97 </w:t>
            </w:r>
            <w:r w:rsidRPr="003E2DBE">
              <w:rPr>
                <w:rFonts w:eastAsiaTheme="minorEastAsia" w:cs="Calibri"/>
                <w:b/>
                <w:bCs/>
                <w:sz w:val="21"/>
                <w:szCs w:val="22"/>
                <w:lang w:eastAsia="en-AU"/>
              </w:rPr>
              <w:t>796.6</w:t>
            </w:r>
          </w:p>
        </w:tc>
      </w:tr>
    </w:tbl>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rsidRPr="00D00665">
        <w:tab/>
        <w:t>Accumulated Depreciation of Building Leasehold Assets was reclassified in line with disclosure of Building Leasehold (Written Down Value).</w:t>
      </w:r>
    </w:p>
    <w:p w:rsidR="000B4A1E" w:rsidRPr="00D00665" w:rsidRDefault="000B4A1E" w:rsidP="00517E51">
      <w:pPr>
        <w:pStyle w:val="Notes"/>
      </w:pPr>
    </w:p>
    <w:p w:rsidR="000B4A1E" w:rsidRPr="00D00665" w:rsidRDefault="000B4A1E" w:rsidP="00517E51">
      <w:pPr>
        <w:pStyle w:val="Heading2Notes"/>
      </w:pPr>
      <w:r w:rsidRPr="00D00665">
        <w:br w:type="page"/>
      </w:r>
    </w:p>
    <w:p w:rsidR="000B4A1E" w:rsidRPr="00D00665" w:rsidRDefault="000B4A1E" w:rsidP="00517E51">
      <w:pPr>
        <w:pStyle w:val="Heading5"/>
      </w:pPr>
    </w:p>
    <w:p w:rsidR="000B4A1E" w:rsidRPr="00D00665" w:rsidRDefault="000B4A1E" w:rsidP="00517E51">
      <w:pPr>
        <w:spacing w:before="220"/>
      </w:pPr>
    </w:p>
    <w:p w:rsidR="000B4A1E" w:rsidRPr="003E2DBE" w:rsidRDefault="000B4A1E" w:rsidP="00517E51">
      <w:pPr>
        <w:pStyle w:val="million"/>
        <w:rPr>
          <w:rFonts w:ascii="Times New Roman" w:hAnsi="Times New Roman"/>
          <w:i w:val="0"/>
          <w:szCs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284"/>
        <w:gridCol w:w="270"/>
        <w:gridCol w:w="655"/>
        <w:gridCol w:w="1210"/>
        <w:gridCol w:w="236"/>
        <w:gridCol w:w="973"/>
        <w:gridCol w:w="974"/>
        <w:gridCol w:w="236"/>
        <w:gridCol w:w="236"/>
        <w:gridCol w:w="250"/>
        <w:gridCol w:w="723"/>
        <w:gridCol w:w="1210"/>
        <w:gridCol w:w="236"/>
        <w:gridCol w:w="973"/>
        <w:gridCol w:w="974"/>
        <w:gridCol w:w="236"/>
      </w:tblGrid>
      <w:tr w:rsidR="000B4A1E" w:rsidRPr="003E2DBE" w:rsidTr="00103F3E">
        <w:tc>
          <w:tcPr>
            <w:tcW w:w="284"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404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Education</w:t>
            </w:r>
          </w:p>
        </w:tc>
        <w:tc>
          <w:tcPr>
            <w:tcW w:w="236"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236"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c>
          <w:tcPr>
            <w:tcW w:w="250" w:type="dxa"/>
            <w:tcBorders>
              <w:top w:val="single" w:sz="6" w:space="0" w:color="auto"/>
              <w:left w:val="single" w:sz="4" w:space="0" w:color="auto"/>
              <w:bottom w:val="single" w:sz="6" w:space="0" w:color="auto"/>
              <w:right w:val="nil"/>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c>
          <w:tcPr>
            <w:tcW w:w="4116" w:type="dxa"/>
            <w:gridSpan w:val="5"/>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Health and Welfare</w:t>
            </w:r>
          </w:p>
        </w:tc>
        <w:tc>
          <w:tcPr>
            <w:tcW w:w="236"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r>
      <w:tr w:rsidR="000B4A1E" w:rsidRPr="003E2DBE" w:rsidTr="00517E51">
        <w:tc>
          <w:tcPr>
            <w:tcW w:w="284" w:type="dxa"/>
            <w:tcBorders>
              <w:top w:val="single" w:sz="6" w:space="0" w:color="auto"/>
              <w:left w:val="single" w:sz="6" w:space="0" w:color="auto"/>
              <w:bottom w:val="nil"/>
              <w:right w:val="nil"/>
            </w:tcBorders>
            <w:shd w:val="solid" w:color="000000" w:fill="auto"/>
          </w:tcPr>
          <w:p w:rsidR="000B4A1E" w:rsidRPr="003E2DBE" w:rsidRDefault="000B4A1E" w:rsidP="00517E51">
            <w:pPr>
              <w:pStyle w:val="TabletextheadingCentred"/>
              <w:rPr>
                <w:sz w:val="21"/>
                <w:lang w:eastAsia="en-AU"/>
              </w:rPr>
            </w:pPr>
            <w:r w:rsidRPr="003E2DBE">
              <w:rPr>
                <w:sz w:val="21"/>
                <w:lang w:eastAsia="en-AU"/>
              </w:rPr>
              <w:t xml:space="preserve"> </w:t>
            </w:r>
          </w:p>
        </w:tc>
        <w:tc>
          <w:tcPr>
            <w:tcW w:w="2135"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lang w:eastAsia="en-AU"/>
              </w:rPr>
            </w:pPr>
          </w:p>
          <w:p w:rsidR="000B4A1E" w:rsidRPr="003E2DBE" w:rsidRDefault="000B4A1E" w:rsidP="00517E51">
            <w:pPr>
              <w:pStyle w:val="TabletextheadingCentred"/>
              <w:rPr>
                <w:sz w:val="21"/>
                <w:lang w:eastAsia="en-AU"/>
              </w:rPr>
            </w:pPr>
            <w:r w:rsidRPr="003E2DBE">
              <w:rPr>
                <w:sz w:val="21"/>
                <w:lang w:eastAsia="en-AU"/>
              </w:rPr>
              <w:t>State of Victoria</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lang w:eastAsia="en-AU"/>
              </w:rPr>
            </w:pPr>
            <w:r w:rsidRPr="003E2DBE">
              <w:rPr>
                <w:sz w:val="21"/>
                <w:lang w:eastAsia="en-AU"/>
              </w:rPr>
              <w:t xml:space="preserve"> </w:t>
            </w:r>
          </w:p>
        </w:tc>
        <w:tc>
          <w:tcPr>
            <w:tcW w:w="2183"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lang w:eastAsia="en-AU"/>
              </w:rPr>
            </w:pPr>
            <w:r w:rsidRPr="003E2DBE">
              <w:rPr>
                <w:sz w:val="21"/>
                <w:lang w:eastAsia="en-AU"/>
              </w:rPr>
              <w:t xml:space="preserve">General </w:t>
            </w:r>
          </w:p>
          <w:p w:rsidR="000B4A1E" w:rsidRPr="003E2DBE" w:rsidRDefault="000B4A1E" w:rsidP="00517E51">
            <w:pPr>
              <w:pStyle w:val="TabletextheadingCentred"/>
              <w:rPr>
                <w:sz w:val="21"/>
                <w:lang w:eastAsia="en-AU"/>
              </w:rPr>
            </w:pPr>
            <w:r w:rsidRPr="003E2DBE">
              <w:rPr>
                <w:sz w:val="21"/>
                <w:lang w:eastAsia="en-AU"/>
              </w:rPr>
              <w:t>government sector</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sz w:val="21"/>
                <w:szCs w:val="22"/>
                <w:lang w:eastAsia="en-AU"/>
              </w:rPr>
            </w:pPr>
            <w:r w:rsidRPr="003E2DBE">
              <w:rPr>
                <w:rFonts w:cs="Calibri"/>
                <w:sz w:val="21"/>
                <w:szCs w:val="22"/>
                <w:lang w:eastAsia="en-AU"/>
              </w:rPr>
              <w:t xml:space="preserve"> </w:t>
            </w:r>
          </w:p>
        </w:tc>
        <w:tc>
          <w:tcPr>
            <w:tcW w:w="2183"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iCs/>
                <w:sz w:val="21"/>
                <w:szCs w:val="22"/>
                <w:lang w:eastAsia="en-AU"/>
              </w:rPr>
            </w:pPr>
          </w:p>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State of Victoria</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c>
          <w:tcPr>
            <w:tcW w:w="2183" w:type="dxa"/>
            <w:gridSpan w:val="3"/>
            <w:tcBorders>
              <w:top w:val="single" w:sz="6" w:space="0" w:color="auto"/>
              <w:left w:val="nil"/>
              <w:bottom w:val="nil"/>
              <w:right w:val="single" w:sz="6" w:space="0" w:color="auto"/>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General </w:t>
            </w:r>
          </w:p>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government sector</w:t>
            </w:r>
          </w:p>
        </w:tc>
      </w:tr>
      <w:tr w:rsidR="000B4A1E" w:rsidRPr="003E2DBE" w:rsidTr="00517E51">
        <w:tc>
          <w:tcPr>
            <w:tcW w:w="1209" w:type="dxa"/>
            <w:gridSpan w:val="3"/>
            <w:tcBorders>
              <w:top w:val="nil"/>
              <w:left w:val="single" w:sz="6" w:space="0" w:color="auto"/>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210"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209" w:type="dxa"/>
            <w:gridSpan w:val="3"/>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2013</w:t>
            </w:r>
          </w:p>
        </w:tc>
        <w:tc>
          <w:tcPr>
            <w:tcW w:w="1210" w:type="dxa"/>
            <w:gridSpan w:val="2"/>
            <w:tcBorders>
              <w:top w:val="nil"/>
              <w:left w:val="nil"/>
              <w:bottom w:val="single" w:sz="6" w:space="0" w:color="auto"/>
              <w:right w:val="single" w:sz="6" w:space="0" w:color="auto"/>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2012</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8 </w:t>
            </w:r>
            <w:r w:rsidRPr="003E2DBE">
              <w:rPr>
                <w:rFonts w:eastAsiaTheme="minorEastAsia" w:cs="Calibri"/>
                <w:sz w:val="21"/>
                <w:szCs w:val="22"/>
                <w:lang w:eastAsia="en-AU"/>
              </w:rPr>
              <w:t>423.1</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8 </w:t>
            </w:r>
            <w:r w:rsidRPr="003E2DBE">
              <w:rPr>
                <w:rFonts w:eastAsiaTheme="minorEastAsia" w:cs="Calibri"/>
                <w:sz w:val="21"/>
                <w:szCs w:val="22"/>
                <w:lang w:eastAsia="en-AU"/>
              </w:rPr>
              <w:t>611.3</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8 </w:t>
            </w:r>
            <w:r w:rsidRPr="003E2DBE">
              <w:rPr>
                <w:rFonts w:eastAsiaTheme="minorEastAsia" w:cs="Calibri"/>
                <w:sz w:val="21"/>
                <w:szCs w:val="22"/>
                <w:lang w:eastAsia="en-AU"/>
              </w:rPr>
              <w:t>423.1</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8 </w:t>
            </w:r>
            <w:r w:rsidRPr="003E2DBE">
              <w:rPr>
                <w:rFonts w:eastAsiaTheme="minorEastAsia" w:cs="Calibri"/>
                <w:sz w:val="21"/>
                <w:szCs w:val="22"/>
                <w:lang w:eastAsia="en-AU"/>
              </w:rPr>
              <w:t>611.3</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6 </w:t>
            </w:r>
            <w:r w:rsidRPr="003E2DBE">
              <w:rPr>
                <w:rFonts w:ascii="Calibri" w:eastAsiaTheme="minorEastAsia" w:hAnsi="Calibri" w:cs="Calibri"/>
                <w:sz w:val="21"/>
                <w:szCs w:val="22"/>
                <w:lang w:eastAsia="en-AU"/>
              </w:rPr>
              <w:t>797.0</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6 </w:t>
            </w:r>
            <w:r w:rsidRPr="003E2DBE">
              <w:rPr>
                <w:rFonts w:ascii="Calibri" w:eastAsiaTheme="minorEastAsia" w:hAnsi="Calibri" w:cs="Calibri"/>
                <w:sz w:val="21"/>
                <w:szCs w:val="22"/>
                <w:lang w:eastAsia="en-AU"/>
              </w:rPr>
              <w:t>571.5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6 </w:t>
            </w:r>
            <w:r w:rsidRPr="003E2DBE">
              <w:rPr>
                <w:rFonts w:ascii="Calibri" w:eastAsiaTheme="minorEastAsia" w:hAnsi="Calibri" w:cs="Calibri"/>
                <w:sz w:val="21"/>
                <w:szCs w:val="22"/>
                <w:lang w:eastAsia="en-AU"/>
              </w:rPr>
              <w:t>781.6</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6 </w:t>
            </w:r>
            <w:r w:rsidRPr="003E2DBE">
              <w:rPr>
                <w:rFonts w:ascii="Calibri" w:eastAsiaTheme="minorEastAsia" w:hAnsi="Calibri" w:cs="Calibri"/>
                <w:sz w:val="21"/>
                <w:szCs w:val="22"/>
                <w:lang w:eastAsia="en-AU"/>
              </w:rPr>
              <w:t>556.2</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7 </w:t>
            </w:r>
            <w:r w:rsidRPr="003E2DBE">
              <w:rPr>
                <w:rFonts w:eastAsiaTheme="minorEastAsia" w:cs="Calibri"/>
                <w:sz w:val="21"/>
                <w:szCs w:val="22"/>
                <w:lang w:eastAsia="en-AU"/>
              </w:rPr>
              <w:t>784.5</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7 </w:t>
            </w:r>
            <w:r w:rsidRPr="003E2DBE">
              <w:rPr>
                <w:rFonts w:eastAsiaTheme="minorEastAsia" w:cs="Calibri"/>
                <w:sz w:val="21"/>
                <w:szCs w:val="22"/>
                <w:lang w:eastAsia="en-AU"/>
              </w:rPr>
              <w:t>183.5</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7 </w:t>
            </w:r>
            <w:r w:rsidRPr="003E2DBE">
              <w:rPr>
                <w:rFonts w:eastAsiaTheme="minorEastAsia" w:cs="Calibri"/>
                <w:sz w:val="21"/>
                <w:szCs w:val="22"/>
                <w:lang w:eastAsia="en-AU"/>
              </w:rPr>
              <w:t>784.5</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7 </w:t>
            </w:r>
            <w:r w:rsidRPr="003E2DBE">
              <w:rPr>
                <w:rFonts w:eastAsiaTheme="minorEastAsia" w:cs="Calibri"/>
                <w:sz w:val="21"/>
                <w:szCs w:val="22"/>
                <w:lang w:eastAsia="en-AU"/>
              </w:rPr>
              <w:t>183.5</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967.1</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968.0</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963.2</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964.1</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216.1</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201.7</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216.1</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201.7</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154.2</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242.8</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154.2</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242.8</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631.2</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417.2</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631.2</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417.2</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020.9</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011.0</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020.9</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010.9</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9.5</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15.3</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9.5</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15.3</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 5.5</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 5.2</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 5.5</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 5.2</w:t>
            </w:r>
          </w:p>
        </w:tc>
      </w:tr>
      <w:tr w:rsidR="000B4A1E" w:rsidRPr="003E2DBE" w:rsidTr="00517E51">
        <w:tc>
          <w:tcPr>
            <w:tcW w:w="1209" w:type="dxa"/>
            <w:gridSpan w:val="3"/>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17</w:t>
            </w:r>
            <w:r w:rsidRPr="003E2DBE">
              <w:rPr>
                <w:rFonts w:eastAsiaTheme="minorEastAsia" w:cs="Calibri"/>
                <w:b/>
                <w:bCs/>
                <w:sz w:val="21"/>
                <w:szCs w:val="22"/>
                <w:lang w:eastAsia="en-AU"/>
              </w:rPr>
              <w:t xml:space="preserve"> 064.4</w:t>
            </w:r>
          </w:p>
        </w:tc>
        <w:tc>
          <w:tcPr>
            <w:tcW w:w="1210"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16 </w:t>
            </w:r>
            <w:r w:rsidRPr="003E2DBE">
              <w:rPr>
                <w:rFonts w:eastAsiaTheme="minorEastAsia" w:cs="Calibri"/>
                <w:b/>
                <w:bCs/>
                <w:sz w:val="21"/>
                <w:szCs w:val="22"/>
                <w:lang w:eastAsia="en-AU"/>
              </w:rPr>
              <w:t>429.0</w:t>
            </w:r>
          </w:p>
        </w:tc>
        <w:tc>
          <w:tcPr>
            <w:tcW w:w="1209"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17 </w:t>
            </w:r>
            <w:r w:rsidRPr="003E2DBE">
              <w:rPr>
                <w:rFonts w:eastAsiaTheme="minorEastAsia" w:cs="Calibri"/>
                <w:b/>
                <w:bCs/>
                <w:sz w:val="21"/>
                <w:szCs w:val="22"/>
                <w:lang w:eastAsia="en-AU"/>
              </w:rPr>
              <w:t>064.4</w:t>
            </w:r>
          </w:p>
        </w:tc>
        <w:tc>
          <w:tcPr>
            <w:tcW w:w="1210"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16 </w:t>
            </w:r>
            <w:r w:rsidRPr="003E2DBE">
              <w:rPr>
                <w:rFonts w:eastAsiaTheme="minorEastAsia" w:cs="Calibri"/>
                <w:b/>
                <w:bCs/>
                <w:sz w:val="21"/>
                <w:szCs w:val="22"/>
                <w:lang w:eastAsia="en-AU"/>
              </w:rPr>
              <w:t>429.0</w:t>
            </w:r>
          </w:p>
        </w:tc>
        <w:tc>
          <w:tcPr>
            <w:tcW w:w="1209" w:type="dxa"/>
            <w:gridSpan w:val="3"/>
            <w:tcBorders>
              <w:top w:val="single" w:sz="6" w:space="0" w:color="auto"/>
              <w:left w:val="nil"/>
              <w:bottom w:val="single" w:sz="12" w:space="0" w:color="auto"/>
              <w:right w:val="nil"/>
            </w:tcBorders>
            <w:shd w:val="solid" w:color="FFFFFF" w:fill="auto"/>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 xml:space="preserve">10 </w:t>
            </w:r>
            <w:r w:rsidRPr="003E2DBE">
              <w:rPr>
                <w:rFonts w:ascii="Calibri" w:eastAsiaTheme="minorEastAsia" w:hAnsi="Calibri" w:cs="Calibri"/>
                <w:b/>
                <w:bCs/>
                <w:sz w:val="21"/>
                <w:szCs w:val="22"/>
                <w:lang w:eastAsia="en-AU"/>
              </w:rPr>
              <w:t>944.7</w:t>
            </w:r>
          </w:p>
        </w:tc>
        <w:tc>
          <w:tcPr>
            <w:tcW w:w="1210" w:type="dxa"/>
            <w:tcBorders>
              <w:top w:val="single" w:sz="6" w:space="0" w:color="auto"/>
              <w:left w:val="nil"/>
              <w:bottom w:val="single" w:sz="12" w:space="0" w:color="auto"/>
              <w:right w:val="nil"/>
            </w:tcBorders>
            <w:shd w:val="solid" w:color="FFFFFF" w:fill="auto"/>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 xml:space="preserve">10 </w:t>
            </w:r>
            <w:r w:rsidRPr="003E2DBE">
              <w:rPr>
                <w:rFonts w:ascii="Calibri" w:eastAsiaTheme="minorEastAsia" w:hAnsi="Calibri" w:cs="Calibri"/>
                <w:b/>
                <w:bCs/>
                <w:sz w:val="21"/>
                <w:szCs w:val="22"/>
                <w:lang w:eastAsia="en-AU"/>
              </w:rPr>
              <w:t>798.4</w:t>
            </w:r>
          </w:p>
        </w:tc>
        <w:tc>
          <w:tcPr>
            <w:tcW w:w="1209"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 xml:space="preserve">10 </w:t>
            </w:r>
            <w:r w:rsidRPr="003E2DBE">
              <w:rPr>
                <w:rFonts w:ascii="Calibri" w:eastAsiaTheme="minorEastAsia" w:hAnsi="Calibri" w:cs="Calibri"/>
                <w:b/>
                <w:bCs/>
                <w:sz w:val="21"/>
                <w:szCs w:val="22"/>
                <w:lang w:eastAsia="en-AU"/>
              </w:rPr>
              <w:t>925.4</w:t>
            </w:r>
          </w:p>
        </w:tc>
        <w:tc>
          <w:tcPr>
            <w:tcW w:w="1210"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 xml:space="preserve">10 </w:t>
            </w:r>
            <w:r w:rsidRPr="003E2DBE">
              <w:rPr>
                <w:rFonts w:ascii="Calibri" w:eastAsiaTheme="minorEastAsia" w:hAnsi="Calibri" w:cs="Calibri"/>
                <w:b/>
                <w:bCs/>
                <w:sz w:val="21"/>
                <w:szCs w:val="22"/>
                <w:lang w:eastAsia="en-AU"/>
              </w:rPr>
              <w:t>779.2</w:t>
            </w:r>
          </w:p>
        </w:tc>
      </w:tr>
    </w:tbl>
    <w:p w:rsidR="000B4A1E" w:rsidRDefault="000B4A1E" w:rsidP="00517E51">
      <w:pPr>
        <w:pStyle w:val="Notes"/>
      </w:pPr>
    </w:p>
    <w:p w:rsidR="000B4A1E" w:rsidRPr="00C3289E" w:rsidRDefault="000B4A1E" w:rsidP="00517E51">
      <w:pPr>
        <w:pStyle w:val="Notes"/>
      </w:pPr>
    </w:p>
    <w:tbl>
      <w:tblPr>
        <w:tblW w:w="9676" w:type="dxa"/>
        <w:tblInd w:w="29" w:type="dxa"/>
        <w:tblLayout w:type="fixed"/>
        <w:tblCellMar>
          <w:left w:w="43" w:type="dxa"/>
          <w:right w:w="43" w:type="dxa"/>
        </w:tblCellMar>
        <w:tblLook w:val="0000" w:firstRow="0" w:lastRow="0" w:firstColumn="0" w:lastColumn="0" w:noHBand="0" w:noVBand="0"/>
      </w:tblPr>
      <w:tblGrid>
        <w:gridCol w:w="284"/>
        <w:gridCol w:w="270"/>
        <w:gridCol w:w="655"/>
        <w:gridCol w:w="1210"/>
        <w:gridCol w:w="236"/>
        <w:gridCol w:w="973"/>
        <w:gridCol w:w="974"/>
        <w:gridCol w:w="236"/>
        <w:gridCol w:w="236"/>
        <w:gridCol w:w="973"/>
        <w:gridCol w:w="1210"/>
        <w:gridCol w:w="236"/>
        <w:gridCol w:w="973"/>
        <w:gridCol w:w="728"/>
        <w:gridCol w:w="246"/>
        <w:gridCol w:w="236"/>
      </w:tblGrid>
      <w:tr w:rsidR="000B4A1E" w:rsidRPr="003E2DBE" w:rsidTr="00103F3E">
        <w:tc>
          <w:tcPr>
            <w:tcW w:w="284"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404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Transportation and Communication</w:t>
            </w:r>
          </w:p>
        </w:tc>
        <w:tc>
          <w:tcPr>
            <w:tcW w:w="236"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236"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c>
          <w:tcPr>
            <w:tcW w:w="4120" w:type="dxa"/>
            <w:gridSpan w:val="5"/>
            <w:tcBorders>
              <w:top w:val="single" w:sz="6" w:space="0" w:color="auto"/>
              <w:left w:val="single" w:sz="4" w:space="0" w:color="auto"/>
              <w:bottom w:val="single" w:sz="6" w:space="0" w:color="auto"/>
              <w:right w:val="nil"/>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Public Safety and Environment</w:t>
            </w:r>
          </w:p>
        </w:tc>
        <w:tc>
          <w:tcPr>
            <w:tcW w:w="246"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c>
          <w:tcPr>
            <w:tcW w:w="236"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r>
      <w:tr w:rsidR="000B4A1E" w:rsidRPr="003E2DBE" w:rsidTr="00517E51">
        <w:tc>
          <w:tcPr>
            <w:tcW w:w="284" w:type="dxa"/>
            <w:tcBorders>
              <w:top w:val="single" w:sz="6" w:space="0" w:color="auto"/>
              <w:left w:val="single" w:sz="6" w:space="0" w:color="auto"/>
              <w:bottom w:val="nil"/>
              <w:right w:val="nil"/>
            </w:tcBorders>
            <w:shd w:val="solid" w:color="000000" w:fill="auto"/>
          </w:tcPr>
          <w:p w:rsidR="000B4A1E" w:rsidRPr="003E2DBE" w:rsidRDefault="000B4A1E" w:rsidP="00517E51">
            <w:pPr>
              <w:pStyle w:val="TabletextheadingCentred"/>
              <w:rPr>
                <w:sz w:val="21"/>
                <w:lang w:eastAsia="en-AU"/>
              </w:rPr>
            </w:pPr>
            <w:r w:rsidRPr="003E2DBE">
              <w:rPr>
                <w:sz w:val="21"/>
                <w:lang w:eastAsia="en-AU"/>
              </w:rPr>
              <w:t xml:space="preserve"> </w:t>
            </w:r>
          </w:p>
        </w:tc>
        <w:tc>
          <w:tcPr>
            <w:tcW w:w="2135"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lang w:eastAsia="en-AU"/>
              </w:rPr>
            </w:pPr>
          </w:p>
          <w:p w:rsidR="000B4A1E" w:rsidRPr="003E2DBE" w:rsidRDefault="000B4A1E" w:rsidP="00517E51">
            <w:pPr>
              <w:pStyle w:val="TabletextheadingCentred"/>
              <w:rPr>
                <w:sz w:val="21"/>
                <w:lang w:eastAsia="en-AU"/>
              </w:rPr>
            </w:pPr>
            <w:r w:rsidRPr="003E2DBE">
              <w:rPr>
                <w:sz w:val="21"/>
                <w:lang w:eastAsia="en-AU"/>
              </w:rPr>
              <w:t>State of Victoria</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lang w:eastAsia="en-AU"/>
              </w:rPr>
            </w:pPr>
            <w:r w:rsidRPr="003E2DBE">
              <w:rPr>
                <w:sz w:val="21"/>
                <w:lang w:eastAsia="en-AU"/>
              </w:rPr>
              <w:t xml:space="preserve"> </w:t>
            </w:r>
          </w:p>
        </w:tc>
        <w:tc>
          <w:tcPr>
            <w:tcW w:w="2183"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lang w:eastAsia="en-AU"/>
              </w:rPr>
            </w:pPr>
            <w:r w:rsidRPr="003E2DBE">
              <w:rPr>
                <w:sz w:val="21"/>
                <w:lang w:eastAsia="en-AU"/>
              </w:rPr>
              <w:t xml:space="preserve">General </w:t>
            </w:r>
          </w:p>
          <w:p w:rsidR="000B4A1E" w:rsidRPr="003E2DBE" w:rsidRDefault="000B4A1E" w:rsidP="00517E51">
            <w:pPr>
              <w:pStyle w:val="TabletextheadingCentred"/>
              <w:rPr>
                <w:sz w:val="21"/>
                <w:lang w:eastAsia="en-AU"/>
              </w:rPr>
            </w:pPr>
            <w:r w:rsidRPr="003E2DBE">
              <w:rPr>
                <w:sz w:val="21"/>
                <w:lang w:eastAsia="en-AU"/>
              </w:rPr>
              <w:t>government sector</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sz w:val="21"/>
                <w:szCs w:val="22"/>
                <w:lang w:eastAsia="en-AU"/>
              </w:rPr>
            </w:pPr>
            <w:r w:rsidRPr="003E2DBE">
              <w:rPr>
                <w:rFonts w:cs="Calibri"/>
                <w:sz w:val="21"/>
                <w:szCs w:val="22"/>
                <w:lang w:eastAsia="en-AU"/>
              </w:rPr>
              <w:t xml:space="preserve"> </w:t>
            </w:r>
          </w:p>
        </w:tc>
        <w:tc>
          <w:tcPr>
            <w:tcW w:w="2183" w:type="dxa"/>
            <w:gridSpan w:val="2"/>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iCs/>
                <w:sz w:val="21"/>
                <w:szCs w:val="22"/>
                <w:lang w:eastAsia="en-AU"/>
              </w:rPr>
            </w:pPr>
          </w:p>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State of Victoria</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c>
          <w:tcPr>
            <w:tcW w:w="2183" w:type="dxa"/>
            <w:gridSpan w:val="4"/>
            <w:tcBorders>
              <w:top w:val="single" w:sz="6" w:space="0" w:color="auto"/>
              <w:left w:val="nil"/>
              <w:bottom w:val="nil"/>
              <w:right w:val="single" w:sz="6" w:space="0" w:color="auto"/>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General </w:t>
            </w:r>
          </w:p>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government sector</w:t>
            </w:r>
          </w:p>
        </w:tc>
      </w:tr>
      <w:tr w:rsidR="000B4A1E" w:rsidRPr="003E2DBE" w:rsidTr="00517E51">
        <w:tc>
          <w:tcPr>
            <w:tcW w:w="1209" w:type="dxa"/>
            <w:gridSpan w:val="3"/>
            <w:tcBorders>
              <w:top w:val="nil"/>
              <w:left w:val="single" w:sz="6" w:space="0" w:color="auto"/>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210"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2013</w:t>
            </w:r>
          </w:p>
        </w:tc>
        <w:tc>
          <w:tcPr>
            <w:tcW w:w="1210" w:type="dxa"/>
            <w:gridSpan w:val="3"/>
            <w:tcBorders>
              <w:top w:val="nil"/>
              <w:left w:val="nil"/>
              <w:bottom w:val="single" w:sz="6" w:space="0" w:color="auto"/>
              <w:right w:val="single" w:sz="6" w:space="0" w:color="auto"/>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2012</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4 </w:t>
            </w:r>
            <w:r w:rsidRPr="003E2DBE">
              <w:rPr>
                <w:rFonts w:eastAsiaTheme="minorEastAsia" w:cs="Calibri"/>
                <w:sz w:val="21"/>
                <w:szCs w:val="22"/>
                <w:lang w:eastAsia="en-AU"/>
              </w:rPr>
              <w:t>728.9</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4 </w:t>
            </w:r>
            <w:r w:rsidRPr="003E2DBE">
              <w:rPr>
                <w:rFonts w:eastAsiaTheme="minorEastAsia" w:cs="Calibri"/>
                <w:sz w:val="21"/>
                <w:szCs w:val="22"/>
                <w:lang w:eastAsia="en-AU"/>
              </w:rPr>
              <w:t>605.8</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521.1</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531.8</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5 </w:t>
            </w:r>
            <w:r w:rsidRPr="003E2DBE">
              <w:rPr>
                <w:rFonts w:ascii="Calibri" w:eastAsiaTheme="minorEastAsia" w:hAnsi="Calibri" w:cs="Calibri"/>
                <w:sz w:val="21"/>
                <w:szCs w:val="22"/>
                <w:lang w:eastAsia="en-AU"/>
              </w:rPr>
              <w:t>509.6</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6 </w:t>
            </w:r>
            <w:r w:rsidRPr="003E2DBE">
              <w:rPr>
                <w:rFonts w:ascii="Calibri" w:eastAsiaTheme="minorEastAsia" w:hAnsi="Calibri" w:cs="Calibri"/>
                <w:sz w:val="21"/>
                <w:szCs w:val="22"/>
                <w:lang w:eastAsia="en-AU"/>
              </w:rPr>
              <w:t>007.6</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4 </w:t>
            </w:r>
            <w:r w:rsidRPr="003E2DBE">
              <w:rPr>
                <w:rFonts w:ascii="Calibri" w:eastAsiaTheme="minorEastAsia" w:hAnsi="Calibri" w:cs="Calibri"/>
                <w:sz w:val="21"/>
                <w:szCs w:val="22"/>
                <w:lang w:eastAsia="en-AU"/>
              </w:rPr>
              <w:t>950.8</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4 </w:t>
            </w:r>
            <w:r w:rsidRPr="003E2DBE">
              <w:rPr>
                <w:rFonts w:ascii="Calibri" w:eastAsiaTheme="minorEastAsia" w:hAnsi="Calibri" w:cs="Calibri"/>
                <w:sz w:val="21"/>
                <w:szCs w:val="22"/>
                <w:lang w:eastAsia="en-AU"/>
              </w:rPr>
              <w:t>318.5</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21 </w:t>
            </w:r>
            <w:r w:rsidRPr="003E2DBE">
              <w:rPr>
                <w:rFonts w:eastAsiaTheme="minorEastAsia" w:cs="Calibri"/>
                <w:sz w:val="21"/>
                <w:szCs w:val="22"/>
                <w:lang w:eastAsia="en-AU"/>
              </w:rPr>
              <w:t>315.1</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21 </w:t>
            </w:r>
            <w:r w:rsidRPr="003E2DBE">
              <w:rPr>
                <w:rFonts w:eastAsiaTheme="minorEastAsia" w:cs="Calibri"/>
                <w:sz w:val="21"/>
                <w:szCs w:val="22"/>
                <w:lang w:eastAsia="en-AU"/>
              </w:rPr>
              <w:t>339.4</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17 </w:t>
            </w:r>
            <w:r w:rsidRPr="003E2DBE">
              <w:rPr>
                <w:rFonts w:eastAsiaTheme="minorEastAsia" w:cs="Calibri"/>
                <w:sz w:val="21"/>
                <w:szCs w:val="22"/>
                <w:lang w:eastAsia="en-AU"/>
              </w:rPr>
              <w:t>473.9</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17 </w:t>
            </w:r>
            <w:r w:rsidRPr="003E2DBE">
              <w:rPr>
                <w:rFonts w:eastAsiaTheme="minorEastAsia" w:cs="Calibri"/>
                <w:sz w:val="21"/>
                <w:szCs w:val="22"/>
                <w:lang w:eastAsia="en-AU"/>
              </w:rPr>
              <w:t>500.1</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13 </w:t>
            </w:r>
            <w:r w:rsidRPr="003E2DBE">
              <w:rPr>
                <w:rFonts w:ascii="Calibri" w:eastAsiaTheme="minorEastAsia" w:hAnsi="Calibri" w:cs="Calibri"/>
                <w:sz w:val="21"/>
                <w:szCs w:val="22"/>
                <w:lang w:eastAsia="en-AU"/>
              </w:rPr>
              <w:t>456.6</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12 </w:t>
            </w:r>
            <w:r w:rsidRPr="003E2DBE">
              <w:rPr>
                <w:rFonts w:ascii="Calibri" w:eastAsiaTheme="minorEastAsia" w:hAnsi="Calibri" w:cs="Calibri"/>
                <w:sz w:val="21"/>
                <w:szCs w:val="22"/>
                <w:lang w:eastAsia="en-AU"/>
              </w:rPr>
              <w:t>151.5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9 </w:t>
            </w:r>
            <w:r w:rsidRPr="003E2DBE">
              <w:rPr>
                <w:rFonts w:ascii="Calibri" w:eastAsiaTheme="minorEastAsia" w:hAnsi="Calibri" w:cs="Calibri"/>
                <w:sz w:val="21"/>
                <w:szCs w:val="22"/>
                <w:lang w:eastAsia="en-AU"/>
              </w:rPr>
              <w:t>297.5</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9 </w:t>
            </w:r>
            <w:r w:rsidRPr="003E2DBE">
              <w:rPr>
                <w:rFonts w:ascii="Calibri" w:eastAsiaTheme="minorEastAsia" w:hAnsi="Calibri" w:cs="Calibri"/>
                <w:sz w:val="21"/>
                <w:szCs w:val="22"/>
                <w:lang w:eastAsia="en-AU"/>
              </w:rPr>
              <w:t>123.0</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42.6</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56.2</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39.8</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44.8</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 849.5</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 957.5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 842.6</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 949.6</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14 </w:t>
            </w:r>
            <w:r w:rsidRPr="003E2DBE">
              <w:rPr>
                <w:rFonts w:eastAsiaTheme="minorEastAsia" w:cs="Calibri"/>
                <w:sz w:val="21"/>
                <w:szCs w:val="22"/>
                <w:lang w:eastAsia="en-AU"/>
              </w:rPr>
              <w:t>252.0</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13 </w:t>
            </w:r>
            <w:r w:rsidRPr="003E2DBE">
              <w:rPr>
                <w:rFonts w:eastAsiaTheme="minorEastAsia" w:cs="Calibri"/>
                <w:sz w:val="21"/>
                <w:szCs w:val="22"/>
                <w:lang w:eastAsia="en-AU"/>
              </w:rPr>
              <w:t>184.9</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370.2</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387.9</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39 </w:t>
            </w:r>
            <w:r w:rsidRPr="003E2DBE">
              <w:rPr>
                <w:rFonts w:ascii="Calibri" w:eastAsiaTheme="minorEastAsia" w:hAnsi="Calibri" w:cs="Calibri"/>
                <w:sz w:val="21"/>
                <w:szCs w:val="22"/>
                <w:lang w:eastAsia="en-AU"/>
              </w:rPr>
              <w:t>037.3</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34 </w:t>
            </w:r>
            <w:r w:rsidRPr="003E2DBE">
              <w:rPr>
                <w:rFonts w:ascii="Calibri" w:eastAsiaTheme="minorEastAsia" w:hAnsi="Calibri" w:cs="Calibri"/>
                <w:sz w:val="21"/>
                <w:szCs w:val="22"/>
                <w:lang w:eastAsia="en-AU"/>
              </w:rPr>
              <w:t>116.5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846.2</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833.0</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4 </w:t>
            </w:r>
            <w:r w:rsidRPr="003E2DBE">
              <w:rPr>
                <w:rFonts w:eastAsiaTheme="minorEastAsia" w:cs="Calibri"/>
                <w:sz w:val="21"/>
                <w:szCs w:val="22"/>
                <w:lang w:eastAsia="en-AU"/>
              </w:rPr>
              <w:t>852.6</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4 </w:t>
            </w:r>
            <w:r w:rsidRPr="003E2DBE">
              <w:rPr>
                <w:rFonts w:eastAsiaTheme="minorEastAsia" w:cs="Calibri"/>
                <w:sz w:val="21"/>
                <w:szCs w:val="22"/>
                <w:lang w:eastAsia="en-AU"/>
              </w:rPr>
              <w:t>727.1</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143.2</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58.2</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1 </w:t>
            </w:r>
            <w:r w:rsidRPr="003E2DBE">
              <w:rPr>
                <w:rFonts w:ascii="Calibri" w:eastAsiaTheme="minorEastAsia" w:hAnsi="Calibri" w:cs="Calibri"/>
                <w:sz w:val="21"/>
                <w:szCs w:val="22"/>
                <w:lang w:eastAsia="en-AU"/>
              </w:rPr>
              <w:t>158.7</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 632.1</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 890.9</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 633.3</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21 </w:t>
            </w:r>
            <w:r w:rsidRPr="003E2DBE">
              <w:rPr>
                <w:rFonts w:eastAsiaTheme="minorEastAsia" w:cs="Calibri"/>
                <w:sz w:val="21"/>
                <w:szCs w:val="22"/>
                <w:lang w:eastAsia="en-AU"/>
              </w:rPr>
              <w:t>027.9</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20 </w:t>
            </w:r>
            <w:r w:rsidRPr="003E2DBE">
              <w:rPr>
                <w:rFonts w:eastAsiaTheme="minorEastAsia" w:cs="Calibri"/>
                <w:sz w:val="21"/>
                <w:szCs w:val="22"/>
                <w:lang w:eastAsia="en-AU"/>
              </w:rPr>
              <w:t>252.3</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21 </w:t>
            </w:r>
            <w:r w:rsidRPr="003E2DBE">
              <w:rPr>
                <w:rFonts w:eastAsiaTheme="minorEastAsia" w:cs="Calibri"/>
                <w:sz w:val="21"/>
                <w:szCs w:val="22"/>
                <w:lang w:eastAsia="en-AU"/>
              </w:rPr>
              <w:t>027.9</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20 </w:t>
            </w:r>
            <w:r w:rsidRPr="003E2DBE">
              <w:rPr>
                <w:rFonts w:eastAsiaTheme="minorEastAsia" w:cs="Calibri"/>
                <w:sz w:val="21"/>
                <w:szCs w:val="22"/>
                <w:lang w:eastAsia="en-AU"/>
              </w:rPr>
              <w:t>252.3</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 47.5</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 25.5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7 </w:t>
            </w:r>
            <w:r w:rsidRPr="003E2DBE">
              <w:rPr>
                <w:rFonts w:eastAsiaTheme="minorEastAsia" w:cs="Calibri"/>
                <w:sz w:val="21"/>
                <w:szCs w:val="22"/>
                <w:lang w:eastAsia="en-AU"/>
              </w:rPr>
              <w:t>638.8</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7 </w:t>
            </w:r>
            <w:r w:rsidRPr="003E2DBE">
              <w:rPr>
                <w:rFonts w:eastAsiaTheme="minorEastAsia" w:cs="Calibri"/>
                <w:sz w:val="21"/>
                <w:szCs w:val="22"/>
                <w:lang w:eastAsia="en-AU"/>
              </w:rPr>
              <w:t>279.4</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7 </w:t>
            </w:r>
            <w:r w:rsidRPr="003E2DBE">
              <w:rPr>
                <w:rFonts w:eastAsiaTheme="minorEastAsia" w:cs="Calibri"/>
                <w:sz w:val="21"/>
                <w:szCs w:val="22"/>
                <w:lang w:eastAsia="en-AU"/>
              </w:rPr>
              <w:t>638.8</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7 </w:t>
            </w:r>
            <w:r w:rsidRPr="003E2DBE">
              <w:rPr>
                <w:rFonts w:eastAsiaTheme="minorEastAsia" w:cs="Calibri"/>
                <w:sz w:val="21"/>
                <w:szCs w:val="22"/>
                <w:lang w:eastAsia="en-AU"/>
              </w:rPr>
              <w:t>279.4</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1.7</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1.8</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1.2</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1.3</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5 </w:t>
            </w:r>
            <w:r w:rsidRPr="003E2DBE">
              <w:rPr>
                <w:rFonts w:ascii="Calibri" w:eastAsiaTheme="minorEastAsia" w:hAnsi="Calibri" w:cs="Calibri"/>
                <w:sz w:val="21"/>
                <w:szCs w:val="22"/>
                <w:lang w:eastAsia="en-AU"/>
              </w:rPr>
              <w:t>296.6</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5 </w:t>
            </w:r>
            <w:r w:rsidRPr="003E2DBE">
              <w:rPr>
                <w:rFonts w:ascii="Calibri" w:eastAsiaTheme="minorEastAsia" w:hAnsi="Calibri" w:cs="Calibri"/>
                <w:sz w:val="21"/>
                <w:szCs w:val="22"/>
                <w:lang w:eastAsia="en-AU"/>
              </w:rPr>
              <w:t>283.9</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5 </w:t>
            </w:r>
            <w:r w:rsidRPr="003E2DBE">
              <w:rPr>
                <w:rFonts w:ascii="Calibri" w:eastAsiaTheme="minorEastAsia" w:hAnsi="Calibri" w:cs="Calibri"/>
                <w:sz w:val="21"/>
                <w:szCs w:val="22"/>
                <w:lang w:eastAsia="en-AU"/>
              </w:rPr>
              <w:t>241.7</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 xml:space="preserve">5 </w:t>
            </w:r>
            <w:r w:rsidRPr="003E2DBE">
              <w:rPr>
                <w:rFonts w:ascii="Calibri" w:eastAsiaTheme="minorEastAsia" w:hAnsi="Calibri" w:cs="Calibri"/>
                <w:sz w:val="21"/>
                <w:szCs w:val="22"/>
                <w:lang w:eastAsia="en-AU"/>
              </w:rPr>
              <w:t>229.5</w:t>
            </w:r>
          </w:p>
        </w:tc>
      </w:tr>
      <w:tr w:rsidR="000B4A1E" w:rsidRPr="003E2DBE" w:rsidTr="00517E51">
        <w:tc>
          <w:tcPr>
            <w:tcW w:w="1209"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73 </w:t>
            </w:r>
            <w:r w:rsidRPr="003E2DBE">
              <w:rPr>
                <w:rFonts w:eastAsiaTheme="minorEastAsia" w:cs="Calibri"/>
                <w:b/>
                <w:bCs/>
                <w:sz w:val="21"/>
                <w:szCs w:val="22"/>
                <w:lang w:eastAsia="en-AU"/>
              </w:rPr>
              <w:t>859.5</w:t>
            </w:r>
          </w:p>
        </w:tc>
        <w:tc>
          <w:tcPr>
            <w:tcW w:w="121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71 </w:t>
            </w:r>
            <w:r w:rsidRPr="003E2DBE">
              <w:rPr>
                <w:rFonts w:eastAsiaTheme="minorEastAsia" w:cs="Calibri"/>
                <w:b/>
                <w:bCs/>
                <w:sz w:val="21"/>
                <w:szCs w:val="22"/>
                <w:lang w:eastAsia="en-AU"/>
              </w:rPr>
              <w:t>446.9</w:t>
            </w:r>
          </w:p>
        </w:tc>
        <w:tc>
          <w:tcPr>
            <w:tcW w:w="120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47 </w:t>
            </w:r>
            <w:r w:rsidRPr="003E2DBE">
              <w:rPr>
                <w:rFonts w:eastAsiaTheme="minorEastAsia" w:cs="Calibri"/>
                <w:b/>
                <w:bCs/>
                <w:sz w:val="21"/>
                <w:szCs w:val="22"/>
                <w:lang w:eastAsia="en-AU"/>
              </w:rPr>
              <w:t>216.1</w:t>
            </w:r>
          </w:p>
        </w:tc>
        <w:tc>
          <w:tcPr>
            <w:tcW w:w="121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46 </w:t>
            </w:r>
            <w:r w:rsidRPr="003E2DBE">
              <w:rPr>
                <w:rFonts w:eastAsiaTheme="minorEastAsia" w:cs="Calibri"/>
                <w:b/>
                <w:bCs/>
                <w:sz w:val="21"/>
                <w:szCs w:val="22"/>
                <w:lang w:eastAsia="en-AU"/>
              </w:rPr>
              <w:t>055.7</w:t>
            </w:r>
          </w:p>
        </w:tc>
        <w:tc>
          <w:tcPr>
            <w:tcW w:w="1209" w:type="dxa"/>
            <w:gridSpan w:val="2"/>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 xml:space="preserve">65 </w:t>
            </w:r>
            <w:r w:rsidRPr="003E2DBE">
              <w:rPr>
                <w:rFonts w:ascii="Calibri" w:eastAsiaTheme="minorEastAsia" w:hAnsi="Calibri" w:cs="Calibri"/>
                <w:b/>
                <w:bCs/>
                <w:sz w:val="21"/>
                <w:szCs w:val="22"/>
                <w:lang w:eastAsia="en-AU"/>
              </w:rPr>
              <w:t>355.8</w:t>
            </w:r>
          </w:p>
        </w:tc>
        <w:tc>
          <w:tcPr>
            <w:tcW w:w="1210"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 xml:space="preserve">59 </w:t>
            </w:r>
            <w:r w:rsidRPr="003E2DBE">
              <w:rPr>
                <w:rFonts w:ascii="Calibri" w:eastAsiaTheme="minorEastAsia" w:hAnsi="Calibri" w:cs="Calibri"/>
                <w:b/>
                <w:bCs/>
                <w:sz w:val="21"/>
                <w:szCs w:val="22"/>
                <w:lang w:eastAsia="en-AU"/>
              </w:rPr>
              <w:t>174.6</w:t>
            </w:r>
          </w:p>
        </w:tc>
        <w:tc>
          <w:tcPr>
            <w:tcW w:w="1209" w:type="dxa"/>
            <w:gridSpan w:val="2"/>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 xml:space="preserve">23 </w:t>
            </w:r>
            <w:r w:rsidRPr="003E2DBE">
              <w:rPr>
                <w:rFonts w:ascii="Calibri" w:eastAsiaTheme="minorEastAsia" w:hAnsi="Calibri" w:cs="Calibri"/>
                <w:b/>
                <w:bCs/>
                <w:sz w:val="21"/>
                <w:szCs w:val="22"/>
                <w:lang w:eastAsia="en-AU"/>
              </w:rPr>
              <w:t>069.8</w:t>
            </w:r>
          </w:p>
        </w:tc>
        <w:tc>
          <w:tcPr>
            <w:tcW w:w="1210" w:type="dxa"/>
            <w:gridSpan w:val="3"/>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 xml:space="preserve">22 </w:t>
            </w:r>
            <w:r w:rsidRPr="003E2DBE">
              <w:rPr>
                <w:rFonts w:ascii="Calibri" w:eastAsiaTheme="minorEastAsia" w:hAnsi="Calibri" w:cs="Calibri"/>
                <w:b/>
                <w:bCs/>
                <w:sz w:val="21"/>
                <w:szCs w:val="22"/>
                <w:lang w:eastAsia="en-AU"/>
              </w:rPr>
              <w:t>086.8</w:t>
            </w:r>
          </w:p>
        </w:tc>
      </w:tr>
    </w:tbl>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Pr>
        <w:pStyle w:val="Heading2NotesContd"/>
        <w:rPr>
          <w:i/>
        </w:rPr>
      </w:pPr>
      <w:r w:rsidRPr="00D00665">
        <w:br w:type="page"/>
      </w:r>
      <w:r w:rsidRPr="00D00665">
        <w:lastRenderedPageBreak/>
        <w:t>Note 22:</w:t>
      </w:r>
      <w:r w:rsidRPr="00D00665">
        <w:tab/>
        <w:t xml:space="preserve">Land, buildings, infrastructure, plant and equipment </w:t>
      </w:r>
      <w:r w:rsidRPr="00D00665">
        <w:rPr>
          <w:i/>
        </w:rPr>
        <w:t>(continued)</w:t>
      </w:r>
    </w:p>
    <w:p w:rsidR="000B4A1E" w:rsidRPr="00D00665" w:rsidRDefault="000B4A1E" w:rsidP="00517E51">
      <w:pPr>
        <w:pStyle w:val="Heading5"/>
      </w:pPr>
      <w:r w:rsidRPr="00D00665">
        <w:t>(b)</w:t>
      </w:r>
      <w:r w:rsidRPr="00D00665">
        <w:tab/>
        <w:t>Land and buildings</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270"/>
        <w:gridCol w:w="595"/>
        <w:gridCol w:w="1123"/>
        <w:gridCol w:w="262"/>
        <w:gridCol w:w="861"/>
        <w:gridCol w:w="887"/>
        <w:gridCol w:w="236"/>
      </w:tblGrid>
      <w:tr w:rsidR="000B4A1E" w:rsidRPr="003E2DBE" w:rsidTr="00517E51">
        <w:tc>
          <w:tcPr>
            <w:tcW w:w="5156"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lang w:eastAsia="en-AU"/>
              </w:rPr>
            </w:pPr>
            <w:r w:rsidRPr="003E2DBE">
              <w:rPr>
                <w:sz w:val="21"/>
                <w:lang w:eastAsia="en-AU"/>
              </w:rPr>
              <w:t xml:space="preserve"> </w:t>
            </w:r>
          </w:p>
        </w:tc>
        <w:tc>
          <w:tcPr>
            <w:tcW w:w="258"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372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Public Administration</w:t>
            </w:r>
          </w:p>
        </w:tc>
        <w:tc>
          <w:tcPr>
            <w:tcW w:w="236"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r>
      <w:tr w:rsidR="000B4A1E" w:rsidRPr="003E2DBE" w:rsidTr="00517E51">
        <w:tc>
          <w:tcPr>
            <w:tcW w:w="5156" w:type="dxa"/>
            <w:tcBorders>
              <w:top w:val="single" w:sz="6"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lang w:eastAsia="en-AU"/>
              </w:rPr>
            </w:pPr>
            <w:r w:rsidRPr="003E2DBE">
              <w:rPr>
                <w:sz w:val="21"/>
                <w:lang w:eastAsia="en-AU"/>
              </w:rPr>
              <w:t xml:space="preserve"> </w:t>
            </w:r>
          </w:p>
        </w:tc>
        <w:tc>
          <w:tcPr>
            <w:tcW w:w="258"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 xml:space="preserve"> </w:t>
            </w:r>
          </w:p>
        </w:tc>
        <w:tc>
          <w:tcPr>
            <w:tcW w:w="1988" w:type="dxa"/>
            <w:gridSpan w:val="3"/>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p>
          <w:p w:rsidR="000B4A1E" w:rsidRPr="003E2DBE" w:rsidRDefault="000B4A1E" w:rsidP="00517E51">
            <w:pPr>
              <w:pStyle w:val="TabletextheadingCentred"/>
              <w:rPr>
                <w:sz w:val="21"/>
                <w:lang w:eastAsia="en-AU"/>
              </w:rPr>
            </w:pPr>
            <w:r w:rsidRPr="003E2DBE">
              <w:rPr>
                <w:sz w:val="21"/>
                <w:lang w:eastAsia="en-AU"/>
              </w:rPr>
              <w:t>State of Victoria</w:t>
            </w:r>
          </w:p>
        </w:tc>
        <w:tc>
          <w:tcPr>
            <w:tcW w:w="262"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1984" w:type="dxa"/>
            <w:gridSpan w:val="3"/>
            <w:tcBorders>
              <w:top w:val="single" w:sz="6"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General </w:t>
            </w:r>
          </w:p>
          <w:p w:rsidR="000B4A1E" w:rsidRPr="003E2DBE" w:rsidRDefault="000B4A1E" w:rsidP="00517E51">
            <w:pPr>
              <w:pStyle w:val="TabletextheadingCentred"/>
              <w:rPr>
                <w:sz w:val="21"/>
                <w:lang w:eastAsia="en-AU"/>
              </w:rPr>
            </w:pPr>
            <w:r w:rsidRPr="003E2DBE">
              <w:rPr>
                <w:sz w:val="21"/>
                <w:lang w:eastAsia="en-AU"/>
              </w:rPr>
              <w:t>government sector</w:t>
            </w:r>
          </w:p>
        </w:tc>
      </w:tr>
      <w:tr w:rsidR="000B4A1E" w:rsidRPr="003E2DBE" w:rsidTr="00517E51">
        <w:tc>
          <w:tcPr>
            <w:tcW w:w="5156"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
              <w:rPr>
                <w:sz w:val="21"/>
                <w:lang w:eastAsia="en-AU"/>
              </w:rPr>
            </w:pPr>
            <w:r w:rsidRPr="003E2DBE">
              <w:rPr>
                <w:sz w:val="21"/>
                <w:lang w:eastAsia="en-AU"/>
              </w:rPr>
              <w:t xml:space="preserve"> </w:t>
            </w:r>
          </w:p>
        </w:tc>
        <w:tc>
          <w:tcPr>
            <w:tcW w:w="1123" w:type="dxa"/>
            <w:gridSpan w:val="3"/>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12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123"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123" w:type="dxa"/>
            <w:gridSpan w:val="2"/>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Buildings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w:t>
            </w:r>
            <w:r w:rsidRPr="003E2DBE">
              <w:rPr>
                <w:rFonts w:eastAsiaTheme="minorEastAsia" w:cs="Calibri"/>
                <w:sz w:val="21"/>
                <w:szCs w:val="22"/>
                <w:lang w:eastAsia="en-AU"/>
              </w:rPr>
              <w:t xml:space="preserve"> 178.6</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w:t>
            </w:r>
            <w:r w:rsidRPr="003E2DBE">
              <w:rPr>
                <w:rFonts w:eastAsiaTheme="minorEastAsia" w:cs="Calibri"/>
                <w:sz w:val="21"/>
                <w:szCs w:val="22"/>
                <w:lang w:eastAsia="en-AU"/>
              </w:rPr>
              <w:t xml:space="preserve"> 155.1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125.9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059.9</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 xml:space="preserve">Accumulated depreciation </w:t>
            </w:r>
            <w:r w:rsidRPr="003E2DBE">
              <w:rPr>
                <w:sz w:val="21"/>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 xml:space="preserve"> 118.8)</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 xml:space="preserve"> 287.1)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 xml:space="preserve"> 93.8)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 xml:space="preserve"> 69.6)</w:t>
            </w:r>
          </w:p>
        </w:tc>
      </w:tr>
      <w:tr w:rsidR="000B4A1E" w:rsidRPr="003E2DBE" w:rsidTr="00517E51">
        <w:tc>
          <w:tcPr>
            <w:tcW w:w="5156" w:type="dxa"/>
            <w:tcBorders>
              <w:top w:val="nil"/>
              <w:left w:val="nil"/>
              <w:bottom w:val="nil"/>
              <w:right w:val="nil"/>
            </w:tcBorders>
          </w:tcPr>
          <w:p w:rsidR="000B4A1E" w:rsidRPr="00C3289E" w:rsidRDefault="000B4A1E" w:rsidP="00517E51">
            <w:pPr>
              <w:pStyle w:val="Tabletext"/>
              <w:rPr>
                <w:b/>
                <w:bCs/>
                <w:sz w:val="21"/>
                <w:lang w:eastAsia="en-AU"/>
              </w:rPr>
            </w:pPr>
            <w:r w:rsidRPr="00C3289E">
              <w:rPr>
                <w:b/>
                <w:bCs/>
                <w:sz w:val="21"/>
                <w:lang w:eastAsia="en-AU"/>
              </w:rPr>
              <w:t xml:space="preserve">Buildings (written down value) </w:t>
            </w:r>
            <w:r w:rsidRPr="00C3289E">
              <w:rPr>
                <w:b/>
                <w:sz w:val="21"/>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2</w:t>
            </w:r>
            <w:r w:rsidRPr="003E2DBE">
              <w:rPr>
                <w:rFonts w:eastAsiaTheme="minorEastAsia" w:cs="Calibri"/>
                <w:b/>
                <w:bCs/>
                <w:sz w:val="21"/>
                <w:szCs w:val="22"/>
                <w:lang w:eastAsia="en-AU"/>
              </w:rPr>
              <w:t xml:space="preserve"> 059.8</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w:t>
            </w:r>
            <w:r w:rsidRPr="003E2DBE">
              <w:rPr>
                <w:rFonts w:eastAsiaTheme="minorEastAsia" w:cs="Calibri"/>
                <w:b/>
                <w:bCs/>
                <w:sz w:val="21"/>
                <w:szCs w:val="22"/>
                <w:lang w:eastAsia="en-AU"/>
              </w:rPr>
              <w:t xml:space="preserve"> 868.0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w:t>
            </w:r>
            <w:r w:rsidRPr="003E2DBE">
              <w:rPr>
                <w:rFonts w:eastAsiaTheme="minorEastAsia" w:cs="Calibri"/>
                <w:b/>
                <w:bCs/>
                <w:sz w:val="21"/>
                <w:szCs w:val="22"/>
                <w:lang w:eastAsia="en-AU"/>
              </w:rPr>
              <w:t xml:space="preserve"> 032.1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990.3</w:t>
            </w:r>
          </w:p>
        </w:tc>
      </w:tr>
      <w:tr w:rsidR="000B4A1E" w:rsidRPr="003E2DBE" w:rsidTr="00517E51">
        <w:tc>
          <w:tcPr>
            <w:tcW w:w="5156" w:type="dxa"/>
            <w:tcBorders>
              <w:top w:val="nil"/>
              <w:left w:val="nil"/>
              <w:bottom w:val="nil"/>
              <w:right w:val="nil"/>
            </w:tcBorders>
          </w:tcPr>
          <w:p w:rsidR="000B4A1E" w:rsidRPr="00C3289E" w:rsidRDefault="000B4A1E" w:rsidP="00517E51">
            <w:pPr>
              <w:pStyle w:val="Tabletext"/>
              <w:rPr>
                <w:rFonts w:eastAsiaTheme="minorEastAsia" w:cs="Calibri"/>
                <w:b/>
                <w:bCs/>
                <w:sz w:val="21"/>
                <w:szCs w:val="22"/>
                <w:lang w:eastAsia="en-AU"/>
              </w:rPr>
            </w:pPr>
            <w:r w:rsidRPr="00C3289E">
              <w:rPr>
                <w:b/>
                <w:bCs/>
                <w:sz w:val="21"/>
                <w:lang w:eastAsia="en-AU"/>
              </w:rPr>
              <w:t xml:space="preserve">Buildings leasehold </w:t>
            </w:r>
            <w:r w:rsidRPr="00C3289E">
              <w:rPr>
                <w:rFonts w:eastAsiaTheme="minorEastAsia" w:cs="Calibri"/>
                <w:b/>
                <w:bCs/>
                <w:sz w:val="21"/>
                <w:szCs w:val="22"/>
                <w:lang w:eastAsia="en-AU"/>
              </w:rPr>
              <w:t>(written down value)</w:t>
            </w:r>
            <w:r w:rsidRPr="00C3289E">
              <w:rPr>
                <w:b/>
                <w:sz w:val="21"/>
                <w:lang w:eastAsia="en-AU"/>
              </w:rPr>
              <w:t xml:space="preserve"> </w:t>
            </w:r>
            <w:r w:rsidRPr="00C3289E">
              <w:rPr>
                <w:b/>
                <w:sz w:val="21"/>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72.5</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75.0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39.1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50.0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Land</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402.1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417.9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946.6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957.3</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 xml:space="preserve">National parks and other </w:t>
            </w:r>
            <w:r>
              <w:rPr>
                <w:sz w:val="21"/>
                <w:lang w:eastAsia="en-AU"/>
              </w:rPr>
              <w:t>‘</w:t>
            </w:r>
            <w:r w:rsidRPr="003E2DBE">
              <w:rPr>
                <w:sz w:val="21"/>
                <w:lang w:eastAsia="en-AU"/>
              </w:rPr>
              <w:t>land only</w:t>
            </w:r>
            <w:r>
              <w:rPr>
                <w:sz w:val="21"/>
                <w:lang w:eastAsia="en-AU"/>
              </w:rPr>
              <w:t>’</w:t>
            </w:r>
            <w:r w:rsidRPr="003E2DBE">
              <w:rPr>
                <w:sz w:val="21"/>
                <w:lang w:eastAsia="en-AU"/>
              </w:rPr>
              <w:t xml:space="preserve"> holdings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b/>
                <w:bCs/>
                <w:sz w:val="21"/>
                <w:lang w:eastAsia="en-AU"/>
              </w:rPr>
            </w:pPr>
            <w:r w:rsidRPr="003E2DBE">
              <w:rPr>
                <w:b/>
                <w:bCs/>
                <w:sz w:val="21"/>
                <w:lang w:eastAsia="en-AU"/>
              </w:rPr>
              <w:t>Land and national parks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w:t>
            </w:r>
            <w:r w:rsidRPr="003E2DBE">
              <w:rPr>
                <w:rFonts w:eastAsiaTheme="minorEastAsia" w:cs="Calibri"/>
                <w:b/>
                <w:bCs/>
                <w:sz w:val="21"/>
                <w:szCs w:val="22"/>
                <w:lang w:eastAsia="en-AU"/>
              </w:rPr>
              <w:t xml:space="preserve"> 402.1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w:t>
            </w:r>
            <w:r w:rsidRPr="003E2DBE">
              <w:rPr>
                <w:rFonts w:eastAsiaTheme="minorEastAsia" w:cs="Calibri"/>
                <w:b/>
                <w:bCs/>
                <w:sz w:val="21"/>
                <w:szCs w:val="22"/>
                <w:lang w:eastAsia="en-AU"/>
              </w:rPr>
              <w:t xml:space="preserve"> 417.9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946.6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957.3</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b/>
                <w:bCs/>
                <w:sz w:val="21"/>
                <w:lang w:eastAsia="en-AU"/>
              </w:rPr>
            </w:pPr>
            <w:r w:rsidRPr="003E2DBE">
              <w:rPr>
                <w:b/>
                <w:bCs/>
                <w:sz w:val="21"/>
                <w:lang w:eastAsia="en-AU"/>
              </w:rPr>
              <w:t>Total land and buildings</w:t>
            </w:r>
          </w:p>
        </w:tc>
        <w:tc>
          <w:tcPr>
            <w:tcW w:w="1123"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3</w:t>
            </w:r>
            <w:r w:rsidRPr="003E2DBE">
              <w:rPr>
                <w:rFonts w:eastAsiaTheme="minorEastAsia" w:cs="Calibri"/>
                <w:b/>
                <w:bCs/>
                <w:sz w:val="21"/>
                <w:szCs w:val="22"/>
                <w:lang w:eastAsia="en-AU"/>
              </w:rPr>
              <w:t xml:space="preserve"> 534.5</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3</w:t>
            </w:r>
            <w:r w:rsidRPr="003E2DBE">
              <w:rPr>
                <w:rFonts w:eastAsiaTheme="minorEastAsia" w:cs="Calibri"/>
                <w:b/>
                <w:bCs/>
                <w:sz w:val="21"/>
                <w:szCs w:val="22"/>
                <w:lang w:eastAsia="en-AU"/>
              </w:rPr>
              <w:t xml:space="preserve"> 360.9</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2</w:t>
            </w:r>
            <w:r w:rsidRPr="003E2DBE">
              <w:rPr>
                <w:rFonts w:eastAsiaTheme="minorEastAsia" w:cs="Calibri"/>
                <w:b/>
                <w:bCs/>
                <w:sz w:val="21"/>
                <w:szCs w:val="22"/>
                <w:lang w:eastAsia="en-AU"/>
              </w:rPr>
              <w:t xml:space="preserve"> 017.8</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w:t>
            </w:r>
            <w:r w:rsidRPr="003E2DBE">
              <w:rPr>
                <w:rFonts w:eastAsiaTheme="minorEastAsia" w:cs="Calibri"/>
                <w:b/>
                <w:bCs/>
                <w:sz w:val="21"/>
                <w:szCs w:val="22"/>
                <w:lang w:eastAsia="en-AU"/>
              </w:rPr>
              <w:t xml:space="preserve"> 997.6</w:t>
            </w:r>
          </w:p>
        </w:tc>
      </w:tr>
    </w:tbl>
    <w:p w:rsidR="000B4A1E" w:rsidRPr="00D00665" w:rsidRDefault="000B4A1E" w:rsidP="00517E51">
      <w:pPr>
        <w:pStyle w:val="Notes"/>
      </w:pPr>
    </w:p>
    <w:p w:rsidR="000B4A1E" w:rsidRDefault="000B4A1E" w:rsidP="00517E51">
      <w:pPr>
        <w:pStyle w:val="Notes"/>
        <w:rPr>
          <w:rFonts w:ascii="Times New Roman" w:hAnsi="Times New Roman"/>
          <w:i w:val="0"/>
          <w:sz w:val="20"/>
          <w:lang w:eastAsia="en-AU"/>
        </w:rPr>
      </w:pP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270"/>
        <w:gridCol w:w="595"/>
        <w:gridCol w:w="1123"/>
        <w:gridCol w:w="262"/>
        <w:gridCol w:w="861"/>
        <w:gridCol w:w="887"/>
        <w:gridCol w:w="236"/>
      </w:tblGrid>
      <w:tr w:rsidR="000B4A1E" w:rsidRPr="003E2DBE" w:rsidTr="00517E51">
        <w:tc>
          <w:tcPr>
            <w:tcW w:w="5156"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lang w:eastAsia="en-AU"/>
              </w:rPr>
            </w:pPr>
            <w:r w:rsidRPr="003E2DBE">
              <w:rPr>
                <w:sz w:val="21"/>
                <w:lang w:eastAsia="en-AU"/>
              </w:rPr>
              <w:t xml:space="preserve"> </w:t>
            </w:r>
          </w:p>
        </w:tc>
        <w:tc>
          <w:tcPr>
            <w:tcW w:w="258"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 xml:space="preserve"> </w:t>
            </w:r>
          </w:p>
        </w:tc>
        <w:tc>
          <w:tcPr>
            <w:tcW w:w="372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Community Housing</w:t>
            </w:r>
          </w:p>
        </w:tc>
        <w:tc>
          <w:tcPr>
            <w:tcW w:w="236"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r>
      <w:tr w:rsidR="000B4A1E" w:rsidRPr="003E2DBE" w:rsidTr="00517E51">
        <w:tc>
          <w:tcPr>
            <w:tcW w:w="5156" w:type="dxa"/>
            <w:tcBorders>
              <w:top w:val="single" w:sz="6"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lang w:eastAsia="en-AU"/>
              </w:rPr>
            </w:pPr>
            <w:r w:rsidRPr="003E2DBE">
              <w:rPr>
                <w:sz w:val="21"/>
                <w:lang w:eastAsia="en-AU"/>
              </w:rPr>
              <w:t xml:space="preserve"> </w:t>
            </w:r>
          </w:p>
        </w:tc>
        <w:tc>
          <w:tcPr>
            <w:tcW w:w="258"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 xml:space="preserve"> </w:t>
            </w:r>
          </w:p>
        </w:tc>
        <w:tc>
          <w:tcPr>
            <w:tcW w:w="1988" w:type="dxa"/>
            <w:gridSpan w:val="3"/>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p>
          <w:p w:rsidR="000B4A1E" w:rsidRPr="003E2DBE" w:rsidRDefault="000B4A1E" w:rsidP="00517E51">
            <w:pPr>
              <w:pStyle w:val="TabletextheadingCentred"/>
              <w:rPr>
                <w:sz w:val="21"/>
                <w:lang w:eastAsia="en-AU"/>
              </w:rPr>
            </w:pPr>
            <w:r w:rsidRPr="003E2DBE">
              <w:rPr>
                <w:sz w:val="21"/>
                <w:lang w:eastAsia="en-AU"/>
              </w:rPr>
              <w:t>State of Victoria</w:t>
            </w:r>
          </w:p>
        </w:tc>
        <w:tc>
          <w:tcPr>
            <w:tcW w:w="262"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1984" w:type="dxa"/>
            <w:gridSpan w:val="3"/>
            <w:tcBorders>
              <w:top w:val="single" w:sz="6"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General </w:t>
            </w:r>
          </w:p>
          <w:p w:rsidR="000B4A1E" w:rsidRPr="003E2DBE" w:rsidRDefault="000B4A1E" w:rsidP="00517E51">
            <w:pPr>
              <w:pStyle w:val="TabletextheadingCentred"/>
              <w:rPr>
                <w:sz w:val="21"/>
                <w:lang w:eastAsia="en-AU"/>
              </w:rPr>
            </w:pPr>
            <w:r w:rsidRPr="003E2DBE">
              <w:rPr>
                <w:sz w:val="21"/>
                <w:lang w:eastAsia="en-AU"/>
              </w:rPr>
              <w:t>government sector</w:t>
            </w:r>
          </w:p>
        </w:tc>
      </w:tr>
      <w:tr w:rsidR="000B4A1E" w:rsidRPr="003E2DBE" w:rsidTr="00517E51">
        <w:tc>
          <w:tcPr>
            <w:tcW w:w="5156"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
              <w:rPr>
                <w:sz w:val="21"/>
                <w:lang w:eastAsia="en-AU"/>
              </w:rPr>
            </w:pPr>
            <w:r w:rsidRPr="003E2DBE">
              <w:rPr>
                <w:sz w:val="21"/>
                <w:lang w:eastAsia="en-AU"/>
              </w:rPr>
              <w:t xml:space="preserve"> </w:t>
            </w:r>
          </w:p>
        </w:tc>
        <w:tc>
          <w:tcPr>
            <w:tcW w:w="1123" w:type="dxa"/>
            <w:gridSpan w:val="3"/>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12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123"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123" w:type="dxa"/>
            <w:gridSpan w:val="2"/>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Buildings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9 </w:t>
            </w:r>
            <w:r w:rsidRPr="003E2DBE">
              <w:rPr>
                <w:rFonts w:eastAsiaTheme="minorEastAsia" w:cs="Calibri"/>
                <w:sz w:val="21"/>
                <w:szCs w:val="22"/>
                <w:lang w:eastAsia="en-AU"/>
              </w:rPr>
              <w:t>093.5</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8 </w:t>
            </w:r>
            <w:r w:rsidRPr="003E2DBE">
              <w:rPr>
                <w:rFonts w:eastAsiaTheme="minorEastAsia" w:cs="Calibri"/>
                <w:sz w:val="21"/>
                <w:szCs w:val="22"/>
                <w:lang w:eastAsia="en-AU"/>
              </w:rPr>
              <w:t>860.7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 xml:space="preserve">Accumulated depreciation </w:t>
            </w:r>
            <w:r w:rsidRPr="003E2DBE">
              <w:rPr>
                <w:sz w:val="21"/>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607.1)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444.8)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r>
      <w:tr w:rsidR="000B4A1E" w:rsidRPr="003E2DBE" w:rsidTr="00517E51">
        <w:tc>
          <w:tcPr>
            <w:tcW w:w="5156" w:type="dxa"/>
            <w:tcBorders>
              <w:top w:val="nil"/>
              <w:left w:val="nil"/>
              <w:bottom w:val="nil"/>
              <w:right w:val="nil"/>
            </w:tcBorders>
          </w:tcPr>
          <w:p w:rsidR="000B4A1E" w:rsidRPr="00C3289E" w:rsidRDefault="000B4A1E" w:rsidP="00517E51">
            <w:pPr>
              <w:pStyle w:val="Tabletext"/>
              <w:rPr>
                <w:b/>
                <w:bCs/>
                <w:sz w:val="21"/>
                <w:lang w:eastAsia="en-AU"/>
              </w:rPr>
            </w:pPr>
            <w:r w:rsidRPr="00C3289E">
              <w:rPr>
                <w:b/>
                <w:bCs/>
                <w:sz w:val="21"/>
                <w:lang w:eastAsia="en-AU"/>
              </w:rPr>
              <w:t xml:space="preserve">Buildings (written down value) </w:t>
            </w:r>
            <w:r w:rsidRPr="00C3289E">
              <w:rPr>
                <w:b/>
                <w:sz w:val="21"/>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8 </w:t>
            </w:r>
            <w:r w:rsidRPr="003E2DBE">
              <w:rPr>
                <w:rFonts w:eastAsiaTheme="minorEastAsia" w:cs="Calibri"/>
                <w:b/>
                <w:bCs/>
                <w:sz w:val="21"/>
                <w:szCs w:val="22"/>
                <w:lang w:eastAsia="en-AU"/>
              </w:rPr>
              <w:t>486.5</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8 </w:t>
            </w:r>
            <w:r w:rsidRPr="003E2DBE">
              <w:rPr>
                <w:rFonts w:eastAsiaTheme="minorEastAsia" w:cs="Calibri"/>
                <w:b/>
                <w:bCs/>
                <w:sz w:val="21"/>
                <w:szCs w:val="22"/>
                <w:lang w:eastAsia="en-AU"/>
              </w:rPr>
              <w:t>415.9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w:t>
            </w:r>
            <w:r w:rsidRPr="003E2DBE">
              <w:rPr>
                <w:rFonts w:eastAsiaTheme="minorEastAsia" w:cs="Calibri"/>
                <w:b/>
                <w:bCs/>
                <w:sz w:val="21"/>
                <w:szCs w:val="22"/>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w:t>
            </w:r>
            <w:r w:rsidRPr="003E2DBE">
              <w:rPr>
                <w:rFonts w:eastAsiaTheme="minorEastAsia" w:cs="Calibri"/>
                <w:b/>
                <w:bCs/>
                <w:sz w:val="21"/>
                <w:szCs w:val="22"/>
                <w:lang w:eastAsia="en-AU"/>
              </w:rPr>
              <w:t>.</w:t>
            </w:r>
          </w:p>
        </w:tc>
      </w:tr>
      <w:tr w:rsidR="000B4A1E" w:rsidRPr="003E2DBE" w:rsidTr="00517E51">
        <w:tc>
          <w:tcPr>
            <w:tcW w:w="5156" w:type="dxa"/>
            <w:tcBorders>
              <w:top w:val="nil"/>
              <w:left w:val="nil"/>
              <w:bottom w:val="nil"/>
              <w:right w:val="nil"/>
            </w:tcBorders>
          </w:tcPr>
          <w:p w:rsidR="000B4A1E" w:rsidRPr="00C3289E" w:rsidRDefault="000B4A1E" w:rsidP="00517E51">
            <w:pPr>
              <w:pStyle w:val="Tabletext"/>
              <w:rPr>
                <w:rFonts w:eastAsiaTheme="minorEastAsia" w:cs="Calibri"/>
                <w:b/>
                <w:bCs/>
                <w:sz w:val="21"/>
                <w:szCs w:val="22"/>
                <w:lang w:eastAsia="en-AU"/>
              </w:rPr>
            </w:pPr>
            <w:r w:rsidRPr="00C3289E">
              <w:rPr>
                <w:b/>
                <w:bCs/>
                <w:sz w:val="21"/>
                <w:lang w:eastAsia="en-AU"/>
              </w:rPr>
              <w:t xml:space="preserve">Buildings leasehold </w:t>
            </w:r>
            <w:r w:rsidRPr="00C3289E">
              <w:rPr>
                <w:rFonts w:eastAsiaTheme="minorEastAsia" w:cs="Calibri"/>
                <w:b/>
                <w:bCs/>
                <w:sz w:val="21"/>
                <w:szCs w:val="22"/>
                <w:lang w:eastAsia="en-AU"/>
              </w:rPr>
              <w:t xml:space="preserve">(written down value) </w:t>
            </w:r>
            <w:r w:rsidRPr="00C3289E">
              <w:rPr>
                <w:b/>
                <w:sz w:val="21"/>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4.1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4.5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w:t>
            </w:r>
            <w:r w:rsidRPr="003E2DBE">
              <w:rPr>
                <w:rFonts w:eastAsiaTheme="minorEastAsia" w:cs="Calibri"/>
                <w:b/>
                <w:bCs/>
                <w:sz w:val="21"/>
                <w:szCs w:val="22"/>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w:t>
            </w:r>
            <w:r w:rsidRPr="003E2DBE">
              <w:rPr>
                <w:rFonts w:eastAsiaTheme="minorEastAsia" w:cs="Calibri"/>
                <w:b/>
                <w:bCs/>
                <w:sz w:val="21"/>
                <w:szCs w:val="22"/>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Land</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9 </w:t>
            </w:r>
            <w:r w:rsidRPr="003E2DBE">
              <w:rPr>
                <w:rFonts w:eastAsiaTheme="minorEastAsia" w:cs="Calibri"/>
                <w:sz w:val="21"/>
                <w:szCs w:val="22"/>
                <w:lang w:eastAsia="en-AU"/>
              </w:rPr>
              <w:t>511.6</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9 </w:t>
            </w:r>
            <w:r w:rsidRPr="003E2DBE">
              <w:rPr>
                <w:rFonts w:eastAsiaTheme="minorEastAsia" w:cs="Calibri"/>
                <w:sz w:val="21"/>
                <w:szCs w:val="22"/>
                <w:lang w:eastAsia="en-AU"/>
              </w:rPr>
              <w:t>552.6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 xml:space="preserve">National parks and other </w:t>
            </w:r>
            <w:r>
              <w:rPr>
                <w:sz w:val="21"/>
                <w:lang w:eastAsia="en-AU"/>
              </w:rPr>
              <w:t>‘</w:t>
            </w:r>
            <w:r w:rsidRPr="003E2DBE">
              <w:rPr>
                <w:sz w:val="21"/>
                <w:lang w:eastAsia="en-AU"/>
              </w:rPr>
              <w:t>land only</w:t>
            </w:r>
            <w:r>
              <w:rPr>
                <w:sz w:val="21"/>
                <w:lang w:eastAsia="en-AU"/>
              </w:rPr>
              <w:t>’</w:t>
            </w:r>
            <w:r w:rsidRPr="003E2DBE">
              <w:rPr>
                <w:sz w:val="21"/>
                <w:lang w:eastAsia="en-AU"/>
              </w:rPr>
              <w:t xml:space="preserve"> holdings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b/>
                <w:bCs/>
                <w:sz w:val="21"/>
                <w:lang w:eastAsia="en-AU"/>
              </w:rPr>
            </w:pPr>
            <w:r w:rsidRPr="003E2DBE">
              <w:rPr>
                <w:b/>
                <w:bCs/>
                <w:sz w:val="21"/>
                <w:lang w:eastAsia="en-AU"/>
              </w:rPr>
              <w:t>Land and national parks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9 </w:t>
            </w:r>
            <w:r w:rsidRPr="003E2DBE">
              <w:rPr>
                <w:rFonts w:eastAsiaTheme="minorEastAsia" w:cs="Calibri"/>
                <w:b/>
                <w:bCs/>
                <w:sz w:val="21"/>
                <w:szCs w:val="22"/>
                <w:lang w:eastAsia="en-AU"/>
              </w:rPr>
              <w:t>511.6</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9 </w:t>
            </w:r>
            <w:r w:rsidRPr="003E2DBE">
              <w:rPr>
                <w:rFonts w:eastAsiaTheme="minorEastAsia" w:cs="Calibri"/>
                <w:b/>
                <w:bCs/>
                <w:sz w:val="21"/>
                <w:szCs w:val="22"/>
                <w:lang w:eastAsia="en-AU"/>
              </w:rPr>
              <w:t>552.6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w:t>
            </w:r>
            <w:r w:rsidRPr="003E2DBE">
              <w:rPr>
                <w:rFonts w:eastAsiaTheme="minorEastAsia" w:cs="Calibri"/>
                <w:b/>
                <w:bCs/>
                <w:sz w:val="21"/>
                <w:szCs w:val="22"/>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w:t>
            </w:r>
            <w:r w:rsidRPr="003E2DBE">
              <w:rPr>
                <w:rFonts w:eastAsiaTheme="minorEastAsia" w:cs="Calibri"/>
                <w:b/>
                <w:bCs/>
                <w:sz w:val="21"/>
                <w:szCs w:val="22"/>
                <w:lang w:eastAsia="en-AU"/>
              </w:rPr>
              <w:t>.</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b/>
                <w:bCs/>
                <w:sz w:val="21"/>
                <w:lang w:eastAsia="en-AU"/>
              </w:rPr>
            </w:pPr>
            <w:r w:rsidRPr="003E2DBE">
              <w:rPr>
                <w:b/>
                <w:bCs/>
                <w:sz w:val="21"/>
                <w:lang w:eastAsia="en-AU"/>
              </w:rPr>
              <w:t>Total land and buildings</w:t>
            </w:r>
          </w:p>
        </w:tc>
        <w:tc>
          <w:tcPr>
            <w:tcW w:w="1123"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18 </w:t>
            </w:r>
            <w:r w:rsidRPr="003E2DBE">
              <w:rPr>
                <w:rFonts w:eastAsiaTheme="minorEastAsia" w:cs="Calibri"/>
                <w:b/>
                <w:bCs/>
                <w:sz w:val="21"/>
                <w:szCs w:val="22"/>
                <w:lang w:eastAsia="en-AU"/>
              </w:rPr>
              <w:t>002.2</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17 </w:t>
            </w:r>
            <w:r w:rsidRPr="003E2DBE">
              <w:rPr>
                <w:rFonts w:eastAsiaTheme="minorEastAsia" w:cs="Calibri"/>
                <w:b/>
                <w:bCs/>
                <w:sz w:val="21"/>
                <w:szCs w:val="22"/>
                <w:lang w:eastAsia="en-AU"/>
              </w:rPr>
              <w:t>973.0</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w:t>
            </w:r>
            <w:r w:rsidRPr="003E2DBE">
              <w:rPr>
                <w:rFonts w:eastAsiaTheme="minorEastAsia" w:cs="Calibri"/>
                <w:b/>
                <w:bCs/>
                <w:sz w:val="21"/>
                <w:szCs w:val="22"/>
                <w:lang w:eastAsia="en-AU"/>
              </w:rPr>
              <w:t>.</w:t>
            </w:r>
          </w:p>
        </w:tc>
      </w:tr>
    </w:tbl>
    <w:p w:rsidR="000B4A1E" w:rsidRPr="00D00665" w:rsidRDefault="000B4A1E" w:rsidP="00517E51">
      <w:pPr>
        <w:pStyle w:val="Notes"/>
      </w:pPr>
    </w:p>
    <w:p w:rsidR="000B4A1E" w:rsidRDefault="000B4A1E" w:rsidP="00517E51">
      <w:pPr>
        <w:pStyle w:val="Notes"/>
        <w:rPr>
          <w:rFonts w:ascii="Times New Roman" w:hAnsi="Times New Roman"/>
          <w:i w:val="0"/>
          <w:sz w:val="20"/>
          <w:lang w:eastAsia="en-AU"/>
        </w:rPr>
      </w:pP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270"/>
        <w:gridCol w:w="595"/>
        <w:gridCol w:w="1123"/>
        <w:gridCol w:w="262"/>
        <w:gridCol w:w="861"/>
        <w:gridCol w:w="887"/>
        <w:gridCol w:w="236"/>
      </w:tblGrid>
      <w:tr w:rsidR="000B4A1E" w:rsidRPr="003E2DBE" w:rsidTr="00517E51">
        <w:tc>
          <w:tcPr>
            <w:tcW w:w="5156"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lang w:eastAsia="en-AU"/>
              </w:rPr>
            </w:pPr>
            <w:r w:rsidRPr="003E2DBE">
              <w:rPr>
                <w:sz w:val="21"/>
                <w:lang w:eastAsia="en-AU"/>
              </w:rPr>
              <w:t xml:space="preserve"> </w:t>
            </w:r>
          </w:p>
        </w:tc>
        <w:tc>
          <w:tcPr>
            <w:tcW w:w="258"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 xml:space="preserve"> </w:t>
            </w:r>
          </w:p>
        </w:tc>
        <w:tc>
          <w:tcPr>
            <w:tcW w:w="372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Total</w:t>
            </w:r>
          </w:p>
        </w:tc>
        <w:tc>
          <w:tcPr>
            <w:tcW w:w="236"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r>
      <w:tr w:rsidR="000B4A1E" w:rsidRPr="003E2DBE" w:rsidTr="00517E51">
        <w:tc>
          <w:tcPr>
            <w:tcW w:w="5156" w:type="dxa"/>
            <w:tcBorders>
              <w:top w:val="single" w:sz="6"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lang w:eastAsia="en-AU"/>
              </w:rPr>
            </w:pPr>
            <w:r w:rsidRPr="003E2DBE">
              <w:rPr>
                <w:sz w:val="21"/>
                <w:lang w:eastAsia="en-AU"/>
              </w:rPr>
              <w:t xml:space="preserve"> </w:t>
            </w:r>
          </w:p>
        </w:tc>
        <w:tc>
          <w:tcPr>
            <w:tcW w:w="258"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 xml:space="preserve"> </w:t>
            </w:r>
          </w:p>
        </w:tc>
        <w:tc>
          <w:tcPr>
            <w:tcW w:w="1988" w:type="dxa"/>
            <w:gridSpan w:val="3"/>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p>
          <w:p w:rsidR="000B4A1E" w:rsidRPr="003E2DBE" w:rsidRDefault="000B4A1E" w:rsidP="00517E51">
            <w:pPr>
              <w:pStyle w:val="TabletextheadingCentred"/>
              <w:rPr>
                <w:sz w:val="21"/>
                <w:lang w:eastAsia="en-AU"/>
              </w:rPr>
            </w:pPr>
            <w:r w:rsidRPr="003E2DBE">
              <w:rPr>
                <w:sz w:val="21"/>
                <w:lang w:eastAsia="en-AU"/>
              </w:rPr>
              <w:t>State of Victoria</w:t>
            </w:r>
          </w:p>
        </w:tc>
        <w:tc>
          <w:tcPr>
            <w:tcW w:w="262"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1984" w:type="dxa"/>
            <w:gridSpan w:val="3"/>
            <w:tcBorders>
              <w:top w:val="single" w:sz="6"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General </w:t>
            </w:r>
          </w:p>
          <w:p w:rsidR="000B4A1E" w:rsidRPr="003E2DBE" w:rsidRDefault="000B4A1E" w:rsidP="00517E51">
            <w:pPr>
              <w:pStyle w:val="TabletextheadingCentred"/>
              <w:rPr>
                <w:sz w:val="21"/>
                <w:lang w:eastAsia="en-AU"/>
              </w:rPr>
            </w:pPr>
            <w:r w:rsidRPr="003E2DBE">
              <w:rPr>
                <w:sz w:val="21"/>
                <w:lang w:eastAsia="en-AU"/>
              </w:rPr>
              <w:t>government sector</w:t>
            </w:r>
          </w:p>
        </w:tc>
      </w:tr>
      <w:tr w:rsidR="000B4A1E" w:rsidRPr="003E2DBE" w:rsidTr="00517E51">
        <w:tc>
          <w:tcPr>
            <w:tcW w:w="5156"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
              <w:rPr>
                <w:sz w:val="21"/>
                <w:lang w:eastAsia="en-AU"/>
              </w:rPr>
            </w:pPr>
            <w:r w:rsidRPr="003E2DBE">
              <w:rPr>
                <w:sz w:val="21"/>
                <w:lang w:eastAsia="en-AU"/>
              </w:rPr>
              <w:t xml:space="preserve"> </w:t>
            </w:r>
          </w:p>
        </w:tc>
        <w:tc>
          <w:tcPr>
            <w:tcW w:w="1123" w:type="dxa"/>
            <w:gridSpan w:val="3"/>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12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123"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123" w:type="dxa"/>
            <w:gridSpan w:val="2"/>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Buildings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39</w:t>
            </w:r>
            <w:r w:rsidRPr="003E2DBE">
              <w:rPr>
                <w:rFonts w:eastAsiaTheme="minorEastAsia" w:cs="Calibri"/>
                <w:sz w:val="21"/>
                <w:szCs w:val="22"/>
                <w:lang w:eastAsia="en-AU"/>
              </w:rPr>
              <w:t xml:space="preserve"> 753.0</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40</w:t>
            </w:r>
            <w:r w:rsidRPr="003E2DBE">
              <w:rPr>
                <w:rFonts w:eastAsiaTheme="minorEastAsia" w:cs="Calibri"/>
                <w:sz w:val="21"/>
                <w:szCs w:val="22"/>
                <w:lang w:eastAsia="en-AU"/>
              </w:rPr>
              <w:t xml:space="preserve"> 288.4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24</w:t>
            </w:r>
            <w:r w:rsidRPr="003E2DBE">
              <w:rPr>
                <w:rFonts w:eastAsiaTheme="minorEastAsia" w:cs="Calibri"/>
                <w:sz w:val="21"/>
                <w:szCs w:val="22"/>
                <w:lang w:eastAsia="en-AU"/>
              </w:rPr>
              <w:t xml:space="preserve"> 421.3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24</w:t>
            </w:r>
            <w:r w:rsidRPr="003E2DBE">
              <w:rPr>
                <w:rFonts w:eastAsiaTheme="minorEastAsia" w:cs="Calibri"/>
                <w:sz w:val="21"/>
                <w:szCs w:val="22"/>
                <w:lang w:eastAsia="en-AU"/>
              </w:rPr>
              <w:t xml:space="preserve"> 264.4</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 xml:space="preserve">Accumulated depreciation </w:t>
            </w:r>
            <w:r w:rsidRPr="003E2DBE">
              <w:rPr>
                <w:sz w:val="21"/>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(3</w:t>
            </w:r>
            <w:r w:rsidRPr="003E2DBE">
              <w:rPr>
                <w:rFonts w:eastAsiaTheme="minorEastAsia" w:cs="Calibri"/>
                <w:sz w:val="21"/>
                <w:szCs w:val="22"/>
                <w:lang w:eastAsia="en-AU"/>
              </w:rPr>
              <w:t xml:space="preserve"> 748.2)</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4 208.4)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2 712.5)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3 256.4)</w:t>
            </w:r>
          </w:p>
        </w:tc>
      </w:tr>
      <w:tr w:rsidR="000B4A1E" w:rsidRPr="003E2DBE" w:rsidTr="00517E51">
        <w:tc>
          <w:tcPr>
            <w:tcW w:w="5156" w:type="dxa"/>
            <w:tcBorders>
              <w:top w:val="nil"/>
              <w:left w:val="nil"/>
              <w:bottom w:val="nil"/>
              <w:right w:val="nil"/>
            </w:tcBorders>
          </w:tcPr>
          <w:p w:rsidR="000B4A1E" w:rsidRPr="00C3289E" w:rsidRDefault="000B4A1E" w:rsidP="00517E51">
            <w:pPr>
              <w:pStyle w:val="Tabletext"/>
              <w:rPr>
                <w:b/>
                <w:bCs/>
                <w:sz w:val="21"/>
                <w:lang w:eastAsia="en-AU"/>
              </w:rPr>
            </w:pPr>
            <w:r w:rsidRPr="00C3289E">
              <w:rPr>
                <w:b/>
                <w:bCs/>
                <w:sz w:val="21"/>
                <w:lang w:eastAsia="en-AU"/>
              </w:rPr>
              <w:t xml:space="preserve">Buildings (written down value) </w:t>
            </w:r>
            <w:r w:rsidRPr="00C3289E">
              <w:rPr>
                <w:b/>
                <w:sz w:val="21"/>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36 </w:t>
            </w:r>
            <w:r w:rsidRPr="003E2DBE">
              <w:rPr>
                <w:rFonts w:eastAsiaTheme="minorEastAsia" w:cs="Calibri"/>
                <w:b/>
                <w:bCs/>
                <w:sz w:val="21"/>
                <w:szCs w:val="22"/>
                <w:lang w:eastAsia="en-AU"/>
              </w:rPr>
              <w:t>004.9</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36</w:t>
            </w:r>
            <w:r w:rsidRPr="003E2DBE">
              <w:rPr>
                <w:rFonts w:eastAsiaTheme="minorEastAsia" w:cs="Calibri"/>
                <w:b/>
                <w:bCs/>
                <w:sz w:val="21"/>
                <w:szCs w:val="22"/>
                <w:lang w:eastAsia="en-AU"/>
              </w:rPr>
              <w:t xml:space="preserve"> 080.0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21</w:t>
            </w:r>
            <w:r w:rsidRPr="003E2DBE">
              <w:rPr>
                <w:rFonts w:eastAsiaTheme="minorEastAsia" w:cs="Calibri"/>
                <w:b/>
                <w:bCs/>
                <w:sz w:val="21"/>
                <w:szCs w:val="22"/>
                <w:lang w:eastAsia="en-AU"/>
              </w:rPr>
              <w:t xml:space="preserve"> 708.8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21</w:t>
            </w:r>
            <w:r w:rsidRPr="003E2DBE">
              <w:rPr>
                <w:rFonts w:eastAsiaTheme="minorEastAsia" w:cs="Calibri"/>
                <w:b/>
                <w:bCs/>
                <w:sz w:val="21"/>
                <w:szCs w:val="22"/>
                <w:lang w:eastAsia="en-AU"/>
              </w:rPr>
              <w:t xml:space="preserve"> 008.0</w:t>
            </w:r>
          </w:p>
        </w:tc>
      </w:tr>
      <w:tr w:rsidR="000B4A1E" w:rsidRPr="003E2DBE" w:rsidTr="00517E51">
        <w:tc>
          <w:tcPr>
            <w:tcW w:w="5156" w:type="dxa"/>
            <w:tcBorders>
              <w:top w:val="nil"/>
              <w:left w:val="nil"/>
              <w:bottom w:val="nil"/>
              <w:right w:val="nil"/>
            </w:tcBorders>
          </w:tcPr>
          <w:p w:rsidR="000B4A1E" w:rsidRPr="00C3289E" w:rsidRDefault="000B4A1E" w:rsidP="00517E51">
            <w:pPr>
              <w:pStyle w:val="Tabletext"/>
              <w:rPr>
                <w:rFonts w:eastAsiaTheme="minorEastAsia" w:cs="Calibri"/>
                <w:b/>
                <w:bCs/>
                <w:sz w:val="21"/>
                <w:szCs w:val="22"/>
                <w:lang w:eastAsia="en-AU"/>
              </w:rPr>
            </w:pPr>
            <w:r w:rsidRPr="00C3289E">
              <w:rPr>
                <w:b/>
                <w:bCs/>
                <w:sz w:val="21"/>
                <w:lang w:eastAsia="en-AU"/>
              </w:rPr>
              <w:t xml:space="preserve">Buildings leasehold </w:t>
            </w:r>
            <w:r w:rsidRPr="00C3289E">
              <w:rPr>
                <w:b/>
                <w:sz w:val="21"/>
                <w:lang w:eastAsia="en-AU"/>
              </w:rPr>
              <w:t xml:space="preserve">(written </w:t>
            </w:r>
            <w:r w:rsidRPr="00C3289E">
              <w:rPr>
                <w:b/>
                <w:bCs/>
                <w:sz w:val="21"/>
                <w:lang w:eastAsia="en-AU"/>
              </w:rPr>
              <w:t>down</w:t>
            </w:r>
            <w:r w:rsidRPr="00C3289E">
              <w:rPr>
                <w:rFonts w:eastAsiaTheme="minorEastAsia" w:cs="Calibri"/>
                <w:b/>
                <w:bCs/>
                <w:sz w:val="21"/>
                <w:szCs w:val="22"/>
                <w:lang w:eastAsia="en-AU"/>
              </w:rPr>
              <w:t xml:space="preserve"> value) </w:t>
            </w:r>
            <w:r w:rsidRPr="00C3289E">
              <w:rPr>
                <w:rFonts w:eastAsiaTheme="minorEastAsia" w:cs="Calibri"/>
                <w:b/>
                <w:bCs/>
                <w:sz w:val="21"/>
                <w:szCs w:val="22"/>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2 </w:t>
            </w:r>
            <w:r w:rsidRPr="003E2DBE">
              <w:rPr>
                <w:rFonts w:eastAsiaTheme="minorEastAsia" w:cs="Calibri"/>
                <w:b/>
                <w:bCs/>
                <w:sz w:val="21"/>
                <w:szCs w:val="22"/>
                <w:lang w:eastAsia="en-AU"/>
              </w:rPr>
              <w:t>339.1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2</w:t>
            </w:r>
            <w:r w:rsidRPr="003E2DBE">
              <w:rPr>
                <w:rFonts w:eastAsiaTheme="minorEastAsia" w:cs="Calibri"/>
                <w:b/>
                <w:bCs/>
                <w:sz w:val="21"/>
                <w:szCs w:val="22"/>
                <w:lang w:eastAsia="en-AU"/>
              </w:rPr>
              <w:t xml:space="preserve"> 537.6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2</w:t>
            </w:r>
            <w:r w:rsidRPr="003E2DBE">
              <w:rPr>
                <w:rFonts w:eastAsiaTheme="minorEastAsia" w:cs="Calibri"/>
                <w:b/>
                <w:bCs/>
                <w:sz w:val="21"/>
                <w:szCs w:val="22"/>
                <w:lang w:eastAsia="en-AU"/>
              </w:rPr>
              <w:t xml:space="preserve"> 291.9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2</w:t>
            </w:r>
            <w:r w:rsidRPr="003E2DBE">
              <w:rPr>
                <w:rFonts w:eastAsiaTheme="minorEastAsia" w:cs="Calibri"/>
                <w:b/>
                <w:bCs/>
                <w:sz w:val="21"/>
                <w:szCs w:val="22"/>
                <w:lang w:eastAsia="en-AU"/>
              </w:rPr>
              <w:t xml:space="preserve"> 488.8</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Land</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53 </w:t>
            </w:r>
            <w:r w:rsidRPr="003E2DBE">
              <w:rPr>
                <w:rFonts w:eastAsiaTheme="minorEastAsia" w:cs="Calibri"/>
                <w:sz w:val="21"/>
                <w:szCs w:val="22"/>
                <w:lang w:eastAsia="en-AU"/>
              </w:rPr>
              <w:t>751.5</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51</w:t>
            </w:r>
            <w:r w:rsidRPr="003E2DBE">
              <w:rPr>
                <w:rFonts w:eastAsiaTheme="minorEastAsia" w:cs="Calibri"/>
                <w:sz w:val="21"/>
                <w:szCs w:val="22"/>
                <w:lang w:eastAsia="en-AU"/>
              </w:rPr>
              <w:t xml:space="preserve"> 924.9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35</w:t>
            </w:r>
            <w:r w:rsidRPr="003E2DBE">
              <w:rPr>
                <w:rFonts w:eastAsiaTheme="minorEastAsia" w:cs="Calibri"/>
                <w:sz w:val="21"/>
                <w:szCs w:val="22"/>
                <w:lang w:eastAsia="en-AU"/>
              </w:rPr>
              <w:t xml:space="preserve"> 780.2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35</w:t>
            </w:r>
            <w:r w:rsidRPr="003E2DBE">
              <w:rPr>
                <w:rFonts w:eastAsiaTheme="minorEastAsia" w:cs="Calibri"/>
                <w:sz w:val="21"/>
                <w:szCs w:val="22"/>
                <w:lang w:eastAsia="en-AU"/>
              </w:rPr>
              <w:t xml:space="preserve"> 040.0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sz w:val="21"/>
                <w:lang w:eastAsia="en-AU"/>
              </w:rPr>
            </w:pPr>
            <w:r w:rsidRPr="003E2DBE">
              <w:rPr>
                <w:sz w:val="21"/>
                <w:lang w:eastAsia="en-AU"/>
              </w:rPr>
              <w:t xml:space="preserve">National parks and other </w:t>
            </w:r>
            <w:r>
              <w:rPr>
                <w:sz w:val="21"/>
                <w:lang w:eastAsia="en-AU"/>
              </w:rPr>
              <w:t>‘</w:t>
            </w:r>
            <w:r w:rsidRPr="003E2DBE">
              <w:rPr>
                <w:sz w:val="21"/>
                <w:lang w:eastAsia="en-AU"/>
              </w:rPr>
              <w:t>land only</w:t>
            </w:r>
            <w:r>
              <w:rPr>
                <w:sz w:val="21"/>
                <w:lang w:eastAsia="en-AU"/>
              </w:rPr>
              <w:t>’</w:t>
            </w:r>
            <w:r w:rsidRPr="003E2DBE">
              <w:rPr>
                <w:sz w:val="21"/>
                <w:lang w:eastAsia="en-AU"/>
              </w:rPr>
              <w:t xml:space="preserve"> holdings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1 </w:t>
            </w:r>
            <w:r w:rsidRPr="003E2DBE">
              <w:rPr>
                <w:rFonts w:eastAsiaTheme="minorEastAsia" w:cs="Calibri"/>
                <w:sz w:val="21"/>
                <w:szCs w:val="22"/>
                <w:lang w:eastAsia="en-AU"/>
              </w:rPr>
              <w:t>685.5</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688.0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685.5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w:t>
            </w:r>
            <w:r w:rsidRPr="003E2DBE">
              <w:rPr>
                <w:rFonts w:eastAsiaTheme="minorEastAsia" w:cs="Calibri"/>
                <w:sz w:val="21"/>
                <w:szCs w:val="22"/>
                <w:lang w:eastAsia="en-AU"/>
              </w:rPr>
              <w:t xml:space="preserve"> 688.0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b/>
                <w:bCs/>
                <w:sz w:val="21"/>
                <w:lang w:eastAsia="en-AU"/>
              </w:rPr>
            </w:pPr>
            <w:r w:rsidRPr="003E2DBE">
              <w:rPr>
                <w:b/>
                <w:bCs/>
                <w:sz w:val="21"/>
                <w:lang w:eastAsia="en-AU"/>
              </w:rPr>
              <w:t>Land and national parks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55 </w:t>
            </w:r>
            <w:r w:rsidRPr="003E2DBE">
              <w:rPr>
                <w:rFonts w:eastAsiaTheme="minorEastAsia" w:cs="Calibri"/>
                <w:b/>
                <w:bCs/>
                <w:sz w:val="21"/>
                <w:szCs w:val="22"/>
                <w:lang w:eastAsia="en-AU"/>
              </w:rPr>
              <w:t>437.0</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53</w:t>
            </w:r>
            <w:r w:rsidRPr="003E2DBE">
              <w:rPr>
                <w:rFonts w:eastAsiaTheme="minorEastAsia" w:cs="Calibri"/>
                <w:b/>
                <w:bCs/>
                <w:sz w:val="21"/>
                <w:szCs w:val="22"/>
                <w:lang w:eastAsia="en-AU"/>
              </w:rPr>
              <w:t xml:space="preserve"> 612.9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37</w:t>
            </w:r>
            <w:r w:rsidRPr="003E2DBE">
              <w:rPr>
                <w:rFonts w:eastAsiaTheme="minorEastAsia" w:cs="Calibri"/>
                <w:b/>
                <w:bCs/>
                <w:sz w:val="21"/>
                <w:szCs w:val="22"/>
                <w:lang w:eastAsia="en-AU"/>
              </w:rPr>
              <w:t xml:space="preserve"> 465.7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36</w:t>
            </w:r>
            <w:r w:rsidRPr="003E2DBE">
              <w:rPr>
                <w:rFonts w:eastAsiaTheme="minorEastAsia" w:cs="Calibri"/>
                <w:b/>
                <w:bCs/>
                <w:sz w:val="21"/>
                <w:szCs w:val="22"/>
                <w:lang w:eastAsia="en-AU"/>
              </w:rPr>
              <w:t xml:space="preserve"> 728.0</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b/>
                <w:bCs/>
                <w:sz w:val="21"/>
                <w:lang w:eastAsia="en-AU"/>
              </w:rPr>
            </w:pPr>
            <w:r w:rsidRPr="003E2DBE">
              <w:rPr>
                <w:b/>
                <w:bCs/>
                <w:sz w:val="21"/>
                <w:lang w:eastAsia="en-AU"/>
              </w:rPr>
              <w:t>Total land and buildings</w:t>
            </w:r>
          </w:p>
        </w:tc>
        <w:tc>
          <w:tcPr>
            <w:tcW w:w="1123"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93 </w:t>
            </w:r>
            <w:r w:rsidRPr="003E2DBE">
              <w:rPr>
                <w:rFonts w:eastAsiaTheme="minorEastAsia" w:cs="Calibri"/>
                <w:b/>
                <w:bCs/>
                <w:sz w:val="21"/>
                <w:szCs w:val="22"/>
                <w:lang w:eastAsia="en-AU"/>
              </w:rPr>
              <w:t>781.0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92</w:t>
            </w:r>
            <w:r w:rsidRPr="003E2DBE">
              <w:rPr>
                <w:rFonts w:eastAsiaTheme="minorEastAsia" w:cs="Calibri"/>
                <w:b/>
                <w:bCs/>
                <w:sz w:val="21"/>
                <w:szCs w:val="22"/>
                <w:lang w:eastAsia="en-AU"/>
              </w:rPr>
              <w:t xml:space="preserve"> 230.6</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61</w:t>
            </w:r>
            <w:r w:rsidRPr="003E2DBE">
              <w:rPr>
                <w:rFonts w:eastAsiaTheme="minorEastAsia" w:cs="Calibri"/>
                <w:b/>
                <w:bCs/>
                <w:sz w:val="21"/>
                <w:szCs w:val="22"/>
                <w:lang w:eastAsia="en-AU"/>
              </w:rPr>
              <w:t xml:space="preserve"> 466.4</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60</w:t>
            </w:r>
            <w:r w:rsidRPr="003E2DBE">
              <w:rPr>
                <w:rFonts w:eastAsiaTheme="minorEastAsia" w:cs="Calibri"/>
                <w:b/>
                <w:bCs/>
                <w:sz w:val="21"/>
                <w:szCs w:val="22"/>
                <w:lang w:eastAsia="en-AU"/>
              </w:rPr>
              <w:t xml:space="preserve"> 224.9</w:t>
            </w:r>
          </w:p>
        </w:tc>
      </w:tr>
    </w:tbl>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tab/>
      </w:r>
      <w:r w:rsidRPr="00D00665">
        <w:t>Accumulated Depreciation of Building Leasehold Assets was reclassified in line with disclosure of Building Leasehold (Written Down Value).</w:t>
      </w:r>
    </w:p>
    <w:p w:rsidR="000B4A1E" w:rsidRPr="00D00665" w:rsidRDefault="000B4A1E" w:rsidP="00517E51">
      <w:pPr>
        <w:pStyle w:val="Notes"/>
      </w:pPr>
    </w:p>
    <w:p w:rsidR="000B4A1E" w:rsidRPr="00D00665" w:rsidRDefault="000B4A1E" w:rsidP="00517E51">
      <w:pPr>
        <w:pStyle w:val="Notes"/>
      </w:pPr>
    </w:p>
    <w:p w:rsidR="000B4A1E" w:rsidRPr="00D00665" w:rsidRDefault="000B4A1E">
      <w:pPr>
        <w:spacing w:after="0"/>
        <w:rPr>
          <w:rFonts w:ascii="Calibri" w:hAnsi="Calibri"/>
          <w:b/>
          <w:kern w:val="28"/>
          <w:sz w:val="28"/>
          <w:szCs w:val="22"/>
        </w:rPr>
      </w:pPr>
      <w:r w:rsidRPr="00D00665">
        <w:br w:type="page"/>
      </w:r>
    </w:p>
    <w:p w:rsidR="000B4A1E" w:rsidRPr="00D00665" w:rsidRDefault="000B4A1E" w:rsidP="00517E51">
      <w:pPr>
        <w:pStyle w:val="Heading2NotesContd"/>
      </w:pPr>
    </w:p>
    <w:p w:rsidR="000B4A1E" w:rsidRPr="00D00665" w:rsidRDefault="000B4A1E" w:rsidP="00517E51">
      <w:pPr>
        <w:pStyle w:val="Heading5"/>
        <w:spacing w:before="320"/>
      </w:pPr>
    </w:p>
    <w:p w:rsidR="000B4A1E" w:rsidRPr="003E2DBE" w:rsidRDefault="000B4A1E" w:rsidP="00517E51">
      <w:pPr>
        <w:pStyle w:val="million"/>
        <w:spacing w:before="120"/>
        <w:rPr>
          <w:rFonts w:ascii="Times New Roman" w:hAnsi="Times New Roman"/>
          <w:i w:val="0"/>
          <w:szCs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284"/>
        <w:gridCol w:w="270"/>
        <w:gridCol w:w="655"/>
        <w:gridCol w:w="1210"/>
        <w:gridCol w:w="236"/>
        <w:gridCol w:w="973"/>
        <w:gridCol w:w="974"/>
        <w:gridCol w:w="236"/>
        <w:gridCol w:w="236"/>
        <w:gridCol w:w="250"/>
        <w:gridCol w:w="723"/>
        <w:gridCol w:w="1210"/>
        <w:gridCol w:w="236"/>
        <w:gridCol w:w="973"/>
        <w:gridCol w:w="974"/>
        <w:gridCol w:w="236"/>
      </w:tblGrid>
      <w:tr w:rsidR="000B4A1E" w:rsidRPr="003E2DBE" w:rsidTr="00103F3E">
        <w:tc>
          <w:tcPr>
            <w:tcW w:w="284"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404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Education</w:t>
            </w:r>
          </w:p>
        </w:tc>
        <w:tc>
          <w:tcPr>
            <w:tcW w:w="236"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236"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c>
          <w:tcPr>
            <w:tcW w:w="250" w:type="dxa"/>
            <w:tcBorders>
              <w:top w:val="single" w:sz="6" w:space="0" w:color="auto"/>
              <w:left w:val="single" w:sz="4" w:space="0" w:color="auto"/>
              <w:bottom w:val="single" w:sz="6" w:space="0" w:color="auto"/>
              <w:right w:val="nil"/>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c>
          <w:tcPr>
            <w:tcW w:w="4116" w:type="dxa"/>
            <w:gridSpan w:val="5"/>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Health and Welfare</w:t>
            </w:r>
          </w:p>
        </w:tc>
        <w:tc>
          <w:tcPr>
            <w:tcW w:w="236"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r>
      <w:tr w:rsidR="000B4A1E" w:rsidRPr="003E2DBE" w:rsidTr="00517E51">
        <w:tc>
          <w:tcPr>
            <w:tcW w:w="284" w:type="dxa"/>
            <w:tcBorders>
              <w:top w:val="single" w:sz="6" w:space="0" w:color="auto"/>
              <w:left w:val="single" w:sz="6" w:space="0" w:color="auto"/>
              <w:bottom w:val="nil"/>
              <w:right w:val="nil"/>
            </w:tcBorders>
            <w:shd w:val="solid" w:color="000000" w:fill="auto"/>
          </w:tcPr>
          <w:p w:rsidR="000B4A1E" w:rsidRPr="003E2DBE" w:rsidRDefault="000B4A1E" w:rsidP="00517E51">
            <w:pPr>
              <w:pStyle w:val="TabletextheadingCentred"/>
              <w:rPr>
                <w:sz w:val="21"/>
                <w:lang w:eastAsia="en-AU"/>
              </w:rPr>
            </w:pPr>
            <w:r w:rsidRPr="003E2DBE">
              <w:rPr>
                <w:sz w:val="21"/>
                <w:lang w:eastAsia="en-AU"/>
              </w:rPr>
              <w:t xml:space="preserve"> </w:t>
            </w:r>
          </w:p>
        </w:tc>
        <w:tc>
          <w:tcPr>
            <w:tcW w:w="2135"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lang w:eastAsia="en-AU"/>
              </w:rPr>
            </w:pPr>
          </w:p>
          <w:p w:rsidR="000B4A1E" w:rsidRPr="003E2DBE" w:rsidRDefault="000B4A1E" w:rsidP="00517E51">
            <w:pPr>
              <w:pStyle w:val="TabletextheadingCentred"/>
              <w:rPr>
                <w:sz w:val="21"/>
                <w:lang w:eastAsia="en-AU"/>
              </w:rPr>
            </w:pPr>
            <w:r w:rsidRPr="003E2DBE">
              <w:rPr>
                <w:sz w:val="21"/>
                <w:lang w:eastAsia="en-AU"/>
              </w:rPr>
              <w:t>State of Victoria</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lang w:eastAsia="en-AU"/>
              </w:rPr>
            </w:pPr>
            <w:r w:rsidRPr="003E2DBE">
              <w:rPr>
                <w:sz w:val="21"/>
                <w:lang w:eastAsia="en-AU"/>
              </w:rPr>
              <w:t xml:space="preserve"> </w:t>
            </w:r>
          </w:p>
        </w:tc>
        <w:tc>
          <w:tcPr>
            <w:tcW w:w="2183"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lang w:eastAsia="en-AU"/>
              </w:rPr>
            </w:pPr>
            <w:r w:rsidRPr="003E2DBE">
              <w:rPr>
                <w:sz w:val="21"/>
                <w:lang w:eastAsia="en-AU"/>
              </w:rPr>
              <w:t xml:space="preserve">General </w:t>
            </w:r>
          </w:p>
          <w:p w:rsidR="000B4A1E" w:rsidRPr="003E2DBE" w:rsidRDefault="000B4A1E" w:rsidP="00517E51">
            <w:pPr>
              <w:pStyle w:val="TabletextheadingCentred"/>
              <w:rPr>
                <w:sz w:val="21"/>
                <w:lang w:eastAsia="en-AU"/>
              </w:rPr>
            </w:pPr>
            <w:r w:rsidRPr="003E2DBE">
              <w:rPr>
                <w:sz w:val="21"/>
                <w:lang w:eastAsia="en-AU"/>
              </w:rPr>
              <w:t>government sector</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sz w:val="21"/>
                <w:szCs w:val="22"/>
                <w:lang w:eastAsia="en-AU"/>
              </w:rPr>
            </w:pPr>
            <w:r w:rsidRPr="003E2DBE">
              <w:rPr>
                <w:rFonts w:cs="Calibri"/>
                <w:sz w:val="21"/>
                <w:szCs w:val="22"/>
                <w:lang w:eastAsia="en-AU"/>
              </w:rPr>
              <w:t xml:space="preserve"> </w:t>
            </w:r>
          </w:p>
        </w:tc>
        <w:tc>
          <w:tcPr>
            <w:tcW w:w="2183"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iCs/>
                <w:sz w:val="21"/>
                <w:szCs w:val="22"/>
                <w:lang w:eastAsia="en-AU"/>
              </w:rPr>
            </w:pPr>
          </w:p>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State of Victoria</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c>
          <w:tcPr>
            <w:tcW w:w="2183" w:type="dxa"/>
            <w:gridSpan w:val="3"/>
            <w:tcBorders>
              <w:top w:val="single" w:sz="6" w:space="0" w:color="auto"/>
              <w:left w:val="nil"/>
              <w:bottom w:val="nil"/>
              <w:right w:val="single" w:sz="6" w:space="0" w:color="auto"/>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General </w:t>
            </w:r>
          </w:p>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government sector</w:t>
            </w:r>
          </w:p>
        </w:tc>
      </w:tr>
      <w:tr w:rsidR="000B4A1E" w:rsidRPr="003E2DBE" w:rsidTr="00517E51">
        <w:tc>
          <w:tcPr>
            <w:tcW w:w="1209" w:type="dxa"/>
            <w:gridSpan w:val="3"/>
            <w:tcBorders>
              <w:top w:val="nil"/>
              <w:left w:val="single" w:sz="6" w:space="0" w:color="auto"/>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210"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209" w:type="dxa"/>
            <w:gridSpan w:val="3"/>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2013</w:t>
            </w:r>
          </w:p>
        </w:tc>
        <w:tc>
          <w:tcPr>
            <w:tcW w:w="1210" w:type="dxa"/>
            <w:gridSpan w:val="2"/>
            <w:tcBorders>
              <w:top w:val="nil"/>
              <w:left w:val="nil"/>
              <w:bottom w:val="single" w:sz="6" w:space="0" w:color="auto"/>
              <w:right w:val="single" w:sz="6" w:space="0" w:color="auto"/>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2012</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8</w:t>
            </w:r>
            <w:r w:rsidRPr="003E2DBE">
              <w:rPr>
                <w:rFonts w:eastAsiaTheme="minorEastAsia" w:cs="Calibri"/>
                <w:sz w:val="21"/>
                <w:szCs w:val="22"/>
                <w:lang w:eastAsia="en-AU"/>
              </w:rPr>
              <w:t xml:space="preserve"> 423.1</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9</w:t>
            </w:r>
            <w:r w:rsidRPr="003E2DBE">
              <w:rPr>
                <w:rFonts w:eastAsiaTheme="minorEastAsia" w:cs="Calibri"/>
                <w:sz w:val="21"/>
                <w:szCs w:val="22"/>
                <w:lang w:eastAsia="en-AU"/>
              </w:rPr>
              <w:t xml:space="preserve"> 387.9</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8</w:t>
            </w:r>
            <w:r w:rsidRPr="003E2DBE">
              <w:rPr>
                <w:rFonts w:eastAsiaTheme="minorEastAsia" w:cs="Calibri"/>
                <w:sz w:val="21"/>
                <w:szCs w:val="22"/>
                <w:lang w:eastAsia="en-AU"/>
              </w:rPr>
              <w:t xml:space="preserve"> 423.1</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9</w:t>
            </w:r>
            <w:r w:rsidRPr="003E2DBE">
              <w:rPr>
                <w:rFonts w:eastAsiaTheme="minorEastAsia" w:cs="Calibri"/>
                <w:sz w:val="21"/>
                <w:szCs w:val="22"/>
                <w:lang w:eastAsia="en-AU"/>
              </w:rPr>
              <w:t xml:space="preserve"> 387.9</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9</w:t>
            </w:r>
            <w:r w:rsidRPr="003E2DBE">
              <w:rPr>
                <w:rFonts w:ascii="Calibri" w:eastAsiaTheme="minorEastAsia" w:hAnsi="Calibri" w:cs="Calibri"/>
                <w:sz w:val="21"/>
                <w:szCs w:val="22"/>
                <w:lang w:eastAsia="en-AU"/>
              </w:rPr>
              <w:t xml:space="preserve"> 081.6</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8</w:t>
            </w:r>
            <w:r w:rsidRPr="003E2DBE">
              <w:rPr>
                <w:rFonts w:ascii="Calibri" w:eastAsiaTheme="minorEastAsia" w:hAnsi="Calibri" w:cs="Calibri"/>
                <w:sz w:val="21"/>
                <w:szCs w:val="22"/>
                <w:lang w:eastAsia="en-AU"/>
              </w:rPr>
              <w:t xml:space="preserve"> 783.7</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9</w:t>
            </w:r>
            <w:r w:rsidRPr="003E2DBE">
              <w:rPr>
                <w:rFonts w:ascii="Calibri" w:eastAsiaTheme="minorEastAsia" w:hAnsi="Calibri" w:cs="Calibri"/>
                <w:sz w:val="21"/>
                <w:szCs w:val="22"/>
                <w:lang w:eastAsia="en-AU"/>
              </w:rPr>
              <w:t xml:space="preserve"> 066.0</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8</w:t>
            </w:r>
            <w:r w:rsidRPr="003E2DBE">
              <w:rPr>
                <w:rFonts w:ascii="Calibri" w:eastAsiaTheme="minorEastAsia" w:hAnsi="Calibri" w:cs="Calibri"/>
                <w:sz w:val="21"/>
                <w:szCs w:val="22"/>
                <w:lang w:eastAsia="en-AU"/>
              </w:rPr>
              <w:t xml:space="preserve"> 767.6</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 xml:space="preserve"> 776.7)</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 xml:space="preserve"> 776.7)</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r w:rsidRPr="003E2DBE">
              <w:rPr>
                <w:rFonts w:ascii="Calibri" w:eastAsiaTheme="minorEastAsia" w:hAnsi="Calibri" w:cs="Calibri"/>
                <w:sz w:val="21"/>
                <w:szCs w:val="22"/>
                <w:lang w:eastAsia="en-AU"/>
              </w:rPr>
              <w:t>2 284.7)</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r w:rsidRPr="003E2DBE">
              <w:rPr>
                <w:rFonts w:ascii="Calibri" w:eastAsiaTheme="minorEastAsia" w:hAnsi="Calibri" w:cs="Calibri"/>
                <w:sz w:val="21"/>
                <w:szCs w:val="22"/>
                <w:lang w:eastAsia="en-AU"/>
              </w:rPr>
              <w:t>2 212.2)</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r w:rsidRPr="003E2DBE">
              <w:rPr>
                <w:rFonts w:ascii="Calibri" w:eastAsiaTheme="minorEastAsia" w:hAnsi="Calibri" w:cs="Calibri"/>
                <w:sz w:val="21"/>
                <w:szCs w:val="22"/>
                <w:lang w:eastAsia="en-AU"/>
              </w:rPr>
              <w:t>2 284.4)</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r w:rsidRPr="003E2DBE">
              <w:rPr>
                <w:rFonts w:ascii="Calibri" w:eastAsiaTheme="minorEastAsia" w:hAnsi="Calibri" w:cs="Calibri"/>
                <w:sz w:val="21"/>
                <w:szCs w:val="22"/>
                <w:lang w:eastAsia="en-AU"/>
              </w:rPr>
              <w:t>2 211.4)</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8</w:t>
            </w:r>
            <w:r w:rsidRPr="003E2DBE">
              <w:rPr>
                <w:rFonts w:eastAsiaTheme="minorEastAsia" w:cs="Calibri"/>
                <w:b/>
                <w:bCs/>
                <w:sz w:val="21"/>
                <w:szCs w:val="22"/>
                <w:lang w:eastAsia="en-AU"/>
              </w:rPr>
              <w:t xml:space="preserve"> 423.1</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8</w:t>
            </w:r>
            <w:r w:rsidRPr="003E2DBE">
              <w:rPr>
                <w:rFonts w:eastAsiaTheme="minorEastAsia" w:cs="Calibri"/>
                <w:b/>
                <w:bCs/>
                <w:sz w:val="21"/>
                <w:szCs w:val="22"/>
                <w:lang w:eastAsia="en-AU"/>
              </w:rPr>
              <w:t xml:space="preserve"> 611.3</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8</w:t>
            </w:r>
            <w:r w:rsidRPr="003E2DBE">
              <w:rPr>
                <w:rFonts w:eastAsiaTheme="minorEastAsia" w:cs="Calibri"/>
                <w:b/>
                <w:bCs/>
                <w:sz w:val="21"/>
                <w:szCs w:val="22"/>
                <w:lang w:eastAsia="en-AU"/>
              </w:rPr>
              <w:t xml:space="preserve"> 423.1</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8</w:t>
            </w:r>
            <w:r w:rsidRPr="003E2DBE">
              <w:rPr>
                <w:rFonts w:eastAsiaTheme="minorEastAsia" w:cs="Calibri"/>
                <w:b/>
                <w:bCs/>
                <w:sz w:val="21"/>
                <w:szCs w:val="22"/>
                <w:lang w:eastAsia="en-AU"/>
              </w:rPr>
              <w:t xml:space="preserve"> 611.3</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6</w:t>
            </w:r>
            <w:r w:rsidRPr="003E2DBE">
              <w:rPr>
                <w:rFonts w:ascii="Calibri" w:eastAsiaTheme="minorEastAsia" w:hAnsi="Calibri" w:cs="Calibri"/>
                <w:b/>
                <w:bCs/>
                <w:sz w:val="21"/>
                <w:szCs w:val="22"/>
                <w:lang w:eastAsia="en-AU"/>
              </w:rPr>
              <w:t xml:space="preserve"> 797.0</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6</w:t>
            </w:r>
            <w:r w:rsidRPr="003E2DBE">
              <w:rPr>
                <w:rFonts w:ascii="Calibri" w:eastAsiaTheme="minorEastAsia" w:hAnsi="Calibri" w:cs="Calibri"/>
                <w:b/>
                <w:bCs/>
                <w:sz w:val="21"/>
                <w:szCs w:val="22"/>
                <w:lang w:eastAsia="en-AU"/>
              </w:rPr>
              <w:t xml:space="preserve"> 571.5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6</w:t>
            </w:r>
            <w:r w:rsidRPr="003E2DBE">
              <w:rPr>
                <w:rFonts w:ascii="Calibri" w:eastAsiaTheme="minorEastAsia" w:hAnsi="Calibri" w:cs="Calibri"/>
                <w:b/>
                <w:bCs/>
                <w:sz w:val="21"/>
                <w:szCs w:val="22"/>
                <w:lang w:eastAsia="en-AU"/>
              </w:rPr>
              <w:t xml:space="preserve"> 781.6</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6</w:t>
            </w:r>
            <w:r w:rsidRPr="003E2DBE">
              <w:rPr>
                <w:rFonts w:ascii="Calibri" w:eastAsiaTheme="minorEastAsia" w:hAnsi="Calibri" w:cs="Calibri"/>
                <w:b/>
                <w:bCs/>
                <w:sz w:val="21"/>
                <w:szCs w:val="22"/>
                <w:lang w:eastAsia="en-AU"/>
              </w:rPr>
              <w:t xml:space="preserve"> 556.2</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216.1</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201.7</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216.1</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201.7</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w:t>
            </w:r>
            <w:r w:rsidRPr="003E2DBE">
              <w:rPr>
                <w:rFonts w:ascii="Calibri" w:eastAsiaTheme="minorEastAsia" w:hAnsi="Calibri" w:cs="Calibri"/>
                <w:b/>
                <w:bCs/>
                <w:sz w:val="21"/>
                <w:szCs w:val="22"/>
                <w:lang w:eastAsia="en-AU"/>
              </w:rPr>
              <w:t xml:space="preserve"> 154.2</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w:t>
            </w:r>
            <w:r w:rsidRPr="003E2DBE">
              <w:rPr>
                <w:rFonts w:ascii="Calibri" w:eastAsiaTheme="minorEastAsia" w:hAnsi="Calibri" w:cs="Calibri"/>
                <w:b/>
                <w:bCs/>
                <w:sz w:val="21"/>
                <w:szCs w:val="22"/>
                <w:lang w:eastAsia="en-AU"/>
              </w:rPr>
              <w:t xml:space="preserve"> 242.8</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w:t>
            </w:r>
            <w:r w:rsidRPr="003E2DBE">
              <w:rPr>
                <w:rFonts w:ascii="Calibri" w:eastAsiaTheme="minorEastAsia" w:hAnsi="Calibri" w:cs="Calibri"/>
                <w:b/>
                <w:bCs/>
                <w:sz w:val="21"/>
                <w:szCs w:val="22"/>
                <w:lang w:eastAsia="en-AU"/>
              </w:rPr>
              <w:t xml:space="preserve"> 154.2</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w:t>
            </w:r>
            <w:r w:rsidRPr="003E2DBE">
              <w:rPr>
                <w:rFonts w:ascii="Calibri" w:eastAsiaTheme="minorEastAsia" w:hAnsi="Calibri" w:cs="Calibri"/>
                <w:b/>
                <w:bCs/>
                <w:sz w:val="21"/>
                <w:szCs w:val="22"/>
                <w:lang w:eastAsia="en-AU"/>
              </w:rPr>
              <w:t xml:space="preserve"> 242.8</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7</w:t>
            </w:r>
            <w:r w:rsidRPr="003E2DBE">
              <w:rPr>
                <w:rFonts w:eastAsiaTheme="minorEastAsia" w:cs="Calibri"/>
                <w:sz w:val="21"/>
                <w:szCs w:val="22"/>
                <w:lang w:eastAsia="en-AU"/>
              </w:rPr>
              <w:t xml:space="preserve"> 784.5</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7</w:t>
            </w:r>
            <w:r w:rsidRPr="003E2DBE">
              <w:rPr>
                <w:rFonts w:eastAsiaTheme="minorEastAsia" w:cs="Calibri"/>
                <w:sz w:val="21"/>
                <w:szCs w:val="22"/>
                <w:lang w:eastAsia="en-AU"/>
              </w:rPr>
              <w:t xml:space="preserve"> 183.5</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7</w:t>
            </w:r>
            <w:r w:rsidRPr="003E2DBE">
              <w:rPr>
                <w:rFonts w:eastAsiaTheme="minorEastAsia" w:cs="Calibri"/>
                <w:sz w:val="21"/>
                <w:szCs w:val="22"/>
                <w:lang w:eastAsia="en-AU"/>
              </w:rPr>
              <w:t xml:space="preserve"> 784.5</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7</w:t>
            </w:r>
            <w:r w:rsidRPr="003E2DBE">
              <w:rPr>
                <w:rFonts w:eastAsiaTheme="minorEastAsia" w:cs="Calibri"/>
                <w:sz w:val="21"/>
                <w:szCs w:val="22"/>
                <w:lang w:eastAsia="en-AU"/>
              </w:rPr>
              <w:t xml:space="preserve"> 183.5</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1</w:t>
            </w:r>
            <w:r w:rsidRPr="003E2DBE">
              <w:rPr>
                <w:rFonts w:ascii="Calibri" w:eastAsiaTheme="minorEastAsia" w:hAnsi="Calibri" w:cs="Calibri"/>
                <w:sz w:val="21"/>
                <w:szCs w:val="22"/>
                <w:lang w:eastAsia="en-AU"/>
              </w:rPr>
              <w:t xml:space="preserve"> 967.1</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1</w:t>
            </w:r>
            <w:r w:rsidRPr="003E2DBE">
              <w:rPr>
                <w:rFonts w:ascii="Calibri" w:eastAsiaTheme="minorEastAsia" w:hAnsi="Calibri" w:cs="Calibri"/>
                <w:sz w:val="21"/>
                <w:szCs w:val="22"/>
                <w:lang w:eastAsia="en-AU"/>
              </w:rPr>
              <w:t xml:space="preserve"> 968.0</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1</w:t>
            </w:r>
            <w:r w:rsidRPr="003E2DBE">
              <w:rPr>
                <w:rFonts w:ascii="Calibri" w:eastAsiaTheme="minorEastAsia" w:hAnsi="Calibri" w:cs="Calibri"/>
                <w:sz w:val="21"/>
                <w:szCs w:val="22"/>
                <w:lang w:eastAsia="en-AU"/>
              </w:rPr>
              <w:t xml:space="preserve"> 963.2</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1</w:t>
            </w:r>
            <w:r w:rsidRPr="003E2DBE">
              <w:rPr>
                <w:rFonts w:ascii="Calibri" w:eastAsiaTheme="minorEastAsia" w:hAnsi="Calibri" w:cs="Calibri"/>
                <w:sz w:val="21"/>
                <w:szCs w:val="22"/>
                <w:lang w:eastAsia="en-AU"/>
              </w:rPr>
              <w:t xml:space="preserve"> 964.1</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r w:rsidRPr="003E2DBE">
              <w:rPr>
                <w:rFonts w:ascii="Calibri" w:eastAsiaTheme="minorEastAsia" w:hAnsi="Calibri" w:cs="Calibri"/>
                <w:sz w:val="21"/>
                <w:szCs w:val="22"/>
                <w:lang w:eastAsia="en-AU"/>
              </w:rPr>
              <w:t>.</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r w:rsidRPr="003E2DBE">
              <w:rPr>
                <w:rFonts w:ascii="Calibri" w:eastAsiaTheme="minorEastAsia" w:hAnsi="Calibri" w:cs="Calibri"/>
                <w:sz w:val="21"/>
                <w:szCs w:val="22"/>
                <w:lang w:eastAsia="en-AU"/>
              </w:rPr>
              <w:t>.</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r w:rsidRPr="003E2DBE">
              <w:rPr>
                <w:rFonts w:ascii="Calibri" w:eastAsiaTheme="minorEastAsia" w:hAnsi="Calibri" w:cs="Calibri"/>
                <w:sz w:val="21"/>
                <w:szCs w:val="22"/>
                <w:lang w:eastAsia="en-AU"/>
              </w:rPr>
              <w:t>.</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r w:rsidRPr="003E2DBE">
              <w:rPr>
                <w:rFonts w:ascii="Calibri" w:eastAsiaTheme="minorEastAsia" w:hAnsi="Calibri" w:cs="Calibri"/>
                <w:sz w:val="21"/>
                <w:szCs w:val="22"/>
                <w:lang w:eastAsia="en-AU"/>
              </w:rPr>
              <w:t>.</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7</w:t>
            </w:r>
            <w:r w:rsidRPr="003E2DBE">
              <w:rPr>
                <w:rFonts w:eastAsiaTheme="minorEastAsia" w:cs="Calibri"/>
                <w:b/>
                <w:bCs/>
                <w:sz w:val="21"/>
                <w:szCs w:val="22"/>
                <w:lang w:eastAsia="en-AU"/>
              </w:rPr>
              <w:t xml:space="preserve"> 784.5</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7</w:t>
            </w:r>
            <w:r w:rsidRPr="003E2DBE">
              <w:rPr>
                <w:rFonts w:eastAsiaTheme="minorEastAsia" w:cs="Calibri"/>
                <w:b/>
                <w:bCs/>
                <w:sz w:val="21"/>
                <w:szCs w:val="22"/>
                <w:lang w:eastAsia="en-AU"/>
              </w:rPr>
              <w:t xml:space="preserve"> 183.5</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7</w:t>
            </w:r>
            <w:r w:rsidRPr="003E2DBE">
              <w:rPr>
                <w:rFonts w:eastAsiaTheme="minorEastAsia" w:cs="Calibri"/>
                <w:b/>
                <w:bCs/>
                <w:sz w:val="21"/>
                <w:szCs w:val="22"/>
                <w:lang w:eastAsia="en-AU"/>
              </w:rPr>
              <w:t xml:space="preserve"> 784.5</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7</w:t>
            </w:r>
            <w:r w:rsidRPr="003E2DBE">
              <w:rPr>
                <w:rFonts w:eastAsiaTheme="minorEastAsia" w:cs="Calibri"/>
                <w:b/>
                <w:bCs/>
                <w:sz w:val="21"/>
                <w:szCs w:val="22"/>
                <w:lang w:eastAsia="en-AU"/>
              </w:rPr>
              <w:t xml:space="preserve"> 183.5</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w:t>
            </w:r>
            <w:r w:rsidRPr="003E2DBE">
              <w:rPr>
                <w:rFonts w:ascii="Calibri" w:eastAsiaTheme="minorEastAsia" w:hAnsi="Calibri" w:cs="Calibri"/>
                <w:b/>
                <w:bCs/>
                <w:sz w:val="21"/>
                <w:szCs w:val="22"/>
                <w:lang w:eastAsia="en-AU"/>
              </w:rPr>
              <w:t xml:space="preserve"> 967.1</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w:t>
            </w:r>
            <w:r w:rsidRPr="003E2DBE">
              <w:rPr>
                <w:rFonts w:ascii="Calibri" w:eastAsiaTheme="minorEastAsia" w:hAnsi="Calibri" w:cs="Calibri"/>
                <w:b/>
                <w:bCs/>
                <w:sz w:val="21"/>
                <w:szCs w:val="22"/>
                <w:lang w:eastAsia="en-AU"/>
              </w:rPr>
              <w:t xml:space="preserve"> 968.0</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w:t>
            </w:r>
            <w:r w:rsidRPr="003E2DBE">
              <w:rPr>
                <w:rFonts w:ascii="Calibri" w:eastAsiaTheme="minorEastAsia" w:hAnsi="Calibri" w:cs="Calibri"/>
                <w:b/>
                <w:bCs/>
                <w:sz w:val="21"/>
                <w:szCs w:val="22"/>
                <w:lang w:eastAsia="en-AU"/>
              </w:rPr>
              <w:t xml:space="preserve"> 963.2</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w:t>
            </w:r>
            <w:r w:rsidRPr="003E2DBE">
              <w:rPr>
                <w:rFonts w:ascii="Calibri" w:eastAsiaTheme="minorEastAsia" w:hAnsi="Calibri" w:cs="Calibri"/>
                <w:b/>
                <w:bCs/>
                <w:sz w:val="21"/>
                <w:szCs w:val="22"/>
                <w:lang w:eastAsia="en-AU"/>
              </w:rPr>
              <w:t xml:space="preserve"> 964.1</w:t>
            </w:r>
          </w:p>
        </w:tc>
      </w:tr>
      <w:tr w:rsidR="000B4A1E" w:rsidRPr="003E2DBE" w:rsidTr="00517E51">
        <w:tc>
          <w:tcPr>
            <w:tcW w:w="1209"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16</w:t>
            </w:r>
            <w:r w:rsidRPr="003E2DBE">
              <w:rPr>
                <w:rFonts w:eastAsiaTheme="minorEastAsia" w:cs="Calibri"/>
                <w:b/>
                <w:bCs/>
                <w:sz w:val="21"/>
                <w:szCs w:val="22"/>
                <w:lang w:eastAsia="en-AU"/>
              </w:rPr>
              <w:t xml:space="preserve"> 423.7</w:t>
            </w:r>
          </w:p>
        </w:tc>
        <w:tc>
          <w:tcPr>
            <w:tcW w:w="121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15</w:t>
            </w:r>
            <w:r w:rsidRPr="003E2DBE">
              <w:rPr>
                <w:rFonts w:eastAsiaTheme="minorEastAsia" w:cs="Calibri"/>
                <w:b/>
                <w:bCs/>
                <w:sz w:val="21"/>
                <w:szCs w:val="22"/>
                <w:lang w:eastAsia="en-AU"/>
              </w:rPr>
              <w:t xml:space="preserve"> 996.5</w:t>
            </w:r>
          </w:p>
        </w:tc>
        <w:tc>
          <w:tcPr>
            <w:tcW w:w="120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16</w:t>
            </w:r>
            <w:r w:rsidRPr="003E2DBE">
              <w:rPr>
                <w:rFonts w:eastAsiaTheme="minorEastAsia" w:cs="Calibri"/>
                <w:b/>
                <w:bCs/>
                <w:sz w:val="21"/>
                <w:szCs w:val="22"/>
                <w:lang w:eastAsia="en-AU"/>
              </w:rPr>
              <w:t xml:space="preserve"> 423.7</w:t>
            </w:r>
          </w:p>
        </w:tc>
        <w:tc>
          <w:tcPr>
            <w:tcW w:w="121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15</w:t>
            </w:r>
            <w:r w:rsidRPr="003E2DBE">
              <w:rPr>
                <w:rFonts w:eastAsiaTheme="minorEastAsia" w:cs="Calibri"/>
                <w:b/>
                <w:bCs/>
                <w:sz w:val="21"/>
                <w:szCs w:val="22"/>
                <w:lang w:eastAsia="en-AU"/>
              </w:rPr>
              <w:t xml:space="preserve"> 996.5</w:t>
            </w:r>
          </w:p>
        </w:tc>
        <w:tc>
          <w:tcPr>
            <w:tcW w:w="1209" w:type="dxa"/>
            <w:gridSpan w:val="3"/>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9</w:t>
            </w:r>
            <w:r w:rsidRPr="003E2DBE">
              <w:rPr>
                <w:rFonts w:ascii="Calibri" w:eastAsiaTheme="minorEastAsia" w:hAnsi="Calibri" w:cs="Calibri"/>
                <w:b/>
                <w:bCs/>
                <w:sz w:val="21"/>
                <w:szCs w:val="22"/>
                <w:lang w:eastAsia="en-AU"/>
              </w:rPr>
              <w:t xml:space="preserve"> 918.3</w:t>
            </w:r>
          </w:p>
        </w:tc>
        <w:tc>
          <w:tcPr>
            <w:tcW w:w="1210"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9</w:t>
            </w:r>
            <w:r w:rsidRPr="003E2DBE">
              <w:rPr>
                <w:rFonts w:ascii="Calibri" w:eastAsiaTheme="minorEastAsia" w:hAnsi="Calibri" w:cs="Calibri"/>
                <w:b/>
                <w:bCs/>
                <w:sz w:val="21"/>
                <w:szCs w:val="22"/>
                <w:lang w:eastAsia="en-AU"/>
              </w:rPr>
              <w:t xml:space="preserve"> 782.2</w:t>
            </w:r>
          </w:p>
        </w:tc>
        <w:tc>
          <w:tcPr>
            <w:tcW w:w="1209" w:type="dxa"/>
            <w:gridSpan w:val="2"/>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9</w:t>
            </w:r>
            <w:r w:rsidRPr="003E2DBE">
              <w:rPr>
                <w:rFonts w:ascii="Calibri" w:eastAsiaTheme="minorEastAsia" w:hAnsi="Calibri" w:cs="Calibri"/>
                <w:b/>
                <w:bCs/>
                <w:sz w:val="21"/>
                <w:szCs w:val="22"/>
                <w:lang w:eastAsia="en-AU"/>
              </w:rPr>
              <w:t xml:space="preserve"> 899.1</w:t>
            </w:r>
          </w:p>
        </w:tc>
        <w:tc>
          <w:tcPr>
            <w:tcW w:w="1210" w:type="dxa"/>
            <w:gridSpan w:val="2"/>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9</w:t>
            </w:r>
            <w:r w:rsidRPr="003E2DBE">
              <w:rPr>
                <w:rFonts w:ascii="Calibri" w:eastAsiaTheme="minorEastAsia" w:hAnsi="Calibri" w:cs="Calibri"/>
                <w:b/>
                <w:bCs/>
                <w:sz w:val="21"/>
                <w:szCs w:val="22"/>
                <w:lang w:eastAsia="en-AU"/>
              </w:rPr>
              <w:t xml:space="preserve"> 763.0</w:t>
            </w:r>
          </w:p>
        </w:tc>
      </w:tr>
    </w:tbl>
    <w:p w:rsidR="000B4A1E" w:rsidRPr="00D00665" w:rsidRDefault="000B4A1E" w:rsidP="00517E51">
      <w:pPr>
        <w:pStyle w:val="Notes"/>
      </w:pPr>
    </w:p>
    <w:p w:rsidR="000B4A1E" w:rsidRDefault="000B4A1E" w:rsidP="00517E51">
      <w:pPr>
        <w:pStyle w:val="Notes"/>
        <w:rPr>
          <w:rFonts w:ascii="Times New Roman" w:hAnsi="Times New Roman"/>
          <w:i w:val="0"/>
          <w:sz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284"/>
        <w:gridCol w:w="270"/>
        <w:gridCol w:w="655"/>
        <w:gridCol w:w="1210"/>
        <w:gridCol w:w="236"/>
        <w:gridCol w:w="973"/>
        <w:gridCol w:w="974"/>
        <w:gridCol w:w="236"/>
        <w:gridCol w:w="236"/>
        <w:gridCol w:w="973"/>
        <w:gridCol w:w="1210"/>
        <w:gridCol w:w="236"/>
        <w:gridCol w:w="973"/>
        <w:gridCol w:w="728"/>
        <w:gridCol w:w="246"/>
        <w:gridCol w:w="236"/>
      </w:tblGrid>
      <w:tr w:rsidR="000B4A1E" w:rsidRPr="003E2DBE" w:rsidTr="00103F3E">
        <w:tc>
          <w:tcPr>
            <w:tcW w:w="284"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heading"/>
              <w:rPr>
                <w:sz w:val="21"/>
                <w:lang w:eastAsia="en-AU"/>
              </w:rPr>
            </w:pPr>
            <w:r w:rsidRPr="003E2DBE">
              <w:rPr>
                <w:sz w:val="21"/>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404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Transportation and Communication</w:t>
            </w:r>
          </w:p>
        </w:tc>
        <w:tc>
          <w:tcPr>
            <w:tcW w:w="236"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lang w:eastAsia="en-AU"/>
              </w:rPr>
            </w:pPr>
            <w:r w:rsidRPr="003E2DBE">
              <w:rPr>
                <w:sz w:val="21"/>
                <w:lang w:eastAsia="en-AU"/>
              </w:rPr>
              <w:t xml:space="preserve"> </w:t>
            </w:r>
          </w:p>
        </w:tc>
        <w:tc>
          <w:tcPr>
            <w:tcW w:w="236"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c>
          <w:tcPr>
            <w:tcW w:w="4120" w:type="dxa"/>
            <w:gridSpan w:val="5"/>
            <w:tcBorders>
              <w:top w:val="single" w:sz="6" w:space="0" w:color="auto"/>
              <w:left w:val="single" w:sz="4" w:space="0" w:color="auto"/>
              <w:bottom w:val="single" w:sz="6" w:space="0" w:color="auto"/>
              <w:right w:val="nil"/>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Public Safety and Environment</w:t>
            </w:r>
          </w:p>
        </w:tc>
        <w:tc>
          <w:tcPr>
            <w:tcW w:w="246"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c>
          <w:tcPr>
            <w:tcW w:w="236"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r>
      <w:tr w:rsidR="000B4A1E" w:rsidRPr="003E2DBE" w:rsidTr="00517E51">
        <w:tc>
          <w:tcPr>
            <w:tcW w:w="284" w:type="dxa"/>
            <w:tcBorders>
              <w:top w:val="single" w:sz="6" w:space="0" w:color="auto"/>
              <w:left w:val="single" w:sz="6" w:space="0" w:color="auto"/>
              <w:bottom w:val="nil"/>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 xml:space="preserve"> </w:t>
            </w:r>
          </w:p>
        </w:tc>
        <w:tc>
          <w:tcPr>
            <w:tcW w:w="2135"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lang w:eastAsia="en-AU"/>
              </w:rPr>
            </w:pPr>
          </w:p>
          <w:p w:rsidR="000B4A1E" w:rsidRPr="003E2DBE" w:rsidRDefault="000B4A1E" w:rsidP="00517E51">
            <w:pPr>
              <w:pStyle w:val="TabletextheadingCentred"/>
              <w:rPr>
                <w:sz w:val="21"/>
                <w:lang w:eastAsia="en-AU"/>
              </w:rPr>
            </w:pPr>
            <w:r w:rsidRPr="003E2DBE">
              <w:rPr>
                <w:sz w:val="21"/>
                <w:lang w:eastAsia="en-AU"/>
              </w:rPr>
              <w:t>State of Victoria</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lang w:eastAsia="en-AU"/>
              </w:rPr>
            </w:pPr>
            <w:r w:rsidRPr="003E2DBE">
              <w:rPr>
                <w:sz w:val="21"/>
                <w:lang w:eastAsia="en-AU"/>
              </w:rPr>
              <w:t xml:space="preserve"> </w:t>
            </w:r>
          </w:p>
        </w:tc>
        <w:tc>
          <w:tcPr>
            <w:tcW w:w="2183"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lang w:eastAsia="en-AU"/>
              </w:rPr>
            </w:pPr>
            <w:r w:rsidRPr="003E2DBE">
              <w:rPr>
                <w:sz w:val="21"/>
                <w:lang w:eastAsia="en-AU"/>
              </w:rPr>
              <w:t xml:space="preserve">General </w:t>
            </w:r>
          </w:p>
          <w:p w:rsidR="000B4A1E" w:rsidRPr="003E2DBE" w:rsidRDefault="000B4A1E" w:rsidP="00517E51">
            <w:pPr>
              <w:pStyle w:val="TabletextheadingCentred"/>
              <w:rPr>
                <w:sz w:val="21"/>
                <w:lang w:eastAsia="en-AU"/>
              </w:rPr>
            </w:pPr>
            <w:r w:rsidRPr="003E2DBE">
              <w:rPr>
                <w:sz w:val="21"/>
                <w:lang w:eastAsia="en-AU"/>
              </w:rPr>
              <w:t>government sector</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sz w:val="21"/>
                <w:szCs w:val="22"/>
                <w:lang w:eastAsia="en-AU"/>
              </w:rPr>
            </w:pPr>
            <w:r w:rsidRPr="003E2DBE">
              <w:rPr>
                <w:rFonts w:cs="Calibri"/>
                <w:sz w:val="21"/>
                <w:szCs w:val="22"/>
                <w:lang w:eastAsia="en-AU"/>
              </w:rPr>
              <w:t xml:space="preserve"> </w:t>
            </w:r>
          </w:p>
        </w:tc>
        <w:tc>
          <w:tcPr>
            <w:tcW w:w="2183" w:type="dxa"/>
            <w:gridSpan w:val="2"/>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iCs/>
                <w:sz w:val="21"/>
                <w:szCs w:val="22"/>
                <w:lang w:eastAsia="en-AU"/>
              </w:rPr>
            </w:pPr>
          </w:p>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State of Victoria</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 </w:t>
            </w:r>
          </w:p>
        </w:tc>
        <w:tc>
          <w:tcPr>
            <w:tcW w:w="2183" w:type="dxa"/>
            <w:gridSpan w:val="4"/>
            <w:tcBorders>
              <w:top w:val="single" w:sz="6" w:space="0" w:color="auto"/>
              <w:left w:val="nil"/>
              <w:bottom w:val="nil"/>
              <w:right w:val="single" w:sz="6" w:space="0" w:color="auto"/>
            </w:tcBorders>
            <w:shd w:val="solid" w:color="000000" w:fill="auto"/>
          </w:tcPr>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 xml:space="preserve">General </w:t>
            </w:r>
          </w:p>
          <w:p w:rsidR="000B4A1E" w:rsidRPr="003E2DBE" w:rsidRDefault="000B4A1E" w:rsidP="00517E51">
            <w:pPr>
              <w:pStyle w:val="TabletextheadingCentred"/>
              <w:rPr>
                <w:rFonts w:cs="Calibri"/>
                <w:iCs/>
                <w:sz w:val="21"/>
                <w:szCs w:val="22"/>
                <w:lang w:eastAsia="en-AU"/>
              </w:rPr>
            </w:pPr>
            <w:r w:rsidRPr="003E2DBE">
              <w:rPr>
                <w:rFonts w:cs="Calibri"/>
                <w:iCs/>
                <w:sz w:val="21"/>
                <w:szCs w:val="22"/>
                <w:lang w:eastAsia="en-AU"/>
              </w:rPr>
              <w:t>government sector</w:t>
            </w:r>
          </w:p>
        </w:tc>
      </w:tr>
      <w:tr w:rsidR="000B4A1E" w:rsidRPr="003E2DBE" w:rsidTr="00517E51">
        <w:tc>
          <w:tcPr>
            <w:tcW w:w="1209" w:type="dxa"/>
            <w:gridSpan w:val="3"/>
            <w:tcBorders>
              <w:top w:val="nil"/>
              <w:left w:val="single" w:sz="6" w:space="0" w:color="auto"/>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2013</w:t>
            </w:r>
          </w:p>
        </w:tc>
        <w:tc>
          <w:tcPr>
            <w:tcW w:w="1210"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sz w:val="21"/>
                <w:lang w:eastAsia="en-AU"/>
              </w:rPr>
            </w:pPr>
            <w:r w:rsidRPr="003E2DBE">
              <w:rPr>
                <w:sz w:val="21"/>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2013</w:t>
            </w:r>
          </w:p>
        </w:tc>
        <w:tc>
          <w:tcPr>
            <w:tcW w:w="1210" w:type="dxa"/>
            <w:gridSpan w:val="3"/>
            <w:tcBorders>
              <w:top w:val="nil"/>
              <w:left w:val="nil"/>
              <w:bottom w:val="single" w:sz="6" w:space="0" w:color="auto"/>
              <w:right w:val="single" w:sz="6" w:space="0" w:color="auto"/>
            </w:tcBorders>
            <w:shd w:val="solid" w:color="000000" w:fill="auto"/>
          </w:tcPr>
          <w:p w:rsidR="000B4A1E" w:rsidRPr="003E2DBE" w:rsidRDefault="000B4A1E" w:rsidP="00517E51">
            <w:pPr>
              <w:pStyle w:val="Tabletextheading"/>
              <w:rPr>
                <w:rFonts w:cs="Calibri"/>
                <w:iCs/>
                <w:sz w:val="21"/>
                <w:szCs w:val="22"/>
                <w:lang w:eastAsia="en-AU"/>
              </w:rPr>
            </w:pPr>
            <w:r w:rsidRPr="003E2DBE">
              <w:rPr>
                <w:rFonts w:cs="Calibri"/>
                <w:iCs/>
                <w:sz w:val="21"/>
                <w:szCs w:val="22"/>
                <w:lang w:eastAsia="en-AU"/>
              </w:rPr>
              <w:t>2012</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4</w:t>
            </w:r>
            <w:r w:rsidRPr="003E2DBE">
              <w:rPr>
                <w:rFonts w:eastAsiaTheme="minorEastAsia" w:cs="Calibri"/>
                <w:sz w:val="21"/>
                <w:szCs w:val="22"/>
                <w:lang w:eastAsia="en-AU"/>
              </w:rPr>
              <w:t xml:space="preserve"> 926.2</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4</w:t>
            </w:r>
            <w:r w:rsidRPr="003E2DBE">
              <w:rPr>
                <w:rFonts w:eastAsiaTheme="minorEastAsia" w:cs="Calibri"/>
                <w:sz w:val="21"/>
                <w:szCs w:val="22"/>
                <w:lang w:eastAsia="en-AU"/>
              </w:rPr>
              <w:t xml:space="preserve"> 723.9</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538.4</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 xml:space="preserve"> </w:t>
            </w:r>
            <w:r w:rsidRPr="003E2DBE">
              <w:rPr>
                <w:rFonts w:eastAsiaTheme="minorEastAsia" w:cs="Calibri"/>
                <w:sz w:val="21"/>
                <w:szCs w:val="22"/>
                <w:lang w:eastAsia="en-AU"/>
              </w:rPr>
              <w:t>557.7</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6</w:t>
            </w:r>
            <w:r w:rsidRPr="003E2DBE">
              <w:rPr>
                <w:rFonts w:ascii="Calibri" w:eastAsiaTheme="minorEastAsia" w:hAnsi="Calibri" w:cs="Calibri"/>
                <w:sz w:val="21"/>
                <w:szCs w:val="22"/>
                <w:lang w:eastAsia="en-AU"/>
              </w:rPr>
              <w:t xml:space="preserve"> 050.0</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6</w:t>
            </w:r>
            <w:r w:rsidRPr="003E2DBE">
              <w:rPr>
                <w:rFonts w:ascii="Calibri" w:eastAsiaTheme="minorEastAsia" w:hAnsi="Calibri" w:cs="Calibri"/>
                <w:sz w:val="21"/>
                <w:szCs w:val="22"/>
                <w:lang w:eastAsia="en-AU"/>
              </w:rPr>
              <w:t xml:space="preserve"> 377.1</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5</w:t>
            </w:r>
            <w:r w:rsidRPr="003E2DBE">
              <w:rPr>
                <w:rFonts w:ascii="Calibri" w:eastAsiaTheme="minorEastAsia" w:hAnsi="Calibri" w:cs="Calibri"/>
                <w:sz w:val="21"/>
                <w:szCs w:val="22"/>
                <w:lang w:eastAsia="en-AU"/>
              </w:rPr>
              <w:t xml:space="preserve"> 267.8</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4</w:t>
            </w:r>
            <w:r w:rsidRPr="003E2DBE">
              <w:rPr>
                <w:rFonts w:ascii="Calibri" w:eastAsiaTheme="minorEastAsia" w:hAnsi="Calibri" w:cs="Calibri"/>
                <w:sz w:val="21"/>
                <w:szCs w:val="22"/>
                <w:lang w:eastAsia="en-AU"/>
              </w:rPr>
              <w:t xml:space="preserve"> 491.3</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 xml:space="preserve"> 197.3)</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 xml:space="preserve"> 118.1)</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 xml:space="preserve"> 17.3)</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 xml:space="preserve"> 25.8)</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r w:rsidRPr="003E2DBE">
              <w:rPr>
                <w:rFonts w:ascii="Calibri" w:eastAsiaTheme="minorEastAsia" w:hAnsi="Calibri" w:cs="Calibri"/>
                <w:sz w:val="21"/>
                <w:szCs w:val="22"/>
                <w:lang w:eastAsia="en-AU"/>
              </w:rPr>
              <w:t xml:space="preserve"> 540.4)</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r w:rsidRPr="003E2DBE">
              <w:rPr>
                <w:rFonts w:ascii="Calibri" w:eastAsiaTheme="minorEastAsia" w:hAnsi="Calibri" w:cs="Calibri"/>
                <w:sz w:val="21"/>
                <w:szCs w:val="22"/>
                <w:lang w:eastAsia="en-AU"/>
              </w:rPr>
              <w:t xml:space="preserve"> 369.5)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r w:rsidRPr="003E2DBE">
              <w:rPr>
                <w:rFonts w:ascii="Calibri" w:eastAsiaTheme="minorEastAsia" w:hAnsi="Calibri" w:cs="Calibri"/>
                <w:sz w:val="21"/>
                <w:szCs w:val="22"/>
                <w:lang w:eastAsia="en-AU"/>
              </w:rPr>
              <w:t xml:space="preserve"> 317.0)</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w:t>
            </w:r>
            <w:r w:rsidRPr="003E2DBE">
              <w:rPr>
                <w:rFonts w:ascii="Calibri" w:eastAsiaTheme="minorEastAsia" w:hAnsi="Calibri" w:cs="Calibri"/>
                <w:sz w:val="21"/>
                <w:szCs w:val="22"/>
                <w:lang w:eastAsia="en-AU"/>
              </w:rPr>
              <w:t xml:space="preserve"> 172.8)</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4</w:t>
            </w:r>
            <w:r w:rsidRPr="003E2DBE">
              <w:rPr>
                <w:rFonts w:eastAsiaTheme="minorEastAsia" w:cs="Calibri"/>
                <w:b/>
                <w:bCs/>
                <w:sz w:val="21"/>
                <w:szCs w:val="22"/>
                <w:lang w:eastAsia="en-AU"/>
              </w:rPr>
              <w:t xml:space="preserve"> 728.9</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4</w:t>
            </w:r>
            <w:r w:rsidRPr="003E2DBE">
              <w:rPr>
                <w:rFonts w:eastAsiaTheme="minorEastAsia" w:cs="Calibri"/>
                <w:b/>
                <w:bCs/>
                <w:sz w:val="21"/>
                <w:szCs w:val="22"/>
                <w:lang w:eastAsia="en-AU"/>
              </w:rPr>
              <w:t xml:space="preserve"> 605.8</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521.1</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531.8</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5</w:t>
            </w:r>
            <w:r w:rsidRPr="003E2DBE">
              <w:rPr>
                <w:rFonts w:ascii="Calibri" w:eastAsiaTheme="minorEastAsia" w:hAnsi="Calibri" w:cs="Calibri"/>
                <w:b/>
                <w:bCs/>
                <w:sz w:val="21"/>
                <w:szCs w:val="22"/>
                <w:lang w:eastAsia="en-AU"/>
              </w:rPr>
              <w:t xml:space="preserve"> 509.6</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6</w:t>
            </w:r>
            <w:r w:rsidRPr="003E2DBE">
              <w:rPr>
                <w:rFonts w:ascii="Calibri" w:eastAsiaTheme="minorEastAsia" w:hAnsi="Calibri" w:cs="Calibri"/>
                <w:b/>
                <w:bCs/>
                <w:sz w:val="21"/>
                <w:szCs w:val="22"/>
                <w:lang w:eastAsia="en-AU"/>
              </w:rPr>
              <w:t xml:space="preserve"> 007.6</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4</w:t>
            </w:r>
            <w:r w:rsidRPr="003E2DBE">
              <w:rPr>
                <w:rFonts w:ascii="Calibri" w:eastAsiaTheme="minorEastAsia" w:hAnsi="Calibri" w:cs="Calibri"/>
                <w:b/>
                <w:bCs/>
                <w:sz w:val="21"/>
                <w:szCs w:val="22"/>
                <w:lang w:eastAsia="en-AU"/>
              </w:rPr>
              <w:t xml:space="preserve"> 950.8</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4</w:t>
            </w:r>
            <w:r w:rsidRPr="003E2DBE">
              <w:rPr>
                <w:rFonts w:ascii="Calibri" w:eastAsiaTheme="minorEastAsia" w:hAnsi="Calibri" w:cs="Calibri"/>
                <w:b/>
                <w:bCs/>
                <w:sz w:val="21"/>
                <w:szCs w:val="22"/>
                <w:lang w:eastAsia="en-AU"/>
              </w:rPr>
              <w:t xml:space="preserve"> 318.5</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42.6</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56.2</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39.8</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 xml:space="preserve"> </w:t>
            </w:r>
            <w:r w:rsidRPr="003E2DBE">
              <w:rPr>
                <w:rFonts w:eastAsiaTheme="minorEastAsia" w:cs="Calibri"/>
                <w:b/>
                <w:bCs/>
                <w:sz w:val="21"/>
                <w:szCs w:val="22"/>
                <w:lang w:eastAsia="en-AU"/>
              </w:rPr>
              <w:t>44.8</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 xml:space="preserve"> </w:t>
            </w:r>
            <w:r w:rsidRPr="003E2DBE">
              <w:rPr>
                <w:rFonts w:ascii="Calibri" w:eastAsiaTheme="minorEastAsia" w:hAnsi="Calibri" w:cs="Calibri"/>
                <w:b/>
                <w:bCs/>
                <w:sz w:val="21"/>
                <w:szCs w:val="22"/>
                <w:lang w:eastAsia="en-AU"/>
              </w:rPr>
              <w:t>849.5</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 xml:space="preserve"> </w:t>
            </w:r>
            <w:r w:rsidRPr="003E2DBE">
              <w:rPr>
                <w:rFonts w:ascii="Calibri" w:eastAsiaTheme="minorEastAsia" w:hAnsi="Calibri" w:cs="Calibri"/>
                <w:b/>
                <w:bCs/>
                <w:sz w:val="21"/>
                <w:szCs w:val="22"/>
                <w:lang w:eastAsia="en-AU"/>
              </w:rPr>
              <w:t>957.5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 xml:space="preserve"> </w:t>
            </w:r>
            <w:r w:rsidRPr="003E2DBE">
              <w:rPr>
                <w:rFonts w:ascii="Calibri" w:eastAsiaTheme="minorEastAsia" w:hAnsi="Calibri" w:cs="Calibri"/>
                <w:b/>
                <w:bCs/>
                <w:sz w:val="21"/>
                <w:szCs w:val="22"/>
                <w:lang w:eastAsia="en-AU"/>
              </w:rPr>
              <w:t>842.6</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 xml:space="preserve"> </w:t>
            </w:r>
            <w:r w:rsidRPr="003E2DBE">
              <w:rPr>
                <w:rFonts w:ascii="Calibri" w:eastAsiaTheme="minorEastAsia" w:hAnsi="Calibri" w:cs="Calibri"/>
                <w:b/>
                <w:bCs/>
                <w:sz w:val="21"/>
                <w:szCs w:val="22"/>
                <w:lang w:eastAsia="en-AU"/>
              </w:rPr>
              <w:t>949.6</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21</w:t>
            </w:r>
            <w:r w:rsidRPr="003E2DBE">
              <w:rPr>
                <w:rFonts w:eastAsiaTheme="minorEastAsia" w:cs="Calibri"/>
                <w:sz w:val="21"/>
                <w:szCs w:val="22"/>
                <w:lang w:eastAsia="en-AU"/>
              </w:rPr>
              <w:t xml:space="preserve"> 315.1</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21</w:t>
            </w:r>
            <w:r w:rsidRPr="003E2DBE">
              <w:rPr>
                <w:rFonts w:eastAsiaTheme="minorEastAsia" w:cs="Calibri"/>
                <w:sz w:val="21"/>
                <w:szCs w:val="22"/>
                <w:lang w:eastAsia="en-AU"/>
              </w:rPr>
              <w:t xml:space="preserve"> 339.4</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17</w:t>
            </w:r>
            <w:r w:rsidRPr="003E2DBE">
              <w:rPr>
                <w:rFonts w:eastAsiaTheme="minorEastAsia" w:cs="Calibri"/>
                <w:sz w:val="21"/>
                <w:szCs w:val="22"/>
                <w:lang w:eastAsia="en-AU"/>
              </w:rPr>
              <w:t xml:space="preserve"> 473.9</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17</w:t>
            </w:r>
            <w:r w:rsidRPr="003E2DBE">
              <w:rPr>
                <w:rFonts w:eastAsiaTheme="minorEastAsia" w:cs="Calibri"/>
                <w:sz w:val="21"/>
                <w:szCs w:val="22"/>
                <w:lang w:eastAsia="en-AU"/>
              </w:rPr>
              <w:t xml:space="preserve"> 500.1</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11</w:t>
            </w:r>
            <w:r w:rsidRPr="003E2DBE">
              <w:rPr>
                <w:rFonts w:ascii="Calibri" w:eastAsiaTheme="minorEastAsia" w:hAnsi="Calibri" w:cs="Calibri"/>
                <w:sz w:val="21"/>
                <w:szCs w:val="22"/>
                <w:lang w:eastAsia="en-AU"/>
              </w:rPr>
              <w:t xml:space="preserve"> 771.1</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10</w:t>
            </w:r>
            <w:r w:rsidRPr="003E2DBE">
              <w:rPr>
                <w:rFonts w:ascii="Calibri" w:eastAsiaTheme="minorEastAsia" w:hAnsi="Calibri" w:cs="Calibri"/>
                <w:sz w:val="21"/>
                <w:szCs w:val="22"/>
                <w:lang w:eastAsia="en-AU"/>
              </w:rPr>
              <w:t xml:space="preserve"> 463.5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7</w:t>
            </w:r>
            <w:r w:rsidRPr="003E2DBE">
              <w:rPr>
                <w:rFonts w:ascii="Calibri" w:eastAsiaTheme="minorEastAsia" w:hAnsi="Calibri" w:cs="Calibri"/>
                <w:sz w:val="21"/>
                <w:szCs w:val="22"/>
                <w:lang w:eastAsia="en-AU"/>
              </w:rPr>
              <w:t xml:space="preserve"> 612.0</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7</w:t>
            </w:r>
            <w:r w:rsidRPr="003E2DBE">
              <w:rPr>
                <w:rFonts w:ascii="Calibri" w:eastAsiaTheme="minorEastAsia" w:hAnsi="Calibri" w:cs="Calibri"/>
                <w:sz w:val="21"/>
                <w:szCs w:val="22"/>
                <w:lang w:eastAsia="en-AU"/>
              </w:rPr>
              <w:t xml:space="preserve"> 435.0</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sz w:val="21"/>
                <w:lang w:eastAsia="en-AU"/>
              </w:rPr>
              <w:t>.</w:t>
            </w:r>
            <w:r w:rsidRPr="003E2DBE">
              <w:rPr>
                <w:rFonts w:eastAsiaTheme="minorEastAsia" w:cs="Calibri"/>
                <w:sz w:val="21"/>
                <w:szCs w:val="22"/>
                <w:lang w:eastAsia="en-AU"/>
              </w:rPr>
              <w:t>.</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1</w:t>
            </w:r>
            <w:r w:rsidRPr="003E2DBE">
              <w:rPr>
                <w:rFonts w:ascii="Calibri" w:eastAsiaTheme="minorEastAsia" w:hAnsi="Calibri" w:cs="Calibri"/>
                <w:sz w:val="21"/>
                <w:szCs w:val="22"/>
                <w:lang w:eastAsia="en-AU"/>
              </w:rPr>
              <w:t xml:space="preserve"> 685.5</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1</w:t>
            </w:r>
            <w:r w:rsidRPr="003E2DBE">
              <w:rPr>
                <w:rFonts w:ascii="Calibri" w:eastAsiaTheme="minorEastAsia" w:hAnsi="Calibri" w:cs="Calibri"/>
                <w:sz w:val="21"/>
                <w:szCs w:val="22"/>
                <w:lang w:eastAsia="en-AU"/>
              </w:rPr>
              <w:t xml:space="preserve"> 688.0</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1</w:t>
            </w:r>
            <w:r w:rsidRPr="003E2DBE">
              <w:rPr>
                <w:rFonts w:ascii="Calibri" w:eastAsiaTheme="minorEastAsia" w:hAnsi="Calibri" w:cs="Calibri"/>
                <w:sz w:val="21"/>
                <w:szCs w:val="22"/>
                <w:lang w:eastAsia="en-AU"/>
              </w:rPr>
              <w:t xml:space="preserve"> 685.5</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2"/>
                <w:lang w:eastAsia="en-AU"/>
              </w:rPr>
            </w:pPr>
            <w:r w:rsidRPr="003E2DBE">
              <w:rPr>
                <w:rFonts w:ascii="Calibri" w:hAnsi="Calibri" w:cs="Calibri"/>
                <w:sz w:val="21"/>
                <w:szCs w:val="22"/>
                <w:lang w:eastAsia="en-AU"/>
              </w:rPr>
              <w:t>1</w:t>
            </w:r>
            <w:r w:rsidRPr="003E2DBE">
              <w:rPr>
                <w:rFonts w:ascii="Calibri" w:eastAsiaTheme="minorEastAsia" w:hAnsi="Calibri" w:cs="Calibri"/>
                <w:sz w:val="21"/>
                <w:szCs w:val="22"/>
                <w:lang w:eastAsia="en-AU"/>
              </w:rPr>
              <w:t xml:space="preserve"> 688.0</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21</w:t>
            </w:r>
            <w:r w:rsidRPr="003E2DBE">
              <w:rPr>
                <w:rFonts w:eastAsiaTheme="minorEastAsia" w:cs="Calibri"/>
                <w:b/>
                <w:bCs/>
                <w:sz w:val="21"/>
                <w:szCs w:val="22"/>
                <w:lang w:eastAsia="en-AU"/>
              </w:rPr>
              <w:t xml:space="preserve"> 315.1</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21</w:t>
            </w:r>
            <w:r w:rsidRPr="003E2DBE">
              <w:rPr>
                <w:rFonts w:eastAsiaTheme="minorEastAsia" w:cs="Calibri"/>
                <w:b/>
                <w:bCs/>
                <w:sz w:val="21"/>
                <w:szCs w:val="22"/>
                <w:lang w:eastAsia="en-AU"/>
              </w:rPr>
              <w:t xml:space="preserve"> 339.4</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17</w:t>
            </w:r>
            <w:r w:rsidRPr="003E2DBE">
              <w:rPr>
                <w:rFonts w:eastAsiaTheme="minorEastAsia" w:cs="Calibri"/>
                <w:b/>
                <w:bCs/>
                <w:sz w:val="21"/>
                <w:szCs w:val="22"/>
                <w:lang w:eastAsia="en-AU"/>
              </w:rPr>
              <w:t xml:space="preserve"> 473.9</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17</w:t>
            </w:r>
            <w:r w:rsidRPr="003E2DBE">
              <w:rPr>
                <w:rFonts w:eastAsiaTheme="minorEastAsia" w:cs="Calibri"/>
                <w:b/>
                <w:bCs/>
                <w:sz w:val="21"/>
                <w:szCs w:val="22"/>
                <w:lang w:eastAsia="en-AU"/>
              </w:rPr>
              <w:t xml:space="preserve"> 500.1</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13</w:t>
            </w:r>
            <w:r w:rsidRPr="003E2DBE">
              <w:rPr>
                <w:rFonts w:ascii="Calibri" w:eastAsiaTheme="minorEastAsia" w:hAnsi="Calibri" w:cs="Calibri"/>
                <w:b/>
                <w:bCs/>
                <w:sz w:val="21"/>
                <w:szCs w:val="22"/>
                <w:lang w:eastAsia="en-AU"/>
              </w:rPr>
              <w:t xml:space="preserve"> 456.6</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12</w:t>
            </w:r>
            <w:r w:rsidRPr="003E2DBE">
              <w:rPr>
                <w:rFonts w:ascii="Calibri" w:eastAsiaTheme="minorEastAsia" w:hAnsi="Calibri" w:cs="Calibri"/>
                <w:b/>
                <w:bCs/>
                <w:sz w:val="21"/>
                <w:szCs w:val="22"/>
                <w:lang w:eastAsia="en-AU"/>
              </w:rPr>
              <w:t xml:space="preserve"> 151.5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9</w:t>
            </w:r>
            <w:r w:rsidRPr="003E2DBE">
              <w:rPr>
                <w:rFonts w:ascii="Calibri" w:eastAsiaTheme="minorEastAsia" w:hAnsi="Calibri" w:cs="Calibri"/>
                <w:b/>
                <w:bCs/>
                <w:sz w:val="21"/>
                <w:szCs w:val="22"/>
                <w:lang w:eastAsia="en-AU"/>
              </w:rPr>
              <w:t xml:space="preserve"> 297.5</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9</w:t>
            </w:r>
            <w:r w:rsidRPr="003E2DBE">
              <w:rPr>
                <w:rFonts w:ascii="Calibri" w:eastAsiaTheme="minorEastAsia" w:hAnsi="Calibri" w:cs="Calibri"/>
                <w:b/>
                <w:bCs/>
                <w:sz w:val="21"/>
                <w:szCs w:val="22"/>
                <w:lang w:eastAsia="en-AU"/>
              </w:rPr>
              <w:t xml:space="preserve"> 123.0</w:t>
            </w:r>
          </w:p>
        </w:tc>
      </w:tr>
      <w:tr w:rsidR="000B4A1E" w:rsidRPr="003E2DBE" w:rsidTr="00517E51">
        <w:tc>
          <w:tcPr>
            <w:tcW w:w="1209"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26</w:t>
            </w:r>
            <w:r w:rsidRPr="003E2DBE">
              <w:rPr>
                <w:rFonts w:eastAsiaTheme="minorEastAsia" w:cs="Calibri"/>
                <w:b/>
                <w:bCs/>
                <w:sz w:val="21"/>
                <w:szCs w:val="22"/>
                <w:lang w:eastAsia="en-AU"/>
              </w:rPr>
              <w:t xml:space="preserve"> 086.6</w:t>
            </w:r>
          </w:p>
        </w:tc>
        <w:tc>
          <w:tcPr>
            <w:tcW w:w="121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26</w:t>
            </w:r>
            <w:r w:rsidRPr="003E2DBE">
              <w:rPr>
                <w:rFonts w:eastAsiaTheme="minorEastAsia" w:cs="Calibri"/>
                <w:b/>
                <w:bCs/>
                <w:sz w:val="21"/>
                <w:szCs w:val="22"/>
                <w:lang w:eastAsia="en-AU"/>
              </w:rPr>
              <w:t xml:space="preserve"> 001.4</w:t>
            </w:r>
          </w:p>
        </w:tc>
        <w:tc>
          <w:tcPr>
            <w:tcW w:w="120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18</w:t>
            </w:r>
            <w:r w:rsidRPr="003E2DBE">
              <w:rPr>
                <w:rFonts w:eastAsiaTheme="minorEastAsia" w:cs="Calibri"/>
                <w:b/>
                <w:bCs/>
                <w:sz w:val="21"/>
                <w:szCs w:val="22"/>
                <w:lang w:eastAsia="en-AU"/>
              </w:rPr>
              <w:t xml:space="preserve"> 034.9</w:t>
            </w:r>
          </w:p>
        </w:tc>
        <w:tc>
          <w:tcPr>
            <w:tcW w:w="121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b/>
                <w:bCs/>
                <w:sz w:val="21"/>
                <w:lang w:eastAsia="en-AU"/>
              </w:rPr>
              <w:t>18</w:t>
            </w:r>
            <w:r w:rsidRPr="003E2DBE">
              <w:rPr>
                <w:rFonts w:eastAsiaTheme="minorEastAsia" w:cs="Calibri"/>
                <w:b/>
                <w:bCs/>
                <w:sz w:val="21"/>
                <w:szCs w:val="22"/>
                <w:lang w:eastAsia="en-AU"/>
              </w:rPr>
              <w:t xml:space="preserve"> 076.7</w:t>
            </w:r>
          </w:p>
        </w:tc>
        <w:tc>
          <w:tcPr>
            <w:tcW w:w="1209" w:type="dxa"/>
            <w:gridSpan w:val="2"/>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19</w:t>
            </w:r>
            <w:r w:rsidRPr="003E2DBE">
              <w:rPr>
                <w:rFonts w:ascii="Calibri" w:eastAsiaTheme="minorEastAsia" w:hAnsi="Calibri" w:cs="Calibri"/>
                <w:b/>
                <w:bCs/>
                <w:sz w:val="21"/>
                <w:szCs w:val="22"/>
                <w:lang w:eastAsia="en-AU"/>
              </w:rPr>
              <w:t xml:space="preserve"> 815.7</w:t>
            </w:r>
          </w:p>
        </w:tc>
        <w:tc>
          <w:tcPr>
            <w:tcW w:w="1210"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19</w:t>
            </w:r>
            <w:r w:rsidRPr="003E2DBE">
              <w:rPr>
                <w:rFonts w:ascii="Calibri" w:eastAsiaTheme="minorEastAsia" w:hAnsi="Calibri" w:cs="Calibri"/>
                <w:b/>
                <w:bCs/>
                <w:sz w:val="21"/>
                <w:szCs w:val="22"/>
                <w:lang w:eastAsia="en-AU"/>
              </w:rPr>
              <w:t xml:space="preserve"> 116.6</w:t>
            </w:r>
          </w:p>
        </w:tc>
        <w:tc>
          <w:tcPr>
            <w:tcW w:w="1209" w:type="dxa"/>
            <w:gridSpan w:val="2"/>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15</w:t>
            </w:r>
            <w:r w:rsidRPr="003E2DBE">
              <w:rPr>
                <w:rFonts w:ascii="Calibri" w:eastAsiaTheme="minorEastAsia" w:hAnsi="Calibri" w:cs="Calibri"/>
                <w:b/>
                <w:bCs/>
                <w:sz w:val="21"/>
                <w:szCs w:val="22"/>
                <w:lang w:eastAsia="en-AU"/>
              </w:rPr>
              <w:t xml:space="preserve"> 090.9</w:t>
            </w:r>
          </w:p>
        </w:tc>
        <w:tc>
          <w:tcPr>
            <w:tcW w:w="1210" w:type="dxa"/>
            <w:gridSpan w:val="3"/>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2"/>
                <w:lang w:eastAsia="en-AU"/>
              </w:rPr>
            </w:pPr>
            <w:r w:rsidRPr="003E2DBE">
              <w:rPr>
                <w:rFonts w:ascii="Calibri" w:hAnsi="Calibri" w:cs="Calibri"/>
                <w:b/>
                <w:bCs/>
                <w:sz w:val="21"/>
                <w:szCs w:val="22"/>
                <w:lang w:eastAsia="en-AU"/>
              </w:rPr>
              <w:t>14</w:t>
            </w:r>
            <w:r w:rsidRPr="003E2DBE">
              <w:rPr>
                <w:rFonts w:ascii="Calibri" w:eastAsiaTheme="minorEastAsia" w:hAnsi="Calibri" w:cs="Calibri"/>
                <w:b/>
                <w:bCs/>
                <w:sz w:val="21"/>
                <w:szCs w:val="22"/>
                <w:lang w:eastAsia="en-AU"/>
              </w:rPr>
              <w:t xml:space="preserve"> 391.0</w:t>
            </w:r>
          </w:p>
        </w:tc>
      </w:tr>
    </w:tbl>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Pr>
        <w:pStyle w:val="Heading2NotesContd"/>
      </w:pPr>
      <w:r w:rsidRPr="00D00665">
        <w:br w:type="page"/>
      </w:r>
      <w:r w:rsidRPr="00D00665">
        <w:lastRenderedPageBreak/>
        <w:t>Note 22:</w:t>
      </w:r>
      <w:r w:rsidRPr="00D00665">
        <w:tab/>
        <w:t xml:space="preserve">Land, buildings, infrastructure, plant and equipment </w:t>
      </w:r>
      <w:r w:rsidRPr="00D00665">
        <w:rPr>
          <w:i/>
        </w:rPr>
        <w:t>(continued)</w:t>
      </w:r>
    </w:p>
    <w:p w:rsidR="000B4A1E" w:rsidRPr="00D00665" w:rsidRDefault="000B4A1E" w:rsidP="00517E51">
      <w:pPr>
        <w:pStyle w:val="Heading5"/>
      </w:pPr>
      <w:r w:rsidRPr="00D00665">
        <w:t>(c)</w:t>
      </w:r>
      <w:r w:rsidRPr="00D00665">
        <w:tab/>
        <w:t>Plant, equipment and vehicles, and infrastructure systems</w:t>
      </w:r>
    </w:p>
    <w:p w:rsidR="000B4A1E" w:rsidRPr="003E2DBE" w:rsidRDefault="000B4A1E" w:rsidP="00517E51">
      <w:pPr>
        <w:pStyle w:val="million"/>
      </w:pPr>
      <w:r w:rsidRPr="00D00665">
        <w:t>($</w:t>
      </w:r>
      <w:r>
        <w:t> million</w:t>
      </w:r>
      <w:r w:rsidRPr="00D00665">
        <w:t>)</w:t>
      </w:r>
    </w:p>
    <w:tbl>
      <w:tblPr>
        <w:tblW w:w="9644" w:type="dxa"/>
        <w:tblInd w:w="29" w:type="dxa"/>
        <w:tblLayout w:type="fixed"/>
        <w:tblCellMar>
          <w:left w:w="43" w:type="dxa"/>
          <w:right w:w="43" w:type="dxa"/>
        </w:tblCellMar>
        <w:tblLook w:val="0000" w:firstRow="0" w:lastRow="0" w:firstColumn="0" w:lastColumn="0" w:noHBand="0" w:noVBand="0"/>
      </w:tblPr>
      <w:tblGrid>
        <w:gridCol w:w="5591"/>
        <w:gridCol w:w="106"/>
        <w:gridCol w:w="73"/>
        <w:gridCol w:w="196"/>
        <w:gridCol w:w="704"/>
        <w:gridCol w:w="990"/>
        <w:gridCol w:w="106"/>
        <w:gridCol w:w="884"/>
        <w:gridCol w:w="814"/>
        <w:gridCol w:w="180"/>
      </w:tblGrid>
      <w:tr w:rsidR="000B4A1E" w:rsidRPr="003E2DBE" w:rsidTr="00103F3E">
        <w:tc>
          <w:tcPr>
            <w:tcW w:w="5591" w:type="dxa"/>
            <w:tcBorders>
              <w:top w:val="single" w:sz="4" w:space="0" w:color="auto"/>
              <w:left w:val="single" w:sz="6" w:space="0" w:color="auto"/>
              <w:bottom w:val="single" w:sz="6" w:space="0" w:color="auto"/>
              <w:right w:val="nil"/>
            </w:tcBorders>
            <w:shd w:val="clear" w:color="auto" w:fill="000000"/>
          </w:tcPr>
          <w:p w:rsidR="000B4A1E" w:rsidRPr="003E2DBE" w:rsidRDefault="000B4A1E" w:rsidP="00517E51">
            <w:pPr>
              <w:pStyle w:val="Tabletext"/>
              <w:rPr>
                <w:sz w:val="21"/>
                <w:szCs w:val="21"/>
                <w:lang w:eastAsia="en-AU"/>
              </w:rPr>
            </w:pPr>
            <w:r w:rsidRPr="003E2DBE">
              <w:rPr>
                <w:sz w:val="21"/>
                <w:szCs w:val="21"/>
                <w:lang w:eastAsia="en-AU"/>
              </w:rPr>
              <w:t xml:space="preserve"> </w:t>
            </w:r>
          </w:p>
        </w:tc>
        <w:tc>
          <w:tcPr>
            <w:tcW w:w="106"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 xml:space="preserve"> </w:t>
            </w:r>
          </w:p>
        </w:tc>
        <w:tc>
          <w:tcPr>
            <w:tcW w:w="269" w:type="dxa"/>
            <w:gridSpan w:val="2"/>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 xml:space="preserve"> </w:t>
            </w:r>
          </w:p>
        </w:tc>
        <w:tc>
          <w:tcPr>
            <w:tcW w:w="349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Public Administration</w:t>
            </w:r>
          </w:p>
        </w:tc>
        <w:tc>
          <w:tcPr>
            <w:tcW w:w="180"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r>
      <w:tr w:rsidR="000B4A1E" w:rsidRPr="003E2DBE" w:rsidTr="00103F3E">
        <w:tc>
          <w:tcPr>
            <w:tcW w:w="5591" w:type="dxa"/>
            <w:tcBorders>
              <w:top w:val="single" w:sz="6"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szCs w:val="21"/>
                <w:lang w:eastAsia="en-AU"/>
              </w:rPr>
            </w:pPr>
            <w:r w:rsidRPr="003E2DBE">
              <w:rPr>
                <w:sz w:val="21"/>
                <w:szCs w:val="21"/>
                <w:lang w:eastAsia="en-AU"/>
              </w:rPr>
              <w:t xml:space="preserve"> </w:t>
            </w:r>
          </w:p>
        </w:tc>
        <w:tc>
          <w:tcPr>
            <w:tcW w:w="106"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 xml:space="preserve"> </w:t>
            </w:r>
          </w:p>
        </w:tc>
        <w:tc>
          <w:tcPr>
            <w:tcW w:w="1963" w:type="dxa"/>
            <w:gridSpan w:val="4"/>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szCs w:val="21"/>
                <w:lang w:eastAsia="en-AU"/>
              </w:rPr>
            </w:pPr>
          </w:p>
          <w:p w:rsidR="000B4A1E" w:rsidRPr="003E2DBE" w:rsidRDefault="000B4A1E" w:rsidP="00517E51">
            <w:pPr>
              <w:pStyle w:val="TabletextheadingCentred"/>
              <w:rPr>
                <w:sz w:val="21"/>
                <w:szCs w:val="21"/>
                <w:lang w:eastAsia="en-AU"/>
              </w:rPr>
            </w:pPr>
            <w:r w:rsidRPr="003E2DBE">
              <w:rPr>
                <w:sz w:val="21"/>
                <w:szCs w:val="21"/>
                <w:lang w:eastAsia="en-AU"/>
              </w:rPr>
              <w:t>State of Victoria</w:t>
            </w:r>
          </w:p>
        </w:tc>
        <w:tc>
          <w:tcPr>
            <w:tcW w:w="106"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1878" w:type="dxa"/>
            <w:gridSpan w:val="3"/>
            <w:tcBorders>
              <w:top w:val="single" w:sz="6"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General </w:t>
            </w:r>
          </w:p>
          <w:p w:rsidR="000B4A1E" w:rsidRPr="003E2DBE" w:rsidRDefault="000B4A1E" w:rsidP="00517E51">
            <w:pPr>
              <w:pStyle w:val="TabletextheadingCentred"/>
              <w:rPr>
                <w:sz w:val="21"/>
                <w:szCs w:val="21"/>
                <w:lang w:eastAsia="en-AU"/>
              </w:rPr>
            </w:pPr>
            <w:r w:rsidRPr="003E2DBE">
              <w:rPr>
                <w:sz w:val="21"/>
                <w:szCs w:val="21"/>
                <w:lang w:eastAsia="en-AU"/>
              </w:rPr>
              <w:t>government sector</w:t>
            </w:r>
          </w:p>
        </w:tc>
      </w:tr>
      <w:tr w:rsidR="000B4A1E" w:rsidRPr="003E2DBE" w:rsidTr="00517E51">
        <w:tc>
          <w:tcPr>
            <w:tcW w:w="5591"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
              <w:rPr>
                <w:sz w:val="21"/>
                <w:szCs w:val="21"/>
                <w:lang w:eastAsia="en-AU"/>
              </w:rPr>
            </w:pPr>
            <w:r w:rsidRPr="003E2DBE">
              <w:rPr>
                <w:sz w:val="21"/>
                <w:szCs w:val="21"/>
                <w:lang w:eastAsia="en-AU"/>
              </w:rPr>
              <w:t xml:space="preserve"> </w:t>
            </w:r>
          </w:p>
        </w:tc>
        <w:tc>
          <w:tcPr>
            <w:tcW w:w="1079" w:type="dxa"/>
            <w:gridSpan w:val="4"/>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990"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2012</w:t>
            </w:r>
          </w:p>
        </w:tc>
        <w:tc>
          <w:tcPr>
            <w:tcW w:w="990"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994" w:type="dxa"/>
            <w:gridSpan w:val="2"/>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2012</w:t>
            </w:r>
          </w:p>
        </w:tc>
      </w:tr>
      <w:tr w:rsidR="000B4A1E" w:rsidRPr="003E2DBE" w:rsidTr="00517E51">
        <w:tc>
          <w:tcPr>
            <w:tcW w:w="5591" w:type="dxa"/>
            <w:tcBorders>
              <w:top w:val="nil"/>
              <w:left w:val="nil"/>
              <w:bottom w:val="nil"/>
              <w:right w:val="nil"/>
            </w:tcBorders>
          </w:tcPr>
          <w:p w:rsidR="000B4A1E" w:rsidRPr="003643AB" w:rsidRDefault="000B4A1E" w:rsidP="00517E51">
            <w:pPr>
              <w:pStyle w:val="Tabletext"/>
              <w:rPr>
                <w:sz w:val="21"/>
                <w:szCs w:val="21"/>
                <w:vertAlign w:val="superscript"/>
                <w:lang w:eastAsia="en-AU"/>
              </w:rPr>
            </w:pPr>
            <w:r w:rsidRPr="003E2DBE">
              <w:rPr>
                <w:sz w:val="21"/>
                <w:szCs w:val="21"/>
                <w:lang w:eastAsia="en-AU"/>
              </w:rPr>
              <w:t>Infrastructure systems</w:t>
            </w:r>
            <w:r>
              <w:rPr>
                <w:sz w:val="21"/>
                <w:szCs w:val="21"/>
                <w:lang w:eastAsia="en-AU"/>
              </w:rPr>
              <w:t xml:space="preserve"> </w:t>
            </w:r>
            <w:r>
              <w:rPr>
                <w:sz w:val="21"/>
                <w:szCs w:val="21"/>
                <w:vertAlign w:val="superscript"/>
                <w:lang w:eastAsia="en-AU"/>
              </w:rPr>
              <w:t>(a)</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84.5</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244.5</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75.7</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75.6</w:t>
            </w:r>
          </w:p>
        </w:tc>
      </w:tr>
      <w:tr w:rsidR="000B4A1E" w:rsidRPr="003E2DBE" w:rsidTr="00517E51">
        <w:tc>
          <w:tcPr>
            <w:tcW w:w="5591" w:type="dxa"/>
            <w:tcBorders>
              <w:top w:val="nil"/>
              <w:left w:val="nil"/>
              <w:bottom w:val="nil"/>
              <w:right w:val="nil"/>
            </w:tcBorders>
          </w:tcPr>
          <w:p w:rsidR="000B4A1E" w:rsidRPr="003643AB" w:rsidRDefault="000B4A1E" w:rsidP="00517E51">
            <w:pPr>
              <w:pStyle w:val="Tabletext"/>
              <w:rPr>
                <w:sz w:val="21"/>
                <w:szCs w:val="21"/>
                <w:vertAlign w:val="superscript"/>
                <w:lang w:eastAsia="en-AU"/>
              </w:rPr>
            </w:pPr>
            <w:r w:rsidRPr="003E2DBE">
              <w:rPr>
                <w:sz w:val="21"/>
                <w:szCs w:val="21"/>
                <w:lang w:eastAsia="en-AU"/>
              </w:rPr>
              <w:t>Accumulated depreciation</w:t>
            </w:r>
            <w:r>
              <w:rPr>
                <w:sz w:val="21"/>
                <w:szCs w:val="21"/>
                <w:lang w:eastAsia="en-AU"/>
              </w:rPr>
              <w:t xml:space="preserve"> </w:t>
            </w:r>
            <w:r>
              <w:rPr>
                <w:sz w:val="21"/>
                <w:szCs w:val="21"/>
                <w:vertAlign w:val="superscript"/>
                <w:lang w:eastAsia="en-AU"/>
              </w:rPr>
              <w:t>(a)</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3.0)</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2.0)</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1.1)</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5591" w:type="dxa"/>
            <w:tcBorders>
              <w:top w:val="nil"/>
              <w:left w:val="nil"/>
              <w:bottom w:val="nil"/>
              <w:right w:val="nil"/>
            </w:tcBorders>
          </w:tcPr>
          <w:p w:rsidR="000B4A1E" w:rsidRPr="003643AB" w:rsidRDefault="000B4A1E" w:rsidP="00517E51">
            <w:pPr>
              <w:pStyle w:val="Tabletext"/>
              <w:rPr>
                <w:sz w:val="21"/>
                <w:szCs w:val="21"/>
                <w:vertAlign w:val="superscript"/>
                <w:lang w:eastAsia="en-AU"/>
              </w:rPr>
            </w:pPr>
            <w:r w:rsidRPr="003E2DBE">
              <w:rPr>
                <w:sz w:val="21"/>
                <w:szCs w:val="21"/>
                <w:lang w:eastAsia="en-AU"/>
              </w:rPr>
              <w:t>Leased infrastructure systems</w:t>
            </w:r>
            <w:r>
              <w:rPr>
                <w:sz w:val="21"/>
                <w:szCs w:val="21"/>
                <w:lang w:eastAsia="en-AU"/>
              </w:rPr>
              <w:t xml:space="preserve"> </w:t>
            </w:r>
            <w:r>
              <w:rPr>
                <w:sz w:val="21"/>
                <w:szCs w:val="21"/>
                <w:vertAlign w:val="superscript"/>
                <w:lang w:eastAsia="en-AU"/>
              </w:rPr>
              <w:t>(a)</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Accumulated depreciation</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Infrastructure systems (written down value)</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81.5</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242.5</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74.6</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75.6</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Plant, equipment and vehicles</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693.7</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659.2</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409.2</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411.1</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Accumulated depreciation</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287.5)</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345.2)</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174.0)</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246.1)</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Leased plant, equipment and vehicles</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1.0</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1.0</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Accumulated depreciation</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0.2)</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0.2)</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Plant, equipment and vehicles (written down value)</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406.2</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314.9</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235.2</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165.9</w:t>
            </w:r>
          </w:p>
        </w:tc>
      </w:tr>
      <w:tr w:rsidR="000B4A1E" w:rsidRPr="003E2DBE" w:rsidTr="00517E51">
        <w:tc>
          <w:tcPr>
            <w:tcW w:w="5770" w:type="dxa"/>
            <w:gridSpan w:val="3"/>
            <w:tcBorders>
              <w:top w:val="single" w:sz="6" w:space="0" w:color="auto"/>
              <w:left w:val="nil"/>
              <w:bottom w:val="single" w:sz="12" w:space="0" w:color="auto"/>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Total plant, equipment and vehicles, and infrastructure systems</w:t>
            </w:r>
          </w:p>
        </w:tc>
        <w:tc>
          <w:tcPr>
            <w:tcW w:w="90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487.7</w:t>
            </w:r>
          </w:p>
        </w:tc>
        <w:tc>
          <w:tcPr>
            <w:tcW w:w="99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557.4</w:t>
            </w:r>
          </w:p>
        </w:tc>
        <w:tc>
          <w:tcPr>
            <w:tcW w:w="99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309.8</w:t>
            </w:r>
          </w:p>
        </w:tc>
        <w:tc>
          <w:tcPr>
            <w:tcW w:w="994"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241.5</w:t>
            </w:r>
          </w:p>
        </w:tc>
      </w:tr>
    </w:tbl>
    <w:p w:rsidR="000B4A1E" w:rsidRPr="003E2DBE" w:rsidRDefault="000B4A1E" w:rsidP="00517E51">
      <w:pPr>
        <w:pStyle w:val="Notes"/>
      </w:pPr>
    </w:p>
    <w:tbl>
      <w:tblPr>
        <w:tblW w:w="9644" w:type="dxa"/>
        <w:tblInd w:w="29" w:type="dxa"/>
        <w:tblLayout w:type="fixed"/>
        <w:tblCellMar>
          <w:left w:w="43" w:type="dxa"/>
          <w:right w:w="43" w:type="dxa"/>
        </w:tblCellMar>
        <w:tblLook w:val="0000" w:firstRow="0" w:lastRow="0" w:firstColumn="0" w:lastColumn="0" w:noHBand="0" w:noVBand="0"/>
      </w:tblPr>
      <w:tblGrid>
        <w:gridCol w:w="5591"/>
        <w:gridCol w:w="106"/>
        <w:gridCol w:w="77"/>
        <w:gridCol w:w="192"/>
        <w:gridCol w:w="704"/>
        <w:gridCol w:w="990"/>
        <w:gridCol w:w="106"/>
        <w:gridCol w:w="888"/>
        <w:gridCol w:w="810"/>
        <w:gridCol w:w="180"/>
      </w:tblGrid>
      <w:tr w:rsidR="000B4A1E" w:rsidRPr="003E2DBE" w:rsidTr="00517E51">
        <w:tc>
          <w:tcPr>
            <w:tcW w:w="5591" w:type="dxa"/>
            <w:tcBorders>
              <w:top w:val="single" w:sz="4" w:space="0" w:color="auto"/>
              <w:left w:val="single" w:sz="4" w:space="0" w:color="auto"/>
              <w:bottom w:val="single" w:sz="4" w:space="0" w:color="auto"/>
              <w:right w:val="nil"/>
            </w:tcBorders>
            <w:shd w:val="clear" w:color="auto" w:fill="000000"/>
          </w:tcPr>
          <w:p w:rsidR="000B4A1E" w:rsidRPr="003E2DBE" w:rsidRDefault="000B4A1E" w:rsidP="00517E51">
            <w:pPr>
              <w:pStyle w:val="Tabletext"/>
              <w:rPr>
                <w:sz w:val="21"/>
                <w:szCs w:val="21"/>
                <w:lang w:eastAsia="en-AU"/>
              </w:rPr>
            </w:pPr>
            <w:r w:rsidRPr="003E2DBE">
              <w:rPr>
                <w:sz w:val="21"/>
                <w:szCs w:val="21"/>
                <w:lang w:eastAsia="en-AU"/>
              </w:rPr>
              <w:t xml:space="preserve"> </w:t>
            </w:r>
          </w:p>
        </w:tc>
        <w:tc>
          <w:tcPr>
            <w:tcW w:w="106"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 xml:space="preserve"> </w:t>
            </w:r>
          </w:p>
        </w:tc>
        <w:tc>
          <w:tcPr>
            <w:tcW w:w="269" w:type="dxa"/>
            <w:gridSpan w:val="2"/>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 xml:space="preserve"> </w:t>
            </w:r>
          </w:p>
        </w:tc>
        <w:tc>
          <w:tcPr>
            <w:tcW w:w="3498" w:type="dxa"/>
            <w:gridSpan w:val="5"/>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Community Housing</w:t>
            </w:r>
          </w:p>
        </w:tc>
        <w:tc>
          <w:tcPr>
            <w:tcW w:w="180" w:type="dxa"/>
            <w:tcBorders>
              <w:top w:val="single" w:sz="4" w:space="0" w:color="auto"/>
              <w:left w:val="nil"/>
              <w:bottom w:val="single" w:sz="4" w:space="0" w:color="auto"/>
              <w:right w:val="single" w:sz="4" w:space="0" w:color="auto"/>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r>
      <w:tr w:rsidR="000B4A1E" w:rsidRPr="003E2DBE" w:rsidTr="00517E51">
        <w:tc>
          <w:tcPr>
            <w:tcW w:w="5591"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szCs w:val="21"/>
                <w:lang w:eastAsia="en-AU"/>
              </w:rPr>
            </w:pPr>
            <w:r w:rsidRPr="003E2DBE">
              <w:rPr>
                <w:sz w:val="21"/>
                <w:szCs w:val="21"/>
                <w:lang w:eastAsia="en-AU"/>
              </w:rPr>
              <w:t xml:space="preserve"> </w:t>
            </w:r>
          </w:p>
        </w:tc>
        <w:tc>
          <w:tcPr>
            <w:tcW w:w="106"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 xml:space="preserve"> </w:t>
            </w:r>
          </w:p>
        </w:tc>
        <w:tc>
          <w:tcPr>
            <w:tcW w:w="1963" w:type="dxa"/>
            <w:gridSpan w:val="4"/>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jc w:val="right"/>
              <w:rPr>
                <w:sz w:val="21"/>
                <w:szCs w:val="21"/>
                <w:lang w:eastAsia="en-AU"/>
              </w:rPr>
            </w:pPr>
          </w:p>
          <w:p w:rsidR="000B4A1E" w:rsidRPr="003E2DBE" w:rsidRDefault="000B4A1E" w:rsidP="00517E51">
            <w:pPr>
              <w:pStyle w:val="TabletextheadingCentred"/>
              <w:rPr>
                <w:sz w:val="21"/>
                <w:szCs w:val="21"/>
                <w:lang w:eastAsia="en-AU"/>
              </w:rPr>
            </w:pPr>
            <w:r w:rsidRPr="003E2DBE">
              <w:rPr>
                <w:sz w:val="21"/>
                <w:szCs w:val="21"/>
                <w:lang w:eastAsia="en-AU"/>
              </w:rPr>
              <w:t>State of Victoria</w:t>
            </w:r>
          </w:p>
        </w:tc>
        <w:tc>
          <w:tcPr>
            <w:tcW w:w="106"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1878" w:type="dxa"/>
            <w:gridSpan w:val="3"/>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General </w:t>
            </w:r>
          </w:p>
          <w:p w:rsidR="000B4A1E" w:rsidRPr="003E2DBE" w:rsidRDefault="000B4A1E" w:rsidP="00517E51">
            <w:pPr>
              <w:pStyle w:val="TabletextheadingCentred"/>
              <w:rPr>
                <w:sz w:val="21"/>
                <w:szCs w:val="21"/>
                <w:lang w:eastAsia="en-AU"/>
              </w:rPr>
            </w:pPr>
            <w:r w:rsidRPr="003E2DBE">
              <w:rPr>
                <w:sz w:val="21"/>
                <w:szCs w:val="21"/>
                <w:lang w:eastAsia="en-AU"/>
              </w:rPr>
              <w:t>government sector</w:t>
            </w:r>
          </w:p>
        </w:tc>
      </w:tr>
      <w:tr w:rsidR="000B4A1E" w:rsidRPr="003E2DBE" w:rsidTr="00517E51">
        <w:tc>
          <w:tcPr>
            <w:tcW w:w="5591"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
              <w:rPr>
                <w:sz w:val="21"/>
                <w:szCs w:val="21"/>
                <w:lang w:eastAsia="en-AU"/>
              </w:rPr>
            </w:pPr>
            <w:r w:rsidRPr="003E2DBE">
              <w:rPr>
                <w:sz w:val="21"/>
                <w:szCs w:val="21"/>
                <w:lang w:eastAsia="en-AU"/>
              </w:rPr>
              <w:t xml:space="preserve"> </w:t>
            </w:r>
          </w:p>
        </w:tc>
        <w:tc>
          <w:tcPr>
            <w:tcW w:w="1079" w:type="dxa"/>
            <w:gridSpan w:val="4"/>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990"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2012</w:t>
            </w:r>
          </w:p>
        </w:tc>
        <w:tc>
          <w:tcPr>
            <w:tcW w:w="994"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990" w:type="dxa"/>
            <w:gridSpan w:val="2"/>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2012</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 xml:space="preserve">Infrastructure systems </w:t>
            </w:r>
            <w:r w:rsidRPr="003E2DBE">
              <w:rPr>
                <w:sz w:val="21"/>
                <w:szCs w:val="21"/>
                <w:vertAlign w:val="superscript"/>
                <w:lang w:eastAsia="en-AU"/>
              </w:rPr>
              <w:t>(a)</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 xml:space="preserve">Accumulated depreciation </w:t>
            </w:r>
            <w:r w:rsidRPr="003E2DBE">
              <w:rPr>
                <w:sz w:val="21"/>
                <w:szCs w:val="21"/>
                <w:vertAlign w:val="superscript"/>
                <w:lang w:eastAsia="en-AU"/>
              </w:rPr>
              <w:t>(a)</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 xml:space="preserve">Leased infrastructure systems </w:t>
            </w:r>
            <w:r w:rsidRPr="003E2DBE">
              <w:rPr>
                <w:sz w:val="21"/>
                <w:szCs w:val="21"/>
                <w:vertAlign w:val="superscript"/>
                <w:lang w:eastAsia="en-AU"/>
              </w:rPr>
              <w:t>(a)</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Accumulated depreciation</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Infrastructure systems (written down value)</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Plant, equipment and vehicles</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8.1</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8.1</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Accumulated depreciation</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7.6)</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7.0)</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Leased plant, equipment and vehicles</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Accumulated depreciation</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Plant, equipment and vehicles (written down value)</w:t>
            </w:r>
          </w:p>
        </w:tc>
        <w:tc>
          <w:tcPr>
            <w:tcW w:w="1079" w:type="dxa"/>
            <w:gridSpan w:val="4"/>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0.5</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1.1</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w:t>
            </w:r>
          </w:p>
        </w:tc>
      </w:tr>
      <w:tr w:rsidR="000B4A1E" w:rsidRPr="003E2DBE" w:rsidTr="00517E51">
        <w:tc>
          <w:tcPr>
            <w:tcW w:w="5774" w:type="dxa"/>
            <w:gridSpan w:val="3"/>
            <w:tcBorders>
              <w:top w:val="single" w:sz="6" w:space="0" w:color="auto"/>
              <w:left w:val="nil"/>
              <w:bottom w:val="single" w:sz="12" w:space="0" w:color="auto"/>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Total plant, equipment and vehicles, and infrastructure systems</w:t>
            </w:r>
          </w:p>
        </w:tc>
        <w:tc>
          <w:tcPr>
            <w:tcW w:w="896"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0.5</w:t>
            </w:r>
          </w:p>
        </w:tc>
        <w:tc>
          <w:tcPr>
            <w:tcW w:w="99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1.1</w:t>
            </w:r>
          </w:p>
        </w:tc>
        <w:tc>
          <w:tcPr>
            <w:tcW w:w="994"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w:t>
            </w:r>
          </w:p>
        </w:tc>
        <w:tc>
          <w:tcPr>
            <w:tcW w:w="99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w:t>
            </w:r>
          </w:p>
        </w:tc>
      </w:tr>
    </w:tbl>
    <w:p w:rsidR="000B4A1E" w:rsidRPr="003E2DBE" w:rsidRDefault="000B4A1E" w:rsidP="00517E51">
      <w:pPr>
        <w:pStyle w:val="Notes"/>
      </w:pPr>
    </w:p>
    <w:tbl>
      <w:tblPr>
        <w:tblW w:w="9644" w:type="dxa"/>
        <w:tblInd w:w="29" w:type="dxa"/>
        <w:tblLayout w:type="fixed"/>
        <w:tblCellMar>
          <w:left w:w="43" w:type="dxa"/>
          <w:right w:w="43" w:type="dxa"/>
        </w:tblCellMar>
        <w:tblLook w:val="0000" w:firstRow="0" w:lastRow="0" w:firstColumn="0" w:lastColumn="0" w:noHBand="0" w:noVBand="0"/>
      </w:tblPr>
      <w:tblGrid>
        <w:gridCol w:w="5591"/>
        <w:gridCol w:w="106"/>
        <w:gridCol w:w="269"/>
        <w:gridCol w:w="704"/>
        <w:gridCol w:w="990"/>
        <w:gridCol w:w="106"/>
        <w:gridCol w:w="884"/>
        <w:gridCol w:w="814"/>
        <w:gridCol w:w="180"/>
      </w:tblGrid>
      <w:tr w:rsidR="000B4A1E" w:rsidRPr="003E2DBE" w:rsidTr="00517E51">
        <w:tc>
          <w:tcPr>
            <w:tcW w:w="5591"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szCs w:val="21"/>
                <w:lang w:eastAsia="en-AU"/>
              </w:rPr>
            </w:pPr>
            <w:r w:rsidRPr="003E2DBE">
              <w:rPr>
                <w:sz w:val="21"/>
                <w:szCs w:val="21"/>
                <w:lang w:eastAsia="en-AU"/>
              </w:rPr>
              <w:t xml:space="preserve"> </w:t>
            </w:r>
          </w:p>
        </w:tc>
        <w:tc>
          <w:tcPr>
            <w:tcW w:w="106"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 xml:space="preserve"> </w:t>
            </w:r>
          </w:p>
        </w:tc>
        <w:tc>
          <w:tcPr>
            <w:tcW w:w="269"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 xml:space="preserve"> </w:t>
            </w:r>
          </w:p>
        </w:tc>
        <w:tc>
          <w:tcPr>
            <w:tcW w:w="349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Total</w:t>
            </w:r>
          </w:p>
        </w:tc>
        <w:tc>
          <w:tcPr>
            <w:tcW w:w="180"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r>
      <w:tr w:rsidR="000B4A1E" w:rsidRPr="003E2DBE" w:rsidTr="00517E51">
        <w:tc>
          <w:tcPr>
            <w:tcW w:w="5591" w:type="dxa"/>
            <w:tcBorders>
              <w:top w:val="single" w:sz="6" w:space="0" w:color="auto"/>
              <w:left w:val="single" w:sz="4" w:space="0" w:color="auto"/>
              <w:bottom w:val="single" w:sz="6" w:space="0" w:color="auto"/>
              <w:right w:val="nil"/>
            </w:tcBorders>
            <w:shd w:val="clear" w:color="auto" w:fill="000000"/>
          </w:tcPr>
          <w:p w:rsidR="000B4A1E" w:rsidRPr="003E2DBE" w:rsidRDefault="000B4A1E" w:rsidP="00517E51">
            <w:pPr>
              <w:pStyle w:val="Tabletext"/>
              <w:rPr>
                <w:sz w:val="21"/>
                <w:szCs w:val="21"/>
                <w:lang w:eastAsia="en-AU"/>
              </w:rPr>
            </w:pPr>
            <w:r w:rsidRPr="003E2DBE">
              <w:rPr>
                <w:sz w:val="21"/>
                <w:szCs w:val="21"/>
                <w:lang w:eastAsia="en-AU"/>
              </w:rPr>
              <w:t xml:space="preserve"> </w:t>
            </w:r>
          </w:p>
        </w:tc>
        <w:tc>
          <w:tcPr>
            <w:tcW w:w="106"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 xml:space="preserve"> </w:t>
            </w:r>
          </w:p>
        </w:tc>
        <w:tc>
          <w:tcPr>
            <w:tcW w:w="1963" w:type="dxa"/>
            <w:gridSpan w:val="3"/>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szCs w:val="21"/>
                <w:lang w:eastAsia="en-AU"/>
              </w:rPr>
            </w:pPr>
          </w:p>
          <w:p w:rsidR="000B4A1E" w:rsidRPr="003E2DBE" w:rsidRDefault="000B4A1E" w:rsidP="00517E51">
            <w:pPr>
              <w:pStyle w:val="TabletextheadingCentred"/>
              <w:rPr>
                <w:sz w:val="21"/>
                <w:szCs w:val="21"/>
                <w:lang w:eastAsia="en-AU"/>
              </w:rPr>
            </w:pPr>
            <w:r w:rsidRPr="003E2DBE">
              <w:rPr>
                <w:sz w:val="21"/>
                <w:szCs w:val="21"/>
                <w:lang w:eastAsia="en-AU"/>
              </w:rPr>
              <w:t>State of Victoria</w:t>
            </w:r>
          </w:p>
        </w:tc>
        <w:tc>
          <w:tcPr>
            <w:tcW w:w="106"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1878" w:type="dxa"/>
            <w:gridSpan w:val="3"/>
            <w:tcBorders>
              <w:top w:val="single" w:sz="6"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General </w:t>
            </w:r>
          </w:p>
          <w:p w:rsidR="000B4A1E" w:rsidRPr="003E2DBE" w:rsidRDefault="000B4A1E" w:rsidP="00517E51">
            <w:pPr>
              <w:pStyle w:val="TabletextheadingCentred"/>
              <w:rPr>
                <w:sz w:val="21"/>
                <w:szCs w:val="21"/>
                <w:lang w:eastAsia="en-AU"/>
              </w:rPr>
            </w:pPr>
            <w:r w:rsidRPr="003E2DBE">
              <w:rPr>
                <w:sz w:val="21"/>
                <w:szCs w:val="21"/>
                <w:lang w:eastAsia="en-AU"/>
              </w:rPr>
              <w:t>government sector</w:t>
            </w:r>
          </w:p>
        </w:tc>
      </w:tr>
      <w:tr w:rsidR="000B4A1E" w:rsidRPr="003E2DBE" w:rsidTr="00517E51">
        <w:tc>
          <w:tcPr>
            <w:tcW w:w="5591"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
              <w:rPr>
                <w:sz w:val="21"/>
                <w:szCs w:val="21"/>
                <w:lang w:eastAsia="en-AU"/>
              </w:rPr>
            </w:pPr>
            <w:r w:rsidRPr="003E2DBE">
              <w:rPr>
                <w:sz w:val="21"/>
                <w:szCs w:val="21"/>
                <w:lang w:eastAsia="en-AU"/>
              </w:rPr>
              <w:t xml:space="preserve"> </w:t>
            </w:r>
          </w:p>
        </w:tc>
        <w:tc>
          <w:tcPr>
            <w:tcW w:w="1079" w:type="dxa"/>
            <w:gridSpan w:val="3"/>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990"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2012</w:t>
            </w:r>
          </w:p>
        </w:tc>
        <w:tc>
          <w:tcPr>
            <w:tcW w:w="990"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994" w:type="dxa"/>
            <w:gridSpan w:val="2"/>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2012</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 xml:space="preserve">Infrastructure systems </w:t>
            </w:r>
            <w:r w:rsidRPr="003E2DBE">
              <w:rPr>
                <w:sz w:val="21"/>
                <w:szCs w:val="21"/>
                <w:vertAlign w:val="superscript"/>
                <w:lang w:eastAsia="en-AU"/>
              </w:rPr>
              <w:t>(a)</w:t>
            </w:r>
          </w:p>
        </w:tc>
        <w:tc>
          <w:tcPr>
            <w:tcW w:w="107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52 </w:t>
            </w:r>
            <w:r w:rsidRPr="003E2DBE">
              <w:rPr>
                <w:rFonts w:eastAsiaTheme="minorEastAsia" w:cs="Calibri"/>
                <w:sz w:val="21"/>
                <w:szCs w:val="21"/>
                <w:lang w:eastAsia="en-AU"/>
              </w:rPr>
              <w:t>191.5</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50 </w:t>
            </w:r>
            <w:r w:rsidRPr="003E2DBE">
              <w:rPr>
                <w:rFonts w:eastAsiaTheme="minorEastAsia" w:cs="Calibri"/>
                <w:sz w:val="21"/>
                <w:szCs w:val="21"/>
                <w:lang w:eastAsia="en-AU"/>
              </w:rPr>
              <w:t>437.0</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2 </w:t>
            </w:r>
            <w:r w:rsidRPr="003E2DBE">
              <w:rPr>
                <w:rFonts w:eastAsiaTheme="minorEastAsia" w:cs="Calibri"/>
                <w:sz w:val="21"/>
                <w:szCs w:val="21"/>
                <w:lang w:eastAsia="en-AU"/>
              </w:rPr>
              <w:t>744.4</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2 </w:t>
            </w:r>
            <w:r w:rsidRPr="003E2DBE">
              <w:rPr>
                <w:rFonts w:eastAsiaTheme="minorEastAsia" w:cs="Calibri"/>
                <w:sz w:val="21"/>
                <w:szCs w:val="21"/>
                <w:lang w:eastAsia="en-AU"/>
              </w:rPr>
              <w:t>719.6</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 xml:space="preserve">Accumulated depreciation </w:t>
            </w:r>
            <w:r w:rsidRPr="003E2DBE">
              <w:rPr>
                <w:sz w:val="21"/>
                <w:szCs w:val="21"/>
                <w:vertAlign w:val="superscript"/>
                <w:lang w:eastAsia="en-AU"/>
              </w:rPr>
              <w:t>(a)</w:t>
            </w:r>
          </w:p>
        </w:tc>
        <w:tc>
          <w:tcPr>
            <w:tcW w:w="107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(3</w:t>
            </w:r>
            <w:r w:rsidRPr="003E2DBE">
              <w:rPr>
                <w:rFonts w:eastAsiaTheme="minorEastAsia" w:cs="Calibri"/>
                <w:sz w:val="21"/>
                <w:szCs w:val="21"/>
                <w:lang w:eastAsia="en-AU"/>
              </w:rPr>
              <w:t xml:space="preserve"> 547.1)</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(3</w:t>
            </w:r>
            <w:r w:rsidRPr="003E2DBE">
              <w:rPr>
                <w:rFonts w:eastAsiaTheme="minorEastAsia" w:cs="Calibri"/>
                <w:sz w:val="21"/>
                <w:szCs w:val="21"/>
                <w:lang w:eastAsia="en-AU"/>
              </w:rPr>
              <w:t xml:space="preserve"> 004.3)</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453.3)</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423.1)</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 xml:space="preserve">Leased infrastructure systems </w:t>
            </w:r>
            <w:r w:rsidRPr="003E2DBE">
              <w:rPr>
                <w:sz w:val="21"/>
                <w:szCs w:val="21"/>
                <w:vertAlign w:val="superscript"/>
                <w:lang w:eastAsia="en-AU"/>
              </w:rPr>
              <w:t>(a)</w:t>
            </w:r>
          </w:p>
        </w:tc>
        <w:tc>
          <w:tcPr>
            <w:tcW w:w="107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4 </w:t>
            </w:r>
            <w:r w:rsidRPr="003E2DBE">
              <w:rPr>
                <w:rFonts w:eastAsiaTheme="minorEastAsia" w:cs="Calibri"/>
                <w:sz w:val="21"/>
                <w:szCs w:val="21"/>
                <w:lang w:eastAsia="en-AU"/>
              </w:rPr>
              <w:t>809.1</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156.5</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Accumulated depreciation</w:t>
            </w:r>
          </w:p>
        </w:tc>
        <w:tc>
          <w:tcPr>
            <w:tcW w:w="107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82.8)</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45.2)</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Infrastructure systems (written down value)</w:t>
            </w:r>
          </w:p>
        </w:tc>
        <w:tc>
          <w:tcPr>
            <w:tcW w:w="1079"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53 </w:t>
            </w:r>
            <w:r w:rsidRPr="003E2DBE">
              <w:rPr>
                <w:rFonts w:eastAsiaTheme="minorEastAsia" w:cs="Calibri"/>
                <w:b/>
                <w:bCs/>
                <w:sz w:val="21"/>
                <w:szCs w:val="21"/>
                <w:lang w:eastAsia="en-AU"/>
              </w:rPr>
              <w:t>370.7</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47 </w:t>
            </w:r>
            <w:r w:rsidRPr="003E2DBE">
              <w:rPr>
                <w:rFonts w:eastAsiaTheme="minorEastAsia" w:cs="Calibri"/>
                <w:b/>
                <w:bCs/>
                <w:sz w:val="21"/>
                <w:szCs w:val="21"/>
                <w:lang w:eastAsia="en-AU"/>
              </w:rPr>
              <w:t>543.9</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2 </w:t>
            </w:r>
            <w:r w:rsidRPr="003E2DBE">
              <w:rPr>
                <w:rFonts w:eastAsiaTheme="minorEastAsia" w:cs="Calibri"/>
                <w:b/>
                <w:bCs/>
                <w:sz w:val="21"/>
                <w:szCs w:val="21"/>
                <w:lang w:eastAsia="en-AU"/>
              </w:rPr>
              <w:t>291.0</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2 </w:t>
            </w:r>
            <w:r w:rsidRPr="003E2DBE">
              <w:rPr>
                <w:rFonts w:eastAsiaTheme="minorEastAsia" w:cs="Calibri"/>
                <w:b/>
                <w:bCs/>
                <w:sz w:val="21"/>
                <w:szCs w:val="21"/>
                <w:lang w:eastAsia="en-AU"/>
              </w:rPr>
              <w:t>296.5</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Plant, equipment and vehicles</w:t>
            </w:r>
          </w:p>
        </w:tc>
        <w:tc>
          <w:tcPr>
            <w:tcW w:w="107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10 </w:t>
            </w:r>
            <w:r w:rsidRPr="003E2DBE">
              <w:rPr>
                <w:rFonts w:eastAsiaTheme="minorEastAsia" w:cs="Calibri"/>
                <w:sz w:val="21"/>
                <w:szCs w:val="21"/>
                <w:lang w:eastAsia="en-AU"/>
              </w:rPr>
              <w:t>968.9</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9 </w:t>
            </w:r>
            <w:r w:rsidRPr="003E2DBE">
              <w:rPr>
                <w:rFonts w:eastAsiaTheme="minorEastAsia" w:cs="Calibri"/>
                <w:sz w:val="21"/>
                <w:szCs w:val="21"/>
                <w:lang w:eastAsia="en-AU"/>
              </w:rPr>
              <w:t>787.3</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5 </w:t>
            </w:r>
            <w:r w:rsidRPr="003E2DBE">
              <w:rPr>
                <w:rFonts w:eastAsiaTheme="minorEastAsia" w:cs="Calibri"/>
                <w:sz w:val="21"/>
                <w:szCs w:val="21"/>
                <w:lang w:eastAsia="en-AU"/>
              </w:rPr>
              <w:t>991.0</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5 </w:t>
            </w:r>
            <w:r w:rsidRPr="003E2DBE">
              <w:rPr>
                <w:rFonts w:eastAsiaTheme="minorEastAsia" w:cs="Calibri"/>
                <w:sz w:val="21"/>
                <w:szCs w:val="21"/>
                <w:lang w:eastAsia="en-AU"/>
              </w:rPr>
              <w:t>286.3</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Accumulated depreciation</w:t>
            </w:r>
          </w:p>
        </w:tc>
        <w:tc>
          <w:tcPr>
            <w:tcW w:w="107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(4</w:t>
            </w:r>
            <w:r w:rsidRPr="003E2DBE">
              <w:rPr>
                <w:rFonts w:eastAsiaTheme="minorEastAsia" w:cs="Calibri"/>
                <w:sz w:val="21"/>
                <w:szCs w:val="21"/>
                <w:lang w:eastAsia="en-AU"/>
              </w:rPr>
              <w:t xml:space="preserve"> 001.5)</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(3</w:t>
            </w:r>
            <w:r w:rsidRPr="003E2DBE">
              <w:rPr>
                <w:rFonts w:eastAsiaTheme="minorEastAsia" w:cs="Calibri"/>
                <w:sz w:val="21"/>
                <w:szCs w:val="21"/>
                <w:lang w:eastAsia="en-AU"/>
              </w:rPr>
              <w:t xml:space="preserve"> 795.0)</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(3</w:t>
            </w:r>
            <w:r w:rsidRPr="003E2DBE">
              <w:rPr>
                <w:rFonts w:eastAsiaTheme="minorEastAsia" w:cs="Calibri"/>
                <w:sz w:val="21"/>
                <w:szCs w:val="21"/>
                <w:lang w:eastAsia="en-AU"/>
              </w:rPr>
              <w:t xml:space="preserve"> 194.2)</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(3</w:t>
            </w:r>
            <w:r w:rsidRPr="003E2DBE">
              <w:rPr>
                <w:rFonts w:eastAsiaTheme="minorEastAsia" w:cs="Calibri"/>
                <w:sz w:val="21"/>
                <w:szCs w:val="21"/>
                <w:lang w:eastAsia="en-AU"/>
              </w:rPr>
              <w:t xml:space="preserve"> 145.8)</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Leased plant, equipment and vehicles</w:t>
            </w:r>
          </w:p>
        </w:tc>
        <w:tc>
          <w:tcPr>
            <w:tcW w:w="107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1 </w:t>
            </w:r>
            <w:r w:rsidRPr="003E2DBE">
              <w:rPr>
                <w:rFonts w:eastAsiaTheme="minorEastAsia" w:cs="Calibri"/>
                <w:sz w:val="21"/>
                <w:szCs w:val="21"/>
                <w:lang w:eastAsia="en-AU"/>
              </w:rPr>
              <w:t>345.2</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1 </w:t>
            </w:r>
            <w:r w:rsidRPr="003E2DBE">
              <w:rPr>
                <w:rFonts w:eastAsiaTheme="minorEastAsia" w:cs="Calibri"/>
                <w:sz w:val="21"/>
                <w:szCs w:val="21"/>
                <w:lang w:eastAsia="en-AU"/>
              </w:rPr>
              <w:t>363.0</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300.6</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363.5</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sz w:val="21"/>
                <w:szCs w:val="21"/>
                <w:lang w:eastAsia="en-AU"/>
              </w:rPr>
            </w:pPr>
            <w:r w:rsidRPr="003E2DBE">
              <w:rPr>
                <w:sz w:val="21"/>
                <w:szCs w:val="21"/>
                <w:lang w:eastAsia="en-AU"/>
              </w:rPr>
              <w:t>Accumulated depreciation</w:t>
            </w:r>
          </w:p>
        </w:tc>
        <w:tc>
          <w:tcPr>
            <w:tcW w:w="107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242.7)</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251.9)</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176.1)</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218.5)</w:t>
            </w:r>
          </w:p>
        </w:tc>
      </w:tr>
      <w:tr w:rsidR="000B4A1E" w:rsidRPr="003E2DBE" w:rsidTr="00517E51">
        <w:tc>
          <w:tcPr>
            <w:tcW w:w="5591" w:type="dxa"/>
            <w:tcBorders>
              <w:top w:val="nil"/>
              <w:left w:val="nil"/>
              <w:bottom w:val="nil"/>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Plant, equipment and vehicles (written down value)</w:t>
            </w:r>
          </w:p>
        </w:tc>
        <w:tc>
          <w:tcPr>
            <w:tcW w:w="1079"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8 </w:t>
            </w:r>
            <w:r w:rsidRPr="003E2DBE">
              <w:rPr>
                <w:rFonts w:eastAsiaTheme="minorEastAsia" w:cs="Calibri"/>
                <w:b/>
                <w:bCs/>
                <w:sz w:val="21"/>
                <w:szCs w:val="21"/>
                <w:lang w:eastAsia="en-AU"/>
              </w:rPr>
              <w:t>070.0</w:t>
            </w:r>
          </w:p>
        </w:tc>
        <w:tc>
          <w:tcPr>
            <w:tcW w:w="99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7 </w:t>
            </w:r>
            <w:r w:rsidRPr="003E2DBE">
              <w:rPr>
                <w:rFonts w:eastAsiaTheme="minorEastAsia" w:cs="Calibri"/>
                <w:b/>
                <w:bCs/>
                <w:sz w:val="21"/>
                <w:szCs w:val="21"/>
                <w:lang w:eastAsia="en-AU"/>
              </w:rPr>
              <w:t>103.4</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2 </w:t>
            </w:r>
            <w:r w:rsidRPr="003E2DBE">
              <w:rPr>
                <w:rFonts w:eastAsiaTheme="minorEastAsia" w:cs="Calibri"/>
                <w:b/>
                <w:bCs/>
                <w:sz w:val="21"/>
                <w:szCs w:val="21"/>
                <w:lang w:eastAsia="en-AU"/>
              </w:rPr>
              <w:t>921.3</w:t>
            </w:r>
          </w:p>
        </w:tc>
        <w:tc>
          <w:tcPr>
            <w:tcW w:w="994"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2 </w:t>
            </w:r>
            <w:r w:rsidRPr="003E2DBE">
              <w:rPr>
                <w:rFonts w:eastAsiaTheme="minorEastAsia" w:cs="Calibri"/>
                <w:b/>
                <w:bCs/>
                <w:sz w:val="21"/>
                <w:szCs w:val="21"/>
                <w:lang w:eastAsia="en-AU"/>
              </w:rPr>
              <w:t>285.5</w:t>
            </w:r>
          </w:p>
        </w:tc>
      </w:tr>
      <w:tr w:rsidR="000B4A1E" w:rsidRPr="003E2DBE" w:rsidTr="00517E51">
        <w:tc>
          <w:tcPr>
            <w:tcW w:w="5591" w:type="dxa"/>
            <w:tcBorders>
              <w:top w:val="single" w:sz="6" w:space="0" w:color="auto"/>
              <w:left w:val="nil"/>
              <w:bottom w:val="single" w:sz="12" w:space="0" w:color="auto"/>
              <w:right w:val="nil"/>
            </w:tcBorders>
          </w:tcPr>
          <w:p w:rsidR="000B4A1E" w:rsidRPr="003E2DBE" w:rsidRDefault="000B4A1E" w:rsidP="00517E51">
            <w:pPr>
              <w:pStyle w:val="Tabletext"/>
              <w:rPr>
                <w:b/>
                <w:bCs/>
                <w:sz w:val="21"/>
                <w:szCs w:val="21"/>
                <w:lang w:eastAsia="en-AU"/>
              </w:rPr>
            </w:pPr>
            <w:r w:rsidRPr="003E2DBE">
              <w:rPr>
                <w:b/>
                <w:bCs/>
                <w:sz w:val="21"/>
                <w:szCs w:val="21"/>
                <w:lang w:eastAsia="en-AU"/>
              </w:rPr>
              <w:t>Total plant, equipment and vehicles, and infrastructure systems</w:t>
            </w:r>
          </w:p>
        </w:tc>
        <w:tc>
          <w:tcPr>
            <w:tcW w:w="1079"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61 </w:t>
            </w:r>
            <w:r w:rsidRPr="003E2DBE">
              <w:rPr>
                <w:rFonts w:eastAsiaTheme="minorEastAsia" w:cs="Calibri"/>
                <w:b/>
                <w:bCs/>
                <w:sz w:val="21"/>
                <w:szCs w:val="21"/>
                <w:lang w:eastAsia="en-AU"/>
              </w:rPr>
              <w:t>440.7</w:t>
            </w:r>
          </w:p>
        </w:tc>
        <w:tc>
          <w:tcPr>
            <w:tcW w:w="99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54 </w:t>
            </w:r>
            <w:r w:rsidRPr="003E2DBE">
              <w:rPr>
                <w:rFonts w:eastAsiaTheme="minorEastAsia" w:cs="Calibri"/>
                <w:b/>
                <w:bCs/>
                <w:sz w:val="21"/>
                <w:szCs w:val="21"/>
                <w:lang w:eastAsia="en-AU"/>
              </w:rPr>
              <w:t>647.4</w:t>
            </w:r>
          </w:p>
        </w:tc>
        <w:tc>
          <w:tcPr>
            <w:tcW w:w="99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5 </w:t>
            </w:r>
            <w:r w:rsidRPr="003E2DBE">
              <w:rPr>
                <w:rFonts w:eastAsiaTheme="minorEastAsia" w:cs="Calibri"/>
                <w:b/>
                <w:bCs/>
                <w:sz w:val="21"/>
                <w:szCs w:val="21"/>
                <w:lang w:eastAsia="en-AU"/>
              </w:rPr>
              <w:t>212.4</w:t>
            </w:r>
          </w:p>
        </w:tc>
        <w:tc>
          <w:tcPr>
            <w:tcW w:w="994"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4 </w:t>
            </w:r>
            <w:r w:rsidRPr="003E2DBE">
              <w:rPr>
                <w:rFonts w:eastAsiaTheme="minorEastAsia" w:cs="Calibri"/>
                <w:b/>
                <w:bCs/>
                <w:sz w:val="21"/>
                <w:szCs w:val="21"/>
                <w:lang w:eastAsia="en-AU"/>
              </w:rPr>
              <w:t>582.0</w:t>
            </w:r>
          </w:p>
        </w:tc>
      </w:tr>
    </w:tbl>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tab/>
      </w:r>
      <w:r w:rsidRPr="00D00665">
        <w:t>Restated balances at 30 June 2012. Refer to Note 36 of the Financial Statements.</w:t>
      </w:r>
    </w:p>
    <w:p w:rsidR="000B4A1E" w:rsidRPr="00D00665" w:rsidRDefault="000B4A1E" w:rsidP="00517E51">
      <w:pPr>
        <w:pStyle w:val="Heading5"/>
      </w:pPr>
    </w:p>
    <w:p w:rsidR="000B4A1E" w:rsidRPr="00D00665" w:rsidRDefault="000B4A1E" w:rsidP="00517E51">
      <w:pPr>
        <w:spacing w:before="360"/>
      </w:pPr>
    </w:p>
    <w:p w:rsidR="000B4A1E" w:rsidRPr="003E2DBE" w:rsidRDefault="000B4A1E" w:rsidP="00517E51">
      <w:pPr>
        <w:pStyle w:val="million"/>
        <w:rPr>
          <w:rFonts w:ascii="Times New Roman" w:hAnsi="Times New Roman"/>
          <w:i w:val="0"/>
          <w:szCs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284"/>
        <w:gridCol w:w="270"/>
        <w:gridCol w:w="655"/>
        <w:gridCol w:w="1210"/>
        <w:gridCol w:w="236"/>
        <w:gridCol w:w="973"/>
        <w:gridCol w:w="974"/>
        <w:gridCol w:w="236"/>
        <w:gridCol w:w="236"/>
        <w:gridCol w:w="250"/>
        <w:gridCol w:w="723"/>
        <w:gridCol w:w="1210"/>
        <w:gridCol w:w="236"/>
        <w:gridCol w:w="973"/>
        <w:gridCol w:w="974"/>
        <w:gridCol w:w="236"/>
      </w:tblGrid>
      <w:tr w:rsidR="000B4A1E" w:rsidRPr="003E2DBE" w:rsidTr="00103F3E">
        <w:tc>
          <w:tcPr>
            <w:tcW w:w="284"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404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Education</w:t>
            </w:r>
          </w:p>
        </w:tc>
        <w:tc>
          <w:tcPr>
            <w:tcW w:w="236"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236"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 xml:space="preserve"> </w:t>
            </w:r>
          </w:p>
        </w:tc>
        <w:tc>
          <w:tcPr>
            <w:tcW w:w="250" w:type="dxa"/>
            <w:tcBorders>
              <w:top w:val="single" w:sz="6" w:space="0" w:color="auto"/>
              <w:left w:val="single" w:sz="4" w:space="0" w:color="auto"/>
              <w:bottom w:val="single" w:sz="6" w:space="0" w:color="auto"/>
              <w:right w:val="nil"/>
            </w:tcBorders>
            <w:shd w:val="solid" w:color="000000" w:fill="auto"/>
          </w:tcPr>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 xml:space="preserve"> </w:t>
            </w:r>
          </w:p>
        </w:tc>
        <w:tc>
          <w:tcPr>
            <w:tcW w:w="4116" w:type="dxa"/>
            <w:gridSpan w:val="5"/>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 xml:space="preserve"> Health and Welfare</w:t>
            </w:r>
          </w:p>
        </w:tc>
        <w:tc>
          <w:tcPr>
            <w:tcW w:w="236"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 xml:space="preserve"> </w:t>
            </w:r>
          </w:p>
        </w:tc>
      </w:tr>
      <w:tr w:rsidR="000B4A1E" w:rsidRPr="003E2DBE" w:rsidTr="00517E51">
        <w:tc>
          <w:tcPr>
            <w:tcW w:w="284" w:type="dxa"/>
            <w:tcBorders>
              <w:top w:val="single" w:sz="6" w:space="0" w:color="auto"/>
              <w:left w:val="single" w:sz="6" w:space="0" w:color="auto"/>
              <w:bottom w:val="nil"/>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 xml:space="preserve"> </w:t>
            </w:r>
          </w:p>
        </w:tc>
        <w:tc>
          <w:tcPr>
            <w:tcW w:w="2135"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szCs w:val="21"/>
                <w:lang w:eastAsia="en-AU"/>
              </w:rPr>
            </w:pPr>
          </w:p>
          <w:p w:rsidR="000B4A1E" w:rsidRPr="003E2DBE" w:rsidRDefault="000B4A1E" w:rsidP="00517E51">
            <w:pPr>
              <w:pStyle w:val="TabletextheadingCentred"/>
              <w:rPr>
                <w:sz w:val="21"/>
                <w:szCs w:val="21"/>
                <w:lang w:eastAsia="en-AU"/>
              </w:rPr>
            </w:pPr>
            <w:r w:rsidRPr="003E2DBE">
              <w:rPr>
                <w:sz w:val="21"/>
                <w:szCs w:val="21"/>
                <w:lang w:eastAsia="en-AU"/>
              </w:rPr>
              <w:t>State of Victoria</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2183"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szCs w:val="21"/>
                <w:lang w:eastAsia="en-AU"/>
              </w:rPr>
            </w:pPr>
            <w:r w:rsidRPr="003E2DBE">
              <w:rPr>
                <w:sz w:val="21"/>
                <w:szCs w:val="21"/>
                <w:lang w:eastAsia="en-AU"/>
              </w:rPr>
              <w:t xml:space="preserve">General </w:t>
            </w:r>
          </w:p>
          <w:p w:rsidR="000B4A1E" w:rsidRPr="003E2DBE" w:rsidRDefault="000B4A1E" w:rsidP="00517E51">
            <w:pPr>
              <w:pStyle w:val="TabletextheadingCentred"/>
              <w:rPr>
                <w:sz w:val="21"/>
                <w:szCs w:val="21"/>
                <w:lang w:eastAsia="en-AU"/>
              </w:rPr>
            </w:pPr>
            <w:r w:rsidRPr="003E2DBE">
              <w:rPr>
                <w:sz w:val="21"/>
                <w:szCs w:val="21"/>
                <w:lang w:eastAsia="en-AU"/>
              </w:rPr>
              <w:t>government sector</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sz w:val="21"/>
                <w:szCs w:val="21"/>
                <w:lang w:eastAsia="en-AU"/>
              </w:rPr>
            </w:pPr>
            <w:r w:rsidRPr="003E2DBE">
              <w:rPr>
                <w:rFonts w:cs="Calibri"/>
                <w:sz w:val="21"/>
                <w:szCs w:val="21"/>
                <w:lang w:eastAsia="en-AU"/>
              </w:rPr>
              <w:t xml:space="preserve"> </w:t>
            </w:r>
          </w:p>
        </w:tc>
        <w:tc>
          <w:tcPr>
            <w:tcW w:w="2183"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iCs/>
                <w:sz w:val="21"/>
                <w:szCs w:val="21"/>
                <w:lang w:eastAsia="en-AU"/>
              </w:rPr>
            </w:pPr>
          </w:p>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State of Victoria</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 xml:space="preserve"> </w:t>
            </w:r>
          </w:p>
        </w:tc>
        <w:tc>
          <w:tcPr>
            <w:tcW w:w="2183" w:type="dxa"/>
            <w:gridSpan w:val="3"/>
            <w:tcBorders>
              <w:top w:val="single" w:sz="6" w:space="0" w:color="auto"/>
              <w:left w:val="nil"/>
              <w:bottom w:val="nil"/>
              <w:right w:val="single" w:sz="6" w:space="0" w:color="auto"/>
            </w:tcBorders>
            <w:shd w:val="solid" w:color="000000" w:fill="auto"/>
          </w:tcPr>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 xml:space="preserve">General </w:t>
            </w:r>
          </w:p>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government sector</w:t>
            </w:r>
          </w:p>
        </w:tc>
      </w:tr>
      <w:tr w:rsidR="000B4A1E" w:rsidRPr="003E2DBE" w:rsidTr="00517E51">
        <w:tc>
          <w:tcPr>
            <w:tcW w:w="1209" w:type="dxa"/>
            <w:gridSpan w:val="3"/>
            <w:tcBorders>
              <w:top w:val="nil"/>
              <w:left w:val="single" w:sz="6" w:space="0" w:color="auto"/>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1210"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2012</w:t>
            </w:r>
          </w:p>
        </w:tc>
        <w:tc>
          <w:tcPr>
            <w:tcW w:w="1209" w:type="dxa"/>
            <w:gridSpan w:val="3"/>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1"/>
                <w:lang w:eastAsia="en-AU"/>
              </w:rPr>
            </w:pPr>
            <w:r w:rsidRPr="003E2DBE">
              <w:rPr>
                <w:rFonts w:cs="Calibri"/>
                <w:iCs/>
                <w:sz w:val="21"/>
                <w:szCs w:val="21"/>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1"/>
                <w:lang w:eastAsia="en-AU"/>
              </w:rPr>
            </w:pPr>
            <w:r w:rsidRPr="003E2DBE">
              <w:rPr>
                <w:rFonts w:cs="Calibri"/>
                <w:iCs/>
                <w:sz w:val="21"/>
                <w:szCs w:val="21"/>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1"/>
                <w:lang w:eastAsia="en-AU"/>
              </w:rPr>
            </w:pPr>
            <w:r w:rsidRPr="003E2DBE">
              <w:rPr>
                <w:rFonts w:cs="Calibri"/>
                <w:iCs/>
                <w:sz w:val="21"/>
                <w:szCs w:val="21"/>
                <w:lang w:eastAsia="en-AU"/>
              </w:rPr>
              <w:t>2013</w:t>
            </w:r>
          </w:p>
        </w:tc>
        <w:tc>
          <w:tcPr>
            <w:tcW w:w="1210" w:type="dxa"/>
            <w:gridSpan w:val="2"/>
            <w:tcBorders>
              <w:top w:val="nil"/>
              <w:left w:val="nil"/>
              <w:bottom w:val="single" w:sz="6" w:space="0" w:color="auto"/>
              <w:right w:val="single" w:sz="6" w:space="0" w:color="auto"/>
            </w:tcBorders>
            <w:shd w:val="solid" w:color="000000" w:fill="auto"/>
          </w:tcPr>
          <w:p w:rsidR="000B4A1E" w:rsidRPr="003E2DBE" w:rsidRDefault="000B4A1E" w:rsidP="00517E51">
            <w:pPr>
              <w:pStyle w:val="Tabletextheading"/>
              <w:rPr>
                <w:rFonts w:cs="Calibri"/>
                <w:iCs/>
                <w:sz w:val="21"/>
                <w:szCs w:val="21"/>
                <w:lang w:eastAsia="en-AU"/>
              </w:rPr>
            </w:pPr>
            <w:r w:rsidRPr="003E2DBE">
              <w:rPr>
                <w:rFonts w:cs="Calibri"/>
                <w:iCs/>
                <w:sz w:val="21"/>
                <w:szCs w:val="21"/>
                <w:lang w:eastAsia="en-AU"/>
              </w:rPr>
              <w:t>2012</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1 </w:t>
            </w:r>
            <w:r w:rsidRPr="003E2DBE">
              <w:rPr>
                <w:rFonts w:eastAsiaTheme="minorEastAsia" w:cs="Calibri"/>
                <w:sz w:val="21"/>
                <w:szCs w:val="21"/>
                <w:lang w:eastAsia="en-AU"/>
              </w:rPr>
              <w:t>414.0</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1 </w:t>
            </w:r>
            <w:r w:rsidRPr="003E2DBE">
              <w:rPr>
                <w:rFonts w:eastAsiaTheme="minorEastAsia" w:cs="Calibri"/>
                <w:sz w:val="21"/>
                <w:szCs w:val="21"/>
                <w:lang w:eastAsia="en-AU"/>
              </w:rPr>
              <w:t>198.2</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1 </w:t>
            </w:r>
            <w:r w:rsidRPr="003E2DBE">
              <w:rPr>
                <w:rFonts w:eastAsiaTheme="minorEastAsia" w:cs="Calibri"/>
                <w:sz w:val="21"/>
                <w:szCs w:val="21"/>
                <w:lang w:eastAsia="en-AU"/>
              </w:rPr>
              <w:t>414.0</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1 </w:t>
            </w:r>
            <w:r w:rsidRPr="003E2DBE">
              <w:rPr>
                <w:rFonts w:eastAsiaTheme="minorEastAsia" w:cs="Calibri"/>
                <w:sz w:val="21"/>
                <w:szCs w:val="21"/>
                <w:lang w:eastAsia="en-AU"/>
              </w:rPr>
              <w:t>198.2</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2 </w:t>
            </w:r>
            <w:r w:rsidRPr="003E2DBE">
              <w:rPr>
                <w:rFonts w:ascii="Calibri" w:eastAsiaTheme="minorEastAsia" w:hAnsi="Calibri" w:cs="Calibri"/>
                <w:sz w:val="21"/>
                <w:szCs w:val="21"/>
                <w:lang w:eastAsia="en-AU"/>
              </w:rPr>
              <w:t>308.7</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2 </w:t>
            </w:r>
            <w:r w:rsidRPr="003E2DBE">
              <w:rPr>
                <w:rFonts w:ascii="Calibri" w:eastAsiaTheme="minorEastAsia" w:hAnsi="Calibri" w:cs="Calibri"/>
                <w:sz w:val="21"/>
                <w:szCs w:val="21"/>
                <w:lang w:eastAsia="en-AU"/>
              </w:rPr>
              <w:t>230.4</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2 </w:t>
            </w:r>
            <w:r w:rsidRPr="003E2DBE">
              <w:rPr>
                <w:rFonts w:ascii="Calibri" w:eastAsiaTheme="minorEastAsia" w:hAnsi="Calibri" w:cs="Calibri"/>
                <w:sz w:val="21"/>
                <w:szCs w:val="21"/>
                <w:lang w:eastAsia="en-AU"/>
              </w:rPr>
              <w:t>308.1</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2 </w:t>
            </w:r>
            <w:r w:rsidRPr="003E2DBE">
              <w:rPr>
                <w:rFonts w:ascii="Calibri" w:eastAsiaTheme="minorEastAsia" w:hAnsi="Calibri" w:cs="Calibri"/>
                <w:sz w:val="21"/>
                <w:szCs w:val="21"/>
                <w:lang w:eastAsia="en-AU"/>
              </w:rPr>
              <w:t>229.9</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782.8)</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786.9)</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782.8)</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786.9)</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(1</w:t>
            </w:r>
            <w:r w:rsidRPr="003E2DBE">
              <w:rPr>
                <w:rFonts w:ascii="Calibri" w:eastAsiaTheme="minorEastAsia" w:hAnsi="Calibri" w:cs="Calibri"/>
                <w:sz w:val="21"/>
                <w:szCs w:val="21"/>
                <w:lang w:eastAsia="en-AU"/>
              </w:rPr>
              <w:t xml:space="preserve"> 377.2)</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(1</w:t>
            </w:r>
            <w:r w:rsidRPr="003E2DBE">
              <w:rPr>
                <w:rFonts w:ascii="Calibri" w:eastAsiaTheme="minorEastAsia" w:hAnsi="Calibri" w:cs="Calibri"/>
                <w:sz w:val="21"/>
                <w:szCs w:val="21"/>
                <w:lang w:eastAsia="en-AU"/>
              </w:rPr>
              <w:t xml:space="preserve"> 322.8)</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(1</w:t>
            </w:r>
            <w:r w:rsidRPr="003E2DBE">
              <w:rPr>
                <w:rFonts w:ascii="Calibri" w:eastAsiaTheme="minorEastAsia" w:hAnsi="Calibri" w:cs="Calibri"/>
                <w:sz w:val="21"/>
                <w:szCs w:val="21"/>
                <w:lang w:eastAsia="en-AU"/>
              </w:rPr>
              <w:t xml:space="preserve"> 376.8)</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(1</w:t>
            </w:r>
            <w:r w:rsidRPr="003E2DBE">
              <w:rPr>
                <w:rFonts w:ascii="Calibri" w:eastAsiaTheme="minorEastAsia" w:hAnsi="Calibri" w:cs="Calibri"/>
                <w:sz w:val="21"/>
                <w:szCs w:val="21"/>
                <w:lang w:eastAsia="en-AU"/>
              </w:rPr>
              <w:t xml:space="preserve"> 322.3)</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12.2</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12.2</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118.4</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122.0</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118.4</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122.0</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6.3)</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6.3)</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29.0)</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18.6)</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29.0)</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18.6)</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631.2</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417.2</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631.2</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417.2</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1 </w:t>
            </w:r>
            <w:r w:rsidRPr="003E2DBE">
              <w:rPr>
                <w:rFonts w:ascii="Calibri" w:eastAsiaTheme="minorEastAsia" w:hAnsi="Calibri" w:cs="Calibri"/>
                <w:b/>
                <w:bCs/>
                <w:sz w:val="21"/>
                <w:szCs w:val="21"/>
                <w:lang w:eastAsia="en-AU"/>
              </w:rPr>
              <w:t>020.9</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1 </w:t>
            </w:r>
            <w:r w:rsidRPr="003E2DBE">
              <w:rPr>
                <w:rFonts w:ascii="Calibri" w:eastAsiaTheme="minorEastAsia" w:hAnsi="Calibri" w:cs="Calibri"/>
                <w:b/>
                <w:bCs/>
                <w:sz w:val="21"/>
                <w:szCs w:val="21"/>
                <w:lang w:eastAsia="en-AU"/>
              </w:rPr>
              <w:t>011.0</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1 </w:t>
            </w:r>
            <w:r w:rsidRPr="003E2DBE">
              <w:rPr>
                <w:rFonts w:ascii="Calibri" w:eastAsiaTheme="minorEastAsia" w:hAnsi="Calibri" w:cs="Calibri"/>
                <w:b/>
                <w:bCs/>
                <w:sz w:val="21"/>
                <w:szCs w:val="21"/>
                <w:lang w:eastAsia="en-AU"/>
              </w:rPr>
              <w:t>020.9</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1 </w:t>
            </w:r>
            <w:r w:rsidRPr="003E2DBE">
              <w:rPr>
                <w:rFonts w:ascii="Calibri" w:eastAsiaTheme="minorEastAsia" w:hAnsi="Calibri" w:cs="Calibri"/>
                <w:b/>
                <w:bCs/>
                <w:sz w:val="21"/>
                <w:szCs w:val="21"/>
                <w:lang w:eastAsia="en-AU"/>
              </w:rPr>
              <w:t>010.9</w:t>
            </w:r>
          </w:p>
        </w:tc>
      </w:tr>
      <w:tr w:rsidR="000B4A1E" w:rsidRPr="003E2DBE" w:rsidTr="00517E51">
        <w:tc>
          <w:tcPr>
            <w:tcW w:w="1209" w:type="dxa"/>
            <w:gridSpan w:val="3"/>
            <w:tcBorders>
              <w:top w:val="single" w:sz="6" w:space="0" w:color="auto"/>
              <w:left w:val="nil"/>
              <w:bottom w:val="single" w:sz="12" w:space="0" w:color="auto"/>
              <w:right w:val="nil"/>
            </w:tcBorders>
          </w:tcPr>
          <w:p w:rsidR="000B4A1E" w:rsidRPr="003E2DBE" w:rsidRDefault="000B4A1E" w:rsidP="00517E51">
            <w:pPr>
              <w:pStyle w:val="TableofFigures"/>
              <w:rPr>
                <w:b/>
                <w:bCs/>
                <w:sz w:val="21"/>
                <w:szCs w:val="21"/>
                <w:lang w:eastAsia="en-AU"/>
              </w:rPr>
            </w:pPr>
            <w:r w:rsidRPr="003E2DBE">
              <w:rPr>
                <w:b/>
                <w:bCs/>
                <w:sz w:val="21"/>
                <w:szCs w:val="21"/>
                <w:lang w:eastAsia="en-AU"/>
              </w:rPr>
              <w:t xml:space="preserve"> 631.2</w:t>
            </w:r>
          </w:p>
        </w:tc>
        <w:tc>
          <w:tcPr>
            <w:tcW w:w="121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417.2</w:t>
            </w:r>
          </w:p>
        </w:tc>
        <w:tc>
          <w:tcPr>
            <w:tcW w:w="120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631.2</w:t>
            </w:r>
          </w:p>
        </w:tc>
        <w:tc>
          <w:tcPr>
            <w:tcW w:w="121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417.2</w:t>
            </w:r>
          </w:p>
        </w:tc>
        <w:tc>
          <w:tcPr>
            <w:tcW w:w="1209" w:type="dxa"/>
            <w:gridSpan w:val="3"/>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1 </w:t>
            </w:r>
            <w:r w:rsidRPr="003E2DBE">
              <w:rPr>
                <w:rFonts w:ascii="Calibri" w:eastAsiaTheme="minorEastAsia" w:hAnsi="Calibri" w:cs="Calibri"/>
                <w:b/>
                <w:bCs/>
                <w:sz w:val="21"/>
                <w:szCs w:val="21"/>
                <w:lang w:eastAsia="en-AU"/>
              </w:rPr>
              <w:t>020.9</w:t>
            </w:r>
          </w:p>
        </w:tc>
        <w:tc>
          <w:tcPr>
            <w:tcW w:w="1210"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1 </w:t>
            </w:r>
            <w:r w:rsidRPr="003E2DBE">
              <w:rPr>
                <w:rFonts w:ascii="Calibri" w:eastAsiaTheme="minorEastAsia" w:hAnsi="Calibri" w:cs="Calibri"/>
                <w:b/>
                <w:bCs/>
                <w:sz w:val="21"/>
                <w:szCs w:val="21"/>
                <w:lang w:eastAsia="en-AU"/>
              </w:rPr>
              <w:t>011.0</w:t>
            </w:r>
          </w:p>
        </w:tc>
        <w:tc>
          <w:tcPr>
            <w:tcW w:w="1209" w:type="dxa"/>
            <w:gridSpan w:val="2"/>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1 </w:t>
            </w:r>
            <w:r w:rsidRPr="003E2DBE">
              <w:rPr>
                <w:rFonts w:ascii="Calibri" w:eastAsiaTheme="minorEastAsia" w:hAnsi="Calibri" w:cs="Calibri"/>
                <w:b/>
                <w:bCs/>
                <w:sz w:val="21"/>
                <w:szCs w:val="21"/>
                <w:lang w:eastAsia="en-AU"/>
              </w:rPr>
              <w:t>020.9</w:t>
            </w:r>
          </w:p>
        </w:tc>
        <w:tc>
          <w:tcPr>
            <w:tcW w:w="1210" w:type="dxa"/>
            <w:gridSpan w:val="2"/>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1 </w:t>
            </w:r>
            <w:r w:rsidRPr="003E2DBE">
              <w:rPr>
                <w:rFonts w:ascii="Calibri" w:eastAsiaTheme="minorEastAsia" w:hAnsi="Calibri" w:cs="Calibri"/>
                <w:b/>
                <w:bCs/>
                <w:sz w:val="21"/>
                <w:szCs w:val="21"/>
                <w:lang w:eastAsia="en-AU"/>
              </w:rPr>
              <w:t>010.9</w:t>
            </w:r>
          </w:p>
        </w:tc>
      </w:tr>
    </w:tbl>
    <w:p w:rsidR="000B4A1E" w:rsidRPr="003E2DBE" w:rsidRDefault="000B4A1E" w:rsidP="00517E51">
      <w:pPr>
        <w:pStyle w:val="Notes"/>
      </w:pPr>
    </w:p>
    <w:tbl>
      <w:tblPr>
        <w:tblW w:w="9676" w:type="dxa"/>
        <w:tblInd w:w="29" w:type="dxa"/>
        <w:tblLayout w:type="fixed"/>
        <w:tblCellMar>
          <w:left w:w="43" w:type="dxa"/>
          <w:right w:w="43" w:type="dxa"/>
        </w:tblCellMar>
        <w:tblLook w:val="0000" w:firstRow="0" w:lastRow="0" w:firstColumn="0" w:lastColumn="0" w:noHBand="0" w:noVBand="0"/>
      </w:tblPr>
      <w:tblGrid>
        <w:gridCol w:w="284"/>
        <w:gridCol w:w="270"/>
        <w:gridCol w:w="655"/>
        <w:gridCol w:w="1210"/>
        <w:gridCol w:w="236"/>
        <w:gridCol w:w="973"/>
        <w:gridCol w:w="974"/>
        <w:gridCol w:w="236"/>
        <w:gridCol w:w="236"/>
        <w:gridCol w:w="973"/>
        <w:gridCol w:w="1210"/>
        <w:gridCol w:w="236"/>
        <w:gridCol w:w="973"/>
        <w:gridCol w:w="728"/>
        <w:gridCol w:w="246"/>
        <w:gridCol w:w="236"/>
      </w:tblGrid>
      <w:tr w:rsidR="000B4A1E" w:rsidRPr="003E2DBE" w:rsidTr="00103F3E">
        <w:tc>
          <w:tcPr>
            <w:tcW w:w="284"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heading"/>
              <w:rPr>
                <w:sz w:val="21"/>
                <w:szCs w:val="21"/>
                <w:lang w:eastAsia="en-AU"/>
              </w:rPr>
            </w:pPr>
            <w:r w:rsidRPr="003E2DBE">
              <w:rPr>
                <w:sz w:val="21"/>
                <w:szCs w:val="21"/>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404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Transportation and Communication</w:t>
            </w:r>
          </w:p>
        </w:tc>
        <w:tc>
          <w:tcPr>
            <w:tcW w:w="236"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236"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 xml:space="preserve"> </w:t>
            </w:r>
          </w:p>
        </w:tc>
        <w:tc>
          <w:tcPr>
            <w:tcW w:w="4120" w:type="dxa"/>
            <w:gridSpan w:val="5"/>
            <w:tcBorders>
              <w:top w:val="single" w:sz="6" w:space="0" w:color="auto"/>
              <w:left w:val="single" w:sz="4" w:space="0" w:color="auto"/>
              <w:bottom w:val="single" w:sz="6" w:space="0" w:color="auto"/>
              <w:right w:val="nil"/>
            </w:tcBorders>
            <w:shd w:val="solid" w:color="000000" w:fill="auto"/>
          </w:tcPr>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 xml:space="preserve"> Public Safety and Environment</w:t>
            </w:r>
          </w:p>
        </w:tc>
        <w:tc>
          <w:tcPr>
            <w:tcW w:w="246"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 xml:space="preserve"> </w:t>
            </w:r>
          </w:p>
        </w:tc>
        <w:tc>
          <w:tcPr>
            <w:tcW w:w="236"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 xml:space="preserve"> </w:t>
            </w:r>
          </w:p>
        </w:tc>
      </w:tr>
      <w:tr w:rsidR="000B4A1E" w:rsidRPr="003E2DBE" w:rsidTr="00517E51">
        <w:tc>
          <w:tcPr>
            <w:tcW w:w="284" w:type="dxa"/>
            <w:tcBorders>
              <w:top w:val="single" w:sz="6" w:space="0" w:color="auto"/>
              <w:left w:val="single" w:sz="6" w:space="0" w:color="auto"/>
              <w:bottom w:val="nil"/>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 xml:space="preserve"> </w:t>
            </w:r>
          </w:p>
        </w:tc>
        <w:tc>
          <w:tcPr>
            <w:tcW w:w="2135"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szCs w:val="21"/>
                <w:lang w:eastAsia="en-AU"/>
              </w:rPr>
            </w:pPr>
          </w:p>
          <w:p w:rsidR="000B4A1E" w:rsidRPr="003E2DBE" w:rsidRDefault="000B4A1E" w:rsidP="00517E51">
            <w:pPr>
              <w:pStyle w:val="TabletextheadingCentred"/>
              <w:rPr>
                <w:sz w:val="21"/>
                <w:szCs w:val="21"/>
                <w:lang w:eastAsia="en-AU"/>
              </w:rPr>
            </w:pPr>
            <w:r w:rsidRPr="003E2DBE">
              <w:rPr>
                <w:sz w:val="21"/>
                <w:szCs w:val="21"/>
                <w:lang w:eastAsia="en-AU"/>
              </w:rPr>
              <w:t>State of Victoria</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szCs w:val="21"/>
                <w:lang w:eastAsia="en-AU"/>
              </w:rPr>
            </w:pPr>
            <w:r w:rsidRPr="003E2DBE">
              <w:rPr>
                <w:sz w:val="21"/>
                <w:szCs w:val="21"/>
                <w:lang w:eastAsia="en-AU"/>
              </w:rPr>
              <w:t xml:space="preserve"> </w:t>
            </w:r>
          </w:p>
        </w:tc>
        <w:tc>
          <w:tcPr>
            <w:tcW w:w="2183"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sz w:val="21"/>
                <w:szCs w:val="21"/>
                <w:lang w:eastAsia="en-AU"/>
              </w:rPr>
            </w:pPr>
            <w:r w:rsidRPr="003E2DBE">
              <w:rPr>
                <w:sz w:val="21"/>
                <w:szCs w:val="21"/>
                <w:lang w:eastAsia="en-AU"/>
              </w:rPr>
              <w:t xml:space="preserve">General </w:t>
            </w:r>
          </w:p>
          <w:p w:rsidR="000B4A1E" w:rsidRPr="003E2DBE" w:rsidRDefault="000B4A1E" w:rsidP="00517E51">
            <w:pPr>
              <w:pStyle w:val="TabletextheadingCentred"/>
              <w:rPr>
                <w:sz w:val="21"/>
                <w:szCs w:val="21"/>
                <w:lang w:eastAsia="en-AU"/>
              </w:rPr>
            </w:pPr>
            <w:r w:rsidRPr="003E2DBE">
              <w:rPr>
                <w:sz w:val="21"/>
                <w:szCs w:val="21"/>
                <w:lang w:eastAsia="en-AU"/>
              </w:rPr>
              <w:t>government sector</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sz w:val="21"/>
                <w:szCs w:val="21"/>
                <w:lang w:eastAsia="en-AU"/>
              </w:rPr>
            </w:pPr>
            <w:r w:rsidRPr="003E2DBE">
              <w:rPr>
                <w:rFonts w:cs="Calibri"/>
                <w:sz w:val="21"/>
                <w:szCs w:val="21"/>
                <w:lang w:eastAsia="en-AU"/>
              </w:rPr>
              <w:t xml:space="preserve"> </w:t>
            </w:r>
          </w:p>
        </w:tc>
        <w:tc>
          <w:tcPr>
            <w:tcW w:w="2183" w:type="dxa"/>
            <w:gridSpan w:val="2"/>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iCs/>
                <w:sz w:val="21"/>
                <w:szCs w:val="21"/>
                <w:lang w:eastAsia="en-AU"/>
              </w:rPr>
            </w:pPr>
          </w:p>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State of Victoria</w:t>
            </w:r>
          </w:p>
        </w:tc>
        <w:tc>
          <w:tcPr>
            <w:tcW w:w="236"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 xml:space="preserve"> </w:t>
            </w:r>
          </w:p>
        </w:tc>
        <w:tc>
          <w:tcPr>
            <w:tcW w:w="2183" w:type="dxa"/>
            <w:gridSpan w:val="4"/>
            <w:tcBorders>
              <w:top w:val="single" w:sz="6" w:space="0" w:color="auto"/>
              <w:left w:val="nil"/>
              <w:bottom w:val="nil"/>
              <w:right w:val="single" w:sz="6" w:space="0" w:color="auto"/>
            </w:tcBorders>
            <w:shd w:val="solid" w:color="000000" w:fill="auto"/>
          </w:tcPr>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 xml:space="preserve">General </w:t>
            </w:r>
          </w:p>
          <w:p w:rsidR="000B4A1E" w:rsidRPr="003E2DBE" w:rsidRDefault="000B4A1E" w:rsidP="00517E51">
            <w:pPr>
              <w:pStyle w:val="TabletextheadingCentred"/>
              <w:rPr>
                <w:rFonts w:cs="Calibri"/>
                <w:iCs/>
                <w:sz w:val="21"/>
                <w:szCs w:val="21"/>
                <w:lang w:eastAsia="en-AU"/>
              </w:rPr>
            </w:pPr>
            <w:r w:rsidRPr="003E2DBE">
              <w:rPr>
                <w:rFonts w:cs="Calibri"/>
                <w:iCs/>
                <w:sz w:val="21"/>
                <w:szCs w:val="21"/>
                <w:lang w:eastAsia="en-AU"/>
              </w:rPr>
              <w:t>government sector</w:t>
            </w:r>
          </w:p>
        </w:tc>
      </w:tr>
      <w:tr w:rsidR="000B4A1E" w:rsidRPr="003E2DBE" w:rsidTr="00517E51">
        <w:tc>
          <w:tcPr>
            <w:tcW w:w="1209" w:type="dxa"/>
            <w:gridSpan w:val="3"/>
            <w:tcBorders>
              <w:top w:val="nil"/>
              <w:left w:val="single" w:sz="6" w:space="0" w:color="auto"/>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2013</w:t>
            </w:r>
          </w:p>
        </w:tc>
        <w:tc>
          <w:tcPr>
            <w:tcW w:w="1210"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sz w:val="21"/>
                <w:szCs w:val="21"/>
                <w:lang w:eastAsia="en-AU"/>
              </w:rPr>
            </w:pPr>
            <w:r w:rsidRPr="003E2DBE">
              <w:rPr>
                <w:sz w:val="21"/>
                <w:szCs w:val="21"/>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1"/>
                <w:lang w:eastAsia="en-AU"/>
              </w:rPr>
            </w:pPr>
            <w:r w:rsidRPr="003E2DBE">
              <w:rPr>
                <w:rFonts w:cs="Calibri"/>
                <w:iCs/>
                <w:sz w:val="21"/>
                <w:szCs w:val="21"/>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1"/>
                <w:lang w:eastAsia="en-AU"/>
              </w:rPr>
            </w:pPr>
            <w:r w:rsidRPr="003E2DBE">
              <w:rPr>
                <w:rFonts w:cs="Calibri"/>
                <w:iCs/>
                <w:sz w:val="21"/>
                <w:szCs w:val="21"/>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 w:val="21"/>
                <w:szCs w:val="21"/>
                <w:lang w:eastAsia="en-AU"/>
              </w:rPr>
            </w:pPr>
            <w:r w:rsidRPr="003E2DBE">
              <w:rPr>
                <w:rFonts w:cs="Calibri"/>
                <w:iCs/>
                <w:sz w:val="21"/>
                <w:szCs w:val="21"/>
                <w:lang w:eastAsia="en-AU"/>
              </w:rPr>
              <w:t>2013</w:t>
            </w:r>
          </w:p>
        </w:tc>
        <w:tc>
          <w:tcPr>
            <w:tcW w:w="1210" w:type="dxa"/>
            <w:gridSpan w:val="3"/>
            <w:tcBorders>
              <w:top w:val="nil"/>
              <w:left w:val="nil"/>
              <w:bottom w:val="single" w:sz="6" w:space="0" w:color="auto"/>
              <w:right w:val="single" w:sz="6" w:space="0" w:color="auto"/>
            </w:tcBorders>
            <w:shd w:val="solid" w:color="000000" w:fill="auto"/>
          </w:tcPr>
          <w:p w:rsidR="000B4A1E" w:rsidRPr="003E2DBE" w:rsidRDefault="000B4A1E" w:rsidP="00517E51">
            <w:pPr>
              <w:pStyle w:val="Tabletextheading"/>
              <w:rPr>
                <w:rFonts w:cs="Calibri"/>
                <w:iCs/>
                <w:sz w:val="21"/>
                <w:szCs w:val="21"/>
                <w:lang w:eastAsia="en-AU"/>
              </w:rPr>
            </w:pPr>
            <w:r w:rsidRPr="003E2DBE">
              <w:rPr>
                <w:rFonts w:cs="Calibri"/>
                <w:iCs/>
                <w:sz w:val="21"/>
                <w:szCs w:val="21"/>
                <w:lang w:eastAsia="en-AU"/>
              </w:rPr>
              <w:t>2012</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14 </w:t>
            </w:r>
            <w:r w:rsidRPr="003E2DBE">
              <w:rPr>
                <w:rFonts w:eastAsiaTheme="minorEastAsia" w:cs="Calibri"/>
                <w:sz w:val="21"/>
                <w:szCs w:val="21"/>
                <w:lang w:eastAsia="en-AU"/>
              </w:rPr>
              <w:t>992.2</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13 </w:t>
            </w:r>
            <w:r w:rsidRPr="003E2DBE">
              <w:rPr>
                <w:rFonts w:eastAsiaTheme="minorEastAsia" w:cs="Calibri"/>
                <w:sz w:val="21"/>
                <w:szCs w:val="21"/>
                <w:lang w:eastAsia="en-AU"/>
              </w:rPr>
              <w:t>561.8</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384.2</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407.4</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37 </w:t>
            </w:r>
            <w:r w:rsidRPr="003E2DBE">
              <w:rPr>
                <w:rFonts w:ascii="Calibri" w:eastAsiaTheme="minorEastAsia" w:hAnsi="Calibri" w:cs="Calibri"/>
                <w:sz w:val="21"/>
                <w:szCs w:val="21"/>
                <w:lang w:eastAsia="en-AU"/>
              </w:rPr>
              <w:t>114.9</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36 </w:t>
            </w:r>
            <w:r w:rsidRPr="003E2DBE">
              <w:rPr>
                <w:rFonts w:ascii="Calibri" w:eastAsiaTheme="minorEastAsia" w:hAnsi="Calibri" w:cs="Calibri"/>
                <w:sz w:val="21"/>
                <w:szCs w:val="21"/>
                <w:lang w:eastAsia="en-AU"/>
              </w:rPr>
              <w:t>630.7</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2 </w:t>
            </w:r>
            <w:r w:rsidRPr="003E2DBE">
              <w:rPr>
                <w:rFonts w:ascii="Calibri" w:eastAsiaTheme="minorEastAsia" w:hAnsi="Calibri" w:cs="Calibri"/>
                <w:sz w:val="21"/>
                <w:szCs w:val="21"/>
                <w:lang w:eastAsia="en-AU"/>
              </w:rPr>
              <w:t>284.4</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2 </w:t>
            </w:r>
            <w:r w:rsidRPr="003E2DBE">
              <w:rPr>
                <w:rFonts w:ascii="Calibri" w:eastAsiaTheme="minorEastAsia" w:hAnsi="Calibri" w:cs="Calibri"/>
                <w:sz w:val="21"/>
                <w:szCs w:val="21"/>
                <w:lang w:eastAsia="en-AU"/>
              </w:rPr>
              <w:t>236.7</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743.6)</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380.2)</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14.0)</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19.5)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(2</w:t>
            </w:r>
            <w:r w:rsidRPr="003E2DBE">
              <w:rPr>
                <w:rFonts w:ascii="Calibri" w:eastAsiaTheme="minorEastAsia" w:hAnsi="Calibri" w:cs="Calibri"/>
                <w:sz w:val="21"/>
                <w:szCs w:val="21"/>
                <w:lang w:eastAsia="en-AU"/>
              </w:rPr>
              <w:t xml:space="preserve"> 800.6)</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(2</w:t>
            </w:r>
            <w:r w:rsidRPr="003E2DBE">
              <w:rPr>
                <w:rFonts w:ascii="Calibri" w:eastAsiaTheme="minorEastAsia" w:hAnsi="Calibri" w:cs="Calibri"/>
                <w:sz w:val="21"/>
                <w:szCs w:val="21"/>
                <w:lang w:eastAsia="en-AU"/>
              </w:rPr>
              <w:t xml:space="preserve"> 622.2)</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438.2)</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403.6)</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6.6</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6.0</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4 </w:t>
            </w:r>
            <w:r w:rsidRPr="003E2DBE">
              <w:rPr>
                <w:rFonts w:ascii="Calibri" w:eastAsiaTheme="minorEastAsia" w:hAnsi="Calibri" w:cs="Calibri"/>
                <w:sz w:val="21"/>
                <w:szCs w:val="21"/>
                <w:lang w:eastAsia="en-AU"/>
              </w:rPr>
              <w:t>802.4</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150.5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3.3)</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2.7)</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79.5)</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42.5)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14 </w:t>
            </w:r>
            <w:r w:rsidRPr="003E2DBE">
              <w:rPr>
                <w:rFonts w:eastAsiaTheme="minorEastAsia" w:cs="Calibri"/>
                <w:b/>
                <w:bCs/>
                <w:sz w:val="21"/>
                <w:szCs w:val="21"/>
                <w:lang w:eastAsia="en-AU"/>
              </w:rPr>
              <w:t>252.0</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13 </w:t>
            </w:r>
            <w:r w:rsidRPr="003E2DBE">
              <w:rPr>
                <w:rFonts w:eastAsiaTheme="minorEastAsia" w:cs="Calibri"/>
                <w:b/>
                <w:bCs/>
                <w:sz w:val="21"/>
                <w:szCs w:val="21"/>
                <w:lang w:eastAsia="en-AU"/>
              </w:rPr>
              <w:t>184.9</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370.2</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387.9</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39 </w:t>
            </w:r>
            <w:r w:rsidRPr="003E2DBE">
              <w:rPr>
                <w:rFonts w:ascii="Calibri" w:eastAsiaTheme="minorEastAsia" w:hAnsi="Calibri" w:cs="Calibri"/>
                <w:b/>
                <w:bCs/>
                <w:sz w:val="21"/>
                <w:szCs w:val="21"/>
                <w:lang w:eastAsia="en-AU"/>
              </w:rPr>
              <w:t>037.3</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34 </w:t>
            </w:r>
            <w:r w:rsidRPr="003E2DBE">
              <w:rPr>
                <w:rFonts w:ascii="Calibri" w:eastAsiaTheme="minorEastAsia" w:hAnsi="Calibri" w:cs="Calibri"/>
                <w:b/>
                <w:bCs/>
                <w:sz w:val="21"/>
                <w:szCs w:val="21"/>
                <w:lang w:eastAsia="en-AU"/>
              </w:rPr>
              <w:t>116.5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1 </w:t>
            </w:r>
            <w:r w:rsidRPr="003E2DBE">
              <w:rPr>
                <w:rFonts w:ascii="Calibri" w:eastAsiaTheme="minorEastAsia" w:hAnsi="Calibri" w:cs="Calibri"/>
                <w:b/>
                <w:bCs/>
                <w:sz w:val="21"/>
                <w:szCs w:val="21"/>
                <w:lang w:eastAsia="en-AU"/>
              </w:rPr>
              <w:t>846.2</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1 </w:t>
            </w:r>
            <w:r w:rsidRPr="003E2DBE">
              <w:rPr>
                <w:rFonts w:ascii="Calibri" w:eastAsiaTheme="minorEastAsia" w:hAnsi="Calibri" w:cs="Calibri"/>
                <w:b/>
                <w:bCs/>
                <w:sz w:val="21"/>
                <w:szCs w:val="21"/>
                <w:lang w:eastAsia="en-AU"/>
              </w:rPr>
              <w:t>833.0</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4 </w:t>
            </w:r>
            <w:r w:rsidRPr="003E2DBE">
              <w:rPr>
                <w:rFonts w:eastAsiaTheme="minorEastAsia" w:cs="Calibri"/>
                <w:sz w:val="21"/>
                <w:szCs w:val="21"/>
                <w:lang w:eastAsia="en-AU"/>
              </w:rPr>
              <w:t>230.3</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4 </w:t>
            </w:r>
            <w:r w:rsidRPr="003E2DBE">
              <w:rPr>
                <w:rFonts w:eastAsiaTheme="minorEastAsia" w:cs="Calibri"/>
                <w:sz w:val="21"/>
                <w:szCs w:val="21"/>
                <w:lang w:eastAsia="en-AU"/>
              </w:rPr>
              <w:t>082.8</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184.7</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156.2</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2 </w:t>
            </w:r>
            <w:r w:rsidRPr="003E2DBE">
              <w:rPr>
                <w:rFonts w:ascii="Calibri" w:eastAsiaTheme="minorEastAsia" w:hAnsi="Calibri" w:cs="Calibri"/>
                <w:sz w:val="21"/>
                <w:szCs w:val="21"/>
                <w:lang w:eastAsia="en-AU"/>
              </w:rPr>
              <w:t>314.2</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1 </w:t>
            </w:r>
            <w:r w:rsidRPr="003E2DBE">
              <w:rPr>
                <w:rFonts w:ascii="Calibri" w:eastAsiaTheme="minorEastAsia" w:hAnsi="Calibri" w:cs="Calibri"/>
                <w:sz w:val="21"/>
                <w:szCs w:val="21"/>
                <w:lang w:eastAsia="en-AU"/>
              </w:rPr>
              <w:t>608.5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1 </w:t>
            </w:r>
            <w:r w:rsidRPr="003E2DBE">
              <w:rPr>
                <w:rFonts w:ascii="Calibri" w:eastAsiaTheme="minorEastAsia" w:hAnsi="Calibri" w:cs="Calibri"/>
                <w:sz w:val="21"/>
                <w:szCs w:val="21"/>
                <w:lang w:eastAsia="en-AU"/>
              </w:rPr>
              <w:t>674.9</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1 </w:t>
            </w:r>
            <w:r w:rsidRPr="003E2DBE">
              <w:rPr>
                <w:rFonts w:ascii="Calibri" w:eastAsiaTheme="minorEastAsia" w:hAnsi="Calibri" w:cs="Calibri"/>
                <w:sz w:val="21"/>
                <w:szCs w:val="21"/>
                <w:lang w:eastAsia="en-AU"/>
              </w:rPr>
              <w:t>290.9</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355.6)</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321.5)</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41.5)</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98.0)</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(1</w:t>
            </w:r>
            <w:r w:rsidRPr="003E2DBE">
              <w:rPr>
                <w:rFonts w:ascii="Calibri" w:eastAsiaTheme="minorEastAsia" w:hAnsi="Calibri" w:cs="Calibri"/>
                <w:sz w:val="21"/>
                <w:szCs w:val="21"/>
                <w:lang w:eastAsia="en-AU"/>
              </w:rPr>
              <w:t xml:space="preserve"> 190.8)</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(1</w:t>
            </w:r>
            <w:r w:rsidRPr="003E2DBE">
              <w:rPr>
                <w:rFonts w:ascii="Calibri" w:eastAsiaTheme="minorEastAsia" w:hAnsi="Calibri" w:cs="Calibri"/>
                <w:sz w:val="21"/>
                <w:szCs w:val="21"/>
                <w:lang w:eastAsia="en-AU"/>
              </w:rPr>
              <w:t xml:space="preserve"> 011.6)</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819.0)</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692.4)</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1 </w:t>
            </w:r>
            <w:r w:rsidRPr="003E2DBE">
              <w:rPr>
                <w:rFonts w:eastAsiaTheme="minorEastAsia" w:cs="Calibri"/>
                <w:sz w:val="21"/>
                <w:szCs w:val="21"/>
                <w:lang w:eastAsia="en-AU"/>
              </w:rPr>
              <w:t>044.4</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999.1</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Pr>
                <w:sz w:val="21"/>
                <w:szCs w:val="21"/>
                <w:lang w:eastAsia="en-AU"/>
              </w:rPr>
              <w:t>..</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182.4</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228.7</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182.1</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228.2</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66.6)</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 xml:space="preserve">( </w:t>
            </w:r>
            <w:r w:rsidRPr="003E2DBE">
              <w:rPr>
                <w:rFonts w:eastAsiaTheme="minorEastAsia" w:cs="Calibri"/>
                <w:sz w:val="21"/>
                <w:szCs w:val="21"/>
                <w:lang w:eastAsia="en-AU"/>
              </w:rPr>
              <w:t>33.3)</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sz w:val="21"/>
                <w:szCs w:val="21"/>
                <w:lang w:eastAsia="en-AU"/>
              </w:rPr>
              <w:t>..</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color w:val="0000FF"/>
                <w:sz w:val="21"/>
                <w:szCs w:val="21"/>
                <w:lang w:eastAsia="en-AU"/>
              </w:rPr>
            </w:pPr>
            <w:r>
              <w:rPr>
                <w:sz w:val="21"/>
                <w:szCs w:val="21"/>
                <w:lang w:eastAsia="en-AU"/>
              </w:rPr>
              <w:t>..</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147.2)</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193.5)</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147.1)</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1"/>
                <w:szCs w:val="21"/>
                <w:lang w:eastAsia="en-AU"/>
              </w:rPr>
            </w:pPr>
            <w:r w:rsidRPr="003E2DBE">
              <w:rPr>
                <w:rFonts w:ascii="Calibri" w:hAnsi="Calibri" w:cs="Calibri"/>
                <w:sz w:val="21"/>
                <w:szCs w:val="21"/>
                <w:lang w:eastAsia="en-AU"/>
              </w:rPr>
              <w:t xml:space="preserve">( </w:t>
            </w:r>
            <w:r w:rsidRPr="003E2DBE">
              <w:rPr>
                <w:rFonts w:ascii="Calibri" w:eastAsiaTheme="minorEastAsia" w:hAnsi="Calibri" w:cs="Calibri"/>
                <w:sz w:val="21"/>
                <w:szCs w:val="21"/>
                <w:lang w:eastAsia="en-AU"/>
              </w:rPr>
              <w:t>193.5)</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4 </w:t>
            </w:r>
            <w:r w:rsidRPr="003E2DBE">
              <w:rPr>
                <w:rFonts w:eastAsiaTheme="minorEastAsia" w:cs="Calibri"/>
                <w:b/>
                <w:bCs/>
                <w:sz w:val="21"/>
                <w:szCs w:val="21"/>
                <w:lang w:eastAsia="en-AU"/>
              </w:rPr>
              <w:t>852.6</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4 </w:t>
            </w:r>
            <w:r w:rsidRPr="003E2DBE">
              <w:rPr>
                <w:rFonts w:eastAsiaTheme="minorEastAsia" w:cs="Calibri"/>
                <w:b/>
                <w:bCs/>
                <w:sz w:val="21"/>
                <w:szCs w:val="21"/>
                <w:lang w:eastAsia="en-AU"/>
              </w:rPr>
              <w:t>727.1</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143.2</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58.2</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1 </w:t>
            </w:r>
            <w:r w:rsidRPr="003E2DBE">
              <w:rPr>
                <w:rFonts w:ascii="Calibri" w:eastAsiaTheme="minorEastAsia" w:hAnsi="Calibri" w:cs="Calibri"/>
                <w:b/>
                <w:bCs/>
                <w:sz w:val="21"/>
                <w:szCs w:val="21"/>
                <w:lang w:eastAsia="en-AU"/>
              </w:rPr>
              <w:t>158.7</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 632.1</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 890.9</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 633.3</w:t>
            </w:r>
          </w:p>
        </w:tc>
      </w:tr>
      <w:tr w:rsidR="000B4A1E" w:rsidRPr="003E2DBE" w:rsidTr="00517E51">
        <w:tc>
          <w:tcPr>
            <w:tcW w:w="1209"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19 </w:t>
            </w:r>
            <w:r w:rsidRPr="003E2DBE">
              <w:rPr>
                <w:rFonts w:eastAsiaTheme="minorEastAsia" w:cs="Calibri"/>
                <w:b/>
                <w:bCs/>
                <w:sz w:val="21"/>
                <w:szCs w:val="21"/>
                <w:lang w:eastAsia="en-AU"/>
              </w:rPr>
              <w:t>104.6</w:t>
            </w:r>
          </w:p>
        </w:tc>
        <w:tc>
          <w:tcPr>
            <w:tcW w:w="121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17 </w:t>
            </w:r>
            <w:r w:rsidRPr="003E2DBE">
              <w:rPr>
                <w:rFonts w:eastAsiaTheme="minorEastAsia" w:cs="Calibri"/>
                <w:b/>
                <w:bCs/>
                <w:sz w:val="21"/>
                <w:szCs w:val="21"/>
                <w:lang w:eastAsia="en-AU"/>
              </w:rPr>
              <w:t>912.0</w:t>
            </w:r>
          </w:p>
        </w:tc>
        <w:tc>
          <w:tcPr>
            <w:tcW w:w="120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513.4</w:t>
            </w:r>
          </w:p>
        </w:tc>
        <w:tc>
          <w:tcPr>
            <w:tcW w:w="121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b/>
                <w:bCs/>
                <w:sz w:val="21"/>
                <w:szCs w:val="21"/>
                <w:lang w:eastAsia="en-AU"/>
              </w:rPr>
              <w:t xml:space="preserve"> 446.0</w:t>
            </w:r>
          </w:p>
        </w:tc>
        <w:tc>
          <w:tcPr>
            <w:tcW w:w="1209" w:type="dxa"/>
            <w:gridSpan w:val="2"/>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40 </w:t>
            </w:r>
            <w:r w:rsidRPr="003E2DBE">
              <w:rPr>
                <w:rFonts w:ascii="Calibri" w:eastAsiaTheme="minorEastAsia" w:hAnsi="Calibri" w:cs="Calibri"/>
                <w:b/>
                <w:bCs/>
                <w:sz w:val="21"/>
                <w:szCs w:val="21"/>
                <w:lang w:eastAsia="en-AU"/>
              </w:rPr>
              <w:t>195.9</w:t>
            </w:r>
          </w:p>
        </w:tc>
        <w:tc>
          <w:tcPr>
            <w:tcW w:w="1210"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34 </w:t>
            </w:r>
            <w:r w:rsidRPr="003E2DBE">
              <w:rPr>
                <w:rFonts w:ascii="Calibri" w:eastAsiaTheme="minorEastAsia" w:hAnsi="Calibri" w:cs="Calibri"/>
                <w:b/>
                <w:bCs/>
                <w:sz w:val="21"/>
                <w:szCs w:val="21"/>
                <w:lang w:eastAsia="en-AU"/>
              </w:rPr>
              <w:t>748.6</w:t>
            </w:r>
          </w:p>
        </w:tc>
        <w:tc>
          <w:tcPr>
            <w:tcW w:w="1209" w:type="dxa"/>
            <w:gridSpan w:val="2"/>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2 </w:t>
            </w:r>
            <w:r w:rsidRPr="003E2DBE">
              <w:rPr>
                <w:rFonts w:ascii="Calibri" w:eastAsiaTheme="minorEastAsia" w:hAnsi="Calibri" w:cs="Calibri"/>
                <w:b/>
                <w:bCs/>
                <w:sz w:val="21"/>
                <w:szCs w:val="21"/>
                <w:lang w:eastAsia="en-AU"/>
              </w:rPr>
              <w:t>737.1</w:t>
            </w:r>
          </w:p>
        </w:tc>
        <w:tc>
          <w:tcPr>
            <w:tcW w:w="1210" w:type="dxa"/>
            <w:gridSpan w:val="3"/>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1"/>
                <w:szCs w:val="21"/>
                <w:lang w:eastAsia="en-AU"/>
              </w:rPr>
            </w:pPr>
            <w:r w:rsidRPr="003E2DBE">
              <w:rPr>
                <w:rFonts w:ascii="Calibri" w:hAnsi="Calibri" w:cs="Calibri"/>
                <w:b/>
                <w:bCs/>
                <w:sz w:val="21"/>
                <w:szCs w:val="21"/>
                <w:lang w:eastAsia="en-AU"/>
              </w:rPr>
              <w:t xml:space="preserve">2 </w:t>
            </w:r>
            <w:r w:rsidRPr="003E2DBE">
              <w:rPr>
                <w:rFonts w:ascii="Calibri" w:eastAsiaTheme="minorEastAsia" w:hAnsi="Calibri" w:cs="Calibri"/>
                <w:b/>
                <w:bCs/>
                <w:sz w:val="21"/>
                <w:szCs w:val="21"/>
                <w:lang w:eastAsia="en-AU"/>
              </w:rPr>
              <w:t>466.3</w:t>
            </w:r>
          </w:p>
        </w:tc>
      </w:tr>
    </w:tbl>
    <w:p w:rsidR="000B4A1E" w:rsidRPr="00D00665" w:rsidRDefault="000B4A1E" w:rsidP="00517E51">
      <w:pPr>
        <w:pStyle w:val="Notes"/>
      </w:pPr>
    </w:p>
    <w:p w:rsidR="000B4A1E" w:rsidRPr="00D00665" w:rsidRDefault="000B4A1E" w:rsidP="00517E51">
      <w:pPr>
        <w:pStyle w:val="Heading2NotesContd"/>
      </w:pPr>
      <w:r w:rsidRPr="00D00665">
        <w:br w:type="page"/>
      </w:r>
      <w:r w:rsidRPr="00D00665">
        <w:lastRenderedPageBreak/>
        <w:t>Note 22:</w:t>
      </w:r>
      <w:r w:rsidRPr="00D00665">
        <w:tab/>
        <w:t xml:space="preserve">Land, buildings, infrastructure, plant and equipment </w:t>
      </w:r>
      <w:r w:rsidRPr="00D00665">
        <w:rPr>
          <w:i/>
        </w:rPr>
        <w:t>(continued)</w:t>
      </w:r>
    </w:p>
    <w:p w:rsidR="000B4A1E" w:rsidRPr="00D00665" w:rsidRDefault="000B4A1E" w:rsidP="00517E51">
      <w:pPr>
        <w:pStyle w:val="Heading5"/>
      </w:pPr>
      <w:r w:rsidRPr="00D00665">
        <w:t>(d)</w:t>
      </w:r>
      <w:r w:rsidRPr="00D00665">
        <w:tab/>
        <w:t>Road networks and earthworks</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270"/>
        <w:gridCol w:w="595"/>
        <w:gridCol w:w="1123"/>
        <w:gridCol w:w="262"/>
        <w:gridCol w:w="861"/>
        <w:gridCol w:w="759"/>
        <w:gridCol w:w="364"/>
      </w:tblGrid>
      <w:tr w:rsidR="000B4A1E" w:rsidRPr="003E2DBE" w:rsidTr="00517E51">
        <w:tc>
          <w:tcPr>
            <w:tcW w:w="5156"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58"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3600"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Public Administration</w:t>
            </w:r>
          </w:p>
        </w:tc>
        <w:tc>
          <w:tcPr>
            <w:tcW w:w="364"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r>
      <w:tr w:rsidR="000B4A1E" w:rsidRPr="003E2DBE" w:rsidTr="00517E51">
        <w:tc>
          <w:tcPr>
            <w:tcW w:w="5156" w:type="dxa"/>
            <w:tcBorders>
              <w:top w:val="single" w:sz="6" w:space="0" w:color="auto"/>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58" w:type="dxa"/>
            <w:tcBorders>
              <w:top w:val="single" w:sz="6" w:space="0" w:color="auto"/>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1988" w:type="dxa"/>
            <w:gridSpan w:val="3"/>
            <w:tcBorders>
              <w:top w:val="single" w:sz="6"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t>State</w:t>
            </w:r>
            <w:r w:rsidRPr="003E2DBE">
              <w:rPr>
                <w:rFonts w:eastAsiaTheme="minorEastAsia"/>
                <w:lang w:eastAsia="en-AU"/>
              </w:rPr>
              <w:t xml:space="preserve"> of Victoria</w:t>
            </w:r>
          </w:p>
        </w:tc>
        <w:tc>
          <w:tcPr>
            <w:tcW w:w="262" w:type="dxa"/>
            <w:tcBorders>
              <w:top w:val="single" w:sz="6"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3"/>
            <w:tcBorders>
              <w:top w:val="single" w:sz="6" w:space="0" w:color="auto"/>
              <w:left w:val="nil"/>
              <w:bottom w:val="single" w:sz="4" w:space="0" w:color="auto"/>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r>
      <w:tr w:rsidR="000B4A1E" w:rsidRPr="003E2DBE" w:rsidTr="00517E51">
        <w:tc>
          <w:tcPr>
            <w:tcW w:w="5156" w:type="dxa"/>
            <w:tcBorders>
              <w:top w:val="single" w:sz="4" w:space="0" w:color="auto"/>
              <w:left w:val="single" w:sz="4" w:space="0" w:color="auto"/>
              <w:bottom w:val="single" w:sz="4" w:space="0" w:color="auto"/>
              <w:right w:val="nil"/>
            </w:tcBorders>
            <w:shd w:val="solid" w:color="000000" w:fill="auto"/>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3"/>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123" w:type="dxa"/>
            <w:gridSpan w:val="2"/>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gridSpan w:val="2"/>
            <w:tcBorders>
              <w:top w:val="single" w:sz="4" w:space="0" w:color="auto"/>
              <w:left w:val="nil"/>
              <w:bottom w:val="single" w:sz="4" w:space="0" w:color="auto"/>
              <w:right w:val="single" w:sz="4" w:space="0" w:color="auto"/>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5156" w:type="dxa"/>
            <w:tcBorders>
              <w:top w:val="single" w:sz="4"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Roads and roads infrastructure </w:t>
            </w:r>
            <w:r w:rsidRPr="003E2DBE">
              <w:rPr>
                <w:rFonts w:eastAsiaTheme="minorEastAsia"/>
                <w:vertAlign w:val="superscript"/>
                <w:lang w:eastAsia="en-AU"/>
              </w:rPr>
              <w:t>(a)</w:t>
            </w:r>
          </w:p>
        </w:tc>
        <w:tc>
          <w:tcPr>
            <w:tcW w:w="1123" w:type="dxa"/>
            <w:gridSpan w:val="3"/>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25.9</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24.9</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Accumulated depreciation </w:t>
            </w:r>
            <w:r w:rsidRPr="003E2DBE">
              <w:rPr>
                <w:rFonts w:eastAsiaTheme="minorEastAsia"/>
                <w:vertAlign w:val="superscript"/>
                <w:lang w:eastAsia="en-AU"/>
              </w:rPr>
              <w:t>(b)</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( 3.3)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( 2.9)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b/>
                <w:bCs/>
                <w:szCs w:val="22"/>
                <w:vertAlign w:val="superscript"/>
                <w:lang w:eastAsia="en-AU"/>
              </w:rPr>
            </w:pPr>
            <w:r w:rsidRPr="003E2DBE">
              <w:rPr>
                <w:rFonts w:eastAsiaTheme="minorEastAsia"/>
                <w:b/>
                <w:bCs/>
                <w:lang w:eastAsia="en-AU"/>
              </w:rPr>
              <w:t>Roads and roads infrastructure (written down value)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22.6</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22.0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Earthworks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0.5</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0.5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road networks and earthworks</w:t>
            </w:r>
          </w:p>
        </w:tc>
        <w:tc>
          <w:tcPr>
            <w:tcW w:w="1123"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23.0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22.5</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r>
    </w:tbl>
    <w:p w:rsidR="000B4A1E" w:rsidRPr="00D00665" w:rsidRDefault="000B4A1E" w:rsidP="00517E51">
      <w:pPr>
        <w:pStyle w:val="Notes"/>
      </w:pPr>
    </w:p>
    <w:p w:rsidR="000B4A1E" w:rsidRDefault="000B4A1E" w:rsidP="00517E51">
      <w:pPr>
        <w:pStyle w:val="Notes"/>
        <w:rPr>
          <w:rFonts w:ascii="Times New Roman" w:hAnsi="Times New Roman"/>
          <w:i w:val="0"/>
          <w:sz w:val="20"/>
          <w:lang w:eastAsia="en-AU"/>
        </w:rPr>
      </w:pPr>
    </w:p>
    <w:tbl>
      <w:tblPr>
        <w:tblW w:w="9653" w:type="dxa"/>
        <w:tblInd w:w="29" w:type="dxa"/>
        <w:tblLayout w:type="fixed"/>
        <w:tblCellMar>
          <w:left w:w="43" w:type="dxa"/>
          <w:right w:w="43" w:type="dxa"/>
        </w:tblCellMar>
        <w:tblLook w:val="0000" w:firstRow="0" w:lastRow="0" w:firstColumn="0" w:lastColumn="0" w:noHBand="0" w:noVBand="0"/>
      </w:tblPr>
      <w:tblGrid>
        <w:gridCol w:w="5320"/>
        <w:gridCol w:w="106"/>
        <w:gridCol w:w="270"/>
        <w:gridCol w:w="579"/>
        <w:gridCol w:w="1122"/>
        <w:gridCol w:w="16"/>
        <w:gridCol w:w="262"/>
        <w:gridCol w:w="845"/>
        <w:gridCol w:w="775"/>
        <w:gridCol w:w="358"/>
      </w:tblGrid>
      <w:tr w:rsidR="000B4A1E" w:rsidRPr="003E2DBE" w:rsidTr="00103F3E">
        <w:tc>
          <w:tcPr>
            <w:tcW w:w="5320"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06"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3599" w:type="dxa"/>
            <w:gridSpan w:val="6"/>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Community Housing</w:t>
            </w:r>
          </w:p>
        </w:tc>
        <w:tc>
          <w:tcPr>
            <w:tcW w:w="358"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r>
      <w:tr w:rsidR="000B4A1E" w:rsidRPr="003E2DBE" w:rsidTr="00103F3E">
        <w:tc>
          <w:tcPr>
            <w:tcW w:w="5320" w:type="dxa"/>
            <w:tcBorders>
              <w:top w:val="single" w:sz="6" w:space="0" w:color="auto"/>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06" w:type="dxa"/>
            <w:tcBorders>
              <w:top w:val="single" w:sz="6"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7" w:type="dxa"/>
            <w:gridSpan w:val="4"/>
            <w:tcBorders>
              <w:top w:val="single" w:sz="6"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262" w:type="dxa"/>
            <w:tcBorders>
              <w:top w:val="single" w:sz="6"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73" w:type="dxa"/>
            <w:gridSpan w:val="3"/>
            <w:tcBorders>
              <w:top w:val="single" w:sz="6" w:space="0" w:color="auto"/>
              <w:left w:val="nil"/>
              <w:bottom w:val="single" w:sz="4" w:space="0" w:color="auto"/>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r>
      <w:tr w:rsidR="000B4A1E" w:rsidRPr="003E2DBE" w:rsidTr="00103F3E">
        <w:tc>
          <w:tcPr>
            <w:tcW w:w="5320" w:type="dxa"/>
            <w:tcBorders>
              <w:top w:val="single" w:sz="4" w:space="0" w:color="auto"/>
              <w:left w:val="single" w:sz="4" w:space="0" w:color="auto"/>
              <w:bottom w:val="single" w:sz="4" w:space="0" w:color="auto"/>
              <w:right w:val="nil"/>
            </w:tcBorders>
            <w:shd w:val="solid" w:color="000000" w:fill="auto"/>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955" w:type="dxa"/>
            <w:gridSpan w:val="3"/>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2" w:type="dxa"/>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123" w:type="dxa"/>
            <w:gridSpan w:val="3"/>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8" w:type="dxa"/>
            <w:gridSpan w:val="2"/>
            <w:tcBorders>
              <w:top w:val="single" w:sz="4" w:space="0" w:color="auto"/>
              <w:left w:val="nil"/>
              <w:bottom w:val="single" w:sz="4" w:space="0" w:color="auto"/>
              <w:right w:val="single" w:sz="4" w:space="0" w:color="auto"/>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103F3E">
        <w:tc>
          <w:tcPr>
            <w:tcW w:w="5320" w:type="dxa"/>
            <w:tcBorders>
              <w:top w:val="single" w:sz="4" w:space="0" w:color="auto"/>
              <w:left w:val="nil"/>
              <w:bottom w:val="nil"/>
              <w:right w:val="nil"/>
            </w:tcBorders>
          </w:tcPr>
          <w:p w:rsidR="000B4A1E" w:rsidRPr="003E2DBE" w:rsidRDefault="000B4A1E" w:rsidP="00517E51">
            <w:pPr>
              <w:pStyle w:val="Tabletext"/>
              <w:rPr>
                <w:rFonts w:eastAsiaTheme="minorEastAsia" w:cs="Calibri"/>
                <w:szCs w:val="22"/>
                <w:vertAlign w:val="superscript"/>
                <w:lang w:eastAsia="en-AU"/>
              </w:rPr>
            </w:pPr>
            <w:r w:rsidRPr="003E2DBE">
              <w:rPr>
                <w:rFonts w:eastAsiaTheme="minorEastAsia"/>
                <w:lang w:eastAsia="en-AU"/>
              </w:rPr>
              <w:t xml:space="preserve">Roads and roads infrastructure </w:t>
            </w:r>
            <w:r w:rsidRPr="003E2DBE">
              <w:rPr>
                <w:rFonts w:eastAsiaTheme="minorEastAsia"/>
                <w:vertAlign w:val="superscript"/>
                <w:lang w:eastAsia="en-AU"/>
              </w:rPr>
              <w:t>(a)</w:t>
            </w:r>
            <w:r w:rsidRPr="003E2DBE">
              <w:rPr>
                <w:rFonts w:eastAsiaTheme="minorEastAsia"/>
                <w:lang w:eastAsia="en-AU"/>
              </w:rPr>
              <w:t xml:space="preserve"> </w:t>
            </w:r>
          </w:p>
        </w:tc>
        <w:tc>
          <w:tcPr>
            <w:tcW w:w="955" w:type="dxa"/>
            <w:gridSpan w:val="3"/>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2"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3"/>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8"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103F3E">
        <w:tc>
          <w:tcPr>
            <w:tcW w:w="5320"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Accumulated depreciation </w:t>
            </w:r>
            <w:r w:rsidRPr="003E2DBE">
              <w:rPr>
                <w:rFonts w:eastAsiaTheme="minorEastAsia"/>
                <w:vertAlign w:val="superscript"/>
                <w:lang w:eastAsia="en-AU"/>
              </w:rPr>
              <w:t>(b)</w:t>
            </w:r>
          </w:p>
        </w:tc>
        <w:tc>
          <w:tcPr>
            <w:tcW w:w="955"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103F3E">
        <w:tc>
          <w:tcPr>
            <w:tcW w:w="5320" w:type="dxa"/>
            <w:tcBorders>
              <w:top w:val="nil"/>
              <w:left w:val="nil"/>
              <w:bottom w:val="nil"/>
              <w:right w:val="nil"/>
            </w:tcBorders>
          </w:tcPr>
          <w:p w:rsidR="000B4A1E" w:rsidRPr="003E2DBE" w:rsidRDefault="000B4A1E" w:rsidP="00517E51">
            <w:pPr>
              <w:pStyle w:val="Tabletext"/>
              <w:rPr>
                <w:rFonts w:eastAsiaTheme="minorEastAsia" w:cs="Calibri"/>
                <w:b/>
                <w:bCs/>
                <w:color w:val="000000"/>
                <w:szCs w:val="22"/>
                <w:lang w:eastAsia="en-AU"/>
              </w:rPr>
            </w:pPr>
            <w:r w:rsidRPr="003E2DBE">
              <w:rPr>
                <w:rFonts w:eastAsiaTheme="minorEastAsia"/>
                <w:b/>
                <w:bCs/>
                <w:lang w:eastAsia="en-AU"/>
              </w:rPr>
              <w:t>Roads and roads infrastructure (written down value)</w:t>
            </w:r>
            <w:r w:rsidRPr="003E2DBE">
              <w:rPr>
                <w:rFonts w:eastAsiaTheme="minorEastAsia" w:cs="Calibri"/>
                <w:b/>
                <w:bCs/>
                <w:szCs w:val="22"/>
                <w:vertAlign w:val="superscript"/>
                <w:lang w:eastAsia="en-AU"/>
              </w:rPr>
              <w:t xml:space="preserve"> </w:t>
            </w:r>
          </w:p>
        </w:tc>
        <w:tc>
          <w:tcPr>
            <w:tcW w:w="955"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2"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8"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r>
      <w:tr w:rsidR="000B4A1E" w:rsidRPr="003E2DBE" w:rsidTr="00103F3E">
        <w:tc>
          <w:tcPr>
            <w:tcW w:w="5320"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Earthworks</w:t>
            </w:r>
          </w:p>
        </w:tc>
        <w:tc>
          <w:tcPr>
            <w:tcW w:w="955"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2"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8"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r>
      <w:tr w:rsidR="000B4A1E" w:rsidRPr="003E2DBE" w:rsidTr="00103F3E">
        <w:tc>
          <w:tcPr>
            <w:tcW w:w="5320"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road networks and earthworks</w:t>
            </w:r>
          </w:p>
        </w:tc>
        <w:tc>
          <w:tcPr>
            <w:tcW w:w="955"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2"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3"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r>
    </w:tbl>
    <w:p w:rsidR="000B4A1E" w:rsidRPr="00D00665" w:rsidRDefault="000B4A1E" w:rsidP="00517E51">
      <w:pPr>
        <w:pStyle w:val="Notes"/>
        <w:tabs>
          <w:tab w:val="left" w:pos="842"/>
        </w:tabs>
      </w:pPr>
    </w:p>
    <w:p w:rsidR="000B4A1E" w:rsidRDefault="000B4A1E" w:rsidP="00517E51">
      <w:pPr>
        <w:pStyle w:val="Notes"/>
        <w:rPr>
          <w:rFonts w:ascii="Times New Roman" w:hAnsi="Times New Roman"/>
          <w:i w:val="0"/>
          <w:sz w:val="20"/>
          <w:lang w:eastAsia="en-AU"/>
        </w:rPr>
      </w:pPr>
    </w:p>
    <w:tbl>
      <w:tblPr>
        <w:tblW w:w="9648" w:type="dxa"/>
        <w:tblInd w:w="29" w:type="dxa"/>
        <w:tblLayout w:type="fixed"/>
        <w:tblCellMar>
          <w:left w:w="43" w:type="dxa"/>
          <w:right w:w="43" w:type="dxa"/>
        </w:tblCellMar>
        <w:tblLook w:val="0000" w:firstRow="0" w:lastRow="0" w:firstColumn="0" w:lastColumn="0" w:noHBand="0" w:noVBand="0"/>
      </w:tblPr>
      <w:tblGrid>
        <w:gridCol w:w="5234"/>
        <w:gridCol w:w="180"/>
        <w:gridCol w:w="270"/>
        <w:gridCol w:w="595"/>
        <w:gridCol w:w="1123"/>
        <w:gridCol w:w="262"/>
        <w:gridCol w:w="861"/>
        <w:gridCol w:w="759"/>
        <w:gridCol w:w="364"/>
      </w:tblGrid>
      <w:tr w:rsidR="000B4A1E" w:rsidRPr="003E2DBE" w:rsidTr="00517E51">
        <w:tc>
          <w:tcPr>
            <w:tcW w:w="5234"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8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3600"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Total</w:t>
            </w:r>
          </w:p>
        </w:tc>
        <w:tc>
          <w:tcPr>
            <w:tcW w:w="364"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r>
      <w:tr w:rsidR="000B4A1E" w:rsidRPr="003E2DBE" w:rsidTr="00517E51">
        <w:tc>
          <w:tcPr>
            <w:tcW w:w="5234" w:type="dxa"/>
            <w:tcBorders>
              <w:top w:val="single" w:sz="6" w:space="0" w:color="auto"/>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80" w:type="dxa"/>
            <w:tcBorders>
              <w:top w:val="single" w:sz="6"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8" w:type="dxa"/>
            <w:gridSpan w:val="3"/>
            <w:tcBorders>
              <w:top w:val="single" w:sz="6"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262" w:type="dxa"/>
            <w:tcBorders>
              <w:top w:val="single" w:sz="6"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3"/>
            <w:tcBorders>
              <w:top w:val="single" w:sz="6" w:space="0" w:color="auto"/>
              <w:left w:val="nil"/>
              <w:bottom w:val="single" w:sz="4" w:space="0" w:color="auto"/>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r>
      <w:tr w:rsidR="000B4A1E" w:rsidRPr="003E2DBE" w:rsidTr="00517E51">
        <w:tc>
          <w:tcPr>
            <w:tcW w:w="5234" w:type="dxa"/>
            <w:tcBorders>
              <w:top w:val="single" w:sz="4" w:space="0" w:color="auto"/>
              <w:left w:val="single" w:sz="4" w:space="0" w:color="auto"/>
              <w:bottom w:val="single" w:sz="4" w:space="0" w:color="auto"/>
              <w:right w:val="nil"/>
            </w:tcBorders>
            <w:shd w:val="solid" w:color="000000" w:fill="auto"/>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045" w:type="dxa"/>
            <w:gridSpan w:val="3"/>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123" w:type="dxa"/>
            <w:gridSpan w:val="2"/>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gridSpan w:val="2"/>
            <w:tcBorders>
              <w:top w:val="single" w:sz="4" w:space="0" w:color="auto"/>
              <w:left w:val="nil"/>
              <w:bottom w:val="single" w:sz="4" w:space="0" w:color="auto"/>
              <w:right w:val="single" w:sz="4" w:space="0" w:color="auto"/>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5234" w:type="dxa"/>
            <w:tcBorders>
              <w:top w:val="single" w:sz="4" w:space="0" w:color="auto"/>
              <w:left w:val="nil"/>
              <w:bottom w:val="nil"/>
              <w:right w:val="nil"/>
            </w:tcBorders>
          </w:tcPr>
          <w:p w:rsidR="000B4A1E" w:rsidRPr="003E2DBE" w:rsidRDefault="000B4A1E" w:rsidP="00517E51">
            <w:pPr>
              <w:pStyle w:val="Tabletext"/>
              <w:rPr>
                <w:rFonts w:eastAsiaTheme="minorEastAsia" w:cs="Calibri"/>
                <w:szCs w:val="22"/>
                <w:vertAlign w:val="superscript"/>
                <w:lang w:eastAsia="en-AU"/>
              </w:rPr>
            </w:pPr>
            <w:r w:rsidRPr="003E2DBE">
              <w:rPr>
                <w:rFonts w:eastAsiaTheme="minorEastAsia"/>
                <w:lang w:eastAsia="en-AU"/>
              </w:rPr>
              <w:t xml:space="preserve">Roads and roads infrastructure </w:t>
            </w:r>
            <w:r w:rsidRPr="003E2DBE">
              <w:rPr>
                <w:rFonts w:eastAsiaTheme="minorEastAsia"/>
                <w:vertAlign w:val="superscript"/>
                <w:lang w:eastAsia="en-AU"/>
              </w:rPr>
              <w:t>(a)</w:t>
            </w:r>
            <w:r w:rsidRPr="003E2DBE">
              <w:rPr>
                <w:rFonts w:eastAsiaTheme="minorEastAsia"/>
                <w:lang w:eastAsia="en-AU"/>
              </w:rPr>
              <w:t xml:space="preserve"> </w:t>
            </w:r>
          </w:p>
        </w:tc>
        <w:tc>
          <w:tcPr>
            <w:tcW w:w="1045" w:type="dxa"/>
            <w:gridSpan w:val="3"/>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36 295.8</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34 971.8</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36 219.2</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34 918.5</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Accumulated depreciation </w:t>
            </w:r>
            <w:r w:rsidRPr="003E2DBE">
              <w:rPr>
                <w:rFonts w:eastAsiaTheme="minorEastAsia"/>
                <w:vertAlign w:val="superscript"/>
                <w:lang w:eastAsia="en-AU"/>
              </w:rPr>
              <w:t>(b)</w:t>
            </w:r>
          </w:p>
        </w:tc>
        <w:tc>
          <w:tcPr>
            <w:tcW w:w="1045"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(15 197.9)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(14 672.1)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(15 191.3)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(14 666.3)</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rFonts w:eastAsiaTheme="minorEastAsia" w:cs="Calibri"/>
                <w:b/>
                <w:bCs/>
                <w:color w:val="000000"/>
                <w:szCs w:val="22"/>
                <w:lang w:eastAsia="en-AU"/>
              </w:rPr>
            </w:pPr>
            <w:r w:rsidRPr="003E2DBE">
              <w:rPr>
                <w:rFonts w:eastAsiaTheme="minorEastAsia"/>
                <w:b/>
                <w:bCs/>
                <w:lang w:eastAsia="en-AU"/>
              </w:rPr>
              <w:t>Roads and roads infrastructure (written down value)</w:t>
            </w:r>
            <w:r w:rsidRPr="003E2DBE">
              <w:rPr>
                <w:rFonts w:eastAsiaTheme="minorEastAsia" w:cs="Calibri"/>
                <w:b/>
                <w:bCs/>
                <w:szCs w:val="22"/>
                <w:vertAlign w:val="superscript"/>
                <w:lang w:eastAsia="en-AU"/>
              </w:rPr>
              <w:t xml:space="preserve"> </w:t>
            </w:r>
          </w:p>
        </w:tc>
        <w:tc>
          <w:tcPr>
            <w:tcW w:w="1045"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21 097.9</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20 299.7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21 027.9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20 252.3</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Earthworks</w:t>
            </w:r>
          </w:p>
        </w:tc>
        <w:tc>
          <w:tcPr>
            <w:tcW w:w="1045"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7 639.2</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7 279.9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7 638.8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7 279.4</w:t>
            </w:r>
          </w:p>
        </w:tc>
      </w:tr>
      <w:tr w:rsidR="000B4A1E" w:rsidRPr="003E2DBE" w:rsidTr="00517E51">
        <w:tc>
          <w:tcPr>
            <w:tcW w:w="523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road networks and earthworks</w:t>
            </w:r>
          </w:p>
        </w:tc>
        <w:tc>
          <w:tcPr>
            <w:tcW w:w="1045"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28 737.2</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27 579.6</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28 666.6</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27 531.7</w:t>
            </w:r>
          </w:p>
        </w:tc>
      </w:tr>
    </w:tbl>
    <w:p w:rsidR="000B4A1E" w:rsidRPr="00D00665" w:rsidRDefault="000B4A1E" w:rsidP="00517E51">
      <w:pPr>
        <w:pStyle w:val="Notes"/>
      </w:pPr>
      <w:r w:rsidRPr="00D00665">
        <w:t>Note</w:t>
      </w:r>
      <w:r>
        <w:t>s</w:t>
      </w:r>
      <w:r w:rsidRPr="00D00665">
        <w:t>:</w:t>
      </w:r>
    </w:p>
    <w:p w:rsidR="000B4A1E" w:rsidRPr="00D00665" w:rsidRDefault="000B4A1E" w:rsidP="00517E51">
      <w:pPr>
        <w:pStyle w:val="Notes"/>
      </w:pPr>
      <w:r w:rsidRPr="00D00665">
        <w:t xml:space="preserve">(a) </w:t>
      </w:r>
      <w:r>
        <w:tab/>
      </w:r>
      <w:r w:rsidRPr="00D00665">
        <w:t>Roads and Roads Infrastructure have been combined for disclosure purposes since</w:t>
      </w:r>
      <w:r>
        <w:t xml:space="preserve"> the</w:t>
      </w:r>
      <w:r w:rsidRPr="00D00665">
        <w:t xml:space="preserve"> </w:t>
      </w:r>
      <w:r w:rsidRPr="00BF1735">
        <w:rPr>
          <w:i w:val="0"/>
        </w:rPr>
        <w:t>2011-12 Financial Report</w:t>
      </w:r>
      <w:r w:rsidRPr="00D00665">
        <w:t>.</w:t>
      </w:r>
    </w:p>
    <w:p w:rsidR="000B4A1E" w:rsidRPr="00D00665" w:rsidRDefault="000B4A1E" w:rsidP="00517E51">
      <w:pPr>
        <w:pStyle w:val="Notes"/>
      </w:pPr>
      <w:r w:rsidRPr="00D00665">
        <w:t xml:space="preserve">(b) </w:t>
      </w:r>
      <w:r>
        <w:tab/>
      </w:r>
      <w:r w:rsidRPr="00D00665">
        <w:t>Restated balances at 30 June 2012. Refer to Note 36 of the Financial Statements.</w:t>
      </w:r>
    </w:p>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Pr>
        <w:pStyle w:val="Heading2NotesContd"/>
      </w:pPr>
      <w:r w:rsidRPr="00D00665">
        <w:br w:type="page"/>
      </w:r>
    </w:p>
    <w:p w:rsidR="000B4A1E" w:rsidRPr="00D00665" w:rsidRDefault="000B4A1E" w:rsidP="00517E51">
      <w:pPr>
        <w:pStyle w:val="Heading5"/>
      </w:pPr>
    </w:p>
    <w:p w:rsidR="000B4A1E" w:rsidRPr="00D00665" w:rsidRDefault="000B4A1E" w:rsidP="00517E51">
      <w:pPr>
        <w:spacing w:before="360"/>
      </w:pPr>
    </w:p>
    <w:p w:rsidR="000B4A1E" w:rsidRPr="003E2DBE" w:rsidRDefault="000B4A1E" w:rsidP="00517E51">
      <w:pPr>
        <w:pStyle w:val="million"/>
        <w:rPr>
          <w:rFonts w:ascii="Times New Roman" w:hAnsi="Times New Roman"/>
          <w:i w:val="0"/>
          <w:szCs w:val="20"/>
          <w:lang w:eastAsia="en-AU"/>
        </w:rPr>
      </w:pPr>
    </w:p>
    <w:tbl>
      <w:tblPr>
        <w:tblW w:w="0" w:type="auto"/>
        <w:tblInd w:w="29" w:type="dxa"/>
        <w:tblLayout w:type="fixed"/>
        <w:tblCellMar>
          <w:left w:w="43" w:type="dxa"/>
          <w:right w:w="43" w:type="dxa"/>
        </w:tblCellMar>
        <w:tblLook w:val="0000" w:firstRow="0" w:lastRow="0" w:firstColumn="0" w:lastColumn="0" w:noHBand="0" w:noVBand="0"/>
      </w:tblPr>
      <w:tblGrid>
        <w:gridCol w:w="236"/>
        <w:gridCol w:w="236"/>
        <w:gridCol w:w="733"/>
        <w:gridCol w:w="1206"/>
        <w:gridCol w:w="236"/>
        <w:gridCol w:w="969"/>
        <w:gridCol w:w="808"/>
        <w:gridCol w:w="398"/>
        <w:gridCol w:w="236"/>
        <w:gridCol w:w="356"/>
        <w:gridCol w:w="613"/>
        <w:gridCol w:w="1206"/>
        <w:gridCol w:w="251"/>
        <w:gridCol w:w="954"/>
        <w:gridCol w:w="846"/>
        <w:gridCol w:w="360"/>
      </w:tblGrid>
      <w:tr w:rsidR="000B4A1E" w:rsidRPr="003E2DBE" w:rsidTr="00517E51">
        <w:tc>
          <w:tcPr>
            <w:tcW w:w="236" w:type="dxa"/>
            <w:tcBorders>
              <w:top w:val="single" w:sz="4" w:space="0" w:color="auto"/>
              <w:left w:val="single" w:sz="4" w:space="0" w:color="auto"/>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36"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3952" w:type="dxa"/>
            <w:gridSpan w:val="5"/>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t>Education</w:t>
            </w:r>
          </w:p>
        </w:tc>
        <w:tc>
          <w:tcPr>
            <w:tcW w:w="398"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36"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356"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3870" w:type="dxa"/>
            <w:gridSpan w:val="5"/>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Health and Welfare</w:t>
            </w:r>
          </w:p>
        </w:tc>
        <w:tc>
          <w:tcPr>
            <w:tcW w:w="360" w:type="dxa"/>
            <w:tcBorders>
              <w:top w:val="single" w:sz="4" w:space="0" w:color="auto"/>
              <w:left w:val="nil"/>
              <w:bottom w:val="single" w:sz="4" w:space="0" w:color="auto"/>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r>
      <w:tr w:rsidR="000B4A1E" w:rsidRPr="003E2DBE" w:rsidTr="00517E51">
        <w:tc>
          <w:tcPr>
            <w:tcW w:w="236" w:type="dxa"/>
            <w:tcBorders>
              <w:top w:val="single" w:sz="4" w:space="0" w:color="auto"/>
              <w:left w:val="single" w:sz="4" w:space="0" w:color="auto"/>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175" w:type="dxa"/>
            <w:gridSpan w:val="3"/>
            <w:tcBorders>
              <w:top w:val="single" w:sz="4"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236" w:type="dxa"/>
            <w:tcBorders>
              <w:top w:val="single" w:sz="4"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175" w:type="dxa"/>
            <w:gridSpan w:val="3"/>
            <w:tcBorders>
              <w:top w:val="single" w:sz="4"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c>
          <w:tcPr>
            <w:tcW w:w="236" w:type="dxa"/>
            <w:tcBorders>
              <w:top w:val="single" w:sz="4"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175" w:type="dxa"/>
            <w:gridSpan w:val="3"/>
            <w:tcBorders>
              <w:top w:val="single" w:sz="4"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251" w:type="dxa"/>
            <w:tcBorders>
              <w:top w:val="single" w:sz="4"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160" w:type="dxa"/>
            <w:gridSpan w:val="3"/>
            <w:tcBorders>
              <w:top w:val="single" w:sz="4" w:space="0" w:color="auto"/>
              <w:left w:val="nil"/>
              <w:bottom w:val="nil"/>
              <w:right w:val="single" w:sz="4" w:space="0" w:color="auto"/>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r>
      <w:tr w:rsidR="000B4A1E" w:rsidRPr="003E2DBE" w:rsidTr="00517E51">
        <w:tc>
          <w:tcPr>
            <w:tcW w:w="1205" w:type="dxa"/>
            <w:gridSpan w:val="3"/>
            <w:tcBorders>
              <w:top w:val="nil"/>
              <w:left w:val="single" w:sz="4" w:space="0" w:color="auto"/>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206" w:type="dxa"/>
            <w:tcBorders>
              <w:top w:val="nil"/>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205" w:type="dxa"/>
            <w:gridSpan w:val="2"/>
            <w:tcBorders>
              <w:top w:val="nil"/>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206" w:type="dxa"/>
            <w:gridSpan w:val="2"/>
            <w:tcBorders>
              <w:top w:val="nil"/>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205" w:type="dxa"/>
            <w:gridSpan w:val="3"/>
            <w:tcBorders>
              <w:top w:val="nil"/>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206" w:type="dxa"/>
            <w:tcBorders>
              <w:top w:val="nil"/>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205" w:type="dxa"/>
            <w:gridSpan w:val="2"/>
            <w:tcBorders>
              <w:top w:val="nil"/>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206" w:type="dxa"/>
            <w:gridSpan w:val="2"/>
            <w:tcBorders>
              <w:top w:val="nil"/>
              <w:left w:val="nil"/>
              <w:bottom w:val="single" w:sz="4" w:space="0" w:color="auto"/>
              <w:right w:val="single" w:sz="4" w:space="0" w:color="auto"/>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1205" w:type="dxa"/>
            <w:gridSpan w:val="3"/>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6"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5"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6"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5" w:type="dxa"/>
            <w:gridSpan w:val="3"/>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6"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5"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6"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1205"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6"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5"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6"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1205"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5"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5"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5"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r>
      <w:tr w:rsidR="000B4A1E" w:rsidRPr="003E2DBE" w:rsidTr="00517E51">
        <w:tc>
          <w:tcPr>
            <w:tcW w:w="1205"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5"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5"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5"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r>
      <w:tr w:rsidR="000B4A1E" w:rsidRPr="003E2DBE" w:rsidTr="00517E51">
        <w:tc>
          <w:tcPr>
            <w:tcW w:w="1205"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5"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5"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5"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r>
    </w:tbl>
    <w:p w:rsidR="000B4A1E" w:rsidRPr="00D00665" w:rsidRDefault="000B4A1E" w:rsidP="00517E51">
      <w:pPr>
        <w:pStyle w:val="Notes"/>
      </w:pPr>
    </w:p>
    <w:p w:rsidR="000B4A1E" w:rsidRDefault="000B4A1E" w:rsidP="00517E51">
      <w:pPr>
        <w:pStyle w:val="Notes"/>
        <w:rPr>
          <w:rFonts w:ascii="Times New Roman" w:hAnsi="Times New Roman"/>
          <w:i w:val="0"/>
          <w:sz w:val="20"/>
          <w:lang w:eastAsia="en-AU"/>
        </w:rPr>
      </w:pPr>
    </w:p>
    <w:tbl>
      <w:tblPr>
        <w:tblW w:w="0" w:type="auto"/>
        <w:tblInd w:w="29" w:type="dxa"/>
        <w:tblLayout w:type="fixed"/>
        <w:tblCellMar>
          <w:left w:w="43" w:type="dxa"/>
          <w:right w:w="43" w:type="dxa"/>
        </w:tblCellMar>
        <w:tblLook w:val="0000" w:firstRow="0" w:lastRow="0" w:firstColumn="0" w:lastColumn="0" w:noHBand="0" w:noVBand="0"/>
      </w:tblPr>
      <w:tblGrid>
        <w:gridCol w:w="106"/>
        <w:gridCol w:w="130"/>
        <w:gridCol w:w="236"/>
        <w:gridCol w:w="733"/>
        <w:gridCol w:w="1206"/>
        <w:gridCol w:w="393"/>
        <w:gridCol w:w="812"/>
        <w:gridCol w:w="808"/>
        <w:gridCol w:w="398"/>
        <w:gridCol w:w="142"/>
        <w:gridCol w:w="94"/>
        <w:gridCol w:w="969"/>
        <w:gridCol w:w="1206"/>
        <w:gridCol w:w="106"/>
        <w:gridCol w:w="1099"/>
        <w:gridCol w:w="666"/>
        <w:gridCol w:w="270"/>
        <w:gridCol w:w="270"/>
      </w:tblGrid>
      <w:tr w:rsidR="000B4A1E" w:rsidRPr="003E2DBE" w:rsidTr="00517E51">
        <w:tc>
          <w:tcPr>
            <w:tcW w:w="236" w:type="dxa"/>
            <w:gridSpan w:val="2"/>
            <w:tcBorders>
              <w:top w:val="single" w:sz="4" w:space="0" w:color="auto"/>
              <w:left w:val="single" w:sz="4" w:space="0" w:color="auto"/>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36"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3952" w:type="dxa"/>
            <w:gridSpan w:val="5"/>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Transportation and Communication</w:t>
            </w:r>
          </w:p>
        </w:tc>
        <w:tc>
          <w:tcPr>
            <w:tcW w:w="398"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36" w:type="dxa"/>
            <w:gridSpan w:val="2"/>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4046" w:type="dxa"/>
            <w:gridSpan w:val="5"/>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Public Safety and  Environment</w:t>
            </w:r>
          </w:p>
        </w:tc>
        <w:tc>
          <w:tcPr>
            <w:tcW w:w="270"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70" w:type="dxa"/>
            <w:tcBorders>
              <w:top w:val="single" w:sz="4" w:space="0" w:color="auto"/>
              <w:left w:val="nil"/>
              <w:bottom w:val="single" w:sz="4" w:space="0" w:color="auto"/>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r>
      <w:tr w:rsidR="000B4A1E" w:rsidRPr="003E2DBE" w:rsidTr="00517E51">
        <w:tc>
          <w:tcPr>
            <w:tcW w:w="106" w:type="dxa"/>
            <w:tcBorders>
              <w:top w:val="single" w:sz="4" w:space="0" w:color="auto"/>
              <w:left w:val="single" w:sz="4" w:space="0" w:color="auto"/>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305" w:type="dxa"/>
            <w:gridSpan w:val="4"/>
            <w:tcBorders>
              <w:top w:val="single" w:sz="4"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393" w:type="dxa"/>
            <w:tcBorders>
              <w:top w:val="single" w:sz="4"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018" w:type="dxa"/>
            <w:gridSpan w:val="3"/>
            <w:tcBorders>
              <w:top w:val="single" w:sz="4"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c>
          <w:tcPr>
            <w:tcW w:w="142" w:type="dxa"/>
            <w:tcBorders>
              <w:top w:val="single" w:sz="4"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269" w:type="dxa"/>
            <w:gridSpan w:val="3"/>
            <w:tcBorders>
              <w:top w:val="single" w:sz="4"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106" w:type="dxa"/>
            <w:tcBorders>
              <w:top w:val="single" w:sz="4"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305" w:type="dxa"/>
            <w:gridSpan w:val="4"/>
            <w:tcBorders>
              <w:top w:val="single" w:sz="4" w:space="0" w:color="auto"/>
              <w:left w:val="nil"/>
              <w:bottom w:val="nil"/>
              <w:right w:val="single" w:sz="4" w:space="0" w:color="auto"/>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r>
      <w:tr w:rsidR="000B4A1E" w:rsidRPr="003E2DBE" w:rsidTr="00517E51">
        <w:tc>
          <w:tcPr>
            <w:tcW w:w="1205" w:type="dxa"/>
            <w:gridSpan w:val="4"/>
            <w:tcBorders>
              <w:top w:val="nil"/>
              <w:left w:val="single" w:sz="4" w:space="0" w:color="auto"/>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206" w:type="dxa"/>
            <w:tcBorders>
              <w:top w:val="nil"/>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205" w:type="dxa"/>
            <w:gridSpan w:val="2"/>
            <w:tcBorders>
              <w:top w:val="nil"/>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206" w:type="dxa"/>
            <w:gridSpan w:val="2"/>
            <w:tcBorders>
              <w:top w:val="nil"/>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205" w:type="dxa"/>
            <w:gridSpan w:val="3"/>
            <w:tcBorders>
              <w:top w:val="nil"/>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206" w:type="dxa"/>
            <w:tcBorders>
              <w:top w:val="nil"/>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205" w:type="dxa"/>
            <w:gridSpan w:val="2"/>
            <w:tcBorders>
              <w:top w:val="nil"/>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206" w:type="dxa"/>
            <w:gridSpan w:val="3"/>
            <w:tcBorders>
              <w:top w:val="nil"/>
              <w:left w:val="nil"/>
              <w:bottom w:val="single" w:sz="4" w:space="0" w:color="auto"/>
              <w:right w:val="single" w:sz="4" w:space="0" w:color="auto"/>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1205" w:type="dxa"/>
            <w:gridSpan w:val="4"/>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36 219.2</w:t>
            </w:r>
          </w:p>
        </w:tc>
        <w:tc>
          <w:tcPr>
            <w:tcW w:w="1206"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34 918.5</w:t>
            </w:r>
          </w:p>
        </w:tc>
        <w:tc>
          <w:tcPr>
            <w:tcW w:w="1205"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36 219.2</w:t>
            </w:r>
          </w:p>
        </w:tc>
        <w:tc>
          <w:tcPr>
            <w:tcW w:w="1206"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34 918.5</w:t>
            </w:r>
          </w:p>
        </w:tc>
        <w:tc>
          <w:tcPr>
            <w:tcW w:w="1205" w:type="dxa"/>
            <w:gridSpan w:val="3"/>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50.8</w:t>
            </w:r>
          </w:p>
        </w:tc>
        <w:tc>
          <w:tcPr>
            <w:tcW w:w="1206"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28.3</w:t>
            </w:r>
          </w:p>
        </w:tc>
        <w:tc>
          <w:tcPr>
            <w:tcW w:w="1205"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6" w:type="dxa"/>
            <w:gridSpan w:val="3"/>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1205" w:type="dxa"/>
            <w:gridSpan w:val="4"/>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(15 191.3)</w:t>
            </w:r>
          </w:p>
        </w:tc>
        <w:tc>
          <w:tcPr>
            <w:tcW w:w="120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(14 666.3)</w:t>
            </w:r>
          </w:p>
        </w:tc>
        <w:tc>
          <w:tcPr>
            <w:tcW w:w="120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(15 191.3)</w:t>
            </w:r>
          </w:p>
        </w:tc>
        <w:tc>
          <w:tcPr>
            <w:tcW w:w="1206"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(14 666.3)</w:t>
            </w:r>
          </w:p>
        </w:tc>
        <w:tc>
          <w:tcPr>
            <w:tcW w:w="1205"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( 3.3)</w:t>
            </w:r>
          </w:p>
        </w:tc>
        <w:tc>
          <w:tcPr>
            <w:tcW w:w="120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( 2.9)</w:t>
            </w:r>
          </w:p>
        </w:tc>
        <w:tc>
          <w:tcPr>
            <w:tcW w:w="120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06"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1205" w:type="dxa"/>
            <w:gridSpan w:val="4"/>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21 027.9</w:t>
            </w:r>
          </w:p>
        </w:tc>
        <w:tc>
          <w:tcPr>
            <w:tcW w:w="120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20 252.3</w:t>
            </w:r>
          </w:p>
        </w:tc>
        <w:tc>
          <w:tcPr>
            <w:tcW w:w="1205"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21 027.9</w:t>
            </w:r>
          </w:p>
        </w:tc>
        <w:tc>
          <w:tcPr>
            <w:tcW w:w="1206"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20 252.3</w:t>
            </w:r>
          </w:p>
        </w:tc>
        <w:tc>
          <w:tcPr>
            <w:tcW w:w="1205"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47.5</w:t>
            </w:r>
          </w:p>
        </w:tc>
        <w:tc>
          <w:tcPr>
            <w:tcW w:w="120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25.5</w:t>
            </w:r>
          </w:p>
        </w:tc>
        <w:tc>
          <w:tcPr>
            <w:tcW w:w="1205"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r>
      <w:tr w:rsidR="000B4A1E" w:rsidRPr="003E2DBE" w:rsidTr="00517E51">
        <w:tc>
          <w:tcPr>
            <w:tcW w:w="1205" w:type="dxa"/>
            <w:gridSpan w:val="4"/>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7 638.8</w:t>
            </w:r>
          </w:p>
        </w:tc>
        <w:tc>
          <w:tcPr>
            <w:tcW w:w="120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7 279.4</w:t>
            </w:r>
          </w:p>
        </w:tc>
        <w:tc>
          <w:tcPr>
            <w:tcW w:w="1205"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7 638.8</w:t>
            </w:r>
          </w:p>
        </w:tc>
        <w:tc>
          <w:tcPr>
            <w:tcW w:w="1206"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7 279.4</w:t>
            </w:r>
          </w:p>
        </w:tc>
        <w:tc>
          <w:tcPr>
            <w:tcW w:w="1205"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5"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r>
      <w:tr w:rsidR="000B4A1E" w:rsidRPr="003E2DBE" w:rsidTr="00517E51">
        <w:tc>
          <w:tcPr>
            <w:tcW w:w="1205" w:type="dxa"/>
            <w:gridSpan w:val="4"/>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28 666.6</w:t>
            </w:r>
          </w:p>
        </w:tc>
        <w:tc>
          <w:tcPr>
            <w:tcW w:w="120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27 531.7</w:t>
            </w:r>
          </w:p>
        </w:tc>
        <w:tc>
          <w:tcPr>
            <w:tcW w:w="1205"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28 666.6</w:t>
            </w:r>
          </w:p>
        </w:tc>
        <w:tc>
          <w:tcPr>
            <w:tcW w:w="1206"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27 531.7</w:t>
            </w:r>
          </w:p>
        </w:tc>
        <w:tc>
          <w:tcPr>
            <w:tcW w:w="1205"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47.5</w:t>
            </w:r>
          </w:p>
        </w:tc>
        <w:tc>
          <w:tcPr>
            <w:tcW w:w="120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25.5</w:t>
            </w:r>
          </w:p>
        </w:tc>
        <w:tc>
          <w:tcPr>
            <w:tcW w:w="1205"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206"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r>
    </w:tbl>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Pr>
        <w:pStyle w:val="Heading2NotesContd"/>
      </w:pPr>
      <w:r w:rsidRPr="00D00665">
        <w:br w:type="page"/>
      </w:r>
      <w:r w:rsidRPr="00D00665">
        <w:lastRenderedPageBreak/>
        <w:t>Note 22:</w:t>
      </w:r>
      <w:r w:rsidRPr="00D00665">
        <w:tab/>
        <w:t xml:space="preserve">Land, buildings, infrastructure, plant and equipment </w:t>
      </w:r>
      <w:r w:rsidRPr="00D00665">
        <w:rPr>
          <w:i/>
        </w:rPr>
        <w:t>(continued)</w:t>
      </w:r>
    </w:p>
    <w:p w:rsidR="000B4A1E" w:rsidRPr="00D00665" w:rsidRDefault="000B4A1E" w:rsidP="00517E51">
      <w:pPr>
        <w:pStyle w:val="Heading5"/>
      </w:pPr>
      <w:r w:rsidRPr="00D00665">
        <w:t>(e)</w:t>
      </w:r>
      <w:r w:rsidRPr="00D00665">
        <w:tab/>
        <w:t>Cultural assets</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270"/>
        <w:gridCol w:w="595"/>
        <w:gridCol w:w="1123"/>
        <w:gridCol w:w="262"/>
        <w:gridCol w:w="861"/>
        <w:gridCol w:w="849"/>
        <w:gridCol w:w="274"/>
      </w:tblGrid>
      <w:tr w:rsidR="000B4A1E" w:rsidRPr="003E2DBE" w:rsidTr="00517E51">
        <w:tc>
          <w:tcPr>
            <w:tcW w:w="5156" w:type="dxa"/>
            <w:tcBorders>
              <w:top w:val="single" w:sz="6" w:space="0" w:color="auto"/>
              <w:left w:val="single" w:sz="6"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58"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270"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3690" w:type="dxa"/>
            <w:gridSpan w:val="5"/>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Public Administration</w:t>
            </w:r>
          </w:p>
        </w:tc>
        <w:tc>
          <w:tcPr>
            <w:tcW w:w="274" w:type="dxa"/>
            <w:tcBorders>
              <w:top w:val="single" w:sz="6" w:space="0" w:color="auto"/>
              <w:left w:val="nil"/>
              <w:bottom w:val="single" w:sz="6" w:space="0" w:color="auto"/>
              <w:right w:val="single" w:sz="6"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r>
      <w:tr w:rsidR="000B4A1E" w:rsidRPr="003E2DBE" w:rsidTr="00517E51">
        <w:tc>
          <w:tcPr>
            <w:tcW w:w="5156" w:type="dxa"/>
            <w:tcBorders>
              <w:top w:val="single" w:sz="6" w:space="0" w:color="auto"/>
              <w:left w:val="single" w:sz="6"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58"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1988" w:type="dxa"/>
            <w:gridSpan w:val="3"/>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262"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3"/>
            <w:tcBorders>
              <w:top w:val="single" w:sz="6" w:space="0" w:color="auto"/>
              <w:left w:val="nil"/>
              <w:bottom w:val="single" w:sz="6" w:space="0" w:color="auto"/>
              <w:right w:val="single" w:sz="6"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r>
      <w:tr w:rsidR="000B4A1E" w:rsidRPr="003E2DBE" w:rsidTr="00517E51">
        <w:tc>
          <w:tcPr>
            <w:tcW w:w="5156" w:type="dxa"/>
            <w:tcBorders>
              <w:top w:val="single" w:sz="6" w:space="0" w:color="auto"/>
              <w:left w:val="single" w:sz="6" w:space="0" w:color="auto"/>
              <w:bottom w:val="single" w:sz="6" w:space="0" w:color="auto"/>
              <w:right w:val="nil"/>
            </w:tcBorders>
            <w:shd w:val="clear" w:color="auto" w:fill="000000"/>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 </w:t>
            </w:r>
          </w:p>
        </w:tc>
        <w:tc>
          <w:tcPr>
            <w:tcW w:w="1123" w:type="dxa"/>
            <w:gridSpan w:val="3"/>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123" w:type="dxa"/>
            <w:gridSpan w:val="2"/>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gridSpan w:val="2"/>
            <w:tcBorders>
              <w:top w:val="single" w:sz="6" w:space="0" w:color="auto"/>
              <w:left w:val="nil"/>
              <w:bottom w:val="single" w:sz="6" w:space="0" w:color="auto"/>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Cultural assets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212.3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207.7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212.3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207.7</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Accumulated depreciation</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( 11.6)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( 0.9)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( 11.6)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( 0.9)</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Total cultural assets </w:t>
            </w:r>
          </w:p>
        </w:tc>
        <w:tc>
          <w:tcPr>
            <w:tcW w:w="1123"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200.7</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206.8</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200.7</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206.8</w:t>
            </w:r>
          </w:p>
        </w:tc>
      </w:tr>
    </w:tbl>
    <w:p w:rsidR="000B4A1E" w:rsidRPr="00D00665" w:rsidRDefault="000B4A1E" w:rsidP="00517E51">
      <w:pPr>
        <w:pStyle w:val="Notes"/>
      </w:pPr>
    </w:p>
    <w:p w:rsidR="000B4A1E" w:rsidRDefault="000B4A1E" w:rsidP="00517E51">
      <w:pPr>
        <w:pStyle w:val="Notes"/>
        <w:rPr>
          <w:rFonts w:ascii="Times New Roman" w:hAnsi="Times New Roman"/>
          <w:i w:val="0"/>
          <w:sz w:val="20"/>
          <w:lang w:eastAsia="en-AU"/>
        </w:rPr>
      </w:pP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270"/>
        <w:gridCol w:w="595"/>
        <w:gridCol w:w="1123"/>
        <w:gridCol w:w="262"/>
        <w:gridCol w:w="861"/>
        <w:gridCol w:w="887"/>
        <w:gridCol w:w="236"/>
      </w:tblGrid>
      <w:tr w:rsidR="000B4A1E" w:rsidRPr="003E2DBE" w:rsidTr="00517E51">
        <w:tc>
          <w:tcPr>
            <w:tcW w:w="5156"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258"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 xml:space="preserve"> </w:t>
            </w:r>
          </w:p>
        </w:tc>
        <w:tc>
          <w:tcPr>
            <w:tcW w:w="270"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 xml:space="preserve"> </w:t>
            </w:r>
          </w:p>
        </w:tc>
        <w:tc>
          <w:tcPr>
            <w:tcW w:w="3728" w:type="dxa"/>
            <w:gridSpan w:val="5"/>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Centred"/>
              <w:rPr>
                <w:rFonts w:eastAsiaTheme="minorEastAsia" w:cs="Calibri"/>
                <w:iCs/>
                <w:szCs w:val="22"/>
                <w:lang w:eastAsia="en-AU"/>
              </w:rPr>
            </w:pPr>
            <w:r w:rsidRPr="003E2DBE">
              <w:rPr>
                <w:lang w:eastAsia="en-AU"/>
              </w:rPr>
              <w:t xml:space="preserve"> Community</w:t>
            </w:r>
            <w:r w:rsidRPr="003E2DBE">
              <w:rPr>
                <w:rFonts w:eastAsiaTheme="minorEastAsia" w:cs="Calibri"/>
                <w:iCs/>
                <w:szCs w:val="22"/>
                <w:lang w:eastAsia="en-AU"/>
              </w:rPr>
              <w:t xml:space="preserve"> Housing</w:t>
            </w:r>
          </w:p>
        </w:tc>
        <w:tc>
          <w:tcPr>
            <w:tcW w:w="236"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r>
      <w:tr w:rsidR="000B4A1E" w:rsidRPr="003E2DBE" w:rsidTr="00517E51">
        <w:tc>
          <w:tcPr>
            <w:tcW w:w="5156" w:type="dxa"/>
            <w:tcBorders>
              <w:top w:val="single" w:sz="6" w:space="0" w:color="auto"/>
              <w:left w:val="single" w:sz="4" w:space="0" w:color="auto"/>
              <w:bottom w:val="single" w:sz="6" w:space="0" w:color="auto"/>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258"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 xml:space="preserve"> </w:t>
            </w:r>
          </w:p>
        </w:tc>
        <w:tc>
          <w:tcPr>
            <w:tcW w:w="1988" w:type="dxa"/>
            <w:gridSpan w:val="3"/>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p>
          <w:p w:rsidR="000B4A1E" w:rsidRPr="003E2DBE" w:rsidRDefault="000B4A1E" w:rsidP="00517E51">
            <w:pPr>
              <w:pStyle w:val="TabletextheadingCentred"/>
              <w:rPr>
                <w:rFonts w:eastAsiaTheme="minorEastAsia" w:cs="Calibri"/>
                <w:iCs/>
                <w:szCs w:val="22"/>
                <w:lang w:eastAsia="en-AU"/>
              </w:rPr>
            </w:pPr>
            <w:r w:rsidRPr="003E2DBE">
              <w:rPr>
                <w:rFonts w:eastAsiaTheme="minorEastAsia" w:cs="Calibri"/>
                <w:iCs/>
                <w:szCs w:val="22"/>
                <w:lang w:eastAsia="en-AU"/>
              </w:rPr>
              <w:t>State of Victoria</w:t>
            </w:r>
          </w:p>
        </w:tc>
        <w:tc>
          <w:tcPr>
            <w:tcW w:w="262"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1984" w:type="dxa"/>
            <w:gridSpan w:val="3"/>
            <w:tcBorders>
              <w:top w:val="single" w:sz="6"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lang w:eastAsia="en-AU"/>
              </w:rPr>
            </w:pPr>
            <w:r w:rsidRPr="003E2DBE">
              <w:rPr>
                <w:lang w:eastAsia="en-AU"/>
              </w:rPr>
              <w:t xml:space="preserve">General </w:t>
            </w:r>
          </w:p>
          <w:p w:rsidR="000B4A1E" w:rsidRPr="003E2DBE" w:rsidRDefault="000B4A1E" w:rsidP="00517E51">
            <w:pPr>
              <w:pStyle w:val="TabletextheadingCentred"/>
              <w:rPr>
                <w:rFonts w:eastAsiaTheme="minorEastAsia" w:cs="Calibri"/>
                <w:iCs/>
                <w:szCs w:val="22"/>
                <w:lang w:eastAsia="en-AU"/>
              </w:rPr>
            </w:pPr>
            <w:r w:rsidRPr="003E2DBE">
              <w:rPr>
                <w:rFonts w:eastAsiaTheme="minorEastAsia" w:cs="Calibri"/>
                <w:iCs/>
                <w:szCs w:val="22"/>
                <w:lang w:eastAsia="en-AU"/>
              </w:rPr>
              <w:t>government sector</w:t>
            </w:r>
          </w:p>
        </w:tc>
      </w:tr>
      <w:tr w:rsidR="000B4A1E" w:rsidRPr="003E2DBE" w:rsidTr="00517E51">
        <w:tc>
          <w:tcPr>
            <w:tcW w:w="5156"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
              <w:rPr>
                <w:lang w:eastAsia="en-AU"/>
              </w:rPr>
            </w:pPr>
            <w:r w:rsidRPr="003E2DBE">
              <w:rPr>
                <w:lang w:eastAsia="en-AU"/>
              </w:rPr>
              <w:t xml:space="preserve"> </w:t>
            </w:r>
          </w:p>
        </w:tc>
        <w:tc>
          <w:tcPr>
            <w:tcW w:w="1123" w:type="dxa"/>
            <w:gridSpan w:val="3"/>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2013</w:t>
            </w:r>
          </w:p>
        </w:tc>
        <w:tc>
          <w:tcPr>
            <w:tcW w:w="112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eastAsiaTheme="minorEastAsia" w:cs="Calibri"/>
                <w:iCs/>
                <w:szCs w:val="22"/>
                <w:lang w:eastAsia="en-AU"/>
              </w:rPr>
            </w:pPr>
            <w:r w:rsidRPr="003E2DBE">
              <w:rPr>
                <w:lang w:eastAsia="en-AU"/>
              </w:rPr>
              <w:t>2013</w:t>
            </w:r>
          </w:p>
        </w:tc>
        <w:tc>
          <w:tcPr>
            <w:tcW w:w="1123" w:type="dxa"/>
            <w:gridSpan w:val="2"/>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lang w:eastAsia="en-AU"/>
              </w:rPr>
            </w:pPr>
            <w:r w:rsidRPr="003E2DBE">
              <w:rPr>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 xml:space="preserve">Cultural </w:t>
            </w:r>
            <w:r w:rsidRPr="003E2DBE">
              <w:rPr>
                <w:rFonts w:eastAsiaTheme="minorEastAsia" w:cs="Calibri"/>
                <w:szCs w:val="22"/>
                <w:lang w:eastAsia="en-AU"/>
              </w:rPr>
              <w:t>assets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i/>
                <w:iCs/>
                <w:szCs w:val="22"/>
                <w:lang w:eastAsia="en-AU"/>
              </w:rPr>
            </w:pPr>
            <w:r w:rsidRPr="003E2DBE">
              <w:rPr>
                <w:lang w:eastAsia="en-AU"/>
              </w:rPr>
              <w:t>Accumulated depreciation</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b/>
                <w:bCs/>
                <w:lang w:eastAsia="en-AU"/>
              </w:rPr>
              <w:t>Total cultural</w:t>
            </w:r>
            <w:r w:rsidRPr="003E2DBE">
              <w:rPr>
                <w:rFonts w:eastAsiaTheme="minorEastAsia" w:cs="Calibri"/>
                <w:b/>
                <w:bCs/>
                <w:szCs w:val="22"/>
                <w:lang w:eastAsia="en-AU"/>
              </w:rPr>
              <w:t xml:space="preserve"> assets </w:t>
            </w:r>
          </w:p>
        </w:tc>
        <w:tc>
          <w:tcPr>
            <w:tcW w:w="1123"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i/>
                <w:iCs/>
                <w:szCs w:val="22"/>
                <w:lang w:eastAsia="en-AU"/>
              </w:rPr>
            </w:pPr>
            <w:r w:rsidRPr="003E2DBE">
              <w:rPr>
                <w:b/>
                <w:bCs/>
                <w:lang w:eastAsia="en-AU"/>
              </w:rPr>
              <w:t>..</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b/>
                <w:bCs/>
                <w:lang w:eastAsia="en-AU"/>
              </w:rPr>
              <w:t>..</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b/>
                <w:bCs/>
                <w:lang w:eastAsia="en-AU"/>
              </w:rPr>
              <w:t>..</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b/>
                <w:bCs/>
                <w:lang w:eastAsia="en-AU"/>
              </w:rPr>
              <w:t>..</w:t>
            </w:r>
          </w:p>
        </w:tc>
      </w:tr>
    </w:tbl>
    <w:p w:rsidR="000B4A1E" w:rsidRPr="00D00665" w:rsidRDefault="000B4A1E" w:rsidP="00517E51">
      <w:pPr>
        <w:pStyle w:val="Notes"/>
      </w:pPr>
    </w:p>
    <w:p w:rsidR="000B4A1E" w:rsidRDefault="000B4A1E" w:rsidP="00517E51">
      <w:pPr>
        <w:pStyle w:val="Notes"/>
        <w:rPr>
          <w:rFonts w:ascii="Times New Roman" w:hAnsi="Times New Roman"/>
          <w:i w:val="0"/>
          <w:sz w:val="20"/>
          <w:lang w:eastAsia="en-AU"/>
        </w:rPr>
      </w:pPr>
    </w:p>
    <w:tbl>
      <w:tblPr>
        <w:tblW w:w="0" w:type="auto"/>
        <w:tblInd w:w="29" w:type="dxa"/>
        <w:tblLayout w:type="fixed"/>
        <w:tblCellMar>
          <w:left w:w="43" w:type="dxa"/>
          <w:right w:w="43" w:type="dxa"/>
        </w:tblCellMar>
        <w:tblLook w:val="0000" w:firstRow="0" w:lastRow="0" w:firstColumn="0" w:lastColumn="0" w:noHBand="0" w:noVBand="0"/>
      </w:tblPr>
      <w:tblGrid>
        <w:gridCol w:w="5155"/>
        <w:gridCol w:w="259"/>
        <w:gridCol w:w="270"/>
        <w:gridCol w:w="594"/>
        <w:gridCol w:w="1123"/>
        <w:gridCol w:w="263"/>
        <w:gridCol w:w="860"/>
        <w:gridCol w:w="850"/>
        <w:gridCol w:w="273"/>
      </w:tblGrid>
      <w:tr w:rsidR="000B4A1E" w:rsidRPr="003E2DBE" w:rsidTr="00517E51">
        <w:tc>
          <w:tcPr>
            <w:tcW w:w="5155"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
              <w:rPr>
                <w:lang w:eastAsia="en-AU"/>
              </w:rPr>
            </w:pPr>
            <w:r w:rsidRPr="003E2DBE">
              <w:rPr>
                <w:lang w:eastAsia="en-AU"/>
              </w:rPr>
              <w:t xml:space="preserve"> </w:t>
            </w:r>
          </w:p>
        </w:tc>
        <w:tc>
          <w:tcPr>
            <w:tcW w:w="259"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 xml:space="preserve"> </w:t>
            </w:r>
          </w:p>
        </w:tc>
        <w:tc>
          <w:tcPr>
            <w:tcW w:w="270"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 xml:space="preserve"> </w:t>
            </w:r>
          </w:p>
        </w:tc>
        <w:tc>
          <w:tcPr>
            <w:tcW w:w="3690" w:type="dxa"/>
            <w:gridSpan w:val="5"/>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Centred"/>
              <w:rPr>
                <w:lang w:eastAsia="en-AU"/>
              </w:rPr>
            </w:pPr>
            <w:r w:rsidRPr="003E2DBE">
              <w:rPr>
                <w:lang w:eastAsia="en-AU"/>
              </w:rPr>
              <w:t>Total</w:t>
            </w:r>
          </w:p>
        </w:tc>
        <w:tc>
          <w:tcPr>
            <w:tcW w:w="27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Centred"/>
              <w:rPr>
                <w:lang w:eastAsia="en-AU"/>
              </w:rPr>
            </w:pPr>
            <w:r w:rsidRPr="003E2DBE">
              <w:rPr>
                <w:lang w:eastAsia="en-AU"/>
              </w:rPr>
              <w:t xml:space="preserve"> </w:t>
            </w:r>
          </w:p>
        </w:tc>
      </w:tr>
      <w:tr w:rsidR="000B4A1E" w:rsidRPr="003E2DBE" w:rsidTr="00517E51">
        <w:tc>
          <w:tcPr>
            <w:tcW w:w="5155" w:type="dxa"/>
            <w:tcBorders>
              <w:top w:val="single" w:sz="6" w:space="0" w:color="auto"/>
              <w:left w:val="nil"/>
              <w:bottom w:val="nil"/>
              <w:right w:val="nil"/>
            </w:tcBorders>
            <w:shd w:val="solid" w:color="000000" w:fill="auto"/>
          </w:tcPr>
          <w:p w:rsidR="000B4A1E" w:rsidRPr="003E2DBE" w:rsidRDefault="000B4A1E" w:rsidP="00517E51">
            <w:pPr>
              <w:pStyle w:val="Tabletext"/>
              <w:rPr>
                <w:lang w:eastAsia="en-AU"/>
              </w:rPr>
            </w:pPr>
            <w:r w:rsidRPr="003E2DBE">
              <w:rPr>
                <w:lang w:eastAsia="en-AU"/>
              </w:rPr>
              <w:t xml:space="preserve"> </w:t>
            </w:r>
          </w:p>
        </w:tc>
        <w:tc>
          <w:tcPr>
            <w:tcW w:w="259" w:type="dxa"/>
            <w:tcBorders>
              <w:top w:val="single" w:sz="6" w:space="0" w:color="auto"/>
              <w:left w:val="nil"/>
              <w:bottom w:val="nil"/>
              <w:right w:val="nil"/>
            </w:tcBorders>
            <w:shd w:val="solid" w:color="000000" w:fill="auto"/>
          </w:tcPr>
          <w:p w:rsidR="000B4A1E" w:rsidRPr="003E2DBE" w:rsidRDefault="000B4A1E" w:rsidP="00517E51">
            <w:pPr>
              <w:pStyle w:val="Tabletextheading"/>
              <w:rPr>
                <w:lang w:eastAsia="en-AU"/>
              </w:rPr>
            </w:pPr>
            <w:r w:rsidRPr="003E2DBE">
              <w:rPr>
                <w:lang w:eastAsia="en-AU"/>
              </w:rPr>
              <w:t xml:space="preserve"> </w:t>
            </w:r>
          </w:p>
        </w:tc>
        <w:tc>
          <w:tcPr>
            <w:tcW w:w="1987"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lang w:eastAsia="en-AU"/>
              </w:rPr>
            </w:pPr>
          </w:p>
          <w:p w:rsidR="000B4A1E" w:rsidRPr="003E2DBE" w:rsidRDefault="000B4A1E" w:rsidP="00517E51">
            <w:pPr>
              <w:pStyle w:val="TabletextheadingCentred"/>
              <w:rPr>
                <w:rFonts w:eastAsiaTheme="minorEastAsia" w:cs="Calibri"/>
                <w:iCs/>
                <w:szCs w:val="22"/>
                <w:lang w:eastAsia="en-AU"/>
              </w:rPr>
            </w:pPr>
            <w:r w:rsidRPr="003E2DBE">
              <w:rPr>
                <w:rFonts w:eastAsiaTheme="minorEastAsia" w:cs="Calibri"/>
                <w:iCs/>
                <w:szCs w:val="22"/>
                <w:lang w:eastAsia="en-AU"/>
              </w:rPr>
              <w:t>State of Victoria</w:t>
            </w:r>
          </w:p>
        </w:tc>
        <w:tc>
          <w:tcPr>
            <w:tcW w:w="263"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lang w:eastAsia="en-AU"/>
              </w:rPr>
            </w:pPr>
            <w:r w:rsidRPr="003E2DBE">
              <w:rPr>
                <w:lang w:eastAsia="en-AU"/>
              </w:rPr>
              <w:t xml:space="preserve"> </w:t>
            </w:r>
          </w:p>
        </w:tc>
        <w:tc>
          <w:tcPr>
            <w:tcW w:w="1983"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Centred"/>
              <w:rPr>
                <w:rFonts w:eastAsiaTheme="minorEastAsia" w:cs="Calibri"/>
                <w:iCs/>
                <w:szCs w:val="22"/>
                <w:lang w:eastAsia="en-AU"/>
              </w:rPr>
            </w:pPr>
            <w:r w:rsidRPr="003E2DBE">
              <w:rPr>
                <w:lang w:eastAsia="en-AU"/>
              </w:rPr>
              <w:t xml:space="preserve">General </w:t>
            </w:r>
          </w:p>
          <w:p w:rsidR="000B4A1E" w:rsidRPr="003E2DBE" w:rsidRDefault="000B4A1E" w:rsidP="00517E51">
            <w:pPr>
              <w:autoSpaceDE w:val="0"/>
              <w:autoSpaceDN w:val="0"/>
              <w:adjustRightInd w:val="0"/>
              <w:spacing w:after="0"/>
              <w:rPr>
                <w:rFonts w:ascii="Calibri" w:eastAsiaTheme="minorEastAsia" w:hAnsi="Calibri" w:cs="Calibri"/>
                <w:i/>
                <w:iCs/>
                <w:sz w:val="22"/>
                <w:szCs w:val="22"/>
                <w:lang w:eastAsia="en-AU"/>
              </w:rPr>
            </w:pPr>
            <w:r w:rsidRPr="003E2DBE">
              <w:rPr>
                <w:rFonts w:ascii="Calibri" w:eastAsiaTheme="minorEastAsia" w:hAnsi="Calibri" w:cs="Calibri"/>
                <w:i/>
                <w:iCs/>
                <w:sz w:val="22"/>
                <w:szCs w:val="22"/>
                <w:lang w:eastAsia="en-AU"/>
              </w:rPr>
              <w:t>government sector</w:t>
            </w:r>
          </w:p>
        </w:tc>
      </w:tr>
      <w:tr w:rsidR="000B4A1E" w:rsidRPr="003E2DBE" w:rsidTr="00517E51">
        <w:tc>
          <w:tcPr>
            <w:tcW w:w="5155" w:type="dxa"/>
            <w:tcBorders>
              <w:top w:val="nil"/>
              <w:left w:val="nil"/>
              <w:bottom w:val="single" w:sz="6" w:space="0" w:color="auto"/>
              <w:right w:val="nil"/>
            </w:tcBorders>
            <w:shd w:val="solid" w:color="000000" w:fill="auto"/>
          </w:tcPr>
          <w:p w:rsidR="000B4A1E" w:rsidRPr="003E2DBE" w:rsidRDefault="000B4A1E" w:rsidP="00517E51">
            <w:pPr>
              <w:pStyle w:val="Tabletext"/>
              <w:rPr>
                <w:lang w:eastAsia="en-AU"/>
              </w:rPr>
            </w:pPr>
            <w:r w:rsidRPr="003E2DBE">
              <w:rPr>
                <w:lang w:eastAsia="en-AU"/>
              </w:rPr>
              <w:t xml:space="preserve"> </w:t>
            </w:r>
          </w:p>
        </w:tc>
        <w:tc>
          <w:tcPr>
            <w:tcW w:w="1123" w:type="dxa"/>
            <w:gridSpan w:val="3"/>
            <w:tcBorders>
              <w:top w:val="nil"/>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rFonts w:eastAsiaTheme="minorEastAsia" w:cs="Calibri"/>
                <w:iCs/>
                <w:szCs w:val="22"/>
                <w:lang w:eastAsia="en-AU"/>
              </w:rPr>
            </w:pPr>
            <w:r w:rsidRPr="003E2DBE">
              <w:rPr>
                <w:lang w:eastAsia="en-AU"/>
              </w:rPr>
              <w:t>2013</w:t>
            </w:r>
          </w:p>
        </w:tc>
        <w:tc>
          <w:tcPr>
            <w:tcW w:w="1123"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2012</w:t>
            </w:r>
          </w:p>
        </w:tc>
      </w:tr>
      <w:tr w:rsidR="000B4A1E" w:rsidRPr="003E2DBE" w:rsidTr="00517E51">
        <w:tc>
          <w:tcPr>
            <w:tcW w:w="5155"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 xml:space="preserve">Cultural </w:t>
            </w:r>
            <w:r w:rsidRPr="003E2DBE">
              <w:rPr>
                <w:rFonts w:eastAsiaTheme="minorEastAsia" w:cs="Calibri"/>
                <w:szCs w:val="22"/>
                <w:lang w:eastAsia="en-AU"/>
              </w:rPr>
              <w:t>assets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5 </w:t>
            </w:r>
            <w:r w:rsidRPr="003E2DBE">
              <w:rPr>
                <w:rFonts w:eastAsiaTheme="minorEastAsia" w:cs="Calibri"/>
                <w:szCs w:val="22"/>
                <w:lang w:eastAsia="en-AU"/>
              </w:rPr>
              <w:t>625.2</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5 </w:t>
            </w:r>
            <w:r w:rsidRPr="003E2DBE">
              <w:rPr>
                <w:rFonts w:eastAsiaTheme="minorEastAsia" w:cs="Calibri"/>
                <w:szCs w:val="22"/>
                <w:lang w:eastAsia="en-AU"/>
              </w:rPr>
              <w:t>616.7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5 </w:t>
            </w:r>
            <w:r w:rsidRPr="003E2DBE">
              <w:rPr>
                <w:rFonts w:eastAsiaTheme="minorEastAsia" w:cs="Calibri"/>
                <w:szCs w:val="22"/>
                <w:lang w:eastAsia="en-AU"/>
              </w:rPr>
              <w:t>569.8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5 </w:t>
            </w:r>
            <w:r w:rsidRPr="003E2DBE">
              <w:rPr>
                <w:rFonts w:eastAsiaTheme="minorEastAsia" w:cs="Calibri"/>
                <w:szCs w:val="22"/>
                <w:lang w:eastAsia="en-AU"/>
              </w:rPr>
              <w:t>561.6</w:t>
            </w:r>
          </w:p>
        </w:tc>
      </w:tr>
      <w:tr w:rsidR="000B4A1E" w:rsidRPr="003E2DBE" w:rsidTr="00517E51">
        <w:tc>
          <w:tcPr>
            <w:tcW w:w="5155"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Accumulated depreciation</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111.1)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103.6)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111.1)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103.6)</w:t>
            </w:r>
          </w:p>
        </w:tc>
      </w:tr>
      <w:tr w:rsidR="000B4A1E" w:rsidRPr="003E2DBE" w:rsidTr="00517E51">
        <w:tc>
          <w:tcPr>
            <w:tcW w:w="5155"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b/>
                <w:bCs/>
                <w:lang w:eastAsia="en-AU"/>
              </w:rPr>
              <w:t>Total cultural assets</w:t>
            </w:r>
            <w:r w:rsidRPr="003E2DBE">
              <w:rPr>
                <w:rFonts w:eastAsiaTheme="minorEastAsia" w:cs="Calibri"/>
                <w:b/>
                <w:bCs/>
                <w:szCs w:val="22"/>
                <w:lang w:eastAsia="en-AU"/>
              </w:rPr>
              <w:t xml:space="preserve"> </w:t>
            </w:r>
          </w:p>
        </w:tc>
        <w:tc>
          <w:tcPr>
            <w:tcW w:w="1123"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iCs/>
                <w:szCs w:val="22"/>
                <w:lang w:eastAsia="en-AU"/>
              </w:rPr>
            </w:pPr>
            <w:r w:rsidRPr="003E2DBE">
              <w:rPr>
                <w:b/>
                <w:bCs/>
                <w:lang w:eastAsia="en-AU"/>
              </w:rPr>
              <w:t xml:space="preserve">5 </w:t>
            </w:r>
            <w:r w:rsidRPr="003E2DBE">
              <w:rPr>
                <w:rFonts w:eastAsiaTheme="minorEastAsia" w:cs="Calibri"/>
                <w:b/>
                <w:iCs/>
                <w:szCs w:val="22"/>
                <w:lang w:eastAsia="en-AU"/>
              </w:rPr>
              <w:t>514.1</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szCs w:val="22"/>
                <w:lang w:eastAsia="en-AU"/>
              </w:rPr>
            </w:pPr>
            <w:r w:rsidRPr="003E2DBE">
              <w:rPr>
                <w:b/>
                <w:bCs/>
                <w:lang w:eastAsia="en-AU"/>
              </w:rPr>
              <w:t xml:space="preserve">5 </w:t>
            </w:r>
            <w:r w:rsidRPr="003E2DBE">
              <w:rPr>
                <w:rFonts w:eastAsiaTheme="minorEastAsia" w:cs="Calibri"/>
                <w:b/>
                <w:szCs w:val="22"/>
                <w:lang w:eastAsia="en-AU"/>
              </w:rPr>
              <w:t>513.1</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szCs w:val="22"/>
                <w:lang w:eastAsia="en-AU"/>
              </w:rPr>
            </w:pPr>
            <w:r w:rsidRPr="003E2DBE">
              <w:rPr>
                <w:b/>
                <w:bCs/>
                <w:lang w:eastAsia="en-AU"/>
              </w:rPr>
              <w:t xml:space="preserve">5 </w:t>
            </w:r>
            <w:r w:rsidRPr="003E2DBE">
              <w:rPr>
                <w:rFonts w:eastAsiaTheme="minorEastAsia" w:cs="Calibri"/>
                <w:b/>
                <w:szCs w:val="22"/>
                <w:lang w:eastAsia="en-AU"/>
              </w:rPr>
              <w:t>458.7</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szCs w:val="22"/>
                <w:lang w:eastAsia="en-AU"/>
              </w:rPr>
            </w:pPr>
            <w:r w:rsidRPr="003E2DBE">
              <w:rPr>
                <w:b/>
                <w:bCs/>
                <w:lang w:eastAsia="en-AU"/>
              </w:rPr>
              <w:t xml:space="preserve">5 </w:t>
            </w:r>
            <w:r w:rsidRPr="003E2DBE">
              <w:rPr>
                <w:rFonts w:eastAsiaTheme="minorEastAsia" w:cs="Calibri"/>
                <w:b/>
                <w:szCs w:val="22"/>
                <w:lang w:eastAsia="en-AU"/>
              </w:rPr>
              <w:t>458.1</w:t>
            </w:r>
          </w:p>
        </w:tc>
      </w:tr>
    </w:tbl>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Pr>
        <w:pStyle w:val="Heading2NotesContd"/>
      </w:pPr>
      <w:r w:rsidRPr="00D00665">
        <w:br w:type="page"/>
      </w:r>
    </w:p>
    <w:p w:rsidR="000B4A1E" w:rsidRPr="00D00665" w:rsidRDefault="000B4A1E" w:rsidP="00517E51">
      <w:pPr>
        <w:pStyle w:val="Heading5"/>
      </w:pPr>
    </w:p>
    <w:p w:rsidR="000B4A1E" w:rsidRPr="00D00665" w:rsidRDefault="000B4A1E" w:rsidP="00517E51">
      <w:pPr>
        <w:spacing w:before="360"/>
      </w:pPr>
    </w:p>
    <w:p w:rsidR="000B4A1E" w:rsidRPr="003E2DBE" w:rsidRDefault="000B4A1E" w:rsidP="00517E51">
      <w:pPr>
        <w:pStyle w:val="million"/>
        <w:rPr>
          <w:rFonts w:ascii="Times New Roman" w:hAnsi="Times New Roman"/>
          <w:i w:val="0"/>
          <w:szCs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284"/>
        <w:gridCol w:w="270"/>
        <w:gridCol w:w="655"/>
        <w:gridCol w:w="1210"/>
        <w:gridCol w:w="236"/>
        <w:gridCol w:w="973"/>
        <w:gridCol w:w="974"/>
        <w:gridCol w:w="236"/>
        <w:gridCol w:w="236"/>
        <w:gridCol w:w="250"/>
        <w:gridCol w:w="723"/>
        <w:gridCol w:w="1210"/>
        <w:gridCol w:w="236"/>
        <w:gridCol w:w="973"/>
        <w:gridCol w:w="974"/>
        <w:gridCol w:w="236"/>
      </w:tblGrid>
      <w:tr w:rsidR="000B4A1E" w:rsidRPr="003E2DBE" w:rsidTr="00517E51">
        <w:tc>
          <w:tcPr>
            <w:tcW w:w="284" w:type="dxa"/>
            <w:tcBorders>
              <w:top w:val="single" w:sz="4" w:space="0" w:color="auto"/>
              <w:left w:val="single" w:sz="4" w:space="0" w:color="auto"/>
              <w:bottom w:val="single" w:sz="6" w:space="0" w:color="auto"/>
              <w:right w:val="single" w:sz="6" w:space="0" w:color="auto"/>
            </w:tcBorders>
            <w:shd w:val="clear" w:color="auto" w:fill="000000"/>
          </w:tcPr>
          <w:p w:rsidR="000B4A1E" w:rsidRPr="003E2DBE" w:rsidRDefault="000B4A1E" w:rsidP="00517E51">
            <w:pPr>
              <w:pStyle w:val="Tabletextheading"/>
              <w:rPr>
                <w:lang w:eastAsia="en-AU"/>
              </w:rPr>
            </w:pPr>
            <w:r w:rsidRPr="003E2DBE">
              <w:rPr>
                <w:lang w:eastAsia="en-AU"/>
              </w:rPr>
              <w:t xml:space="preserve"> </w:t>
            </w:r>
          </w:p>
        </w:tc>
        <w:tc>
          <w:tcPr>
            <w:tcW w:w="270" w:type="dxa"/>
            <w:tcBorders>
              <w:top w:val="single" w:sz="6" w:space="0" w:color="auto"/>
              <w:left w:val="single" w:sz="6" w:space="0" w:color="auto"/>
              <w:bottom w:val="single" w:sz="6" w:space="0" w:color="auto"/>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4048" w:type="dxa"/>
            <w:gridSpan w:val="5"/>
            <w:tcBorders>
              <w:top w:val="single" w:sz="6" w:space="0" w:color="auto"/>
              <w:bottom w:val="single" w:sz="6" w:space="0" w:color="auto"/>
            </w:tcBorders>
            <w:shd w:val="clear" w:color="auto" w:fill="000000"/>
          </w:tcPr>
          <w:p w:rsidR="000B4A1E" w:rsidRPr="003E2DBE" w:rsidRDefault="000B4A1E" w:rsidP="00517E51">
            <w:pPr>
              <w:pStyle w:val="TabletextheadingCentred"/>
              <w:rPr>
                <w:lang w:eastAsia="en-AU"/>
              </w:rPr>
            </w:pPr>
            <w:r w:rsidRPr="003E2DBE">
              <w:rPr>
                <w:lang w:eastAsia="en-AU"/>
              </w:rPr>
              <w:t>Education</w:t>
            </w:r>
          </w:p>
        </w:tc>
        <w:tc>
          <w:tcPr>
            <w:tcW w:w="236" w:type="dxa"/>
            <w:tcBorders>
              <w:top w:val="single" w:sz="6" w:space="0" w:color="auto"/>
              <w:bottom w:val="single" w:sz="6" w:space="0" w:color="auto"/>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236" w:type="dxa"/>
            <w:tcBorders>
              <w:top w:val="single" w:sz="6" w:space="0" w:color="auto"/>
              <w:bottom w:val="single" w:sz="6" w:space="0" w:color="auto"/>
            </w:tcBorders>
            <w:shd w:val="clear" w:color="auto" w:fill="000000"/>
          </w:tcPr>
          <w:p w:rsidR="000B4A1E" w:rsidRPr="003E2DBE" w:rsidRDefault="000B4A1E" w:rsidP="00517E51">
            <w:pPr>
              <w:pStyle w:val="TabletextheadingCentred"/>
              <w:rPr>
                <w:rFonts w:cs="Calibri"/>
                <w:iCs/>
                <w:szCs w:val="22"/>
                <w:lang w:eastAsia="en-AU"/>
              </w:rPr>
            </w:pPr>
            <w:r w:rsidRPr="003E2DBE">
              <w:rPr>
                <w:rFonts w:cs="Calibri"/>
                <w:iCs/>
                <w:szCs w:val="22"/>
                <w:lang w:eastAsia="en-AU"/>
              </w:rPr>
              <w:t xml:space="preserve"> </w:t>
            </w:r>
          </w:p>
        </w:tc>
        <w:tc>
          <w:tcPr>
            <w:tcW w:w="250" w:type="dxa"/>
            <w:tcBorders>
              <w:top w:val="single" w:sz="6" w:space="0" w:color="auto"/>
              <w:bottom w:val="single" w:sz="6" w:space="0" w:color="auto"/>
            </w:tcBorders>
            <w:shd w:val="solid" w:color="000000" w:fill="auto"/>
          </w:tcPr>
          <w:p w:rsidR="000B4A1E" w:rsidRPr="003E2DBE" w:rsidRDefault="000B4A1E" w:rsidP="00517E51">
            <w:pPr>
              <w:pStyle w:val="TabletextheadingCentred"/>
              <w:rPr>
                <w:rFonts w:cs="Calibri"/>
                <w:iCs/>
                <w:szCs w:val="22"/>
                <w:lang w:eastAsia="en-AU"/>
              </w:rPr>
            </w:pPr>
            <w:r w:rsidRPr="003E2DBE">
              <w:rPr>
                <w:rFonts w:cs="Calibri"/>
                <w:iCs/>
                <w:szCs w:val="22"/>
                <w:lang w:eastAsia="en-AU"/>
              </w:rPr>
              <w:t xml:space="preserve"> </w:t>
            </w:r>
          </w:p>
        </w:tc>
        <w:tc>
          <w:tcPr>
            <w:tcW w:w="4116" w:type="dxa"/>
            <w:gridSpan w:val="5"/>
            <w:tcBorders>
              <w:top w:val="single" w:sz="6" w:space="0" w:color="auto"/>
              <w:bottom w:val="single" w:sz="6" w:space="0" w:color="auto"/>
            </w:tcBorders>
            <w:shd w:val="solid" w:color="000000" w:fill="auto"/>
          </w:tcPr>
          <w:p w:rsidR="000B4A1E" w:rsidRPr="003E2DBE" w:rsidRDefault="000B4A1E" w:rsidP="00517E51">
            <w:pPr>
              <w:pStyle w:val="TabletextheadingCentred"/>
              <w:rPr>
                <w:rFonts w:eastAsiaTheme="minorEastAsia" w:cs="Calibri"/>
                <w:iCs/>
                <w:szCs w:val="22"/>
                <w:lang w:eastAsia="en-AU"/>
              </w:rPr>
            </w:pPr>
            <w:r w:rsidRPr="003E2DBE">
              <w:rPr>
                <w:rFonts w:cs="Calibri"/>
                <w:iCs/>
                <w:szCs w:val="22"/>
                <w:lang w:eastAsia="en-AU"/>
              </w:rPr>
              <w:t xml:space="preserve"> Health</w:t>
            </w:r>
            <w:r w:rsidRPr="003E2DBE">
              <w:rPr>
                <w:rFonts w:eastAsiaTheme="minorEastAsia" w:cs="Calibri"/>
                <w:iCs/>
                <w:szCs w:val="22"/>
                <w:lang w:eastAsia="en-AU"/>
              </w:rPr>
              <w:t xml:space="preserve"> and Welfare</w:t>
            </w:r>
          </w:p>
        </w:tc>
        <w:tc>
          <w:tcPr>
            <w:tcW w:w="236" w:type="dxa"/>
            <w:tcBorders>
              <w:top w:val="single" w:sz="6" w:space="0" w:color="auto"/>
              <w:bottom w:val="single" w:sz="6" w:space="0" w:color="auto"/>
              <w:right w:val="single" w:sz="6" w:space="0" w:color="auto"/>
            </w:tcBorders>
            <w:shd w:val="solid" w:color="000000" w:fill="auto"/>
          </w:tcPr>
          <w:p w:rsidR="000B4A1E" w:rsidRPr="003E2DBE" w:rsidRDefault="000B4A1E" w:rsidP="00517E51">
            <w:pPr>
              <w:pStyle w:val="TabletextheadingCentred"/>
              <w:rPr>
                <w:rFonts w:cs="Calibri"/>
                <w:iCs/>
                <w:szCs w:val="22"/>
                <w:lang w:eastAsia="en-AU"/>
              </w:rPr>
            </w:pPr>
            <w:r w:rsidRPr="003E2DBE">
              <w:rPr>
                <w:rFonts w:cs="Calibri"/>
                <w:iCs/>
                <w:szCs w:val="22"/>
                <w:lang w:eastAsia="en-AU"/>
              </w:rPr>
              <w:t xml:space="preserve"> </w:t>
            </w:r>
          </w:p>
        </w:tc>
      </w:tr>
      <w:tr w:rsidR="000B4A1E" w:rsidRPr="003E2DBE" w:rsidTr="00517E51">
        <w:tc>
          <w:tcPr>
            <w:tcW w:w="284" w:type="dxa"/>
            <w:tcBorders>
              <w:top w:val="single" w:sz="6" w:space="0" w:color="auto"/>
              <w:left w:val="single" w:sz="6" w:space="0" w:color="auto"/>
              <w:bottom w:val="nil"/>
            </w:tcBorders>
            <w:shd w:val="solid" w:color="000000" w:fill="auto"/>
          </w:tcPr>
          <w:p w:rsidR="000B4A1E" w:rsidRPr="003E2DBE" w:rsidRDefault="000B4A1E" w:rsidP="00517E51">
            <w:pPr>
              <w:pStyle w:val="Tabletextheading"/>
              <w:rPr>
                <w:lang w:eastAsia="en-AU"/>
              </w:rPr>
            </w:pPr>
            <w:r w:rsidRPr="003E2DBE">
              <w:rPr>
                <w:lang w:eastAsia="en-AU"/>
              </w:rPr>
              <w:t xml:space="preserve"> </w:t>
            </w:r>
          </w:p>
        </w:tc>
        <w:tc>
          <w:tcPr>
            <w:tcW w:w="2135" w:type="dxa"/>
            <w:gridSpan w:val="3"/>
            <w:tcBorders>
              <w:top w:val="single" w:sz="6" w:space="0" w:color="auto"/>
              <w:bottom w:val="nil"/>
            </w:tcBorders>
            <w:shd w:val="solid" w:color="000000" w:fill="auto"/>
          </w:tcPr>
          <w:p w:rsidR="000B4A1E" w:rsidRPr="003E2DBE" w:rsidRDefault="000B4A1E" w:rsidP="00517E51">
            <w:pPr>
              <w:pStyle w:val="TabletextheadingCentred"/>
              <w:rPr>
                <w:lang w:eastAsia="en-AU"/>
              </w:rPr>
            </w:pPr>
          </w:p>
          <w:p w:rsidR="000B4A1E" w:rsidRPr="003E2DBE" w:rsidRDefault="000B4A1E" w:rsidP="00517E51">
            <w:pPr>
              <w:pStyle w:val="TabletextheadingCentred"/>
              <w:rPr>
                <w:rFonts w:eastAsiaTheme="minorEastAsia" w:cs="Calibri"/>
                <w:iCs/>
                <w:szCs w:val="22"/>
                <w:lang w:eastAsia="en-AU"/>
              </w:rPr>
            </w:pPr>
            <w:r w:rsidRPr="003E2DBE">
              <w:rPr>
                <w:rFonts w:eastAsiaTheme="minorEastAsia" w:cs="Calibri"/>
                <w:iCs/>
                <w:szCs w:val="22"/>
                <w:lang w:eastAsia="en-AU"/>
              </w:rPr>
              <w:t>State of Victoria</w:t>
            </w:r>
          </w:p>
        </w:tc>
        <w:tc>
          <w:tcPr>
            <w:tcW w:w="236" w:type="dxa"/>
            <w:tcBorders>
              <w:top w:val="single" w:sz="6" w:space="0" w:color="auto"/>
              <w:bottom w:val="nil"/>
            </w:tcBorders>
            <w:shd w:val="solid" w:color="000000" w:fill="auto"/>
          </w:tcPr>
          <w:p w:rsidR="000B4A1E" w:rsidRPr="003E2DBE" w:rsidRDefault="000B4A1E" w:rsidP="00517E51">
            <w:pPr>
              <w:pStyle w:val="TabletextheadingCentred"/>
              <w:rPr>
                <w:lang w:eastAsia="en-AU"/>
              </w:rPr>
            </w:pPr>
            <w:r w:rsidRPr="003E2DBE">
              <w:rPr>
                <w:lang w:eastAsia="en-AU"/>
              </w:rPr>
              <w:t xml:space="preserve"> </w:t>
            </w:r>
          </w:p>
        </w:tc>
        <w:tc>
          <w:tcPr>
            <w:tcW w:w="2183" w:type="dxa"/>
            <w:gridSpan w:val="3"/>
            <w:tcBorders>
              <w:top w:val="single" w:sz="6" w:space="0" w:color="auto"/>
              <w:bottom w:val="nil"/>
            </w:tcBorders>
            <w:shd w:val="solid" w:color="000000" w:fill="auto"/>
          </w:tcPr>
          <w:p w:rsidR="000B4A1E" w:rsidRPr="003E2DBE" w:rsidRDefault="000B4A1E" w:rsidP="00517E51">
            <w:pPr>
              <w:pStyle w:val="TabletextheadingCentred"/>
              <w:rPr>
                <w:rFonts w:eastAsiaTheme="minorEastAsia" w:cs="Calibri"/>
                <w:iCs/>
                <w:szCs w:val="22"/>
                <w:lang w:eastAsia="en-AU"/>
              </w:rPr>
            </w:pPr>
            <w:r w:rsidRPr="003E2DBE">
              <w:rPr>
                <w:lang w:eastAsia="en-AU"/>
              </w:rPr>
              <w:t xml:space="preserve">General </w:t>
            </w:r>
          </w:p>
          <w:p w:rsidR="000B4A1E" w:rsidRPr="003E2DBE" w:rsidRDefault="000B4A1E" w:rsidP="00517E51">
            <w:pPr>
              <w:autoSpaceDE w:val="0"/>
              <w:autoSpaceDN w:val="0"/>
              <w:adjustRightInd w:val="0"/>
              <w:spacing w:after="0"/>
              <w:rPr>
                <w:rFonts w:ascii="Calibri" w:eastAsiaTheme="minorEastAsia" w:hAnsi="Calibri" w:cs="Calibri"/>
                <w:i/>
                <w:iCs/>
                <w:sz w:val="22"/>
                <w:szCs w:val="22"/>
                <w:lang w:eastAsia="en-AU"/>
              </w:rPr>
            </w:pPr>
            <w:r w:rsidRPr="003E2DBE">
              <w:rPr>
                <w:rFonts w:ascii="Calibri" w:eastAsiaTheme="minorEastAsia" w:hAnsi="Calibri" w:cs="Calibri"/>
                <w:i/>
                <w:iCs/>
                <w:sz w:val="22"/>
                <w:szCs w:val="22"/>
                <w:lang w:eastAsia="en-AU"/>
              </w:rPr>
              <w:t>government sector</w:t>
            </w:r>
          </w:p>
        </w:tc>
        <w:tc>
          <w:tcPr>
            <w:tcW w:w="236" w:type="dxa"/>
            <w:tcBorders>
              <w:top w:val="single" w:sz="6" w:space="0" w:color="auto"/>
              <w:bottom w:val="nil"/>
            </w:tcBorders>
            <w:shd w:val="solid" w:color="000000" w:fill="auto"/>
          </w:tcPr>
          <w:p w:rsidR="000B4A1E" w:rsidRPr="003E2DBE" w:rsidRDefault="000B4A1E" w:rsidP="00517E51">
            <w:pPr>
              <w:pStyle w:val="TabletextheadingCentred"/>
              <w:rPr>
                <w:rFonts w:cs="Calibri"/>
                <w:szCs w:val="22"/>
                <w:lang w:eastAsia="en-AU"/>
              </w:rPr>
            </w:pPr>
            <w:r w:rsidRPr="003E2DBE">
              <w:rPr>
                <w:rFonts w:cs="Calibri"/>
                <w:szCs w:val="22"/>
                <w:lang w:eastAsia="en-AU"/>
              </w:rPr>
              <w:t xml:space="preserve"> </w:t>
            </w:r>
          </w:p>
        </w:tc>
        <w:tc>
          <w:tcPr>
            <w:tcW w:w="2183" w:type="dxa"/>
            <w:gridSpan w:val="3"/>
            <w:tcBorders>
              <w:top w:val="single" w:sz="6" w:space="0" w:color="auto"/>
              <w:bottom w:val="nil"/>
            </w:tcBorders>
            <w:shd w:val="solid" w:color="000000" w:fill="auto"/>
          </w:tcPr>
          <w:p w:rsidR="000B4A1E" w:rsidRPr="003E2DBE" w:rsidRDefault="000B4A1E" w:rsidP="00517E51">
            <w:pPr>
              <w:pStyle w:val="TabletextheadingCentred"/>
              <w:rPr>
                <w:rFonts w:cs="Calibri"/>
                <w:iCs/>
                <w:szCs w:val="22"/>
                <w:lang w:eastAsia="en-AU"/>
              </w:rPr>
            </w:pPr>
          </w:p>
          <w:p w:rsidR="000B4A1E" w:rsidRPr="003E2DBE" w:rsidRDefault="000B4A1E" w:rsidP="00517E51">
            <w:pPr>
              <w:pStyle w:val="TabletextheadingCentred"/>
              <w:rPr>
                <w:rFonts w:eastAsiaTheme="minorEastAsia" w:cs="Calibri"/>
                <w:iCs/>
                <w:szCs w:val="22"/>
                <w:lang w:eastAsia="en-AU"/>
              </w:rPr>
            </w:pPr>
            <w:r w:rsidRPr="003E2DBE">
              <w:rPr>
                <w:rFonts w:eastAsiaTheme="minorEastAsia" w:cs="Calibri"/>
                <w:iCs/>
                <w:szCs w:val="22"/>
                <w:lang w:eastAsia="en-AU"/>
              </w:rPr>
              <w:t>State of Victoria</w:t>
            </w:r>
          </w:p>
        </w:tc>
        <w:tc>
          <w:tcPr>
            <w:tcW w:w="236" w:type="dxa"/>
            <w:tcBorders>
              <w:top w:val="single" w:sz="6" w:space="0" w:color="auto"/>
              <w:bottom w:val="nil"/>
            </w:tcBorders>
            <w:shd w:val="solid" w:color="000000" w:fill="auto"/>
          </w:tcPr>
          <w:p w:rsidR="000B4A1E" w:rsidRPr="003E2DBE" w:rsidRDefault="000B4A1E" w:rsidP="00517E51">
            <w:pPr>
              <w:pStyle w:val="TabletextheadingCentred"/>
              <w:rPr>
                <w:rFonts w:cs="Calibri"/>
                <w:iCs/>
                <w:szCs w:val="22"/>
                <w:lang w:eastAsia="en-AU"/>
              </w:rPr>
            </w:pPr>
            <w:r w:rsidRPr="003E2DBE">
              <w:rPr>
                <w:rFonts w:cs="Calibri"/>
                <w:iCs/>
                <w:szCs w:val="22"/>
                <w:lang w:eastAsia="en-AU"/>
              </w:rPr>
              <w:t xml:space="preserve"> </w:t>
            </w:r>
          </w:p>
        </w:tc>
        <w:tc>
          <w:tcPr>
            <w:tcW w:w="2183" w:type="dxa"/>
            <w:gridSpan w:val="3"/>
            <w:tcBorders>
              <w:top w:val="single" w:sz="6" w:space="0" w:color="auto"/>
              <w:bottom w:val="nil"/>
              <w:right w:val="single" w:sz="6" w:space="0" w:color="auto"/>
            </w:tcBorders>
            <w:shd w:val="solid" w:color="000000" w:fill="auto"/>
          </w:tcPr>
          <w:p w:rsidR="000B4A1E" w:rsidRPr="003E2DBE" w:rsidRDefault="000B4A1E" w:rsidP="00517E51">
            <w:pPr>
              <w:pStyle w:val="TabletextheadingCentred"/>
              <w:rPr>
                <w:rFonts w:cs="Calibri"/>
                <w:iCs/>
                <w:szCs w:val="22"/>
                <w:lang w:eastAsia="en-AU"/>
              </w:rPr>
            </w:pPr>
            <w:r w:rsidRPr="003E2DBE">
              <w:rPr>
                <w:rFonts w:cs="Calibri"/>
                <w:iCs/>
                <w:szCs w:val="22"/>
                <w:lang w:eastAsia="en-AU"/>
              </w:rPr>
              <w:t xml:space="preserve">General </w:t>
            </w:r>
          </w:p>
          <w:p w:rsidR="000B4A1E" w:rsidRPr="003E2DBE" w:rsidRDefault="000B4A1E" w:rsidP="00517E51">
            <w:pPr>
              <w:pStyle w:val="TabletextheadingCentred"/>
              <w:rPr>
                <w:rFonts w:eastAsiaTheme="minorEastAsia" w:cs="Calibri"/>
                <w:iCs/>
                <w:szCs w:val="22"/>
                <w:lang w:eastAsia="en-AU"/>
              </w:rPr>
            </w:pPr>
            <w:r w:rsidRPr="003E2DBE">
              <w:rPr>
                <w:rFonts w:eastAsiaTheme="minorEastAsia" w:cs="Calibri"/>
                <w:iCs/>
                <w:szCs w:val="22"/>
                <w:lang w:eastAsia="en-AU"/>
              </w:rPr>
              <w:t>government sector</w:t>
            </w:r>
          </w:p>
        </w:tc>
      </w:tr>
      <w:tr w:rsidR="000B4A1E" w:rsidRPr="003E2DBE" w:rsidTr="00517E51">
        <w:tc>
          <w:tcPr>
            <w:tcW w:w="1209" w:type="dxa"/>
            <w:gridSpan w:val="3"/>
            <w:tcBorders>
              <w:top w:val="nil"/>
              <w:left w:val="single" w:sz="6" w:space="0" w:color="auto"/>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2012</w:t>
            </w:r>
          </w:p>
        </w:tc>
        <w:tc>
          <w:tcPr>
            <w:tcW w:w="1209"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rFonts w:eastAsiaTheme="minorEastAsia" w:cs="Calibri"/>
                <w:iCs/>
                <w:szCs w:val="22"/>
                <w:lang w:eastAsia="en-AU"/>
              </w:rPr>
            </w:pPr>
            <w:r w:rsidRPr="003E2DBE">
              <w:rPr>
                <w:lang w:eastAsia="en-AU"/>
              </w:rPr>
              <w:t>2013</w:t>
            </w:r>
          </w:p>
        </w:tc>
        <w:tc>
          <w:tcPr>
            <w:tcW w:w="1210"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2012</w:t>
            </w:r>
          </w:p>
        </w:tc>
        <w:tc>
          <w:tcPr>
            <w:tcW w:w="1209" w:type="dxa"/>
            <w:gridSpan w:val="3"/>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2013</w:t>
            </w:r>
          </w:p>
        </w:tc>
        <w:tc>
          <w:tcPr>
            <w:tcW w:w="1210" w:type="dxa"/>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2012</w:t>
            </w:r>
          </w:p>
        </w:tc>
        <w:tc>
          <w:tcPr>
            <w:tcW w:w="1209" w:type="dxa"/>
            <w:gridSpan w:val="2"/>
            <w:tcBorders>
              <w:top w:val="nil"/>
              <w:left w:val="nil"/>
              <w:bottom w:val="single" w:sz="6" w:space="0" w:color="auto"/>
              <w:right w:val="single" w:sz="6" w:space="0" w:color="auto"/>
            </w:tcBorders>
            <w:shd w:val="solid" w:color="000000" w:fill="auto"/>
          </w:tcPr>
          <w:p w:rsidR="000B4A1E" w:rsidRPr="003E2DBE" w:rsidRDefault="000B4A1E" w:rsidP="00517E51">
            <w:pPr>
              <w:pStyle w:val="Tabletextheading"/>
              <w:rPr>
                <w:rFonts w:eastAsiaTheme="minorEastAsia" w:cs="Calibri"/>
                <w:iCs/>
                <w:szCs w:val="22"/>
                <w:lang w:eastAsia="en-AU"/>
              </w:rPr>
            </w:pPr>
            <w:r w:rsidRPr="003E2DBE">
              <w:rPr>
                <w:rFonts w:cs="Calibri"/>
                <w:iCs/>
                <w:szCs w:val="22"/>
                <w:lang w:eastAsia="en-AU"/>
              </w:rPr>
              <w:t>2013</w:t>
            </w:r>
          </w:p>
        </w:tc>
        <w:tc>
          <w:tcPr>
            <w:tcW w:w="1210" w:type="dxa"/>
            <w:gridSpan w:val="2"/>
            <w:tcBorders>
              <w:top w:val="nil"/>
              <w:left w:val="single" w:sz="6" w:space="0" w:color="auto"/>
              <w:bottom w:val="single" w:sz="6" w:space="0" w:color="auto"/>
              <w:right w:val="single" w:sz="6" w:space="0" w:color="auto"/>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2012</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31.9</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44.3</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31.9</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44.3</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5.5</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5.2</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5.5</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5.2</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22.4)</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29.0)</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22.4)</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29.0)</w:t>
            </w:r>
          </w:p>
        </w:tc>
        <w:tc>
          <w:tcPr>
            <w:tcW w:w="1209"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w:t>
            </w:r>
          </w:p>
        </w:tc>
        <w:tc>
          <w:tcPr>
            <w:tcW w:w="1210"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w:t>
            </w:r>
          </w:p>
        </w:tc>
      </w:tr>
      <w:tr w:rsidR="000B4A1E" w:rsidRPr="003E2DBE" w:rsidTr="00517E51">
        <w:tc>
          <w:tcPr>
            <w:tcW w:w="1209"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b/>
                <w:bCs/>
                <w:lang w:eastAsia="en-AU"/>
              </w:rPr>
              <w:t xml:space="preserve"> 9.5</w:t>
            </w:r>
          </w:p>
        </w:tc>
        <w:tc>
          <w:tcPr>
            <w:tcW w:w="121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b/>
                <w:bCs/>
                <w:lang w:eastAsia="en-AU"/>
              </w:rPr>
              <w:t xml:space="preserve"> 15.3</w:t>
            </w:r>
          </w:p>
        </w:tc>
        <w:tc>
          <w:tcPr>
            <w:tcW w:w="120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b/>
                <w:bCs/>
                <w:lang w:eastAsia="en-AU"/>
              </w:rPr>
              <w:t xml:space="preserve"> 9.5</w:t>
            </w:r>
          </w:p>
        </w:tc>
        <w:tc>
          <w:tcPr>
            <w:tcW w:w="121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b/>
                <w:bCs/>
                <w:lang w:eastAsia="en-AU"/>
              </w:rPr>
              <w:t xml:space="preserve"> 15.3</w:t>
            </w:r>
          </w:p>
        </w:tc>
        <w:tc>
          <w:tcPr>
            <w:tcW w:w="1209"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b/>
                <w:lang w:eastAsia="en-AU"/>
              </w:rPr>
              <w:t xml:space="preserve"> 5.5</w:t>
            </w:r>
          </w:p>
        </w:tc>
        <w:tc>
          <w:tcPr>
            <w:tcW w:w="121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b/>
                <w:lang w:eastAsia="en-AU"/>
              </w:rPr>
              <w:t xml:space="preserve"> 5.2</w:t>
            </w:r>
          </w:p>
        </w:tc>
        <w:tc>
          <w:tcPr>
            <w:tcW w:w="120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b/>
                <w:lang w:eastAsia="en-AU"/>
              </w:rPr>
              <w:t xml:space="preserve"> 5.5</w:t>
            </w:r>
          </w:p>
        </w:tc>
        <w:tc>
          <w:tcPr>
            <w:tcW w:w="121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b/>
                <w:lang w:eastAsia="en-AU"/>
              </w:rPr>
              <w:t xml:space="preserve"> 5.2</w:t>
            </w:r>
          </w:p>
        </w:tc>
      </w:tr>
    </w:tbl>
    <w:p w:rsidR="000B4A1E" w:rsidRPr="00D00665" w:rsidRDefault="000B4A1E" w:rsidP="00517E51">
      <w:pPr>
        <w:pStyle w:val="Notes"/>
      </w:pPr>
    </w:p>
    <w:p w:rsidR="000B4A1E" w:rsidRDefault="000B4A1E" w:rsidP="00517E51">
      <w:pPr>
        <w:pStyle w:val="Notes"/>
        <w:rPr>
          <w:rFonts w:ascii="Times New Roman" w:hAnsi="Times New Roman"/>
          <w:i w:val="0"/>
          <w:sz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284"/>
        <w:gridCol w:w="270"/>
        <w:gridCol w:w="655"/>
        <w:gridCol w:w="1210"/>
        <w:gridCol w:w="236"/>
        <w:gridCol w:w="973"/>
        <w:gridCol w:w="974"/>
        <w:gridCol w:w="236"/>
        <w:gridCol w:w="236"/>
        <w:gridCol w:w="973"/>
        <w:gridCol w:w="1210"/>
        <w:gridCol w:w="236"/>
        <w:gridCol w:w="973"/>
        <w:gridCol w:w="728"/>
        <w:gridCol w:w="246"/>
        <w:gridCol w:w="236"/>
      </w:tblGrid>
      <w:tr w:rsidR="000B4A1E" w:rsidRPr="003E2DBE" w:rsidTr="00517E51">
        <w:tc>
          <w:tcPr>
            <w:tcW w:w="284" w:type="dxa"/>
            <w:tcBorders>
              <w:top w:val="single" w:sz="4" w:space="0" w:color="auto"/>
              <w:left w:val="single" w:sz="4" w:space="0" w:color="auto"/>
              <w:bottom w:val="single" w:sz="6" w:space="0" w:color="auto"/>
              <w:right w:val="single" w:sz="6" w:space="0" w:color="auto"/>
            </w:tcBorders>
            <w:shd w:val="clear" w:color="auto" w:fill="000000"/>
          </w:tcPr>
          <w:p w:rsidR="000B4A1E" w:rsidRPr="003E2DBE" w:rsidRDefault="000B4A1E" w:rsidP="00517E51">
            <w:pPr>
              <w:pStyle w:val="Tabletextheading"/>
              <w:rPr>
                <w:lang w:eastAsia="en-AU"/>
              </w:rPr>
            </w:pPr>
            <w:r w:rsidRPr="003E2DBE">
              <w:rPr>
                <w:lang w:eastAsia="en-AU"/>
              </w:rPr>
              <w:t xml:space="preserve"> </w:t>
            </w:r>
          </w:p>
        </w:tc>
        <w:tc>
          <w:tcPr>
            <w:tcW w:w="270" w:type="dxa"/>
            <w:tcBorders>
              <w:top w:val="single" w:sz="6" w:space="0" w:color="auto"/>
              <w:left w:val="single" w:sz="6" w:space="0" w:color="auto"/>
              <w:bottom w:val="single" w:sz="6" w:space="0" w:color="auto"/>
            </w:tcBorders>
            <w:shd w:val="clear" w:color="auto" w:fill="000000"/>
          </w:tcPr>
          <w:p w:rsidR="000B4A1E" w:rsidRPr="003E2DBE" w:rsidRDefault="000B4A1E" w:rsidP="00517E51">
            <w:pPr>
              <w:pStyle w:val="Tabletextheading"/>
              <w:rPr>
                <w:lang w:eastAsia="en-AU"/>
              </w:rPr>
            </w:pPr>
            <w:r w:rsidRPr="003E2DBE">
              <w:rPr>
                <w:lang w:eastAsia="en-AU"/>
              </w:rPr>
              <w:t xml:space="preserve"> </w:t>
            </w:r>
          </w:p>
        </w:tc>
        <w:tc>
          <w:tcPr>
            <w:tcW w:w="4048" w:type="dxa"/>
            <w:gridSpan w:val="5"/>
            <w:tcBorders>
              <w:top w:val="single" w:sz="6" w:space="0" w:color="auto"/>
              <w:bottom w:val="single" w:sz="6" w:space="0" w:color="auto"/>
            </w:tcBorders>
            <w:shd w:val="clear" w:color="auto" w:fill="000000"/>
          </w:tcPr>
          <w:p w:rsidR="000B4A1E" w:rsidRPr="003E2DBE" w:rsidRDefault="000B4A1E" w:rsidP="00517E51">
            <w:pPr>
              <w:pStyle w:val="TabletextheadingCentred"/>
              <w:rPr>
                <w:rFonts w:eastAsiaTheme="minorEastAsia" w:cs="Calibri"/>
                <w:iCs/>
                <w:szCs w:val="22"/>
                <w:lang w:eastAsia="en-AU"/>
              </w:rPr>
            </w:pPr>
            <w:r w:rsidRPr="003E2DBE">
              <w:rPr>
                <w:rFonts w:eastAsiaTheme="minorEastAsia"/>
              </w:rPr>
              <w:t xml:space="preserve">Transportation </w:t>
            </w:r>
            <w:r w:rsidRPr="003E2DBE">
              <w:rPr>
                <w:rFonts w:eastAsiaTheme="minorEastAsia" w:cs="Calibri"/>
                <w:iCs/>
                <w:szCs w:val="22"/>
                <w:lang w:eastAsia="en-AU"/>
              </w:rPr>
              <w:t>and Communication</w:t>
            </w:r>
          </w:p>
        </w:tc>
        <w:tc>
          <w:tcPr>
            <w:tcW w:w="236" w:type="dxa"/>
            <w:tcBorders>
              <w:top w:val="single" w:sz="6" w:space="0" w:color="auto"/>
              <w:bottom w:val="single" w:sz="6" w:space="0" w:color="auto"/>
            </w:tcBorders>
            <w:shd w:val="clear" w:color="auto" w:fill="000000"/>
          </w:tcPr>
          <w:p w:rsidR="000B4A1E" w:rsidRPr="003E2DBE" w:rsidRDefault="000B4A1E" w:rsidP="00517E51">
            <w:pPr>
              <w:pStyle w:val="TabletextheadingCentred"/>
              <w:rPr>
                <w:rFonts w:eastAsiaTheme="minorEastAsia"/>
              </w:rPr>
            </w:pPr>
            <w:r w:rsidRPr="003E2DBE">
              <w:rPr>
                <w:rFonts w:eastAsiaTheme="minorEastAsia"/>
              </w:rPr>
              <w:t xml:space="preserve"> </w:t>
            </w:r>
          </w:p>
        </w:tc>
        <w:tc>
          <w:tcPr>
            <w:tcW w:w="236" w:type="dxa"/>
            <w:tcBorders>
              <w:top w:val="single" w:sz="6" w:space="0" w:color="auto"/>
              <w:bottom w:val="single" w:sz="6" w:space="0" w:color="auto"/>
            </w:tcBorders>
            <w:shd w:val="clear" w:color="auto" w:fill="000000"/>
          </w:tcPr>
          <w:p w:rsidR="000B4A1E" w:rsidRPr="003E2DBE" w:rsidRDefault="000B4A1E" w:rsidP="00517E51">
            <w:pPr>
              <w:pStyle w:val="TabletextheadingCentred"/>
              <w:rPr>
                <w:rFonts w:eastAsiaTheme="minorEastAsia"/>
              </w:rPr>
            </w:pPr>
            <w:r w:rsidRPr="003E2DBE">
              <w:rPr>
                <w:rFonts w:eastAsiaTheme="minorEastAsia"/>
              </w:rPr>
              <w:t xml:space="preserve"> </w:t>
            </w:r>
          </w:p>
        </w:tc>
        <w:tc>
          <w:tcPr>
            <w:tcW w:w="4120" w:type="dxa"/>
            <w:gridSpan w:val="5"/>
            <w:tcBorders>
              <w:top w:val="single" w:sz="6" w:space="0" w:color="auto"/>
              <w:bottom w:val="single" w:sz="6" w:space="0" w:color="auto"/>
            </w:tcBorders>
            <w:shd w:val="solid" w:color="000000" w:fill="auto"/>
          </w:tcPr>
          <w:p w:rsidR="000B4A1E" w:rsidRPr="003E2DBE" w:rsidRDefault="000B4A1E" w:rsidP="00517E51">
            <w:pPr>
              <w:pStyle w:val="TabletextheadingCentred"/>
              <w:rPr>
                <w:rFonts w:eastAsiaTheme="minorEastAsia" w:cs="Calibri"/>
                <w:iCs/>
                <w:szCs w:val="22"/>
                <w:lang w:eastAsia="en-AU"/>
              </w:rPr>
            </w:pPr>
            <w:r w:rsidRPr="003E2DBE">
              <w:rPr>
                <w:rFonts w:eastAsiaTheme="minorEastAsia"/>
              </w:rPr>
              <w:t xml:space="preserve"> Public</w:t>
            </w:r>
            <w:r w:rsidRPr="003E2DBE">
              <w:rPr>
                <w:rFonts w:eastAsiaTheme="minorEastAsia" w:cs="Calibri"/>
                <w:iCs/>
                <w:szCs w:val="22"/>
                <w:lang w:eastAsia="en-AU"/>
              </w:rPr>
              <w:t xml:space="preserve"> Safety and Environment</w:t>
            </w:r>
          </w:p>
        </w:tc>
        <w:tc>
          <w:tcPr>
            <w:tcW w:w="246" w:type="dxa"/>
            <w:tcBorders>
              <w:top w:val="single" w:sz="6" w:space="0" w:color="auto"/>
              <w:bottom w:val="single" w:sz="6" w:space="0" w:color="auto"/>
            </w:tcBorders>
            <w:shd w:val="solid" w:color="000000" w:fill="auto"/>
          </w:tcPr>
          <w:p w:rsidR="000B4A1E" w:rsidRPr="003E2DBE" w:rsidRDefault="000B4A1E" w:rsidP="00517E51">
            <w:pPr>
              <w:pStyle w:val="TabletextheadingCentred"/>
              <w:rPr>
                <w:rFonts w:eastAsiaTheme="minorEastAsia"/>
              </w:rPr>
            </w:pPr>
            <w:r w:rsidRPr="003E2DBE">
              <w:rPr>
                <w:rFonts w:eastAsiaTheme="minorEastAsia"/>
              </w:rPr>
              <w:t xml:space="preserve"> </w:t>
            </w:r>
          </w:p>
        </w:tc>
        <w:tc>
          <w:tcPr>
            <w:tcW w:w="236" w:type="dxa"/>
            <w:tcBorders>
              <w:top w:val="single" w:sz="6" w:space="0" w:color="auto"/>
              <w:bottom w:val="single" w:sz="6" w:space="0" w:color="auto"/>
              <w:right w:val="single" w:sz="6" w:space="0" w:color="auto"/>
            </w:tcBorders>
            <w:shd w:val="solid" w:color="000000" w:fill="auto"/>
          </w:tcPr>
          <w:p w:rsidR="000B4A1E" w:rsidRPr="003E2DBE" w:rsidRDefault="000B4A1E" w:rsidP="00517E51">
            <w:pPr>
              <w:pStyle w:val="TabletextheadingCentred"/>
              <w:rPr>
                <w:rFonts w:eastAsiaTheme="minorEastAsia"/>
              </w:rPr>
            </w:pPr>
            <w:r w:rsidRPr="003E2DBE">
              <w:rPr>
                <w:rFonts w:eastAsiaTheme="minorEastAsia"/>
              </w:rPr>
              <w:t xml:space="preserve"> </w:t>
            </w:r>
          </w:p>
        </w:tc>
      </w:tr>
      <w:tr w:rsidR="000B4A1E" w:rsidRPr="003E2DBE" w:rsidTr="00517E51">
        <w:tc>
          <w:tcPr>
            <w:tcW w:w="284" w:type="dxa"/>
            <w:tcBorders>
              <w:top w:val="single" w:sz="6" w:space="0" w:color="auto"/>
              <w:left w:val="single" w:sz="6" w:space="0" w:color="auto"/>
              <w:bottom w:val="single" w:sz="6" w:space="0" w:color="auto"/>
            </w:tcBorders>
            <w:shd w:val="solid" w:color="000000" w:fill="auto"/>
          </w:tcPr>
          <w:p w:rsidR="000B4A1E" w:rsidRPr="003E2DBE" w:rsidRDefault="000B4A1E" w:rsidP="00517E51">
            <w:pPr>
              <w:pStyle w:val="Tabletextheading"/>
              <w:rPr>
                <w:lang w:eastAsia="en-AU"/>
              </w:rPr>
            </w:pPr>
            <w:r w:rsidRPr="003E2DBE">
              <w:rPr>
                <w:lang w:eastAsia="en-AU"/>
              </w:rPr>
              <w:t xml:space="preserve"> </w:t>
            </w:r>
          </w:p>
        </w:tc>
        <w:tc>
          <w:tcPr>
            <w:tcW w:w="2135" w:type="dxa"/>
            <w:gridSpan w:val="3"/>
            <w:tcBorders>
              <w:top w:val="single" w:sz="6" w:space="0" w:color="auto"/>
              <w:bottom w:val="single" w:sz="6" w:space="0" w:color="auto"/>
            </w:tcBorders>
            <w:shd w:val="solid" w:color="000000" w:fill="auto"/>
          </w:tcPr>
          <w:p w:rsidR="000B4A1E" w:rsidRPr="003E2DBE" w:rsidRDefault="000B4A1E" w:rsidP="00517E51">
            <w:pPr>
              <w:pStyle w:val="TabletextheadingCentred"/>
              <w:rPr>
                <w:rFonts w:eastAsiaTheme="minorEastAsia"/>
              </w:rPr>
            </w:pPr>
          </w:p>
          <w:p w:rsidR="000B4A1E" w:rsidRPr="003E2DBE" w:rsidRDefault="000B4A1E" w:rsidP="00517E51">
            <w:pPr>
              <w:pStyle w:val="TabletextheadingCentred"/>
              <w:rPr>
                <w:rFonts w:eastAsiaTheme="minorEastAsia" w:cs="Calibri"/>
                <w:iCs/>
                <w:szCs w:val="22"/>
                <w:lang w:eastAsia="en-AU"/>
              </w:rPr>
            </w:pPr>
            <w:r w:rsidRPr="003E2DBE">
              <w:rPr>
                <w:rFonts w:eastAsiaTheme="minorEastAsia" w:cs="Calibri"/>
                <w:iCs/>
                <w:szCs w:val="22"/>
                <w:lang w:eastAsia="en-AU"/>
              </w:rPr>
              <w:t>State of Victoria</w:t>
            </w:r>
          </w:p>
        </w:tc>
        <w:tc>
          <w:tcPr>
            <w:tcW w:w="236" w:type="dxa"/>
            <w:tcBorders>
              <w:top w:val="single" w:sz="6" w:space="0" w:color="auto"/>
              <w:bottom w:val="single" w:sz="6" w:space="0" w:color="auto"/>
            </w:tcBorders>
            <w:shd w:val="solid" w:color="000000" w:fill="auto"/>
          </w:tcPr>
          <w:p w:rsidR="000B4A1E" w:rsidRPr="003E2DBE" w:rsidRDefault="000B4A1E" w:rsidP="00517E51">
            <w:pPr>
              <w:pStyle w:val="TabletextheadingCentred"/>
              <w:rPr>
                <w:rFonts w:eastAsiaTheme="minorEastAsia"/>
              </w:rPr>
            </w:pPr>
            <w:r w:rsidRPr="003E2DBE">
              <w:rPr>
                <w:rFonts w:eastAsiaTheme="minorEastAsia"/>
              </w:rPr>
              <w:t xml:space="preserve"> </w:t>
            </w:r>
          </w:p>
        </w:tc>
        <w:tc>
          <w:tcPr>
            <w:tcW w:w="2183" w:type="dxa"/>
            <w:gridSpan w:val="3"/>
            <w:tcBorders>
              <w:top w:val="single" w:sz="6" w:space="0" w:color="auto"/>
              <w:bottom w:val="single" w:sz="6" w:space="0" w:color="auto"/>
            </w:tcBorders>
            <w:shd w:val="solid" w:color="000000" w:fill="auto"/>
          </w:tcPr>
          <w:p w:rsidR="000B4A1E" w:rsidRPr="003E2DBE" w:rsidRDefault="000B4A1E" w:rsidP="00517E51">
            <w:pPr>
              <w:pStyle w:val="TabletextheadingCentred"/>
              <w:rPr>
                <w:rFonts w:eastAsiaTheme="minorEastAsia"/>
              </w:rPr>
            </w:pPr>
            <w:r w:rsidRPr="003E2DBE">
              <w:rPr>
                <w:rFonts w:eastAsiaTheme="minorEastAsia"/>
              </w:rPr>
              <w:t xml:space="preserve">General </w:t>
            </w:r>
          </w:p>
          <w:p w:rsidR="000B4A1E" w:rsidRPr="003E2DBE" w:rsidRDefault="000B4A1E" w:rsidP="00517E51">
            <w:pPr>
              <w:pStyle w:val="TabletextheadingCentred"/>
              <w:rPr>
                <w:rFonts w:eastAsiaTheme="minorEastAsia" w:cs="Calibri"/>
                <w:iCs/>
                <w:szCs w:val="22"/>
                <w:lang w:eastAsia="en-AU"/>
              </w:rPr>
            </w:pPr>
            <w:r w:rsidRPr="003E2DBE">
              <w:rPr>
                <w:rFonts w:eastAsiaTheme="minorEastAsia" w:cs="Calibri"/>
                <w:iCs/>
                <w:szCs w:val="22"/>
                <w:lang w:eastAsia="en-AU"/>
              </w:rPr>
              <w:t>government sector</w:t>
            </w:r>
          </w:p>
        </w:tc>
        <w:tc>
          <w:tcPr>
            <w:tcW w:w="236" w:type="dxa"/>
            <w:tcBorders>
              <w:top w:val="single" w:sz="6" w:space="0" w:color="auto"/>
              <w:bottom w:val="single" w:sz="6" w:space="0" w:color="auto"/>
            </w:tcBorders>
            <w:shd w:val="solid" w:color="000000" w:fill="auto"/>
          </w:tcPr>
          <w:p w:rsidR="000B4A1E" w:rsidRPr="003E2DBE" w:rsidRDefault="000B4A1E" w:rsidP="00517E51">
            <w:pPr>
              <w:pStyle w:val="TabletextheadingCentred"/>
              <w:rPr>
                <w:rFonts w:eastAsiaTheme="minorEastAsia"/>
              </w:rPr>
            </w:pPr>
            <w:r w:rsidRPr="003E2DBE">
              <w:rPr>
                <w:rFonts w:eastAsiaTheme="minorEastAsia"/>
              </w:rPr>
              <w:t xml:space="preserve"> </w:t>
            </w:r>
          </w:p>
        </w:tc>
        <w:tc>
          <w:tcPr>
            <w:tcW w:w="2183" w:type="dxa"/>
            <w:gridSpan w:val="2"/>
            <w:tcBorders>
              <w:top w:val="single" w:sz="6" w:space="0" w:color="auto"/>
              <w:bottom w:val="single" w:sz="6" w:space="0" w:color="auto"/>
            </w:tcBorders>
            <w:shd w:val="solid" w:color="000000" w:fill="auto"/>
          </w:tcPr>
          <w:p w:rsidR="000B4A1E" w:rsidRPr="003E2DBE" w:rsidRDefault="000B4A1E" w:rsidP="00517E51">
            <w:pPr>
              <w:pStyle w:val="TabletextheadingCentred"/>
              <w:rPr>
                <w:rFonts w:eastAsiaTheme="minorEastAsia"/>
              </w:rPr>
            </w:pPr>
          </w:p>
          <w:p w:rsidR="000B4A1E" w:rsidRPr="003E2DBE" w:rsidRDefault="000B4A1E" w:rsidP="00517E51">
            <w:pPr>
              <w:pStyle w:val="TabletextheadingCentred"/>
              <w:rPr>
                <w:rFonts w:eastAsiaTheme="minorEastAsia" w:cs="Calibri"/>
                <w:iCs/>
                <w:szCs w:val="22"/>
                <w:lang w:eastAsia="en-AU"/>
              </w:rPr>
            </w:pPr>
            <w:r w:rsidRPr="003E2DBE">
              <w:rPr>
                <w:rFonts w:eastAsiaTheme="minorEastAsia" w:cs="Calibri"/>
                <w:iCs/>
                <w:szCs w:val="22"/>
                <w:lang w:eastAsia="en-AU"/>
              </w:rPr>
              <w:t>State of Victoria</w:t>
            </w:r>
          </w:p>
        </w:tc>
        <w:tc>
          <w:tcPr>
            <w:tcW w:w="236" w:type="dxa"/>
            <w:tcBorders>
              <w:top w:val="single" w:sz="6" w:space="0" w:color="auto"/>
              <w:bottom w:val="single" w:sz="6" w:space="0" w:color="auto"/>
            </w:tcBorders>
            <w:shd w:val="solid" w:color="000000" w:fill="auto"/>
          </w:tcPr>
          <w:p w:rsidR="000B4A1E" w:rsidRPr="003E2DBE" w:rsidRDefault="000B4A1E" w:rsidP="00517E51">
            <w:pPr>
              <w:pStyle w:val="TabletextheadingCentred"/>
              <w:rPr>
                <w:rFonts w:eastAsiaTheme="minorEastAsia"/>
              </w:rPr>
            </w:pPr>
            <w:r w:rsidRPr="003E2DBE">
              <w:rPr>
                <w:rFonts w:eastAsiaTheme="minorEastAsia"/>
              </w:rPr>
              <w:t xml:space="preserve"> </w:t>
            </w:r>
          </w:p>
        </w:tc>
        <w:tc>
          <w:tcPr>
            <w:tcW w:w="2183" w:type="dxa"/>
            <w:gridSpan w:val="4"/>
            <w:tcBorders>
              <w:top w:val="single" w:sz="6" w:space="0" w:color="auto"/>
              <w:bottom w:val="single" w:sz="6" w:space="0" w:color="auto"/>
              <w:right w:val="single" w:sz="6" w:space="0" w:color="auto"/>
            </w:tcBorders>
            <w:shd w:val="solid" w:color="000000" w:fill="auto"/>
          </w:tcPr>
          <w:p w:rsidR="000B4A1E" w:rsidRPr="003E2DBE" w:rsidRDefault="000B4A1E" w:rsidP="00517E51">
            <w:pPr>
              <w:pStyle w:val="TabletextheadingCentred"/>
              <w:rPr>
                <w:rFonts w:eastAsiaTheme="minorEastAsia" w:cs="Calibri"/>
                <w:iCs/>
                <w:szCs w:val="22"/>
                <w:lang w:eastAsia="en-AU"/>
              </w:rPr>
            </w:pPr>
            <w:r w:rsidRPr="003E2DBE">
              <w:rPr>
                <w:rFonts w:eastAsiaTheme="minorEastAsia"/>
              </w:rPr>
              <w:t xml:space="preserve">General </w:t>
            </w:r>
          </w:p>
          <w:p w:rsidR="000B4A1E" w:rsidRPr="003E2DBE" w:rsidRDefault="000B4A1E" w:rsidP="00517E51">
            <w:pPr>
              <w:autoSpaceDE w:val="0"/>
              <w:autoSpaceDN w:val="0"/>
              <w:adjustRightInd w:val="0"/>
              <w:spacing w:after="0"/>
              <w:rPr>
                <w:rFonts w:ascii="Calibri" w:eastAsiaTheme="minorEastAsia" w:hAnsi="Calibri" w:cs="Calibri"/>
                <w:i/>
                <w:iCs/>
                <w:sz w:val="22"/>
                <w:szCs w:val="22"/>
                <w:lang w:eastAsia="en-AU"/>
              </w:rPr>
            </w:pPr>
            <w:r w:rsidRPr="003E2DBE">
              <w:rPr>
                <w:rFonts w:ascii="Calibri" w:eastAsiaTheme="minorEastAsia" w:hAnsi="Calibri" w:cs="Calibri"/>
                <w:i/>
                <w:iCs/>
                <w:sz w:val="22"/>
                <w:szCs w:val="22"/>
                <w:lang w:eastAsia="en-AU"/>
              </w:rPr>
              <w:t>government sector</w:t>
            </w:r>
          </w:p>
        </w:tc>
      </w:tr>
      <w:tr w:rsidR="000B4A1E" w:rsidRPr="003E2DBE" w:rsidTr="00517E51">
        <w:tc>
          <w:tcPr>
            <w:tcW w:w="1209" w:type="dxa"/>
            <w:gridSpan w:val="3"/>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2013</w:t>
            </w:r>
          </w:p>
        </w:tc>
        <w:tc>
          <w:tcPr>
            <w:tcW w:w="1210"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2012</w:t>
            </w:r>
          </w:p>
        </w:tc>
        <w:tc>
          <w:tcPr>
            <w:tcW w:w="1209"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eastAsiaTheme="minorEastAsia" w:cs="Calibri"/>
                <w:iCs/>
                <w:szCs w:val="22"/>
                <w:lang w:eastAsia="en-AU"/>
              </w:rPr>
            </w:pPr>
            <w:r w:rsidRPr="003E2DBE">
              <w:rPr>
                <w:lang w:eastAsia="en-AU"/>
              </w:rPr>
              <w:t>2013</w:t>
            </w:r>
          </w:p>
        </w:tc>
        <w:tc>
          <w:tcPr>
            <w:tcW w:w="1210"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2012</w:t>
            </w:r>
          </w:p>
        </w:tc>
        <w:tc>
          <w:tcPr>
            <w:tcW w:w="1209"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2013</w:t>
            </w:r>
          </w:p>
        </w:tc>
        <w:tc>
          <w:tcPr>
            <w:tcW w:w="1210"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2012</w:t>
            </w:r>
          </w:p>
        </w:tc>
        <w:tc>
          <w:tcPr>
            <w:tcW w:w="1209"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eastAsiaTheme="minorEastAsia" w:cs="Calibri"/>
                <w:iCs/>
                <w:szCs w:val="22"/>
                <w:lang w:eastAsia="en-AU"/>
              </w:rPr>
            </w:pPr>
            <w:r w:rsidRPr="003E2DBE">
              <w:rPr>
                <w:rFonts w:cs="Calibri"/>
                <w:iCs/>
                <w:szCs w:val="22"/>
                <w:lang w:eastAsia="en-AU"/>
              </w:rPr>
              <w:t>2013</w:t>
            </w:r>
          </w:p>
        </w:tc>
        <w:tc>
          <w:tcPr>
            <w:tcW w:w="1210" w:type="dxa"/>
            <w:gridSpan w:val="3"/>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2012</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2.0</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2.4</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1.4</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1.9</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5 </w:t>
            </w:r>
            <w:r w:rsidRPr="003E2DBE">
              <w:rPr>
                <w:rFonts w:ascii="Calibri" w:eastAsiaTheme="minorEastAsia" w:hAnsi="Calibri" w:cs="Calibri"/>
                <w:sz w:val="22"/>
                <w:szCs w:val="22"/>
                <w:lang w:eastAsia="en-AU"/>
              </w:rPr>
              <w:t>373.5</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5 </w:t>
            </w:r>
            <w:r w:rsidRPr="003E2DBE">
              <w:rPr>
                <w:rFonts w:ascii="Calibri" w:eastAsiaTheme="minorEastAsia" w:hAnsi="Calibri" w:cs="Calibri"/>
                <w:sz w:val="22"/>
                <w:szCs w:val="22"/>
                <w:lang w:eastAsia="en-AU"/>
              </w:rPr>
              <w:t>357.0</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5 </w:t>
            </w:r>
            <w:r w:rsidRPr="003E2DBE">
              <w:rPr>
                <w:rFonts w:ascii="Calibri" w:eastAsiaTheme="minorEastAsia" w:hAnsi="Calibri" w:cs="Calibri"/>
                <w:sz w:val="22"/>
                <w:szCs w:val="22"/>
                <w:lang w:eastAsia="en-AU"/>
              </w:rPr>
              <w:t>318.7</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5 </w:t>
            </w:r>
            <w:r w:rsidRPr="003E2DBE">
              <w:rPr>
                <w:rFonts w:ascii="Calibri" w:eastAsiaTheme="minorEastAsia" w:hAnsi="Calibri" w:cs="Calibri"/>
                <w:sz w:val="22"/>
                <w:szCs w:val="22"/>
                <w:lang w:eastAsia="en-AU"/>
              </w:rPr>
              <w:t>302.6</w:t>
            </w:r>
          </w:p>
        </w:tc>
      </w:tr>
      <w:tr w:rsidR="000B4A1E" w:rsidRPr="003E2DBE" w:rsidTr="00517E51">
        <w:tc>
          <w:tcPr>
            <w:tcW w:w="1209"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0.2)</w:t>
            </w:r>
          </w:p>
        </w:tc>
        <w:tc>
          <w:tcPr>
            <w:tcW w:w="121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0.6)</w:t>
            </w:r>
          </w:p>
        </w:tc>
        <w:tc>
          <w:tcPr>
            <w:tcW w:w="1209"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0.2)</w:t>
            </w:r>
          </w:p>
        </w:tc>
        <w:tc>
          <w:tcPr>
            <w:tcW w:w="1210"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0.6)</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w:t>
            </w:r>
            <w:r w:rsidRPr="003E2DBE">
              <w:rPr>
                <w:rFonts w:ascii="Calibri" w:eastAsiaTheme="minorEastAsia" w:hAnsi="Calibri" w:cs="Calibri"/>
                <w:sz w:val="22"/>
                <w:szCs w:val="22"/>
                <w:lang w:eastAsia="en-AU"/>
              </w:rPr>
              <w:t>76.9)</w:t>
            </w:r>
          </w:p>
        </w:tc>
        <w:tc>
          <w:tcPr>
            <w:tcW w:w="121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w:t>
            </w:r>
            <w:r w:rsidRPr="003E2DBE">
              <w:rPr>
                <w:rFonts w:ascii="Calibri" w:eastAsiaTheme="minorEastAsia" w:hAnsi="Calibri" w:cs="Calibri"/>
                <w:sz w:val="22"/>
                <w:szCs w:val="22"/>
                <w:lang w:eastAsia="en-AU"/>
              </w:rPr>
              <w:t>73.1)</w:t>
            </w:r>
          </w:p>
        </w:tc>
        <w:tc>
          <w:tcPr>
            <w:tcW w:w="1209" w:type="dxa"/>
            <w:gridSpan w:val="2"/>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w:t>
            </w:r>
            <w:r w:rsidRPr="003E2DBE">
              <w:rPr>
                <w:rFonts w:ascii="Calibri" w:eastAsiaTheme="minorEastAsia" w:hAnsi="Calibri" w:cs="Calibri"/>
                <w:sz w:val="22"/>
                <w:szCs w:val="22"/>
                <w:lang w:eastAsia="en-AU"/>
              </w:rPr>
              <w:t>76.9)</w:t>
            </w:r>
          </w:p>
        </w:tc>
        <w:tc>
          <w:tcPr>
            <w:tcW w:w="1210" w:type="dxa"/>
            <w:gridSpan w:val="3"/>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w:t>
            </w:r>
            <w:r w:rsidRPr="003E2DBE">
              <w:rPr>
                <w:rFonts w:ascii="Calibri" w:eastAsiaTheme="minorEastAsia" w:hAnsi="Calibri" w:cs="Calibri"/>
                <w:sz w:val="22"/>
                <w:szCs w:val="22"/>
                <w:lang w:eastAsia="en-AU"/>
              </w:rPr>
              <w:t>73.1)</w:t>
            </w:r>
          </w:p>
        </w:tc>
      </w:tr>
      <w:tr w:rsidR="000B4A1E" w:rsidRPr="003E2DBE" w:rsidTr="00517E51">
        <w:tc>
          <w:tcPr>
            <w:tcW w:w="1209"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b/>
                <w:bCs/>
                <w:lang w:eastAsia="en-AU"/>
              </w:rPr>
              <w:t xml:space="preserve"> 1.7</w:t>
            </w:r>
          </w:p>
        </w:tc>
        <w:tc>
          <w:tcPr>
            <w:tcW w:w="121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b/>
                <w:bCs/>
                <w:lang w:eastAsia="en-AU"/>
              </w:rPr>
              <w:t xml:space="preserve"> 1.8</w:t>
            </w:r>
          </w:p>
        </w:tc>
        <w:tc>
          <w:tcPr>
            <w:tcW w:w="120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b/>
                <w:bCs/>
                <w:lang w:eastAsia="en-AU"/>
              </w:rPr>
              <w:t xml:space="preserve"> 1.2</w:t>
            </w:r>
          </w:p>
        </w:tc>
        <w:tc>
          <w:tcPr>
            <w:tcW w:w="121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b/>
                <w:bCs/>
                <w:lang w:eastAsia="en-AU"/>
              </w:rPr>
              <w:t xml:space="preserve"> 1.3</w:t>
            </w:r>
          </w:p>
        </w:tc>
        <w:tc>
          <w:tcPr>
            <w:tcW w:w="1209" w:type="dxa"/>
            <w:gridSpan w:val="2"/>
            <w:tcBorders>
              <w:top w:val="single" w:sz="6" w:space="0" w:color="auto"/>
              <w:left w:val="nil"/>
              <w:bottom w:val="single" w:sz="12" w:space="0" w:color="auto"/>
              <w:right w:val="nil"/>
            </w:tcBorders>
          </w:tcPr>
          <w:p w:rsidR="000B4A1E" w:rsidRPr="003E2DBE" w:rsidRDefault="000B4A1E" w:rsidP="00517E51">
            <w:pPr>
              <w:pStyle w:val="TableofFigures"/>
              <w:rPr>
                <w:b/>
                <w:lang w:eastAsia="en-AU"/>
              </w:rPr>
            </w:pPr>
            <w:r w:rsidRPr="003E2DBE">
              <w:rPr>
                <w:b/>
                <w:lang w:eastAsia="en-AU"/>
              </w:rPr>
              <w:t>5 296.6</w:t>
            </w:r>
          </w:p>
        </w:tc>
        <w:tc>
          <w:tcPr>
            <w:tcW w:w="1210" w:type="dxa"/>
            <w:tcBorders>
              <w:top w:val="single" w:sz="6" w:space="0" w:color="auto"/>
              <w:left w:val="nil"/>
              <w:bottom w:val="single" w:sz="12" w:space="0" w:color="auto"/>
              <w:right w:val="nil"/>
            </w:tcBorders>
          </w:tcPr>
          <w:p w:rsidR="000B4A1E" w:rsidRPr="003E2DBE" w:rsidRDefault="000B4A1E" w:rsidP="00517E51">
            <w:pPr>
              <w:pStyle w:val="TableofFigures"/>
              <w:rPr>
                <w:b/>
                <w:lang w:eastAsia="en-AU"/>
              </w:rPr>
            </w:pPr>
            <w:r w:rsidRPr="003E2DBE">
              <w:rPr>
                <w:b/>
                <w:lang w:eastAsia="en-AU"/>
              </w:rPr>
              <w:t>5 283.9</w:t>
            </w:r>
          </w:p>
        </w:tc>
        <w:tc>
          <w:tcPr>
            <w:tcW w:w="1209" w:type="dxa"/>
            <w:gridSpan w:val="2"/>
            <w:tcBorders>
              <w:top w:val="single" w:sz="6" w:space="0" w:color="auto"/>
              <w:left w:val="nil"/>
              <w:bottom w:val="single" w:sz="12" w:space="0" w:color="auto"/>
              <w:right w:val="nil"/>
            </w:tcBorders>
          </w:tcPr>
          <w:p w:rsidR="000B4A1E" w:rsidRPr="003E2DBE" w:rsidRDefault="000B4A1E" w:rsidP="00517E51">
            <w:pPr>
              <w:pStyle w:val="TableofFigures"/>
              <w:rPr>
                <w:b/>
                <w:lang w:eastAsia="en-AU"/>
              </w:rPr>
            </w:pPr>
            <w:r w:rsidRPr="003E2DBE">
              <w:rPr>
                <w:b/>
                <w:lang w:eastAsia="en-AU"/>
              </w:rPr>
              <w:t>5 241.7</w:t>
            </w:r>
          </w:p>
        </w:tc>
        <w:tc>
          <w:tcPr>
            <w:tcW w:w="1210" w:type="dxa"/>
            <w:gridSpan w:val="3"/>
            <w:tcBorders>
              <w:top w:val="single" w:sz="6" w:space="0" w:color="auto"/>
              <w:left w:val="nil"/>
              <w:bottom w:val="single" w:sz="12" w:space="0" w:color="auto"/>
              <w:right w:val="nil"/>
            </w:tcBorders>
          </w:tcPr>
          <w:p w:rsidR="000B4A1E" w:rsidRPr="003E2DBE" w:rsidRDefault="000B4A1E" w:rsidP="00517E51">
            <w:pPr>
              <w:pStyle w:val="TableofFigures"/>
              <w:rPr>
                <w:b/>
                <w:lang w:eastAsia="en-AU"/>
              </w:rPr>
            </w:pPr>
            <w:r w:rsidRPr="003E2DBE">
              <w:rPr>
                <w:b/>
                <w:lang w:eastAsia="en-AU"/>
              </w:rPr>
              <w:t>5 229.5</w:t>
            </w:r>
          </w:p>
        </w:tc>
      </w:tr>
    </w:tbl>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Pr>
        <w:pStyle w:val="Heading2NotesContd"/>
      </w:pPr>
      <w:r w:rsidRPr="00D00665">
        <w:br w:type="page"/>
      </w:r>
      <w:r w:rsidRPr="00D00665">
        <w:lastRenderedPageBreak/>
        <w:t>Note 22:</w:t>
      </w:r>
      <w:r w:rsidRPr="00D00665">
        <w:tab/>
        <w:t xml:space="preserve">Land, buildings, infrastructure, plant and equipment </w:t>
      </w:r>
      <w:r w:rsidRPr="00D00665">
        <w:rPr>
          <w:i/>
        </w:rPr>
        <w:t>(continued)</w:t>
      </w:r>
    </w:p>
    <w:p w:rsidR="000B4A1E" w:rsidRPr="00D00665" w:rsidRDefault="000B4A1E" w:rsidP="00517E51">
      <w:pPr>
        <w:pStyle w:val="Heading5"/>
      </w:pPr>
      <w:r w:rsidRPr="00D00665">
        <w:t>(f)</w:t>
      </w:r>
      <w:r w:rsidRPr="00D00665">
        <w:tab/>
        <w:t>Reconciliation of movements</w:t>
      </w:r>
    </w:p>
    <w:p w:rsidR="000B4A1E" w:rsidRPr="00D00665" w:rsidRDefault="000B4A1E" w:rsidP="00517E51">
      <w:pPr>
        <w:pStyle w:val="Heading5a"/>
      </w:pPr>
      <w:r w:rsidRPr="00D00665">
        <w:t>Reconciliation of movements in land and buildings</w:t>
      </w:r>
    </w:p>
    <w:p w:rsidR="000B4A1E" w:rsidRPr="003E2DBE" w:rsidRDefault="000B4A1E" w:rsidP="00517E51">
      <w:pPr>
        <w:pStyle w:val="million"/>
      </w:pPr>
      <w:r w:rsidRPr="00D00665">
        <w:t>($</w:t>
      </w:r>
      <w:r>
        <w:t> million</w:t>
      </w:r>
      <w:r w:rsidRPr="00D00665">
        <w:t>)</w:t>
      </w:r>
      <w:bookmarkStart w:id="65" w:name="RANGE!C91:G101"/>
      <w:bookmarkStart w:id="66" w:name="RANGE!C87:G97"/>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714497279"/>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714497279"/>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714497279"/>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Opening balance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92 </w:t>
            </w:r>
            <w:r w:rsidRPr="003E2DBE">
              <w:rPr>
                <w:rFonts w:cs="Calibri"/>
                <w:szCs w:val="22"/>
                <w:lang w:eastAsia="en-AU"/>
              </w:rPr>
              <w:t>230.6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88 </w:t>
            </w:r>
            <w:r w:rsidRPr="003E2DBE">
              <w:rPr>
                <w:rFonts w:cs="Calibri"/>
                <w:szCs w:val="22"/>
                <w:lang w:eastAsia="en-AU"/>
              </w:rPr>
              <w:t>853.4</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60 </w:t>
            </w:r>
            <w:r w:rsidRPr="003E2DBE">
              <w:rPr>
                <w:rFonts w:cs="Calibri"/>
                <w:szCs w:val="22"/>
                <w:lang w:eastAsia="en-AU"/>
              </w:rPr>
              <w:t>224.9</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58 </w:t>
            </w:r>
            <w:r w:rsidRPr="003E2DBE">
              <w:rPr>
                <w:rFonts w:cs="Calibri"/>
                <w:szCs w:val="22"/>
                <w:lang w:eastAsia="en-AU"/>
              </w:rPr>
              <w:t>899.4</w:t>
            </w:r>
          </w:p>
        </w:tc>
      </w:tr>
      <w:tr w:rsidR="000B4A1E" w:rsidRPr="003E2DBE" w:rsidTr="00517E51">
        <w:trPr>
          <w:divId w:val="1714497279"/>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Acquisitions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742.9</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483.5</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058.0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738.6</w:t>
            </w:r>
          </w:p>
        </w:tc>
      </w:tr>
      <w:tr w:rsidR="000B4A1E" w:rsidRPr="003E2DBE" w:rsidTr="00517E51">
        <w:trPr>
          <w:divId w:val="1714497279"/>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Reclassification</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515.7)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476.5</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378.5)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84.2)</w:t>
            </w:r>
          </w:p>
        </w:tc>
      </w:tr>
      <w:tr w:rsidR="000B4A1E" w:rsidRPr="003E2DBE" w:rsidTr="00517E51">
        <w:trPr>
          <w:divId w:val="1714497279"/>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Revaluation</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816.1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637.3</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802.0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640.8</w:t>
            </w:r>
          </w:p>
        </w:tc>
      </w:tr>
      <w:tr w:rsidR="000B4A1E" w:rsidRPr="003E2DBE" w:rsidTr="00517E51">
        <w:trPr>
          <w:divId w:val="1714497279"/>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Disposals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392.5)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(1</w:t>
            </w:r>
            <w:r w:rsidRPr="003E2DBE">
              <w:rPr>
                <w:rFonts w:cs="Calibri"/>
                <w:szCs w:val="22"/>
                <w:lang w:eastAsia="en-AU"/>
              </w:rPr>
              <w:t xml:space="preserve"> 589.8)</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260.6)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(1</w:t>
            </w:r>
            <w:r w:rsidRPr="003E2DBE">
              <w:rPr>
                <w:rFonts w:cs="Calibri"/>
                <w:szCs w:val="22"/>
                <w:lang w:eastAsia="en-AU"/>
              </w:rPr>
              <w:t xml:space="preserve"> 419.1)</w:t>
            </w:r>
          </w:p>
        </w:tc>
      </w:tr>
      <w:tr w:rsidR="000B4A1E" w:rsidRPr="003E2DBE" w:rsidTr="00517E51">
        <w:trPr>
          <w:divId w:val="1714497279"/>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Assets recognised for the first time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398.3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333.0</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163.7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60.0</w:t>
            </w:r>
          </w:p>
        </w:tc>
      </w:tr>
      <w:tr w:rsidR="000B4A1E" w:rsidRPr="003E2DBE" w:rsidTr="00517E51">
        <w:trPr>
          <w:divId w:val="1714497279"/>
        </w:trPr>
        <w:tc>
          <w:tcPr>
            <w:tcW w:w="5156" w:type="dxa"/>
            <w:tcBorders>
              <w:top w:val="nil"/>
              <w:left w:val="nil"/>
              <w:bottom w:val="nil"/>
              <w:right w:val="nil"/>
            </w:tcBorders>
            <w:shd w:val="clear" w:color="auto" w:fill="auto"/>
            <w:noWrap/>
            <w:hideMark/>
          </w:tcPr>
          <w:p w:rsidR="000B4A1E" w:rsidRPr="003E2DBE" w:rsidRDefault="000B4A1E" w:rsidP="00517E51">
            <w:pPr>
              <w:pStyle w:val="Tabletext"/>
              <w:rPr>
                <w:lang w:eastAsia="en-AU"/>
              </w:rPr>
            </w:pPr>
            <w:r w:rsidRPr="003E2DBE">
              <w:rPr>
                <w:lang w:eastAsia="en-AU"/>
              </w:rPr>
              <w:t>Impairment</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160.4)</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687.6)</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158.8)</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664.7)</w:t>
            </w:r>
          </w:p>
        </w:tc>
      </w:tr>
      <w:tr w:rsidR="000B4A1E" w:rsidRPr="003E2DBE" w:rsidTr="00517E51">
        <w:trPr>
          <w:divId w:val="1714497279"/>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Depreciation</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(1</w:t>
            </w:r>
            <w:r w:rsidRPr="003E2DBE">
              <w:rPr>
                <w:rFonts w:cs="Calibri"/>
                <w:szCs w:val="22"/>
                <w:lang w:eastAsia="en-AU"/>
              </w:rPr>
              <w:t xml:space="preserve"> 338.2)</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(1</w:t>
            </w:r>
            <w:r w:rsidRPr="003E2DBE">
              <w:rPr>
                <w:rFonts w:cs="Calibri"/>
                <w:szCs w:val="22"/>
                <w:lang w:eastAsia="en-AU"/>
              </w:rPr>
              <w:t xml:space="preserve"> 275.7)</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984.5)</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945.9)</w:t>
            </w:r>
          </w:p>
        </w:tc>
      </w:tr>
      <w:tr w:rsidR="000B4A1E" w:rsidRPr="003E2DBE" w:rsidTr="00517E51">
        <w:trPr>
          <w:divId w:val="1714497279"/>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Closing balance</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93 </w:t>
            </w:r>
            <w:r w:rsidRPr="003E2DBE">
              <w:rPr>
                <w:rFonts w:cs="Calibri"/>
                <w:b/>
                <w:bCs/>
                <w:szCs w:val="22"/>
                <w:lang w:eastAsia="en-AU"/>
              </w:rPr>
              <w:t>781.0</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92 </w:t>
            </w:r>
            <w:r w:rsidRPr="003E2DBE">
              <w:rPr>
                <w:rFonts w:cs="Calibri"/>
                <w:b/>
                <w:bCs/>
                <w:szCs w:val="22"/>
                <w:lang w:eastAsia="en-AU"/>
              </w:rPr>
              <w:t>230.6</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61 </w:t>
            </w:r>
            <w:r w:rsidRPr="003E2DBE">
              <w:rPr>
                <w:rFonts w:cs="Calibri"/>
                <w:b/>
                <w:bCs/>
                <w:szCs w:val="22"/>
                <w:lang w:eastAsia="en-AU"/>
              </w:rPr>
              <w:t>466.4</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60 </w:t>
            </w:r>
            <w:r w:rsidRPr="003E2DBE">
              <w:rPr>
                <w:rFonts w:cs="Calibri"/>
                <w:b/>
                <w:bCs/>
                <w:szCs w:val="22"/>
                <w:lang w:eastAsia="en-AU"/>
              </w:rPr>
              <w:t>224.9</w:t>
            </w:r>
          </w:p>
        </w:tc>
      </w:tr>
      <w:bookmarkEnd w:id="65"/>
      <w:bookmarkEnd w:id="66"/>
    </w:tbl>
    <w:p w:rsidR="000B4A1E" w:rsidRPr="00D00665" w:rsidRDefault="000B4A1E" w:rsidP="00517E51"/>
    <w:p w:rsidR="000B4A1E" w:rsidRPr="00D00665" w:rsidRDefault="000B4A1E" w:rsidP="00517E51"/>
    <w:p w:rsidR="000B4A1E" w:rsidRPr="00D00665" w:rsidRDefault="000B4A1E" w:rsidP="00517E51">
      <w:pPr>
        <w:pStyle w:val="Heading5a"/>
      </w:pPr>
      <w:r w:rsidRPr="00D00665">
        <w:t>Reconciliation of movements in plant, equipment and vehicle, and other infrastructure systems</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865"/>
        <w:gridCol w:w="1123"/>
        <w:gridCol w:w="262"/>
        <w:gridCol w:w="861"/>
        <w:gridCol w:w="1123"/>
      </w:tblGrid>
      <w:tr w:rsidR="000B4A1E" w:rsidRPr="003E2DBE" w:rsidTr="00517E51">
        <w:tc>
          <w:tcPr>
            <w:tcW w:w="5156" w:type="dxa"/>
            <w:tcBorders>
              <w:top w:val="single" w:sz="6" w:space="0" w:color="auto"/>
              <w:left w:val="single" w:sz="6"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58"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8" w:type="dxa"/>
            <w:gridSpan w:val="2"/>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262"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2"/>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r>
      <w:tr w:rsidR="000B4A1E" w:rsidRPr="003E2DBE" w:rsidTr="00517E51">
        <w:tc>
          <w:tcPr>
            <w:tcW w:w="5156" w:type="dxa"/>
            <w:tcBorders>
              <w:top w:val="nil"/>
              <w:left w:val="single" w:sz="6"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cs="Calibri"/>
                <w:iCs/>
                <w:szCs w:val="22"/>
                <w:vertAlign w:val="superscript"/>
                <w:lang w:eastAsia="en-AU"/>
              </w:rPr>
            </w:pPr>
            <w:r w:rsidRPr="003E2DBE">
              <w:rPr>
                <w:rFonts w:eastAsiaTheme="minorEastAsia"/>
                <w:lang w:eastAsia="en-AU"/>
              </w:rPr>
              <w:t xml:space="preserve">2012 </w:t>
            </w:r>
            <w:r w:rsidRPr="003E2DBE">
              <w:rPr>
                <w:rFonts w:eastAsiaTheme="minorEastAsia" w:cs="Calibri"/>
                <w:iCs/>
                <w:szCs w:val="22"/>
                <w:vertAlign w:val="superscript"/>
                <w:lang w:eastAsia="en-AU"/>
              </w:rPr>
              <w:t>(a)</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6" w:space="0" w:color="auto"/>
              <w:right w:val="single" w:sz="6" w:space="0" w:color="auto"/>
            </w:tcBorders>
            <w:shd w:val="clear" w:color="auto" w:fill="000000"/>
          </w:tcPr>
          <w:p w:rsidR="000B4A1E" w:rsidRPr="003E2DBE" w:rsidRDefault="000B4A1E" w:rsidP="00517E51">
            <w:pPr>
              <w:pStyle w:val="Tabletextheading"/>
              <w:rPr>
                <w:rFonts w:eastAsiaTheme="minorEastAsia" w:cs="Calibri"/>
                <w:iCs/>
                <w:szCs w:val="22"/>
                <w:vertAlign w:val="superscript"/>
                <w:lang w:eastAsia="en-AU"/>
              </w:rPr>
            </w:pPr>
            <w:r w:rsidRPr="003E2DBE">
              <w:rPr>
                <w:rFonts w:eastAsiaTheme="minorEastAsia"/>
                <w:lang w:eastAsia="en-AU"/>
              </w:rPr>
              <w:t xml:space="preserve">2012 </w:t>
            </w:r>
            <w:r w:rsidRPr="003E2DBE">
              <w:rPr>
                <w:rFonts w:eastAsiaTheme="minorEastAsia" w:cs="Calibri"/>
                <w:iCs/>
                <w:szCs w:val="22"/>
                <w:vertAlign w:val="superscript"/>
                <w:lang w:eastAsia="en-AU"/>
              </w:rPr>
              <w:t>(a)</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Opening balance</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54 647.4</w:t>
            </w:r>
          </w:p>
        </w:tc>
        <w:tc>
          <w:tcPr>
            <w:tcW w:w="1123" w:type="dxa"/>
            <w:tcBorders>
              <w:top w:val="nil"/>
              <w:left w:val="nil"/>
              <w:bottom w:val="nil"/>
              <w:right w:val="nil"/>
            </w:tcBorders>
          </w:tcPr>
          <w:p w:rsidR="000B4A1E" w:rsidRPr="003E2DBE" w:rsidRDefault="000B4A1E" w:rsidP="00517E51">
            <w:pPr>
              <w:pStyle w:val="TableofFigures"/>
              <w:rPr>
                <w:rFonts w:eastAsiaTheme="minorEastAsia"/>
                <w:szCs w:val="24"/>
                <w:lang w:eastAsia="en-AU"/>
              </w:rPr>
            </w:pPr>
            <w:r w:rsidRPr="003E2DBE">
              <w:rPr>
                <w:rFonts w:eastAsiaTheme="minorEastAsia"/>
                <w:szCs w:val="24"/>
                <w:lang w:eastAsia="en-AU"/>
              </w:rPr>
              <w:t>53 901.4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4 582.0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4 191.2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Acquisitions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9 002.5</w:t>
            </w:r>
          </w:p>
        </w:tc>
        <w:tc>
          <w:tcPr>
            <w:tcW w:w="1123" w:type="dxa"/>
            <w:tcBorders>
              <w:top w:val="nil"/>
              <w:left w:val="nil"/>
              <w:bottom w:val="nil"/>
              <w:right w:val="nil"/>
            </w:tcBorders>
          </w:tcPr>
          <w:p w:rsidR="000B4A1E" w:rsidRPr="003E2DBE" w:rsidRDefault="000B4A1E" w:rsidP="00517E51">
            <w:pPr>
              <w:pStyle w:val="TableofFigures"/>
              <w:rPr>
                <w:rFonts w:eastAsiaTheme="minorEastAsia"/>
                <w:szCs w:val="24"/>
                <w:lang w:eastAsia="en-AU"/>
              </w:rPr>
            </w:pPr>
            <w:r w:rsidRPr="003E2DBE">
              <w:rPr>
                <w:rFonts w:eastAsiaTheme="minorEastAsia"/>
                <w:szCs w:val="24"/>
                <w:lang w:eastAsia="en-AU"/>
              </w:rPr>
              <w:t>5 873.8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709.9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1 065.2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Reclassification </w:t>
            </w:r>
            <w:r w:rsidRPr="003E2DBE">
              <w:rPr>
                <w:rFonts w:eastAsiaTheme="minorEastAsia"/>
                <w:vertAlign w:val="superscript"/>
                <w:lang w:eastAsia="en-AU"/>
              </w:rPr>
              <w:t>(a)</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660.1</w:t>
            </w:r>
          </w:p>
        </w:tc>
        <w:tc>
          <w:tcPr>
            <w:tcW w:w="1123" w:type="dxa"/>
            <w:tcBorders>
              <w:top w:val="nil"/>
              <w:left w:val="nil"/>
              <w:bottom w:val="nil"/>
              <w:right w:val="nil"/>
            </w:tcBorders>
          </w:tcPr>
          <w:p w:rsidR="000B4A1E" w:rsidRPr="003E2DBE" w:rsidRDefault="000B4A1E" w:rsidP="00517E51">
            <w:pPr>
              <w:pStyle w:val="TableofFigures"/>
              <w:rPr>
                <w:rFonts w:eastAsiaTheme="minorEastAsia"/>
                <w:szCs w:val="24"/>
                <w:lang w:eastAsia="en-AU"/>
              </w:rPr>
            </w:pPr>
            <w:r w:rsidRPr="003E2DBE">
              <w:rPr>
                <w:rFonts w:eastAsiaTheme="minorEastAsia"/>
                <w:szCs w:val="24"/>
                <w:lang w:eastAsia="en-AU"/>
              </w:rPr>
              <w:t>(1 157.4)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604.2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481.0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Revaluation</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( 278.9</w:t>
            </w:r>
            <w:r w:rsidRPr="003E2DBE">
              <w:rPr>
                <w:rFonts w:eastAsiaTheme="minorEastAsia" w:cs="Calibri"/>
                <w:szCs w:val="22"/>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szCs w:val="24"/>
                <w:lang w:eastAsia="en-AU"/>
              </w:rPr>
            </w:pPr>
            <w:r w:rsidRPr="003E2DBE">
              <w:rPr>
                <w:rFonts w:eastAsiaTheme="minorEastAsia"/>
                <w:szCs w:val="24"/>
                <w:lang w:eastAsia="en-AU"/>
              </w:rPr>
              <w:t>( 178.6)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4.4</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Disposals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( 747.0)</w:t>
            </w:r>
          </w:p>
        </w:tc>
        <w:tc>
          <w:tcPr>
            <w:tcW w:w="1123" w:type="dxa"/>
            <w:tcBorders>
              <w:top w:val="nil"/>
              <w:left w:val="nil"/>
              <w:bottom w:val="nil"/>
              <w:right w:val="nil"/>
            </w:tcBorders>
          </w:tcPr>
          <w:p w:rsidR="000B4A1E" w:rsidRPr="003E2DBE" w:rsidRDefault="000B4A1E" w:rsidP="00517E51">
            <w:pPr>
              <w:pStyle w:val="TableofFigures"/>
              <w:rPr>
                <w:rFonts w:eastAsiaTheme="minorEastAsia"/>
                <w:szCs w:val="24"/>
                <w:lang w:eastAsia="en-AU"/>
              </w:rPr>
            </w:pPr>
            <w:r w:rsidRPr="003E2DBE">
              <w:rPr>
                <w:rFonts w:eastAsiaTheme="minorEastAsia"/>
                <w:szCs w:val="24"/>
                <w:lang w:eastAsia="en-AU"/>
              </w:rPr>
              <w:t>( 581.2)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( 219.0)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( 508.7)</w:t>
            </w:r>
          </w:p>
        </w:tc>
      </w:tr>
      <w:tr w:rsidR="000B4A1E" w:rsidRPr="003E2DBE" w:rsidTr="00517E51">
        <w:tc>
          <w:tcPr>
            <w:tcW w:w="5156" w:type="dxa"/>
            <w:tcBorders>
              <w:top w:val="nil"/>
              <w:left w:val="nil"/>
              <w:bottom w:val="nil"/>
              <w:right w:val="nil"/>
            </w:tcBorders>
            <w:shd w:val="clear" w:color="auto" w:fill="auto"/>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Assets recognised for the first </w:t>
            </w:r>
            <w:r w:rsidRPr="003E2DBE">
              <w:rPr>
                <w:rFonts w:eastAsiaTheme="minorEastAsia" w:cs="Calibri"/>
                <w:szCs w:val="22"/>
                <w:lang w:eastAsia="en-AU"/>
              </w:rPr>
              <w:t>time</w:t>
            </w:r>
          </w:p>
        </w:tc>
        <w:tc>
          <w:tcPr>
            <w:tcW w:w="1123" w:type="dxa"/>
            <w:gridSpan w:val="2"/>
            <w:tcBorders>
              <w:top w:val="nil"/>
              <w:left w:val="nil"/>
              <w:bottom w:val="nil"/>
              <w:right w:val="nil"/>
            </w:tcBorders>
            <w:shd w:val="clear" w:color="auto"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233.5</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cs="Calibri"/>
                <w:szCs w:val="24"/>
                <w:lang w:eastAsia="en-AU"/>
              </w:rPr>
            </w:pPr>
            <w:r w:rsidRPr="003E2DBE">
              <w:rPr>
                <w:rFonts w:eastAsiaTheme="minorEastAsia"/>
                <w:sz w:val="20"/>
                <w:lang w:eastAsia="en-AU"/>
              </w:rPr>
              <w:t>(</w:t>
            </w:r>
            <w:r w:rsidRPr="003E2DBE">
              <w:rPr>
                <w:rFonts w:eastAsiaTheme="minorEastAsia" w:cs="Calibri"/>
                <w:szCs w:val="24"/>
                <w:lang w:eastAsia="en-AU"/>
              </w:rPr>
              <w:t>1 197.8)</w:t>
            </w:r>
          </w:p>
        </w:tc>
        <w:tc>
          <w:tcPr>
            <w:tcW w:w="1123" w:type="dxa"/>
            <w:gridSpan w:val="2"/>
            <w:tcBorders>
              <w:top w:val="nil"/>
              <w:left w:val="nil"/>
              <w:bottom w:val="nil"/>
              <w:right w:val="nil"/>
            </w:tcBorders>
            <w:shd w:val="clear" w:color="auto"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140.3</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3.3</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Impairment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( 27.4</w:t>
            </w:r>
            <w:r w:rsidRPr="003E2DBE">
              <w:rPr>
                <w:rFonts w:eastAsiaTheme="minorEastAsia" w:cs="Calibri"/>
                <w:szCs w:val="22"/>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szCs w:val="24"/>
                <w:lang w:eastAsia="en-AU"/>
              </w:rPr>
            </w:pPr>
            <w:r w:rsidRPr="003E2DBE">
              <w:rPr>
                <w:rFonts w:eastAsiaTheme="minorEastAsia"/>
                <w:szCs w:val="24"/>
                <w:lang w:eastAsia="en-AU"/>
              </w:rPr>
              <w:t>( 49.8)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( 4.3</w:t>
            </w:r>
            <w:r w:rsidRPr="003E2DBE">
              <w:rPr>
                <w:rFonts w:eastAsiaTheme="minorEastAsia" w:cs="Calibri"/>
                <w:szCs w:val="22"/>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( 45.5</w:t>
            </w:r>
            <w:r w:rsidRPr="003E2DBE">
              <w:rPr>
                <w:rFonts w:eastAsiaTheme="minorEastAsia" w:cs="Calibri"/>
                <w:szCs w:val="22"/>
                <w:lang w:eastAsia="en-AU"/>
              </w:rPr>
              <w:t>)</w:t>
            </w:r>
          </w:p>
        </w:tc>
      </w:tr>
      <w:tr w:rsidR="000B4A1E" w:rsidRPr="003E2DBE" w:rsidTr="00517E51">
        <w:tc>
          <w:tcPr>
            <w:tcW w:w="5156"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Depreciation</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(2 </w:t>
            </w:r>
            <w:r w:rsidRPr="003E2DBE">
              <w:rPr>
                <w:rFonts w:eastAsiaTheme="minorEastAsia" w:cs="Calibri"/>
                <w:szCs w:val="22"/>
                <w:lang w:eastAsia="en-AU"/>
              </w:rPr>
              <w:t>049.4)</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4"/>
                <w:lang w:eastAsia="en-AU"/>
              </w:rPr>
            </w:pPr>
            <w:r w:rsidRPr="003E2DBE">
              <w:rPr>
                <w:rFonts w:eastAsiaTheme="minorEastAsia"/>
                <w:szCs w:val="24"/>
                <w:lang w:eastAsia="en-AU"/>
              </w:rPr>
              <w:t>(1 963.0)</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( 607.1</w:t>
            </w:r>
            <w:r w:rsidRPr="003E2DBE">
              <w:rPr>
                <w:rFonts w:eastAsiaTheme="minorEastAsia" w:cs="Calibri"/>
                <w:szCs w:val="22"/>
                <w:lang w:eastAsia="en-AU"/>
              </w:rPr>
              <w:t>)</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( 608.9)</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 xml:space="preserve">Closing </w:t>
            </w:r>
            <w:r w:rsidRPr="003E2DBE">
              <w:rPr>
                <w:rFonts w:eastAsiaTheme="minorEastAsia" w:cs="Calibri"/>
                <w:b/>
                <w:bCs/>
                <w:szCs w:val="22"/>
                <w:lang w:eastAsia="en-AU"/>
              </w:rPr>
              <w:t>balance</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61 440.7</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szCs w:val="24"/>
                <w:lang w:eastAsia="en-AU"/>
              </w:rPr>
            </w:pPr>
            <w:r w:rsidRPr="003E2DBE">
              <w:rPr>
                <w:rFonts w:eastAsiaTheme="minorEastAsia"/>
                <w:b/>
                <w:szCs w:val="24"/>
                <w:lang w:eastAsia="en-AU"/>
              </w:rPr>
              <w:t>54 647.4</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5 212.4</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4 582.0</w:t>
            </w:r>
          </w:p>
        </w:tc>
      </w:tr>
    </w:tbl>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tab/>
      </w:r>
      <w:r w:rsidRPr="00D00665">
        <w:t>Restated balances at 30 June 2012. Refer to Note 36 of the Financial Statements.</w:t>
      </w:r>
    </w:p>
    <w:p w:rsidR="000B4A1E" w:rsidRPr="00D00665" w:rsidRDefault="000B4A1E" w:rsidP="00517E51"/>
    <w:p w:rsidR="000B4A1E" w:rsidRPr="00D00665" w:rsidRDefault="000B4A1E" w:rsidP="00517E51">
      <w:pPr>
        <w:pStyle w:val="Heading2NotesContd"/>
      </w:pPr>
      <w:r w:rsidRPr="00D00665">
        <w:br w:type="page"/>
      </w:r>
      <w:r w:rsidRPr="00D00665">
        <w:lastRenderedPageBreak/>
        <w:t>Note 22:</w:t>
      </w:r>
      <w:r w:rsidRPr="00D00665">
        <w:tab/>
        <w:t xml:space="preserve">Land, buildings, infrastructure, plant and equipment </w:t>
      </w:r>
      <w:r w:rsidRPr="00D00665">
        <w:rPr>
          <w:i/>
        </w:rPr>
        <w:t>(continued)</w:t>
      </w:r>
    </w:p>
    <w:p w:rsidR="000B4A1E" w:rsidRPr="00D00665" w:rsidRDefault="000B4A1E" w:rsidP="00517E51">
      <w:pPr>
        <w:pStyle w:val="Heading5"/>
      </w:pPr>
      <w:r w:rsidRPr="00D00665">
        <w:t>(f)</w:t>
      </w:r>
      <w:r w:rsidRPr="00D00665">
        <w:tab/>
        <w:t>Reconciliation of movements (continued)</w:t>
      </w:r>
    </w:p>
    <w:p w:rsidR="000B4A1E" w:rsidRPr="00D00665" w:rsidRDefault="000B4A1E" w:rsidP="00517E51">
      <w:pPr>
        <w:pStyle w:val="Heading5a"/>
      </w:pPr>
      <w:r w:rsidRPr="00D00665">
        <w:t>Reconciliation of movements in road networks and earthworks</w:t>
      </w:r>
    </w:p>
    <w:p w:rsidR="000B4A1E" w:rsidRPr="003E2DBE" w:rsidRDefault="000B4A1E" w:rsidP="00517E51">
      <w:pPr>
        <w:pStyle w:val="million"/>
      </w:pPr>
      <w:r w:rsidRPr="00D00665">
        <w:t>($</w:t>
      </w:r>
      <w:r>
        <w:t> million</w:t>
      </w:r>
      <w:r w:rsidRPr="00D00665">
        <w:t>)</w:t>
      </w:r>
      <w:bookmarkStart w:id="67" w:name="RANGE!B65:F75"/>
      <w:bookmarkStart w:id="68" w:name="RANGE!B67:F77"/>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172725215"/>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172725215"/>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i/>
                <w:iCs/>
                <w:lang w:eastAsia="en-AU"/>
              </w:rPr>
            </w:pPr>
            <w:r w:rsidRPr="003E2DBE">
              <w:rPr>
                <w:i/>
                <w:iCs/>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rFonts w:cs="Calibri"/>
                <w:iCs/>
                <w:szCs w:val="22"/>
                <w:lang w:eastAsia="en-AU"/>
              </w:rPr>
            </w:pPr>
            <w:r w:rsidRPr="003E2DBE">
              <w:rPr>
                <w:lang w:eastAsia="en-AU"/>
              </w:rPr>
              <w:t xml:space="preserve">2012 </w:t>
            </w:r>
            <w:r w:rsidRPr="003E2DBE">
              <w:rPr>
                <w:rFonts w:cs="Calibri"/>
                <w:iCs/>
                <w:szCs w:val="22"/>
                <w:vertAlign w:val="superscript"/>
                <w:lang w:eastAsia="en-AU"/>
              </w:rPr>
              <w:t>(a)</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rFonts w:cs="Calibri"/>
                <w:iCs/>
                <w:szCs w:val="22"/>
                <w:lang w:eastAsia="en-AU"/>
              </w:rPr>
            </w:pPr>
            <w:r w:rsidRPr="003E2DBE">
              <w:rPr>
                <w:lang w:eastAsia="en-AU"/>
              </w:rPr>
              <w:t xml:space="preserve">2012 </w:t>
            </w:r>
            <w:r w:rsidRPr="003E2DBE">
              <w:rPr>
                <w:rFonts w:cs="Calibri"/>
                <w:iCs/>
                <w:szCs w:val="22"/>
                <w:vertAlign w:val="superscript"/>
                <w:lang w:eastAsia="en-AU"/>
              </w:rPr>
              <w:t>(a)</w:t>
            </w:r>
          </w:p>
        </w:tc>
      </w:tr>
      <w:tr w:rsidR="000B4A1E" w:rsidRPr="003E2DBE" w:rsidTr="00517E51">
        <w:trPr>
          <w:divId w:val="117272521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Opening balance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27 </w:t>
            </w:r>
            <w:r w:rsidRPr="003E2DBE">
              <w:rPr>
                <w:rFonts w:cs="Calibri"/>
                <w:szCs w:val="22"/>
                <w:lang w:eastAsia="en-AU"/>
              </w:rPr>
              <w:t>579.6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25 </w:t>
            </w:r>
            <w:r w:rsidRPr="003E2DBE">
              <w:rPr>
                <w:rFonts w:cs="Calibri"/>
                <w:szCs w:val="22"/>
                <w:lang w:eastAsia="en-AU"/>
              </w:rPr>
              <w:t>539.5</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27 </w:t>
            </w:r>
            <w:r w:rsidRPr="003E2DBE">
              <w:rPr>
                <w:rFonts w:cs="Calibri"/>
                <w:szCs w:val="22"/>
                <w:lang w:eastAsia="en-AU"/>
              </w:rPr>
              <w:t>531.7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25 </w:t>
            </w:r>
            <w:r w:rsidRPr="003E2DBE">
              <w:rPr>
                <w:rFonts w:cs="Calibri"/>
                <w:szCs w:val="22"/>
                <w:lang w:eastAsia="en-AU"/>
              </w:rPr>
              <w:t>512.3</w:t>
            </w:r>
          </w:p>
        </w:tc>
      </w:tr>
      <w:tr w:rsidR="000B4A1E" w:rsidRPr="003E2DBE" w:rsidTr="00517E51">
        <w:trPr>
          <w:divId w:val="1172725215"/>
        </w:trPr>
        <w:tc>
          <w:tcPr>
            <w:tcW w:w="5156" w:type="dxa"/>
            <w:tcBorders>
              <w:top w:val="nil"/>
              <w:left w:val="nil"/>
              <w:bottom w:val="nil"/>
              <w:right w:val="nil"/>
            </w:tcBorders>
            <w:shd w:val="clear" w:color="auto" w:fill="auto"/>
            <w:noWrap/>
            <w:hideMark/>
          </w:tcPr>
          <w:p w:rsidR="000B4A1E" w:rsidRPr="003E2DBE" w:rsidRDefault="000B4A1E" w:rsidP="00517E51">
            <w:pPr>
              <w:pStyle w:val="Tabletext"/>
              <w:rPr>
                <w:lang w:eastAsia="en-AU"/>
              </w:rPr>
            </w:pPr>
            <w:r w:rsidRPr="003E2DBE">
              <w:rPr>
                <w:lang w:eastAsia="en-AU"/>
              </w:rPr>
              <w:t>Acquisitions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795.8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016.2</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771.0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000.4</w:t>
            </w:r>
          </w:p>
        </w:tc>
      </w:tr>
      <w:tr w:rsidR="000B4A1E" w:rsidRPr="003E2DBE" w:rsidTr="00517E51">
        <w:trPr>
          <w:divId w:val="117272521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 xml:space="preserve">Reclassification </w:t>
            </w:r>
            <w:r w:rsidRPr="003E2DBE">
              <w:rPr>
                <w:vertAlign w:val="superscript"/>
                <w:lang w:eastAsia="en-AU"/>
              </w:rPr>
              <w:t>(a)</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3.4)</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645.5)</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651.4)</w:t>
            </w:r>
          </w:p>
        </w:tc>
      </w:tr>
      <w:tr w:rsidR="000B4A1E" w:rsidRPr="003E2DBE" w:rsidTr="00517E51">
        <w:trPr>
          <w:divId w:val="117272521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Revaluation</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12.8)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353.1</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13.7)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352.9</w:t>
            </w:r>
          </w:p>
        </w:tc>
      </w:tr>
      <w:tr w:rsidR="000B4A1E" w:rsidRPr="003E2DBE" w:rsidTr="00517E51">
        <w:trPr>
          <w:divId w:val="117272521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Disposals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66.8)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133.3)</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66.7)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132.9)</w:t>
            </w:r>
          </w:p>
        </w:tc>
      </w:tr>
      <w:tr w:rsidR="000B4A1E" w:rsidRPr="003E2DBE" w:rsidTr="00517E51">
        <w:trPr>
          <w:divId w:val="117272521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Assets recognised for the first time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1.4</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0.6</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1.4</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17272521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Impairment</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12.8)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73.2)</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12.8)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73.2)</w:t>
            </w:r>
          </w:p>
        </w:tc>
      </w:tr>
      <w:tr w:rsidR="000B4A1E" w:rsidRPr="003E2DBE" w:rsidTr="00517E51">
        <w:trPr>
          <w:divId w:val="1172725215"/>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Depreciation</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543.9)</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477.7)</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541.0)</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476.3)</w:t>
            </w:r>
          </w:p>
        </w:tc>
      </w:tr>
      <w:tr w:rsidR="000B4A1E" w:rsidRPr="003E2DBE" w:rsidTr="00517E51">
        <w:trPr>
          <w:divId w:val="1172725215"/>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Closing balance</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28 </w:t>
            </w:r>
            <w:r w:rsidRPr="003E2DBE">
              <w:rPr>
                <w:rFonts w:cs="Calibri"/>
                <w:b/>
                <w:bCs/>
                <w:szCs w:val="22"/>
                <w:lang w:eastAsia="en-AU"/>
              </w:rPr>
              <w:t>737.2</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27 </w:t>
            </w:r>
            <w:r w:rsidRPr="003E2DBE">
              <w:rPr>
                <w:rFonts w:cs="Calibri"/>
                <w:b/>
                <w:bCs/>
                <w:szCs w:val="22"/>
                <w:lang w:eastAsia="en-AU"/>
              </w:rPr>
              <w:t>579.6</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28 </w:t>
            </w:r>
            <w:r w:rsidRPr="003E2DBE">
              <w:rPr>
                <w:rFonts w:cs="Calibri"/>
                <w:b/>
                <w:bCs/>
                <w:szCs w:val="22"/>
                <w:lang w:eastAsia="en-AU"/>
              </w:rPr>
              <w:t>666.6</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27 </w:t>
            </w:r>
            <w:r w:rsidRPr="003E2DBE">
              <w:rPr>
                <w:rFonts w:cs="Calibri"/>
                <w:b/>
                <w:bCs/>
                <w:szCs w:val="22"/>
                <w:lang w:eastAsia="en-AU"/>
              </w:rPr>
              <w:t>531.7</w:t>
            </w:r>
          </w:p>
        </w:tc>
      </w:tr>
    </w:tbl>
    <w:bookmarkEnd w:id="67"/>
    <w:bookmarkEnd w:id="68"/>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tab/>
      </w:r>
      <w:r w:rsidRPr="00D00665">
        <w:t>Restated balances at 30 June 2012. Refer to Note 36 of the Financial Statements.</w:t>
      </w:r>
    </w:p>
    <w:p w:rsidR="000B4A1E" w:rsidRPr="00D00665" w:rsidRDefault="000B4A1E" w:rsidP="00517E51"/>
    <w:p w:rsidR="000B4A1E" w:rsidRPr="00D00665" w:rsidRDefault="000B4A1E" w:rsidP="00517E51">
      <w:pPr>
        <w:pStyle w:val="Heading5a"/>
      </w:pPr>
      <w:r w:rsidRPr="00D00665">
        <w:t>Reconciliation of movements in cultural assets</w:t>
      </w:r>
    </w:p>
    <w:p w:rsidR="000B4A1E" w:rsidRPr="003E2DBE" w:rsidRDefault="000B4A1E" w:rsidP="00517E51">
      <w:pPr>
        <w:pStyle w:val="million"/>
      </w:pPr>
      <w:r w:rsidRPr="00D00665">
        <w:t>($</w:t>
      </w:r>
      <w:r>
        <w:t> million</w:t>
      </w:r>
      <w:r w:rsidRPr="00D00665">
        <w:t>)</w:t>
      </w:r>
      <w:bookmarkStart w:id="69" w:name="RANGE!B42:F52"/>
    </w:p>
    <w:tbl>
      <w:tblPr>
        <w:tblW w:w="9648" w:type="dxa"/>
        <w:tblInd w:w="29" w:type="dxa"/>
        <w:tblCellMar>
          <w:left w:w="43" w:type="dxa"/>
          <w:right w:w="43" w:type="dxa"/>
        </w:tblCellMar>
        <w:tblLook w:val="04A0" w:firstRow="1" w:lastRow="0" w:firstColumn="1" w:lastColumn="0" w:noHBand="0" w:noVBand="1"/>
      </w:tblPr>
      <w:tblGrid>
        <w:gridCol w:w="5156"/>
        <w:gridCol w:w="258"/>
        <w:gridCol w:w="865"/>
        <w:gridCol w:w="1123"/>
        <w:gridCol w:w="262"/>
        <w:gridCol w:w="861"/>
        <w:gridCol w:w="1123"/>
      </w:tblGrid>
      <w:tr w:rsidR="000B4A1E" w:rsidRPr="003E2DBE" w:rsidTr="00517E51">
        <w:trPr>
          <w:divId w:val="1214535702"/>
        </w:trPr>
        <w:tc>
          <w:tcPr>
            <w:tcW w:w="5156" w:type="dxa"/>
            <w:tcBorders>
              <w:top w:val="single" w:sz="12" w:space="0" w:color="auto"/>
              <w:left w:val="single" w:sz="12"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258" w:type="dxa"/>
            <w:tcBorders>
              <w:top w:val="single" w:sz="12" w:space="0" w:color="auto"/>
              <w:left w:val="nil"/>
              <w:bottom w:val="nil"/>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 </w:t>
            </w:r>
          </w:p>
        </w:tc>
        <w:tc>
          <w:tcPr>
            <w:tcW w:w="1988" w:type="dxa"/>
            <w:gridSpan w:val="2"/>
            <w:tcBorders>
              <w:top w:val="single" w:sz="12"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262" w:type="dxa"/>
            <w:tcBorders>
              <w:top w:val="single" w:sz="12" w:space="0" w:color="auto"/>
              <w:left w:val="nil"/>
              <w:bottom w:val="nil"/>
              <w:right w:val="nil"/>
            </w:tcBorders>
            <w:shd w:val="clear" w:color="auto" w:fill="000000"/>
            <w:noWrap/>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1984" w:type="dxa"/>
            <w:gridSpan w:val="2"/>
            <w:tcBorders>
              <w:top w:val="single" w:sz="12" w:space="0" w:color="auto"/>
              <w:left w:val="nil"/>
              <w:bottom w:val="nil"/>
              <w:right w:val="single" w:sz="12"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214535702"/>
        </w:trPr>
        <w:tc>
          <w:tcPr>
            <w:tcW w:w="5156" w:type="dxa"/>
            <w:tcBorders>
              <w:top w:val="nil"/>
              <w:left w:val="single" w:sz="12" w:space="0" w:color="auto"/>
              <w:bottom w:val="single" w:sz="12"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12" w:space="0" w:color="auto"/>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12" w:space="0" w:color="auto"/>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12" w:space="0" w:color="auto"/>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12" w:space="0" w:color="auto"/>
              <w:right w:val="single" w:sz="12"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214535702"/>
        </w:trPr>
        <w:tc>
          <w:tcPr>
            <w:tcW w:w="5156" w:type="dxa"/>
            <w:tcBorders>
              <w:top w:val="single" w:sz="12" w:space="0" w:color="auto"/>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Opening balance</w:t>
            </w:r>
          </w:p>
        </w:tc>
        <w:tc>
          <w:tcPr>
            <w:tcW w:w="1123" w:type="dxa"/>
            <w:gridSpan w:val="2"/>
            <w:tcBorders>
              <w:top w:val="single" w:sz="12"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513.1</w:t>
            </w:r>
          </w:p>
        </w:tc>
        <w:tc>
          <w:tcPr>
            <w:tcW w:w="1123" w:type="dxa"/>
            <w:tcBorders>
              <w:top w:val="single" w:sz="12"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387.3</w:t>
            </w:r>
          </w:p>
        </w:tc>
        <w:tc>
          <w:tcPr>
            <w:tcW w:w="1123" w:type="dxa"/>
            <w:gridSpan w:val="2"/>
            <w:tcBorders>
              <w:top w:val="single" w:sz="12"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458.1</w:t>
            </w:r>
          </w:p>
        </w:tc>
        <w:tc>
          <w:tcPr>
            <w:tcW w:w="1123" w:type="dxa"/>
            <w:tcBorders>
              <w:top w:val="single" w:sz="12"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333.0</w:t>
            </w:r>
          </w:p>
        </w:tc>
      </w:tr>
      <w:tr w:rsidR="000B4A1E" w:rsidRPr="003E2DBE" w:rsidTr="00517E51">
        <w:trPr>
          <w:divId w:val="1214535702"/>
        </w:trPr>
        <w:tc>
          <w:tcPr>
            <w:tcW w:w="5156" w:type="dxa"/>
            <w:tcBorders>
              <w:top w:val="nil"/>
              <w:left w:val="nil"/>
              <w:bottom w:val="nil"/>
              <w:right w:val="nil"/>
            </w:tcBorders>
            <w:shd w:val="clear" w:color="auto" w:fill="auto"/>
            <w:noWrap/>
            <w:hideMark/>
          </w:tcPr>
          <w:p w:rsidR="000B4A1E" w:rsidRPr="003E2DBE" w:rsidRDefault="000B4A1E" w:rsidP="00517E51">
            <w:pPr>
              <w:pStyle w:val="Tabletext"/>
              <w:rPr>
                <w:lang w:eastAsia="en-AU"/>
              </w:rPr>
            </w:pPr>
            <w:r w:rsidRPr="003E2DBE">
              <w:rPr>
                <w:lang w:eastAsia="en-AU"/>
              </w:rPr>
              <w:t>Acquisitions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18.7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25.7</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18.2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25.0</w:t>
            </w:r>
          </w:p>
        </w:tc>
      </w:tr>
      <w:tr w:rsidR="000B4A1E" w:rsidRPr="003E2DBE" w:rsidTr="00517E51">
        <w:trPr>
          <w:divId w:val="121453570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Reclassification</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36.3</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36.3</w:t>
            </w:r>
          </w:p>
        </w:tc>
      </w:tr>
      <w:tr w:rsidR="000B4A1E" w:rsidRPr="003E2DBE" w:rsidTr="00517E51">
        <w:trPr>
          <w:divId w:val="121453570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Revaluation</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0.4</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87.9</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87.9</w:t>
            </w:r>
          </w:p>
        </w:tc>
      </w:tr>
      <w:tr w:rsidR="000B4A1E" w:rsidRPr="003E2DBE" w:rsidTr="00517E51">
        <w:trPr>
          <w:divId w:val="121453570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Disposals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0.3)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8.8)</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0.3)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8.8)</w:t>
            </w:r>
          </w:p>
        </w:tc>
      </w:tr>
      <w:tr w:rsidR="000B4A1E" w:rsidRPr="003E2DBE" w:rsidTr="00517E51">
        <w:trPr>
          <w:divId w:val="121453570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Assets recognised for the first time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0.2</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0.2</w:t>
            </w:r>
          </w:p>
        </w:tc>
      </w:tr>
      <w:tr w:rsidR="000B4A1E" w:rsidRPr="003E2DBE" w:rsidTr="00517E51">
        <w:trPr>
          <w:divId w:val="121453570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Impairment</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color w:val="0000FF"/>
                <w:szCs w:val="22"/>
                <w:lang w:eastAsia="en-AU"/>
              </w:rPr>
            </w:pPr>
            <w:r>
              <w:rPr>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color w:val="0000FF"/>
                <w:szCs w:val="22"/>
                <w:lang w:eastAsia="en-AU"/>
              </w:rPr>
            </w:pPr>
            <w:r>
              <w:rPr>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214535702"/>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Depreciation</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21.8)</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15.6)</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21.8)</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15.6)</w:t>
            </w:r>
          </w:p>
        </w:tc>
      </w:tr>
      <w:tr w:rsidR="000B4A1E" w:rsidRPr="003E2DBE" w:rsidTr="00517E51">
        <w:trPr>
          <w:divId w:val="1214535702"/>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Closing balance</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514.1</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513.1</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458.7</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458.1</w:t>
            </w:r>
          </w:p>
        </w:tc>
      </w:tr>
      <w:bookmarkEnd w:id="69"/>
    </w:tbl>
    <w:p w:rsidR="000B4A1E" w:rsidRPr="00D00665" w:rsidRDefault="000B4A1E" w:rsidP="00517E51"/>
    <w:p w:rsidR="000B4A1E" w:rsidRPr="00D00665" w:rsidRDefault="000B4A1E" w:rsidP="00517E51">
      <w:pPr>
        <w:pStyle w:val="Heading2Notes"/>
      </w:pPr>
      <w:r w:rsidRPr="00D00665">
        <w:br w:type="page"/>
      </w:r>
      <w:bookmarkStart w:id="70" w:name="_Toc367947882"/>
      <w:r w:rsidRPr="00D00665">
        <w:lastRenderedPageBreak/>
        <w:t>Note 23:</w:t>
      </w:r>
      <w:r w:rsidRPr="00D00665">
        <w:tab/>
        <w:t>Other non</w:t>
      </w:r>
      <w:r w:rsidRPr="00D00665">
        <w:noBreakHyphen/>
        <w:t>financial assets</w:t>
      </w:r>
      <w:bookmarkEnd w:id="70"/>
    </w:p>
    <w:p w:rsidR="000B4A1E" w:rsidRPr="003E2DBE" w:rsidRDefault="000B4A1E" w:rsidP="00517E51">
      <w:pPr>
        <w:pStyle w:val="million"/>
        <w:rPr>
          <w:rFonts w:ascii="Times New Roman" w:hAnsi="Times New Roman"/>
          <w:i w:val="0"/>
          <w:szCs w:val="20"/>
          <w:lang w:eastAsia="en-AU"/>
        </w:rPr>
      </w:pPr>
      <w:r w:rsidRPr="00D00665">
        <w:t>($</w:t>
      </w:r>
      <w:r>
        <w:t> million</w:t>
      </w:r>
      <w:r w:rsidRPr="00D00665">
        <w:t>)</w:t>
      </w:r>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575047772"/>
        </w:trPr>
        <w:tc>
          <w:tcPr>
            <w:tcW w:w="5156" w:type="dxa"/>
            <w:tcBorders>
              <w:top w:val="single" w:sz="4" w:space="0" w:color="auto"/>
              <w:left w:val="single" w:sz="4" w:space="0" w:color="auto"/>
              <w:bottom w:val="nil"/>
              <w:right w:val="nil"/>
            </w:tcBorders>
            <w:shd w:val="clear" w:color="auto" w:fill="000000"/>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575047772"/>
        </w:trPr>
        <w:tc>
          <w:tcPr>
            <w:tcW w:w="5156" w:type="dxa"/>
            <w:tcBorders>
              <w:top w:val="nil"/>
              <w:left w:val="single" w:sz="4" w:space="0" w:color="auto"/>
              <w:bottom w:val="single" w:sz="4" w:space="0" w:color="auto"/>
              <w:right w:val="nil"/>
            </w:tcBorders>
            <w:shd w:val="clear" w:color="auto" w:fill="000000"/>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57504777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 xml:space="preserve">Intangible produced assets </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799.1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550.7</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062.1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895.0</w:t>
            </w:r>
          </w:p>
        </w:tc>
      </w:tr>
      <w:tr w:rsidR="000B4A1E" w:rsidRPr="003E2DBE" w:rsidTr="00517E51">
        <w:trPr>
          <w:divId w:val="157504777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i/>
                <w:iCs/>
                <w:lang w:eastAsia="en-AU"/>
              </w:rPr>
            </w:pPr>
            <w:r w:rsidRPr="003E2DBE">
              <w:rPr>
                <w:i/>
                <w:iCs/>
                <w:lang w:eastAsia="en-AU"/>
              </w:rPr>
              <w:t>Accumulated depreciation</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799.0)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554.6)</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476.3)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394.6)</w:t>
            </w:r>
          </w:p>
        </w:tc>
      </w:tr>
      <w:tr w:rsidR="000B4A1E" w:rsidRPr="003E2DBE" w:rsidTr="00517E51">
        <w:trPr>
          <w:divId w:val="157504777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 xml:space="preserve">Intangible non-produced assets </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813.7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780.1</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168.1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105.5</w:t>
            </w:r>
          </w:p>
        </w:tc>
      </w:tr>
      <w:tr w:rsidR="000B4A1E" w:rsidRPr="003E2DBE" w:rsidTr="00517E51">
        <w:trPr>
          <w:divId w:val="157504777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i/>
                <w:iCs/>
                <w:lang w:eastAsia="en-AU"/>
              </w:rPr>
            </w:pPr>
            <w:r w:rsidRPr="003E2DBE">
              <w:rPr>
                <w:i/>
                <w:iCs/>
                <w:lang w:eastAsia="en-AU"/>
              </w:rPr>
              <w:t>Accumulated amortisation</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178.3)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236.7)</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90.0)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62.6)</w:t>
            </w:r>
          </w:p>
        </w:tc>
      </w:tr>
      <w:tr w:rsidR="000B4A1E" w:rsidRPr="003E2DBE" w:rsidTr="00517E51">
        <w:trPr>
          <w:divId w:val="1575047772"/>
        </w:trPr>
        <w:tc>
          <w:tcPr>
            <w:tcW w:w="5156"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 xml:space="preserve">Total intangibles </w:t>
            </w:r>
          </w:p>
        </w:tc>
        <w:tc>
          <w:tcPr>
            <w:tcW w:w="1123" w:type="dxa"/>
            <w:gridSpan w:val="2"/>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635.4</w:t>
            </w:r>
          </w:p>
        </w:tc>
        <w:tc>
          <w:tcPr>
            <w:tcW w:w="1123"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539.4</w:t>
            </w:r>
          </w:p>
        </w:tc>
        <w:tc>
          <w:tcPr>
            <w:tcW w:w="1123" w:type="dxa"/>
            <w:gridSpan w:val="2"/>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663.8</w:t>
            </w:r>
          </w:p>
        </w:tc>
        <w:tc>
          <w:tcPr>
            <w:tcW w:w="1123"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543.3</w:t>
            </w:r>
          </w:p>
        </w:tc>
      </w:tr>
      <w:tr w:rsidR="000B4A1E" w:rsidRPr="003E2DBE" w:rsidTr="00517E51">
        <w:trPr>
          <w:divId w:val="157504777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Investment properties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70.6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52.2</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53.5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42.2</w:t>
            </w:r>
          </w:p>
        </w:tc>
      </w:tr>
      <w:tr w:rsidR="000B4A1E" w:rsidRPr="003E2DBE" w:rsidTr="00517E51">
        <w:trPr>
          <w:divId w:val="1575047772"/>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 xml:space="preserve">Biological assets </w:t>
            </w:r>
            <w:r w:rsidRPr="003E2DBE">
              <w:rPr>
                <w:vertAlign w:val="superscript"/>
                <w:lang w:eastAsia="en-AU"/>
              </w:rPr>
              <w:t>(a)</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63.8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23.3</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41.8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6.0</w:t>
            </w:r>
          </w:p>
        </w:tc>
      </w:tr>
      <w:tr w:rsidR="000B4A1E" w:rsidRPr="003E2DBE" w:rsidTr="00517E51">
        <w:trPr>
          <w:divId w:val="1575047772"/>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Other assets</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283.2</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240.1</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195.1</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152.4</w:t>
            </w:r>
          </w:p>
        </w:tc>
      </w:tr>
      <w:tr w:rsidR="000B4A1E" w:rsidRPr="003E2DBE" w:rsidTr="00517E51">
        <w:trPr>
          <w:divId w:val="1575047772"/>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 other non-financial assets</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053.1</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855.0</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954.3</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744.0</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The majority of biological assets comprises commercial forests and also includes any living animal, plant or agricultural produce which is the harvested product of biological assets.</w:t>
      </w:r>
    </w:p>
    <w:p w:rsidR="000B4A1E" w:rsidRPr="00D00665" w:rsidRDefault="000B4A1E" w:rsidP="00517E51">
      <w:pPr>
        <w:pStyle w:val="Notes"/>
      </w:pPr>
    </w:p>
    <w:p w:rsidR="000B4A1E" w:rsidRPr="00D00665" w:rsidRDefault="000B4A1E" w:rsidP="00517E51"/>
    <w:p w:rsidR="000B4A1E" w:rsidRPr="00D00665" w:rsidRDefault="000B4A1E" w:rsidP="00517E51">
      <w:pPr>
        <w:pStyle w:val="Tableheading"/>
      </w:pPr>
      <w:r w:rsidRPr="00D00665">
        <w:t>Reconciliation of movement in intangibles, investment properties and biological assets</w:t>
      </w:r>
    </w:p>
    <w:p w:rsidR="000B4A1E" w:rsidRPr="003E2DBE" w:rsidRDefault="000B4A1E" w:rsidP="00517E51">
      <w:pPr>
        <w:pStyle w:val="million"/>
      </w:pPr>
      <w:r w:rsidRPr="00D00665">
        <w:t>($</w:t>
      </w:r>
      <w:r>
        <w:t> million</w:t>
      </w:r>
      <w:r w:rsidRPr="00D00665">
        <w:t>)</w:t>
      </w:r>
      <w:bookmarkStart w:id="71" w:name="RANGE!B27:F37"/>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676074706"/>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676074706"/>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67607470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Opening balance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614.9</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559.2</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591.6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604.1</w:t>
            </w:r>
          </w:p>
        </w:tc>
      </w:tr>
      <w:tr w:rsidR="000B4A1E" w:rsidRPr="003E2DBE" w:rsidTr="00517E51">
        <w:trPr>
          <w:divId w:val="676074706"/>
        </w:trPr>
        <w:tc>
          <w:tcPr>
            <w:tcW w:w="5156" w:type="dxa"/>
            <w:tcBorders>
              <w:top w:val="nil"/>
              <w:left w:val="nil"/>
              <w:bottom w:val="nil"/>
              <w:right w:val="nil"/>
            </w:tcBorders>
            <w:shd w:val="clear" w:color="auto" w:fill="auto"/>
            <w:noWrap/>
            <w:hideMark/>
          </w:tcPr>
          <w:p w:rsidR="000B4A1E" w:rsidRPr="003E2DBE" w:rsidRDefault="000B4A1E" w:rsidP="00517E51">
            <w:pPr>
              <w:pStyle w:val="Tabletext"/>
              <w:rPr>
                <w:lang w:eastAsia="en-AU"/>
              </w:rPr>
            </w:pPr>
            <w:r w:rsidRPr="003E2DBE">
              <w:rPr>
                <w:lang w:eastAsia="en-AU"/>
              </w:rPr>
              <w:t>Acquisitions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500.7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360.9</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302.6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150.3</w:t>
            </w:r>
          </w:p>
        </w:tc>
      </w:tr>
      <w:tr w:rsidR="000B4A1E" w:rsidRPr="003E2DBE" w:rsidTr="00517E51">
        <w:trPr>
          <w:divId w:val="67607470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Reclassification</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29.8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19.1)</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27.3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0.4)</w:t>
            </w:r>
          </w:p>
        </w:tc>
      </w:tr>
      <w:tr w:rsidR="000B4A1E" w:rsidRPr="003E2DBE" w:rsidTr="00517E51">
        <w:trPr>
          <w:divId w:val="67607470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Revaluation</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7.3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0.3)</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7.1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0.6</w:t>
            </w:r>
          </w:p>
        </w:tc>
      </w:tr>
      <w:tr w:rsidR="000B4A1E" w:rsidRPr="003E2DBE" w:rsidTr="00517E51">
        <w:trPr>
          <w:divId w:val="67607470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Disposals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155.1)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90.9)</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24.8)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69.6)</w:t>
            </w:r>
          </w:p>
        </w:tc>
      </w:tr>
      <w:tr w:rsidR="000B4A1E" w:rsidRPr="003E2DBE" w:rsidTr="00517E51">
        <w:trPr>
          <w:divId w:val="67607470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Assets recognised for the first time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6.9</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5.9</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4.9</w:t>
            </w:r>
          </w:p>
        </w:tc>
      </w:tr>
      <w:tr w:rsidR="000B4A1E" w:rsidRPr="003E2DBE" w:rsidTr="00517E51">
        <w:trPr>
          <w:divId w:val="67607470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Impairment</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32.7)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30.3)</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31.0)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3.5)</w:t>
            </w:r>
          </w:p>
        </w:tc>
      </w:tr>
      <w:tr w:rsidR="000B4A1E" w:rsidRPr="003E2DBE" w:rsidTr="00517E51">
        <w:trPr>
          <w:divId w:val="676074706"/>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 xml:space="preserve">Amortisation and depreciation </w:t>
            </w:r>
            <w:r w:rsidRPr="003E2DBE">
              <w:rPr>
                <w:vertAlign w:val="superscript"/>
                <w:lang w:eastAsia="en-AU"/>
              </w:rPr>
              <w:t>(a)</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202.0)</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170.4)</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115.6)</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94.9)</w:t>
            </w:r>
          </w:p>
        </w:tc>
      </w:tr>
      <w:tr w:rsidR="000B4A1E" w:rsidRPr="003E2DBE" w:rsidTr="00517E51">
        <w:trPr>
          <w:divId w:val="676074706"/>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 xml:space="preserve">Closing balance </w:t>
            </w:r>
            <w:r w:rsidRPr="003E2DBE">
              <w:rPr>
                <w:b/>
                <w:bCs/>
                <w:vertAlign w:val="superscript"/>
                <w:lang w:eastAsia="en-AU"/>
              </w:rPr>
              <w:t>(b)</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szCs w:val="24"/>
                <w:lang w:eastAsia="en-AU"/>
              </w:rPr>
              <w:t xml:space="preserve">1 </w:t>
            </w:r>
            <w:r w:rsidRPr="003E2DBE">
              <w:rPr>
                <w:rFonts w:cs="Calibri"/>
                <w:b/>
                <w:bCs/>
                <w:szCs w:val="24"/>
                <w:lang w:eastAsia="en-AU"/>
              </w:rPr>
              <w:t>769.9</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szCs w:val="24"/>
                <w:lang w:eastAsia="en-AU"/>
              </w:rPr>
              <w:t xml:space="preserve">1 </w:t>
            </w:r>
            <w:r w:rsidRPr="003E2DBE">
              <w:rPr>
                <w:rFonts w:cs="Calibri"/>
                <w:b/>
                <w:bCs/>
                <w:szCs w:val="24"/>
                <w:lang w:eastAsia="en-AU"/>
              </w:rPr>
              <w:t>614.9</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szCs w:val="24"/>
                <w:lang w:eastAsia="en-AU"/>
              </w:rPr>
              <w:t xml:space="preserve"> 759.2</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szCs w:val="24"/>
                <w:lang w:eastAsia="en-AU"/>
              </w:rPr>
              <w:t xml:space="preserve"> 591.6</w:t>
            </w:r>
          </w:p>
        </w:tc>
      </w:tr>
    </w:tbl>
    <w:bookmarkEnd w:id="71"/>
    <w:p w:rsidR="000B4A1E" w:rsidRPr="00D00665" w:rsidRDefault="000B4A1E" w:rsidP="00517E51">
      <w:pPr>
        <w:pStyle w:val="Notes"/>
      </w:pPr>
      <w:r w:rsidRPr="00D00665">
        <w:t>Notes:</w:t>
      </w:r>
    </w:p>
    <w:p w:rsidR="000B4A1E" w:rsidRPr="00D00665" w:rsidRDefault="000B4A1E" w:rsidP="00517E51">
      <w:pPr>
        <w:pStyle w:val="Notes"/>
      </w:pPr>
      <w:r w:rsidRPr="00D00665">
        <w:t>(a)</w:t>
      </w:r>
      <w:r w:rsidRPr="00D00665">
        <w:tab/>
        <w:t>For produced and non</w:t>
      </w:r>
      <w:r w:rsidRPr="00D00665">
        <w:noBreakHyphen/>
        <w:t>produced assets.</w:t>
      </w:r>
    </w:p>
    <w:p w:rsidR="000B4A1E" w:rsidRPr="00D00665" w:rsidRDefault="000B4A1E" w:rsidP="00517E51">
      <w:pPr>
        <w:pStyle w:val="Notes"/>
      </w:pPr>
      <w:r w:rsidRPr="00D00665">
        <w:t>(b)</w:t>
      </w:r>
      <w:r w:rsidRPr="00D00665">
        <w:tab/>
        <w:t xml:space="preserve">Reconciliation does not include movements of </w:t>
      </w:r>
      <w:r>
        <w:t>‘</w:t>
      </w:r>
      <w:r w:rsidRPr="00D00665">
        <w:t>other</w:t>
      </w:r>
      <w:r>
        <w:t>’</w:t>
      </w:r>
      <w:r w:rsidRPr="00D00665">
        <w:t xml:space="preserve"> assets.</w:t>
      </w:r>
    </w:p>
    <w:p w:rsidR="000B4A1E" w:rsidRPr="00D00665" w:rsidRDefault="000B4A1E" w:rsidP="00517E51"/>
    <w:p w:rsidR="000B4A1E" w:rsidRPr="00D00665" w:rsidRDefault="000B4A1E" w:rsidP="00517E51">
      <w:pPr>
        <w:pStyle w:val="Heading2Notes"/>
      </w:pPr>
      <w:r w:rsidRPr="00D00665">
        <w:br w:type="page"/>
      </w:r>
      <w:bookmarkStart w:id="72" w:name="_Toc367947883"/>
      <w:r w:rsidRPr="00D00665">
        <w:lastRenderedPageBreak/>
        <w:t>Note 24:</w:t>
      </w:r>
      <w:r w:rsidRPr="00D00665">
        <w:tab/>
        <w:t>Assets classified by government purpose classification</w:t>
      </w:r>
      <w:bookmarkEnd w:id="72"/>
    </w:p>
    <w:p w:rsidR="000B4A1E" w:rsidRPr="00D00665" w:rsidRDefault="000B4A1E" w:rsidP="00517E51">
      <w:pPr>
        <w:pStyle w:val="Tableheading"/>
      </w:pPr>
      <w:r w:rsidRPr="00D00665">
        <w:t>(a)</w:t>
      </w:r>
      <w:r w:rsidRPr="00D00665">
        <w:tab/>
        <w:t>Purchases of non</w:t>
      </w:r>
      <w:r w:rsidRPr="00D00665">
        <w:noBreakHyphen/>
        <w:t>financial assets</w:t>
      </w:r>
    </w:p>
    <w:p w:rsidR="000B4A1E" w:rsidRPr="003E2DBE" w:rsidRDefault="000B4A1E" w:rsidP="00517E51">
      <w:pPr>
        <w:pStyle w:val="million"/>
      </w:pPr>
      <w:r w:rsidRPr="00D00665">
        <w:t>($</w:t>
      </w:r>
      <w:r>
        <w:t> million</w:t>
      </w:r>
      <w:r w:rsidRPr="00D00665">
        <w:t>)</w:t>
      </w:r>
      <w:bookmarkStart w:id="73" w:name="RANGE!B6:F21"/>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16873887"/>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16873887"/>
        </w:trPr>
        <w:tc>
          <w:tcPr>
            <w:tcW w:w="5156" w:type="dxa"/>
            <w:tcBorders>
              <w:top w:val="nil"/>
              <w:left w:val="single" w:sz="4" w:space="0" w:color="auto"/>
              <w:bottom w:val="single" w:sz="4" w:space="0" w:color="auto"/>
              <w:right w:val="nil"/>
            </w:tcBorders>
            <w:shd w:val="clear" w:color="auto" w:fill="000000"/>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16873887"/>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General public services</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260.1</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92.2</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65.9</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30.5</w:t>
            </w:r>
          </w:p>
        </w:tc>
      </w:tr>
      <w:tr w:rsidR="000B4A1E" w:rsidRPr="003E2DBE" w:rsidTr="00517E51">
        <w:trPr>
          <w:divId w:val="116873887"/>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Public order and safety</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526.7</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348.6</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526.7</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348.6</w:t>
            </w:r>
          </w:p>
        </w:tc>
      </w:tr>
      <w:tr w:rsidR="000B4A1E" w:rsidRPr="003E2DBE" w:rsidTr="00517E51">
        <w:trPr>
          <w:divId w:val="116873887"/>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Education</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676.9</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312.0</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676.9</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312.0</w:t>
            </w:r>
          </w:p>
        </w:tc>
      </w:tr>
      <w:tr w:rsidR="000B4A1E" w:rsidRPr="003E2DBE" w:rsidTr="00517E51">
        <w:trPr>
          <w:divId w:val="116873887"/>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Health</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794.9</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632.1</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794.6</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632.1</w:t>
            </w:r>
          </w:p>
        </w:tc>
      </w:tr>
      <w:tr w:rsidR="000B4A1E" w:rsidRPr="003E2DBE" w:rsidTr="00517E51">
        <w:trPr>
          <w:divId w:val="116873887"/>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Social security and welfare</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31.9</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41.3</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31.9</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41.3</w:t>
            </w:r>
          </w:p>
        </w:tc>
      </w:tr>
      <w:tr w:rsidR="000B4A1E" w:rsidRPr="003E2DBE" w:rsidTr="00517E51">
        <w:trPr>
          <w:divId w:val="116873887"/>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Housing and community amenities</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181.9</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246.0</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122.7</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160.4</w:t>
            </w:r>
          </w:p>
        </w:tc>
      </w:tr>
      <w:tr w:rsidR="000B4A1E" w:rsidRPr="003E2DBE" w:rsidTr="00517E51">
        <w:trPr>
          <w:divId w:val="116873887"/>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Recreation and culture</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211.2</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293.0</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30.2</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70.4</w:t>
            </w:r>
          </w:p>
        </w:tc>
      </w:tr>
      <w:tr w:rsidR="000B4A1E" w:rsidRPr="003E2DBE" w:rsidTr="00517E51">
        <w:trPr>
          <w:divId w:val="116873887"/>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Fuel and energy</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2.6</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2.6</w:t>
            </w:r>
          </w:p>
        </w:tc>
      </w:tr>
      <w:tr w:rsidR="000B4A1E" w:rsidRPr="003E2DBE" w:rsidTr="00517E51">
        <w:trPr>
          <w:divId w:val="116873887"/>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Agriculture, forestry, fishing, and hunting</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41.3</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16.7</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35.3</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18.0</w:t>
            </w:r>
          </w:p>
        </w:tc>
      </w:tr>
      <w:tr w:rsidR="000B4A1E" w:rsidRPr="003E2DBE" w:rsidTr="00517E51">
        <w:trPr>
          <w:divId w:val="116873887"/>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Mining, manufacturing, and construction</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0.1</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0.1</w:t>
            </w:r>
          </w:p>
        </w:tc>
      </w:tr>
      <w:tr w:rsidR="000B4A1E" w:rsidRPr="003E2DBE" w:rsidTr="00517E51">
        <w:trPr>
          <w:divId w:val="116873887"/>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Transport and communications</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771.9</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505.3</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748.7</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924.9</w:t>
            </w:r>
          </w:p>
        </w:tc>
      </w:tr>
      <w:tr w:rsidR="000B4A1E" w:rsidRPr="003E2DBE" w:rsidTr="00517E51">
        <w:trPr>
          <w:divId w:val="116873887"/>
        </w:trPr>
        <w:tc>
          <w:tcPr>
            <w:tcW w:w="5156" w:type="dxa"/>
            <w:tcBorders>
              <w:top w:val="nil"/>
              <w:left w:val="nil"/>
              <w:bottom w:val="nil"/>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Other economic affairs</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99.4</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23.4</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99.4</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23.4</w:t>
            </w:r>
          </w:p>
        </w:tc>
      </w:tr>
      <w:tr w:rsidR="000B4A1E" w:rsidRPr="003E2DBE" w:rsidTr="00517E51">
        <w:trPr>
          <w:divId w:val="116873887"/>
        </w:trPr>
        <w:tc>
          <w:tcPr>
            <w:tcW w:w="5156" w:type="dxa"/>
            <w:tcBorders>
              <w:top w:val="nil"/>
              <w:left w:val="nil"/>
              <w:bottom w:val="single" w:sz="4" w:space="0" w:color="auto"/>
              <w:right w:val="nil"/>
            </w:tcBorders>
            <w:shd w:val="clear" w:color="000000" w:fill="FFFFFF"/>
            <w:vAlign w:val="bottom"/>
            <w:hideMark/>
          </w:tcPr>
          <w:p w:rsidR="000B4A1E" w:rsidRPr="003E2DBE" w:rsidRDefault="000B4A1E" w:rsidP="00517E51">
            <w:pPr>
              <w:pStyle w:val="Tabletext"/>
              <w:rPr>
                <w:lang w:eastAsia="en-AU"/>
              </w:rPr>
            </w:pPr>
            <w:r w:rsidRPr="003E2DBE">
              <w:rPr>
                <w:lang w:eastAsia="en-AU"/>
              </w:rPr>
              <w:t>Other purposes</w:t>
            </w:r>
            <w:r w:rsidRPr="003E2DBE">
              <w:rPr>
                <w:vertAlign w:val="superscript"/>
                <w:lang w:eastAsia="en-AU"/>
              </w:rPr>
              <w:t xml:space="preserve"> </w:t>
            </w:r>
          </w:p>
        </w:tc>
        <w:tc>
          <w:tcPr>
            <w:tcW w:w="1123" w:type="dxa"/>
            <w:gridSpan w:val="2"/>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1.7</w:t>
            </w:r>
          </w:p>
        </w:tc>
        <w:tc>
          <w:tcPr>
            <w:tcW w:w="1123"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0.7</w:t>
            </w:r>
          </w:p>
        </w:tc>
        <w:tc>
          <w:tcPr>
            <w:tcW w:w="1123" w:type="dxa"/>
            <w:gridSpan w:val="2"/>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0.8</w:t>
            </w:r>
          </w:p>
        </w:tc>
        <w:tc>
          <w:tcPr>
            <w:tcW w:w="1123"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0.7</w:t>
            </w:r>
          </w:p>
        </w:tc>
      </w:tr>
      <w:tr w:rsidR="000B4A1E" w:rsidRPr="003E2DBE" w:rsidTr="00517E51">
        <w:trPr>
          <w:divId w:val="116873887"/>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 purchases of non-financial assets</w:t>
            </w:r>
            <w:r w:rsidRPr="003E2DBE">
              <w:rPr>
                <w:b/>
                <w:bCs/>
                <w:vertAlign w:val="superscript"/>
                <w:lang w:eastAsia="en-AU"/>
              </w:rPr>
              <w:t xml:space="preserve"> (a)</w:t>
            </w:r>
          </w:p>
        </w:tc>
        <w:tc>
          <w:tcPr>
            <w:tcW w:w="1123" w:type="dxa"/>
            <w:gridSpan w:val="2"/>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7 </w:t>
            </w:r>
            <w:r w:rsidRPr="003E2DBE">
              <w:rPr>
                <w:rFonts w:cs="Calibri"/>
                <w:b/>
                <w:bCs/>
                <w:szCs w:val="22"/>
                <w:lang w:eastAsia="en-AU"/>
              </w:rPr>
              <w:t>597.8</w:t>
            </w:r>
          </w:p>
        </w:tc>
        <w:tc>
          <w:tcPr>
            <w:tcW w:w="1123"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7 </w:t>
            </w:r>
            <w:r w:rsidRPr="003E2DBE">
              <w:rPr>
                <w:rFonts w:cs="Calibri"/>
                <w:b/>
                <w:bCs/>
                <w:szCs w:val="22"/>
                <w:lang w:eastAsia="en-AU"/>
              </w:rPr>
              <w:t>514.0</w:t>
            </w:r>
          </w:p>
        </w:tc>
        <w:tc>
          <w:tcPr>
            <w:tcW w:w="1123" w:type="dxa"/>
            <w:gridSpan w:val="2"/>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133.2</w:t>
            </w:r>
          </w:p>
        </w:tc>
        <w:tc>
          <w:tcPr>
            <w:tcW w:w="1123"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564.9</w:t>
            </w:r>
          </w:p>
        </w:tc>
      </w:tr>
    </w:tbl>
    <w:bookmarkEnd w:id="73"/>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Note 40 provides definitions and descriptions of government purpose classifications.</w:t>
      </w:r>
    </w:p>
    <w:p w:rsidR="000B4A1E" w:rsidRPr="00D00665" w:rsidRDefault="000B4A1E" w:rsidP="00517E51">
      <w:pPr>
        <w:pStyle w:val="Notes"/>
      </w:pPr>
    </w:p>
    <w:p w:rsidR="000B4A1E" w:rsidRPr="00D00665" w:rsidRDefault="000B4A1E" w:rsidP="00517E51"/>
    <w:p w:rsidR="000B4A1E" w:rsidRPr="00D00665" w:rsidRDefault="000B4A1E" w:rsidP="00517E51">
      <w:pPr>
        <w:pStyle w:val="Tableheading"/>
      </w:pPr>
      <w:r w:rsidRPr="00D00665">
        <w:t>(b)</w:t>
      </w:r>
      <w:r w:rsidRPr="00D00665">
        <w:tab/>
        <w:t>Total assets</w:t>
      </w:r>
    </w:p>
    <w:p w:rsidR="000B4A1E" w:rsidRPr="00F20B63"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3614"/>
        <w:gridCol w:w="270"/>
        <w:gridCol w:w="735"/>
        <w:gridCol w:w="1006"/>
        <w:gridCol w:w="770"/>
        <w:gridCol w:w="236"/>
        <w:gridCol w:w="236"/>
        <w:gridCol w:w="769"/>
        <w:gridCol w:w="1006"/>
        <w:gridCol w:w="732"/>
        <w:gridCol w:w="274"/>
      </w:tblGrid>
      <w:tr w:rsidR="000B4A1E" w:rsidRPr="00F20B63" w:rsidTr="00517E51">
        <w:tc>
          <w:tcPr>
            <w:tcW w:w="3614" w:type="dxa"/>
            <w:tcBorders>
              <w:top w:val="single" w:sz="4" w:space="0" w:color="auto"/>
              <w:left w:val="single" w:sz="4" w:space="0" w:color="auto"/>
              <w:bottom w:val="nil"/>
              <w:right w:val="nil"/>
            </w:tcBorders>
            <w:shd w:val="clear" w:color="auto" w:fill="000000"/>
          </w:tcPr>
          <w:p w:rsidR="000B4A1E" w:rsidRPr="00F20B63" w:rsidRDefault="000B4A1E" w:rsidP="00517E51">
            <w:pPr>
              <w:pStyle w:val="Tabletext"/>
              <w:rPr>
                <w:rFonts w:eastAsiaTheme="minorEastAsia"/>
                <w:sz w:val="21"/>
                <w:lang w:eastAsia="en-AU"/>
              </w:rPr>
            </w:pPr>
            <w:r w:rsidRPr="00F20B63">
              <w:rPr>
                <w:rFonts w:eastAsiaTheme="minorEastAsia"/>
                <w:sz w:val="21"/>
                <w:lang w:eastAsia="en-AU"/>
              </w:rPr>
              <w:t xml:space="preserve"> </w:t>
            </w:r>
          </w:p>
        </w:tc>
        <w:tc>
          <w:tcPr>
            <w:tcW w:w="270" w:type="dxa"/>
            <w:tcBorders>
              <w:top w:val="single" w:sz="4" w:space="0" w:color="auto"/>
              <w:left w:val="nil"/>
              <w:bottom w:val="nil"/>
              <w:right w:val="nil"/>
            </w:tcBorders>
            <w:shd w:val="clear" w:color="auto" w:fill="000000"/>
          </w:tcPr>
          <w:p w:rsidR="000B4A1E" w:rsidRPr="00F20B63" w:rsidRDefault="000B4A1E" w:rsidP="00517E51">
            <w:pPr>
              <w:pStyle w:val="TabletextheadingCentred"/>
              <w:rPr>
                <w:rFonts w:eastAsiaTheme="minorEastAsia"/>
                <w:sz w:val="21"/>
                <w:lang w:eastAsia="en-AU"/>
              </w:rPr>
            </w:pPr>
            <w:r w:rsidRPr="00F20B63">
              <w:rPr>
                <w:rFonts w:eastAsiaTheme="minorEastAsia"/>
                <w:sz w:val="21"/>
                <w:lang w:eastAsia="en-AU"/>
              </w:rPr>
              <w:t xml:space="preserve"> </w:t>
            </w:r>
          </w:p>
        </w:tc>
        <w:tc>
          <w:tcPr>
            <w:tcW w:w="2511" w:type="dxa"/>
            <w:gridSpan w:val="3"/>
            <w:tcBorders>
              <w:top w:val="single" w:sz="4" w:space="0" w:color="auto"/>
              <w:left w:val="nil"/>
              <w:bottom w:val="nil"/>
              <w:right w:val="nil"/>
            </w:tcBorders>
            <w:shd w:val="clear" w:color="auto" w:fill="000000"/>
          </w:tcPr>
          <w:p w:rsidR="000B4A1E" w:rsidRPr="00F20B63" w:rsidRDefault="000B4A1E" w:rsidP="00517E51">
            <w:pPr>
              <w:pStyle w:val="TabletextheadingCentred"/>
              <w:rPr>
                <w:rFonts w:eastAsiaTheme="minorEastAsia"/>
                <w:sz w:val="21"/>
                <w:lang w:eastAsia="en-AU"/>
              </w:rPr>
            </w:pPr>
          </w:p>
          <w:p w:rsidR="000B4A1E" w:rsidRPr="00F20B63" w:rsidRDefault="000B4A1E" w:rsidP="00517E51">
            <w:pPr>
              <w:pStyle w:val="TabletextheadingCentred"/>
              <w:rPr>
                <w:rFonts w:eastAsiaTheme="minorEastAsia"/>
                <w:sz w:val="21"/>
                <w:lang w:eastAsia="en-AU"/>
              </w:rPr>
            </w:pPr>
            <w:r w:rsidRPr="00F20B63">
              <w:rPr>
                <w:rFonts w:eastAsiaTheme="minorEastAsia"/>
                <w:sz w:val="21"/>
                <w:lang w:eastAsia="en-AU"/>
              </w:rPr>
              <w:t>State of Victoria</w:t>
            </w:r>
          </w:p>
        </w:tc>
        <w:tc>
          <w:tcPr>
            <w:tcW w:w="236" w:type="dxa"/>
            <w:tcBorders>
              <w:top w:val="single" w:sz="4" w:space="0" w:color="auto"/>
              <w:left w:val="nil"/>
              <w:bottom w:val="nil"/>
              <w:right w:val="nil"/>
            </w:tcBorders>
            <w:shd w:val="clear" w:color="auto" w:fill="000000"/>
          </w:tcPr>
          <w:p w:rsidR="000B4A1E" w:rsidRPr="00F20B63" w:rsidRDefault="000B4A1E" w:rsidP="00517E51">
            <w:pPr>
              <w:pStyle w:val="TabletextheadingCentred"/>
              <w:rPr>
                <w:rFonts w:eastAsiaTheme="minorEastAsia"/>
                <w:sz w:val="21"/>
                <w:lang w:eastAsia="en-AU"/>
              </w:rPr>
            </w:pPr>
            <w:r w:rsidRPr="00F20B63">
              <w:rPr>
                <w:rFonts w:eastAsiaTheme="minorEastAsia"/>
                <w:sz w:val="21"/>
                <w:lang w:eastAsia="en-AU"/>
              </w:rPr>
              <w:t xml:space="preserve"> </w:t>
            </w:r>
          </w:p>
        </w:tc>
        <w:tc>
          <w:tcPr>
            <w:tcW w:w="236" w:type="dxa"/>
            <w:tcBorders>
              <w:top w:val="single" w:sz="4" w:space="0" w:color="auto"/>
              <w:left w:val="nil"/>
              <w:bottom w:val="nil"/>
              <w:right w:val="nil"/>
            </w:tcBorders>
            <w:shd w:val="clear" w:color="auto" w:fill="000000"/>
          </w:tcPr>
          <w:p w:rsidR="000B4A1E" w:rsidRPr="00F20B63" w:rsidRDefault="000B4A1E" w:rsidP="00517E51">
            <w:pPr>
              <w:pStyle w:val="TabletextheadingCentred"/>
              <w:rPr>
                <w:rFonts w:eastAsiaTheme="minorEastAsia"/>
                <w:sz w:val="21"/>
                <w:lang w:eastAsia="en-AU"/>
              </w:rPr>
            </w:pPr>
            <w:r w:rsidRPr="00F20B63">
              <w:rPr>
                <w:rFonts w:eastAsiaTheme="minorEastAsia"/>
                <w:sz w:val="21"/>
                <w:lang w:eastAsia="en-AU"/>
              </w:rPr>
              <w:t xml:space="preserve"> </w:t>
            </w:r>
          </w:p>
        </w:tc>
        <w:tc>
          <w:tcPr>
            <w:tcW w:w="2507" w:type="dxa"/>
            <w:gridSpan w:val="3"/>
            <w:tcBorders>
              <w:top w:val="single" w:sz="4" w:space="0" w:color="auto"/>
              <w:left w:val="nil"/>
              <w:bottom w:val="nil"/>
              <w:right w:val="nil"/>
            </w:tcBorders>
            <w:shd w:val="clear" w:color="auto" w:fill="000000"/>
          </w:tcPr>
          <w:p w:rsidR="000B4A1E" w:rsidRPr="00F20B63" w:rsidRDefault="000B4A1E" w:rsidP="00517E51">
            <w:pPr>
              <w:pStyle w:val="TabletextheadingCentred"/>
              <w:rPr>
                <w:rFonts w:eastAsiaTheme="minorEastAsia"/>
                <w:sz w:val="21"/>
                <w:lang w:eastAsia="en-AU"/>
              </w:rPr>
            </w:pPr>
            <w:r w:rsidRPr="00F20B63">
              <w:rPr>
                <w:rFonts w:eastAsiaTheme="minorEastAsia"/>
                <w:sz w:val="21"/>
                <w:lang w:eastAsia="en-AU"/>
              </w:rPr>
              <w:t xml:space="preserve">General </w:t>
            </w:r>
          </w:p>
          <w:p w:rsidR="000B4A1E" w:rsidRPr="00F20B63" w:rsidRDefault="000B4A1E" w:rsidP="00517E51">
            <w:pPr>
              <w:pStyle w:val="TabletextheadingCentred"/>
              <w:rPr>
                <w:rFonts w:eastAsiaTheme="minorEastAsia"/>
                <w:sz w:val="21"/>
                <w:lang w:eastAsia="en-AU"/>
              </w:rPr>
            </w:pPr>
            <w:r w:rsidRPr="00F20B63">
              <w:rPr>
                <w:rFonts w:eastAsiaTheme="minorEastAsia"/>
                <w:sz w:val="21"/>
                <w:lang w:eastAsia="en-AU"/>
              </w:rPr>
              <w:t>government sector</w:t>
            </w:r>
          </w:p>
        </w:tc>
        <w:tc>
          <w:tcPr>
            <w:tcW w:w="274" w:type="dxa"/>
            <w:tcBorders>
              <w:top w:val="single" w:sz="4" w:space="0" w:color="auto"/>
              <w:left w:val="nil"/>
              <w:bottom w:val="nil"/>
              <w:right w:val="single" w:sz="4" w:space="0" w:color="auto"/>
            </w:tcBorders>
            <w:shd w:val="clear" w:color="auto" w:fill="000000"/>
          </w:tcPr>
          <w:p w:rsidR="000B4A1E" w:rsidRPr="00F20B63" w:rsidRDefault="000B4A1E" w:rsidP="00517E51">
            <w:pPr>
              <w:pStyle w:val="TabletextheadingCentred"/>
              <w:rPr>
                <w:rFonts w:eastAsiaTheme="minorEastAsia"/>
                <w:sz w:val="21"/>
                <w:lang w:eastAsia="en-AU"/>
              </w:rPr>
            </w:pPr>
            <w:r w:rsidRPr="00F20B63">
              <w:rPr>
                <w:rFonts w:eastAsiaTheme="minorEastAsia"/>
                <w:sz w:val="21"/>
                <w:lang w:eastAsia="en-AU"/>
              </w:rPr>
              <w:t xml:space="preserve"> </w:t>
            </w:r>
          </w:p>
        </w:tc>
      </w:tr>
      <w:tr w:rsidR="000B4A1E" w:rsidRPr="00F20B63" w:rsidTr="00517E51">
        <w:tc>
          <w:tcPr>
            <w:tcW w:w="3614" w:type="dxa"/>
            <w:tcBorders>
              <w:top w:val="nil"/>
              <w:left w:val="single" w:sz="4" w:space="0" w:color="auto"/>
              <w:bottom w:val="single" w:sz="4" w:space="0" w:color="auto"/>
              <w:right w:val="nil"/>
            </w:tcBorders>
            <w:shd w:val="clear" w:color="auto" w:fill="000000"/>
          </w:tcPr>
          <w:p w:rsidR="000B4A1E" w:rsidRPr="00F20B63" w:rsidRDefault="000B4A1E" w:rsidP="00517E51">
            <w:pPr>
              <w:pStyle w:val="Tabletext"/>
              <w:rPr>
                <w:rFonts w:eastAsiaTheme="minorEastAsia"/>
                <w:sz w:val="21"/>
                <w:lang w:eastAsia="en-AU"/>
              </w:rPr>
            </w:pPr>
            <w:r w:rsidRPr="00F20B63">
              <w:rPr>
                <w:rFonts w:eastAsiaTheme="minorEastAsia"/>
                <w:sz w:val="21"/>
                <w:lang w:eastAsia="en-AU"/>
              </w:rPr>
              <w:t xml:space="preserve"> </w:t>
            </w:r>
          </w:p>
        </w:tc>
        <w:tc>
          <w:tcPr>
            <w:tcW w:w="1005" w:type="dxa"/>
            <w:gridSpan w:val="2"/>
            <w:tcBorders>
              <w:top w:val="nil"/>
              <w:left w:val="nil"/>
              <w:bottom w:val="single" w:sz="4" w:space="0" w:color="auto"/>
              <w:right w:val="nil"/>
            </w:tcBorders>
            <w:shd w:val="clear" w:color="auto" w:fill="000000"/>
          </w:tcPr>
          <w:p w:rsidR="000B4A1E" w:rsidRPr="00F20B63" w:rsidRDefault="000B4A1E" w:rsidP="00517E51">
            <w:pPr>
              <w:pStyle w:val="Tabletextheading"/>
              <w:rPr>
                <w:rFonts w:eastAsiaTheme="minorEastAsia"/>
                <w:sz w:val="21"/>
                <w:lang w:eastAsia="en-AU"/>
              </w:rPr>
            </w:pPr>
            <w:r w:rsidRPr="00F20B63">
              <w:rPr>
                <w:rFonts w:eastAsiaTheme="minorEastAsia"/>
                <w:sz w:val="21"/>
                <w:lang w:eastAsia="en-AU"/>
              </w:rPr>
              <w:t>2013</w:t>
            </w:r>
          </w:p>
        </w:tc>
        <w:tc>
          <w:tcPr>
            <w:tcW w:w="1006" w:type="dxa"/>
            <w:tcBorders>
              <w:top w:val="nil"/>
              <w:left w:val="nil"/>
              <w:bottom w:val="single" w:sz="4" w:space="0" w:color="auto"/>
              <w:right w:val="nil"/>
            </w:tcBorders>
            <w:shd w:val="clear" w:color="auto" w:fill="000000"/>
          </w:tcPr>
          <w:p w:rsidR="000B4A1E" w:rsidRPr="00F20B63" w:rsidRDefault="000B4A1E" w:rsidP="00517E51">
            <w:pPr>
              <w:pStyle w:val="Tabletextheading"/>
              <w:rPr>
                <w:rFonts w:eastAsiaTheme="minorEastAsia"/>
                <w:sz w:val="21"/>
                <w:vertAlign w:val="superscript"/>
                <w:lang w:eastAsia="en-AU"/>
              </w:rPr>
            </w:pPr>
            <w:r w:rsidRPr="00F20B63">
              <w:rPr>
                <w:rFonts w:eastAsiaTheme="minorEastAsia"/>
                <w:sz w:val="21"/>
                <w:lang w:eastAsia="en-AU"/>
              </w:rPr>
              <w:t xml:space="preserve">2012 </w:t>
            </w:r>
            <w:r w:rsidRPr="00F20B63">
              <w:rPr>
                <w:rFonts w:eastAsiaTheme="minorEastAsia"/>
                <w:sz w:val="21"/>
                <w:vertAlign w:val="superscript"/>
                <w:lang w:eastAsia="en-AU"/>
              </w:rPr>
              <w:t>(a)</w:t>
            </w:r>
          </w:p>
        </w:tc>
        <w:tc>
          <w:tcPr>
            <w:tcW w:w="1006" w:type="dxa"/>
            <w:gridSpan w:val="2"/>
            <w:tcBorders>
              <w:top w:val="nil"/>
              <w:left w:val="nil"/>
              <w:bottom w:val="single" w:sz="4" w:space="0" w:color="auto"/>
              <w:right w:val="nil"/>
            </w:tcBorders>
            <w:shd w:val="clear" w:color="auto" w:fill="000000"/>
          </w:tcPr>
          <w:p w:rsidR="000B4A1E" w:rsidRPr="00F20B63" w:rsidRDefault="000B4A1E" w:rsidP="00517E51">
            <w:pPr>
              <w:pStyle w:val="Tabletextheading"/>
              <w:rPr>
                <w:rFonts w:eastAsiaTheme="minorEastAsia"/>
                <w:sz w:val="21"/>
                <w:vertAlign w:val="superscript"/>
                <w:lang w:eastAsia="en-AU"/>
              </w:rPr>
            </w:pPr>
            <w:r w:rsidRPr="00F20B63">
              <w:rPr>
                <w:rFonts w:eastAsiaTheme="minorEastAsia"/>
                <w:sz w:val="21"/>
                <w:lang w:eastAsia="en-AU"/>
              </w:rPr>
              <w:t xml:space="preserve">2011 </w:t>
            </w:r>
            <w:r w:rsidRPr="00F20B63">
              <w:rPr>
                <w:rFonts w:eastAsiaTheme="minorEastAsia"/>
                <w:sz w:val="21"/>
                <w:vertAlign w:val="superscript"/>
                <w:lang w:eastAsia="en-AU"/>
              </w:rPr>
              <w:t>(a)</w:t>
            </w:r>
          </w:p>
        </w:tc>
        <w:tc>
          <w:tcPr>
            <w:tcW w:w="1005" w:type="dxa"/>
            <w:gridSpan w:val="2"/>
            <w:tcBorders>
              <w:top w:val="nil"/>
              <w:left w:val="nil"/>
              <w:bottom w:val="single" w:sz="4" w:space="0" w:color="auto"/>
              <w:right w:val="nil"/>
            </w:tcBorders>
            <w:shd w:val="clear" w:color="auto" w:fill="000000"/>
          </w:tcPr>
          <w:p w:rsidR="000B4A1E" w:rsidRPr="00F20B63" w:rsidRDefault="000B4A1E" w:rsidP="00517E51">
            <w:pPr>
              <w:pStyle w:val="Tabletextheading"/>
              <w:rPr>
                <w:rFonts w:eastAsiaTheme="minorEastAsia"/>
                <w:sz w:val="21"/>
                <w:lang w:eastAsia="en-AU"/>
              </w:rPr>
            </w:pPr>
            <w:r w:rsidRPr="00F20B63">
              <w:rPr>
                <w:rFonts w:eastAsiaTheme="minorEastAsia"/>
                <w:sz w:val="21"/>
                <w:lang w:eastAsia="en-AU"/>
              </w:rPr>
              <w:t>2013</w:t>
            </w:r>
          </w:p>
        </w:tc>
        <w:tc>
          <w:tcPr>
            <w:tcW w:w="1006" w:type="dxa"/>
            <w:tcBorders>
              <w:top w:val="nil"/>
              <w:left w:val="nil"/>
              <w:bottom w:val="single" w:sz="4" w:space="0" w:color="auto"/>
              <w:right w:val="nil"/>
            </w:tcBorders>
            <w:shd w:val="clear" w:color="auto" w:fill="000000"/>
          </w:tcPr>
          <w:p w:rsidR="000B4A1E" w:rsidRPr="00F20B63" w:rsidRDefault="000B4A1E" w:rsidP="00517E51">
            <w:pPr>
              <w:pStyle w:val="Tabletextheading"/>
              <w:rPr>
                <w:rFonts w:eastAsiaTheme="minorEastAsia"/>
                <w:sz w:val="21"/>
                <w:vertAlign w:val="superscript"/>
                <w:lang w:eastAsia="en-AU"/>
              </w:rPr>
            </w:pPr>
            <w:r w:rsidRPr="00F20B63">
              <w:rPr>
                <w:rFonts w:eastAsiaTheme="minorEastAsia"/>
                <w:sz w:val="21"/>
                <w:lang w:eastAsia="en-AU"/>
              </w:rPr>
              <w:t xml:space="preserve">2012 </w:t>
            </w:r>
            <w:r w:rsidRPr="00F20B63">
              <w:rPr>
                <w:rFonts w:eastAsiaTheme="minorEastAsia"/>
                <w:sz w:val="21"/>
                <w:vertAlign w:val="superscript"/>
                <w:lang w:eastAsia="en-AU"/>
              </w:rPr>
              <w:t>(a)</w:t>
            </w:r>
          </w:p>
        </w:tc>
        <w:tc>
          <w:tcPr>
            <w:tcW w:w="1006" w:type="dxa"/>
            <w:gridSpan w:val="2"/>
            <w:tcBorders>
              <w:top w:val="nil"/>
              <w:left w:val="nil"/>
              <w:bottom w:val="single" w:sz="4" w:space="0" w:color="auto"/>
              <w:right w:val="single" w:sz="4" w:space="0" w:color="auto"/>
            </w:tcBorders>
            <w:shd w:val="clear" w:color="auto" w:fill="000000"/>
          </w:tcPr>
          <w:p w:rsidR="000B4A1E" w:rsidRPr="00F20B63" w:rsidRDefault="000B4A1E" w:rsidP="00517E51">
            <w:pPr>
              <w:pStyle w:val="Tabletextheading"/>
              <w:rPr>
                <w:rFonts w:eastAsiaTheme="minorEastAsia"/>
                <w:sz w:val="21"/>
                <w:vertAlign w:val="superscript"/>
                <w:lang w:eastAsia="en-AU"/>
              </w:rPr>
            </w:pPr>
            <w:r w:rsidRPr="00F20B63">
              <w:rPr>
                <w:rFonts w:eastAsiaTheme="minorEastAsia"/>
                <w:sz w:val="21"/>
                <w:lang w:eastAsia="en-AU"/>
              </w:rPr>
              <w:t xml:space="preserve">2011 </w:t>
            </w:r>
            <w:r w:rsidRPr="00F20B63">
              <w:rPr>
                <w:rFonts w:eastAsiaTheme="minorEastAsia"/>
                <w:sz w:val="21"/>
                <w:vertAlign w:val="superscript"/>
                <w:lang w:eastAsia="en-AU"/>
              </w:rPr>
              <w:t>(a)</w:t>
            </w:r>
          </w:p>
        </w:tc>
      </w:tr>
      <w:tr w:rsidR="000B4A1E" w:rsidRPr="00F20B63" w:rsidTr="00517E51">
        <w:tc>
          <w:tcPr>
            <w:tcW w:w="3614" w:type="dxa"/>
            <w:tcBorders>
              <w:top w:val="single" w:sz="4" w:space="0" w:color="auto"/>
              <w:left w:val="nil"/>
              <w:bottom w:val="nil"/>
              <w:right w:val="nil"/>
            </w:tcBorders>
            <w:shd w:val="solid" w:color="FFFFFF" w:fill="auto"/>
          </w:tcPr>
          <w:p w:rsidR="000B4A1E" w:rsidRPr="00F20B63" w:rsidRDefault="000B4A1E" w:rsidP="00517E51">
            <w:pPr>
              <w:pStyle w:val="Tabletext"/>
              <w:rPr>
                <w:rFonts w:eastAsiaTheme="minorEastAsia"/>
                <w:sz w:val="21"/>
                <w:lang w:eastAsia="en-AU"/>
              </w:rPr>
            </w:pPr>
            <w:r w:rsidRPr="00F20B63">
              <w:rPr>
                <w:rFonts w:eastAsiaTheme="minorEastAsia"/>
                <w:sz w:val="21"/>
                <w:lang w:eastAsia="en-AU"/>
              </w:rPr>
              <w:t>General public services</w:t>
            </w:r>
          </w:p>
        </w:tc>
        <w:tc>
          <w:tcPr>
            <w:tcW w:w="1005" w:type="dxa"/>
            <w:gridSpan w:val="2"/>
            <w:tcBorders>
              <w:top w:val="single" w:sz="4" w:space="0" w:color="auto"/>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1 414.6</w:t>
            </w:r>
          </w:p>
        </w:tc>
        <w:tc>
          <w:tcPr>
            <w:tcW w:w="1006" w:type="dxa"/>
            <w:tcBorders>
              <w:top w:val="single" w:sz="4" w:space="0" w:color="auto"/>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1 159.1</w:t>
            </w:r>
          </w:p>
        </w:tc>
        <w:tc>
          <w:tcPr>
            <w:tcW w:w="1006" w:type="dxa"/>
            <w:gridSpan w:val="2"/>
            <w:tcBorders>
              <w:top w:val="single" w:sz="4" w:space="0" w:color="auto"/>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1 192.5</w:t>
            </w:r>
          </w:p>
        </w:tc>
        <w:tc>
          <w:tcPr>
            <w:tcW w:w="1005" w:type="dxa"/>
            <w:gridSpan w:val="2"/>
            <w:tcBorders>
              <w:top w:val="single" w:sz="4" w:space="0" w:color="auto"/>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1 256.0</w:t>
            </w:r>
          </w:p>
        </w:tc>
        <w:tc>
          <w:tcPr>
            <w:tcW w:w="1006" w:type="dxa"/>
            <w:tcBorders>
              <w:top w:val="single" w:sz="4" w:space="0" w:color="auto"/>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963.5</w:t>
            </w:r>
          </w:p>
        </w:tc>
        <w:tc>
          <w:tcPr>
            <w:tcW w:w="1006" w:type="dxa"/>
            <w:gridSpan w:val="2"/>
            <w:tcBorders>
              <w:top w:val="single" w:sz="4" w:space="0" w:color="auto"/>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774.5</w:t>
            </w:r>
          </w:p>
        </w:tc>
      </w:tr>
      <w:tr w:rsidR="000B4A1E" w:rsidRPr="00F20B63" w:rsidTr="00517E51">
        <w:tc>
          <w:tcPr>
            <w:tcW w:w="3614" w:type="dxa"/>
            <w:tcBorders>
              <w:top w:val="nil"/>
              <w:left w:val="nil"/>
              <w:bottom w:val="nil"/>
              <w:right w:val="nil"/>
            </w:tcBorders>
            <w:shd w:val="solid" w:color="FFFFFF" w:fill="auto"/>
          </w:tcPr>
          <w:p w:rsidR="000B4A1E" w:rsidRPr="00F20B63" w:rsidRDefault="000B4A1E" w:rsidP="00517E51">
            <w:pPr>
              <w:pStyle w:val="Tabletext"/>
              <w:rPr>
                <w:rFonts w:eastAsiaTheme="minorEastAsia"/>
                <w:sz w:val="21"/>
                <w:lang w:eastAsia="en-AU"/>
              </w:rPr>
            </w:pPr>
            <w:r w:rsidRPr="00F20B63">
              <w:rPr>
                <w:rFonts w:eastAsiaTheme="minorEastAsia"/>
                <w:sz w:val="21"/>
                <w:lang w:eastAsia="en-AU"/>
              </w:rPr>
              <w:t>Public order and safety</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6 893.2</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7 220.4</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6 813.9</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6 893.2</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7 220.4</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6 813.9</w:t>
            </w:r>
          </w:p>
        </w:tc>
      </w:tr>
      <w:tr w:rsidR="000B4A1E" w:rsidRPr="00F20B63" w:rsidTr="00517E51">
        <w:tc>
          <w:tcPr>
            <w:tcW w:w="3614" w:type="dxa"/>
            <w:tcBorders>
              <w:top w:val="nil"/>
              <w:left w:val="nil"/>
              <w:bottom w:val="nil"/>
              <w:right w:val="nil"/>
            </w:tcBorders>
            <w:shd w:val="solid" w:color="FFFFFF" w:fill="auto"/>
          </w:tcPr>
          <w:p w:rsidR="000B4A1E" w:rsidRPr="00F20B63" w:rsidRDefault="000B4A1E" w:rsidP="00517E51">
            <w:pPr>
              <w:pStyle w:val="Tabletext"/>
              <w:rPr>
                <w:rFonts w:eastAsiaTheme="minorEastAsia"/>
                <w:sz w:val="21"/>
                <w:lang w:eastAsia="en-AU"/>
              </w:rPr>
            </w:pPr>
            <w:r w:rsidRPr="00F20B63">
              <w:rPr>
                <w:rFonts w:eastAsiaTheme="minorEastAsia"/>
                <w:sz w:val="21"/>
                <w:lang w:eastAsia="en-AU"/>
              </w:rPr>
              <w:t>Education</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17 352.8</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16 732.9</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16 922.3</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17 352.8</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16 732.9</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16 922.3</w:t>
            </w:r>
          </w:p>
        </w:tc>
      </w:tr>
      <w:tr w:rsidR="000B4A1E" w:rsidRPr="00F20B63" w:rsidTr="00517E51">
        <w:tc>
          <w:tcPr>
            <w:tcW w:w="3614" w:type="dxa"/>
            <w:tcBorders>
              <w:top w:val="nil"/>
              <w:left w:val="nil"/>
              <w:bottom w:val="nil"/>
              <w:right w:val="nil"/>
            </w:tcBorders>
            <w:shd w:val="solid" w:color="FFFFFF" w:fill="auto"/>
          </w:tcPr>
          <w:p w:rsidR="000B4A1E" w:rsidRPr="00F20B63" w:rsidRDefault="000B4A1E" w:rsidP="00517E51">
            <w:pPr>
              <w:pStyle w:val="Tabletext"/>
              <w:rPr>
                <w:rFonts w:eastAsiaTheme="minorEastAsia"/>
                <w:sz w:val="21"/>
                <w:lang w:eastAsia="en-AU"/>
              </w:rPr>
            </w:pPr>
            <w:r w:rsidRPr="00F20B63">
              <w:rPr>
                <w:rFonts w:eastAsiaTheme="minorEastAsia"/>
                <w:sz w:val="21"/>
                <w:lang w:eastAsia="en-AU"/>
              </w:rPr>
              <w:t>Health</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10 398.1</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10 211.5</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9 453.0</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10 378.9</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10 211.5</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9 453.0</w:t>
            </w:r>
          </w:p>
        </w:tc>
      </w:tr>
      <w:tr w:rsidR="000B4A1E" w:rsidRPr="00F20B63" w:rsidTr="00517E51">
        <w:tc>
          <w:tcPr>
            <w:tcW w:w="3614" w:type="dxa"/>
            <w:tcBorders>
              <w:top w:val="nil"/>
              <w:left w:val="nil"/>
              <w:bottom w:val="nil"/>
              <w:right w:val="nil"/>
            </w:tcBorders>
            <w:shd w:val="solid" w:color="FFFFFF" w:fill="auto"/>
          </w:tcPr>
          <w:p w:rsidR="000B4A1E" w:rsidRPr="00F20B63" w:rsidRDefault="000B4A1E" w:rsidP="00517E51">
            <w:pPr>
              <w:pStyle w:val="Tabletext"/>
              <w:rPr>
                <w:rFonts w:eastAsiaTheme="minorEastAsia"/>
                <w:sz w:val="21"/>
                <w:lang w:eastAsia="en-AU"/>
              </w:rPr>
            </w:pPr>
            <w:r w:rsidRPr="00F20B63">
              <w:rPr>
                <w:rFonts w:eastAsiaTheme="minorEastAsia"/>
                <w:sz w:val="21"/>
                <w:lang w:eastAsia="en-AU"/>
              </w:rPr>
              <w:t xml:space="preserve">Social security and welfare </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855.1</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970.4</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838.8</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855.1</w:t>
            </w:r>
          </w:p>
        </w:tc>
        <w:tc>
          <w:tcPr>
            <w:tcW w:w="1006" w:type="dxa"/>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970.4</w:t>
            </w:r>
          </w:p>
        </w:tc>
        <w:tc>
          <w:tcPr>
            <w:tcW w:w="1006"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679.1</w:t>
            </w:r>
          </w:p>
        </w:tc>
      </w:tr>
      <w:tr w:rsidR="000B4A1E" w:rsidRPr="00F20B63" w:rsidTr="00517E51">
        <w:tc>
          <w:tcPr>
            <w:tcW w:w="3614" w:type="dxa"/>
            <w:tcBorders>
              <w:top w:val="nil"/>
              <w:left w:val="nil"/>
              <w:bottom w:val="nil"/>
              <w:right w:val="nil"/>
            </w:tcBorders>
            <w:shd w:val="solid" w:color="FFFFFF" w:fill="auto"/>
          </w:tcPr>
          <w:p w:rsidR="000B4A1E" w:rsidRPr="00F20B63" w:rsidRDefault="000B4A1E" w:rsidP="00517E51">
            <w:pPr>
              <w:pStyle w:val="Tabletext"/>
              <w:rPr>
                <w:rFonts w:eastAsiaTheme="minorEastAsia"/>
                <w:sz w:val="21"/>
                <w:lang w:eastAsia="en-AU"/>
              </w:rPr>
            </w:pPr>
            <w:r w:rsidRPr="00F20B63">
              <w:rPr>
                <w:rFonts w:eastAsiaTheme="minorEastAsia"/>
                <w:sz w:val="21"/>
                <w:lang w:eastAsia="en-AU"/>
              </w:rPr>
              <w:t>Housing and community amenities</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67 806.2</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60 917.1</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60 335.1</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7 924.0</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6 905.5</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7 698.2</w:t>
            </w:r>
          </w:p>
        </w:tc>
      </w:tr>
      <w:tr w:rsidR="000B4A1E" w:rsidRPr="00F20B63" w:rsidTr="00517E51">
        <w:tc>
          <w:tcPr>
            <w:tcW w:w="3614" w:type="dxa"/>
            <w:tcBorders>
              <w:top w:val="nil"/>
              <w:left w:val="nil"/>
              <w:bottom w:val="nil"/>
              <w:right w:val="nil"/>
            </w:tcBorders>
            <w:shd w:val="solid" w:color="FFFFFF" w:fill="auto"/>
          </w:tcPr>
          <w:p w:rsidR="000B4A1E" w:rsidRPr="00F20B63" w:rsidRDefault="000B4A1E" w:rsidP="00517E51">
            <w:pPr>
              <w:pStyle w:val="Tabletext"/>
              <w:rPr>
                <w:rFonts w:eastAsiaTheme="minorEastAsia"/>
                <w:sz w:val="21"/>
                <w:lang w:eastAsia="en-AU"/>
              </w:rPr>
            </w:pPr>
            <w:r w:rsidRPr="00F20B63">
              <w:rPr>
                <w:rFonts w:eastAsiaTheme="minorEastAsia"/>
                <w:sz w:val="21"/>
                <w:lang w:eastAsia="en-AU"/>
              </w:rPr>
              <w:t>Recreation and culture</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12 034.7</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12 640.0</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12 309.4</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8 438.3</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8 536.8</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8 321.5</w:t>
            </w:r>
          </w:p>
        </w:tc>
      </w:tr>
      <w:tr w:rsidR="000B4A1E" w:rsidRPr="00F20B63" w:rsidTr="00517E51">
        <w:tc>
          <w:tcPr>
            <w:tcW w:w="3614" w:type="dxa"/>
            <w:tcBorders>
              <w:top w:val="nil"/>
              <w:left w:val="nil"/>
              <w:bottom w:val="nil"/>
              <w:right w:val="nil"/>
            </w:tcBorders>
            <w:shd w:val="solid" w:color="FFFFFF" w:fill="auto"/>
          </w:tcPr>
          <w:p w:rsidR="000B4A1E" w:rsidRPr="00F20B63" w:rsidRDefault="000B4A1E" w:rsidP="00517E51">
            <w:pPr>
              <w:pStyle w:val="Tabletext"/>
              <w:rPr>
                <w:rFonts w:eastAsiaTheme="minorEastAsia"/>
                <w:sz w:val="21"/>
                <w:lang w:eastAsia="en-AU"/>
              </w:rPr>
            </w:pPr>
            <w:r w:rsidRPr="00F20B63">
              <w:rPr>
                <w:rFonts w:eastAsiaTheme="minorEastAsia"/>
                <w:sz w:val="21"/>
                <w:lang w:eastAsia="en-AU"/>
              </w:rPr>
              <w:t>Fuel and energy</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16.2</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29.7</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32.5</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5.9</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5.1</w:t>
            </w:r>
          </w:p>
        </w:tc>
      </w:tr>
      <w:tr w:rsidR="000B4A1E" w:rsidRPr="00F20B63" w:rsidTr="00517E51">
        <w:tc>
          <w:tcPr>
            <w:tcW w:w="3614" w:type="dxa"/>
            <w:tcBorders>
              <w:top w:val="nil"/>
              <w:left w:val="nil"/>
              <w:bottom w:val="nil"/>
              <w:right w:val="nil"/>
            </w:tcBorders>
            <w:shd w:val="solid" w:color="FFFFFF" w:fill="auto"/>
          </w:tcPr>
          <w:p w:rsidR="000B4A1E" w:rsidRPr="00F20B63" w:rsidRDefault="000B4A1E" w:rsidP="00517E51">
            <w:pPr>
              <w:pStyle w:val="Tabletext"/>
              <w:rPr>
                <w:rFonts w:eastAsiaTheme="minorEastAsia"/>
                <w:sz w:val="21"/>
                <w:lang w:eastAsia="en-AU"/>
              </w:rPr>
            </w:pPr>
            <w:r w:rsidRPr="00F20B63">
              <w:rPr>
                <w:rFonts w:eastAsiaTheme="minorEastAsia"/>
                <w:sz w:val="21"/>
                <w:lang w:eastAsia="en-AU"/>
              </w:rPr>
              <w:t>Agriculture, forestry, fishing, and hunting</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895.5</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683.9</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651.6</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836.2</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620.2</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596.4</w:t>
            </w:r>
          </w:p>
        </w:tc>
      </w:tr>
      <w:tr w:rsidR="000B4A1E" w:rsidRPr="00F20B63" w:rsidTr="00517E51">
        <w:tc>
          <w:tcPr>
            <w:tcW w:w="3614" w:type="dxa"/>
            <w:tcBorders>
              <w:top w:val="nil"/>
              <w:left w:val="nil"/>
              <w:bottom w:val="nil"/>
              <w:right w:val="nil"/>
            </w:tcBorders>
            <w:shd w:val="solid" w:color="FFFFFF" w:fill="auto"/>
          </w:tcPr>
          <w:p w:rsidR="000B4A1E" w:rsidRPr="00F20B63" w:rsidRDefault="000B4A1E" w:rsidP="00517E51">
            <w:pPr>
              <w:pStyle w:val="Tabletext"/>
              <w:rPr>
                <w:rFonts w:eastAsiaTheme="minorEastAsia"/>
                <w:sz w:val="21"/>
                <w:lang w:eastAsia="en-AU"/>
              </w:rPr>
            </w:pPr>
            <w:r w:rsidRPr="00F20B63">
              <w:rPr>
                <w:rFonts w:eastAsiaTheme="minorEastAsia"/>
                <w:sz w:val="21"/>
                <w:lang w:eastAsia="en-AU"/>
              </w:rPr>
              <w:t>Mining, manufacturing, and construction</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w:t>
            </w:r>
          </w:p>
        </w:tc>
      </w:tr>
      <w:tr w:rsidR="000B4A1E" w:rsidRPr="00F20B63" w:rsidTr="00517E51">
        <w:tc>
          <w:tcPr>
            <w:tcW w:w="3614" w:type="dxa"/>
            <w:tcBorders>
              <w:top w:val="nil"/>
              <w:left w:val="nil"/>
              <w:bottom w:val="nil"/>
              <w:right w:val="nil"/>
            </w:tcBorders>
            <w:shd w:val="solid" w:color="FFFFFF" w:fill="auto"/>
          </w:tcPr>
          <w:p w:rsidR="000B4A1E" w:rsidRPr="00F20B63" w:rsidRDefault="000B4A1E" w:rsidP="00517E51">
            <w:pPr>
              <w:pStyle w:val="Tabletext"/>
              <w:rPr>
                <w:rFonts w:eastAsiaTheme="minorEastAsia"/>
                <w:sz w:val="21"/>
                <w:vertAlign w:val="superscript"/>
                <w:lang w:eastAsia="en-AU"/>
              </w:rPr>
            </w:pPr>
            <w:r w:rsidRPr="00F20B63">
              <w:rPr>
                <w:rFonts w:eastAsiaTheme="minorEastAsia"/>
                <w:sz w:val="21"/>
                <w:lang w:eastAsia="en-AU"/>
              </w:rPr>
              <w:t>Transport and communications</w:t>
            </w:r>
            <w:r w:rsidRPr="00F20B63">
              <w:rPr>
                <w:rFonts w:eastAsiaTheme="minorEastAsia"/>
                <w:sz w:val="21"/>
                <w:vertAlign w:val="superscript"/>
                <w:lang w:eastAsia="en-AU"/>
              </w:rPr>
              <w:t xml:space="preserve"> </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74 044.7</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71 683.7</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67 726.1</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47 304.2</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46 071.0</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43 465.0</w:t>
            </w:r>
          </w:p>
        </w:tc>
      </w:tr>
      <w:tr w:rsidR="000B4A1E" w:rsidRPr="00F20B63" w:rsidTr="00517E51">
        <w:tc>
          <w:tcPr>
            <w:tcW w:w="3614" w:type="dxa"/>
            <w:tcBorders>
              <w:top w:val="nil"/>
              <w:left w:val="nil"/>
              <w:bottom w:val="nil"/>
              <w:right w:val="nil"/>
            </w:tcBorders>
            <w:shd w:val="solid" w:color="FFFFFF" w:fill="auto"/>
          </w:tcPr>
          <w:p w:rsidR="000B4A1E" w:rsidRPr="00F20B63" w:rsidRDefault="000B4A1E" w:rsidP="00517E51">
            <w:pPr>
              <w:pStyle w:val="Tabletext"/>
              <w:rPr>
                <w:rFonts w:eastAsiaTheme="minorEastAsia"/>
                <w:sz w:val="21"/>
                <w:lang w:eastAsia="en-AU"/>
              </w:rPr>
            </w:pPr>
            <w:r w:rsidRPr="00F20B63">
              <w:rPr>
                <w:rFonts w:eastAsiaTheme="minorEastAsia"/>
                <w:sz w:val="21"/>
                <w:lang w:eastAsia="en-AU"/>
              </w:rPr>
              <w:t>Other economic affairs</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851.4</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745.0</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347.1</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851.4</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745.0</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347.1</w:t>
            </w:r>
          </w:p>
        </w:tc>
      </w:tr>
      <w:tr w:rsidR="000B4A1E" w:rsidRPr="00F20B63" w:rsidTr="00517E51">
        <w:tc>
          <w:tcPr>
            <w:tcW w:w="3614" w:type="dxa"/>
            <w:tcBorders>
              <w:top w:val="nil"/>
              <w:left w:val="nil"/>
              <w:bottom w:val="nil"/>
              <w:right w:val="nil"/>
            </w:tcBorders>
            <w:shd w:val="solid" w:color="FFFFFF" w:fill="auto"/>
          </w:tcPr>
          <w:p w:rsidR="000B4A1E" w:rsidRPr="00F20B63" w:rsidRDefault="000B4A1E" w:rsidP="00517E51">
            <w:pPr>
              <w:pStyle w:val="Tabletext"/>
              <w:rPr>
                <w:rFonts w:eastAsiaTheme="minorEastAsia"/>
                <w:sz w:val="21"/>
                <w:vertAlign w:val="superscript"/>
                <w:lang w:eastAsia="en-AU"/>
              </w:rPr>
            </w:pPr>
            <w:r w:rsidRPr="00F20B63">
              <w:rPr>
                <w:rFonts w:eastAsiaTheme="minorEastAsia"/>
                <w:sz w:val="21"/>
                <w:lang w:eastAsia="en-AU"/>
              </w:rPr>
              <w:t>Other purposes</w:t>
            </w:r>
            <w:r w:rsidRPr="00F20B63">
              <w:rPr>
                <w:rFonts w:eastAsiaTheme="minorEastAsia"/>
                <w:sz w:val="21"/>
                <w:vertAlign w:val="superscript"/>
                <w:lang w:eastAsia="en-AU"/>
              </w:rPr>
              <w:t xml:space="preserve"> </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7.6</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2.7</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3.0</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2.5</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2.7</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 xml:space="preserve"> 3.0</w:t>
            </w:r>
          </w:p>
        </w:tc>
      </w:tr>
      <w:tr w:rsidR="000B4A1E" w:rsidRPr="00F20B63" w:rsidTr="00517E51">
        <w:tc>
          <w:tcPr>
            <w:tcW w:w="3614" w:type="dxa"/>
            <w:tcBorders>
              <w:top w:val="nil"/>
              <w:left w:val="nil"/>
              <w:bottom w:val="nil"/>
              <w:right w:val="nil"/>
            </w:tcBorders>
          </w:tcPr>
          <w:p w:rsidR="000B4A1E" w:rsidRPr="00F20B63" w:rsidRDefault="000B4A1E" w:rsidP="00517E51">
            <w:pPr>
              <w:pStyle w:val="Tabletext"/>
              <w:rPr>
                <w:rFonts w:eastAsiaTheme="minorEastAsia"/>
                <w:sz w:val="21"/>
                <w:vertAlign w:val="superscript"/>
                <w:lang w:eastAsia="en-AU"/>
              </w:rPr>
            </w:pPr>
            <w:r w:rsidRPr="00F20B63">
              <w:rPr>
                <w:rFonts w:eastAsiaTheme="minorEastAsia"/>
                <w:sz w:val="21"/>
                <w:lang w:eastAsia="en-AU"/>
              </w:rPr>
              <w:t xml:space="preserve">Not allocated by purpose </w:t>
            </w:r>
            <w:r w:rsidRPr="00F20B63">
              <w:rPr>
                <w:rFonts w:eastAsiaTheme="minorEastAsia"/>
                <w:sz w:val="21"/>
                <w:vertAlign w:val="superscript"/>
                <w:lang w:eastAsia="en-AU"/>
              </w:rPr>
              <w:t>(b)(c)</w:t>
            </w:r>
          </w:p>
        </w:tc>
        <w:tc>
          <w:tcPr>
            <w:tcW w:w="1005" w:type="dxa"/>
            <w:gridSpan w:val="2"/>
            <w:tcBorders>
              <w:top w:val="nil"/>
              <w:left w:val="nil"/>
              <w:bottom w:val="nil"/>
              <w:right w:val="nil"/>
            </w:tcBorders>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43 486.5</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39 925.3</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39 524.8</w:t>
            </w:r>
          </w:p>
        </w:tc>
        <w:tc>
          <w:tcPr>
            <w:tcW w:w="1005"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86 572.1</w:t>
            </w:r>
          </w:p>
        </w:tc>
        <w:tc>
          <w:tcPr>
            <w:tcW w:w="1006" w:type="dxa"/>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78 914.7</w:t>
            </w:r>
          </w:p>
        </w:tc>
        <w:tc>
          <w:tcPr>
            <w:tcW w:w="1006" w:type="dxa"/>
            <w:gridSpan w:val="2"/>
            <w:tcBorders>
              <w:top w:val="nil"/>
              <w:left w:val="nil"/>
              <w:bottom w:val="nil"/>
              <w:right w:val="nil"/>
            </w:tcBorders>
            <w:shd w:val="solid" w:color="FFFFFF" w:fill="auto"/>
          </w:tcPr>
          <w:p w:rsidR="000B4A1E" w:rsidRPr="00F20B63" w:rsidRDefault="000B4A1E" w:rsidP="00517E51">
            <w:pPr>
              <w:pStyle w:val="TableofFigures"/>
              <w:rPr>
                <w:rFonts w:eastAsiaTheme="minorEastAsia"/>
                <w:sz w:val="21"/>
                <w:lang w:eastAsia="en-AU"/>
              </w:rPr>
            </w:pPr>
            <w:r w:rsidRPr="00F20B63">
              <w:rPr>
                <w:rFonts w:eastAsiaTheme="minorEastAsia"/>
                <w:sz w:val="21"/>
                <w:lang w:eastAsia="en-AU"/>
              </w:rPr>
              <w:t>75 739.5</w:t>
            </w:r>
          </w:p>
        </w:tc>
      </w:tr>
      <w:tr w:rsidR="000B4A1E" w:rsidRPr="00F20B63" w:rsidTr="00517E51">
        <w:tc>
          <w:tcPr>
            <w:tcW w:w="3614" w:type="dxa"/>
            <w:tcBorders>
              <w:top w:val="single" w:sz="6" w:space="0" w:color="auto"/>
              <w:left w:val="nil"/>
              <w:bottom w:val="single" w:sz="12" w:space="0" w:color="auto"/>
              <w:right w:val="nil"/>
            </w:tcBorders>
          </w:tcPr>
          <w:p w:rsidR="000B4A1E" w:rsidRPr="00F20B63" w:rsidRDefault="000B4A1E" w:rsidP="00517E51">
            <w:pPr>
              <w:pStyle w:val="Tabletext"/>
              <w:rPr>
                <w:rFonts w:eastAsiaTheme="minorEastAsia"/>
                <w:b/>
                <w:bCs/>
                <w:sz w:val="21"/>
                <w:vertAlign w:val="superscript"/>
                <w:lang w:eastAsia="en-AU"/>
              </w:rPr>
            </w:pPr>
            <w:r w:rsidRPr="00F20B63">
              <w:rPr>
                <w:rFonts w:eastAsiaTheme="minorEastAsia"/>
                <w:b/>
                <w:bCs/>
                <w:sz w:val="21"/>
                <w:lang w:eastAsia="en-AU"/>
              </w:rPr>
              <w:t xml:space="preserve">Total asset </w:t>
            </w:r>
            <w:r w:rsidRPr="00F20B63">
              <w:rPr>
                <w:rFonts w:eastAsiaTheme="minorEastAsia"/>
                <w:b/>
                <w:bCs/>
                <w:sz w:val="21"/>
                <w:vertAlign w:val="superscript"/>
                <w:lang w:eastAsia="en-AU"/>
              </w:rPr>
              <w:t>(d)</w:t>
            </w:r>
          </w:p>
        </w:tc>
        <w:tc>
          <w:tcPr>
            <w:tcW w:w="1005" w:type="dxa"/>
            <w:gridSpan w:val="2"/>
            <w:tcBorders>
              <w:top w:val="single" w:sz="6" w:space="0" w:color="auto"/>
              <w:left w:val="nil"/>
              <w:bottom w:val="single" w:sz="12" w:space="0" w:color="auto"/>
              <w:right w:val="nil"/>
            </w:tcBorders>
            <w:shd w:val="solid" w:color="FFFFFF" w:fill="auto"/>
          </w:tcPr>
          <w:p w:rsidR="000B4A1E" w:rsidRPr="00F20B63" w:rsidRDefault="000B4A1E" w:rsidP="00517E51">
            <w:pPr>
              <w:pStyle w:val="TableofFigures"/>
              <w:rPr>
                <w:rFonts w:eastAsiaTheme="minorEastAsia"/>
                <w:b/>
                <w:bCs/>
                <w:sz w:val="21"/>
                <w:lang w:eastAsia="en-AU"/>
              </w:rPr>
            </w:pPr>
            <w:r w:rsidRPr="00F20B63">
              <w:rPr>
                <w:rFonts w:eastAsiaTheme="minorEastAsia"/>
                <w:b/>
                <w:bCs/>
                <w:sz w:val="21"/>
                <w:lang w:eastAsia="en-AU"/>
              </w:rPr>
              <w:t>236 056.6</w:t>
            </w:r>
          </w:p>
        </w:tc>
        <w:tc>
          <w:tcPr>
            <w:tcW w:w="1006" w:type="dxa"/>
            <w:tcBorders>
              <w:top w:val="single" w:sz="6" w:space="0" w:color="auto"/>
              <w:left w:val="nil"/>
              <w:bottom w:val="single" w:sz="12" w:space="0" w:color="auto"/>
              <w:right w:val="nil"/>
            </w:tcBorders>
            <w:shd w:val="solid" w:color="FFFFFF" w:fill="auto"/>
          </w:tcPr>
          <w:p w:rsidR="000B4A1E" w:rsidRPr="00F20B63" w:rsidRDefault="000B4A1E" w:rsidP="00517E51">
            <w:pPr>
              <w:pStyle w:val="TableofFigures"/>
              <w:rPr>
                <w:rFonts w:eastAsiaTheme="minorEastAsia"/>
                <w:b/>
                <w:bCs/>
                <w:sz w:val="21"/>
                <w:lang w:eastAsia="en-AU"/>
              </w:rPr>
            </w:pPr>
            <w:r w:rsidRPr="00F20B63">
              <w:rPr>
                <w:rFonts w:eastAsiaTheme="minorEastAsia"/>
                <w:b/>
                <w:bCs/>
                <w:sz w:val="21"/>
                <w:lang w:eastAsia="en-AU"/>
              </w:rPr>
              <w:t>222 921.8</w:t>
            </w:r>
          </w:p>
        </w:tc>
        <w:tc>
          <w:tcPr>
            <w:tcW w:w="1006" w:type="dxa"/>
            <w:gridSpan w:val="2"/>
            <w:tcBorders>
              <w:top w:val="single" w:sz="6" w:space="0" w:color="auto"/>
              <w:left w:val="nil"/>
              <w:bottom w:val="single" w:sz="12" w:space="0" w:color="auto"/>
              <w:right w:val="nil"/>
            </w:tcBorders>
            <w:shd w:val="solid" w:color="FFFFFF" w:fill="auto"/>
          </w:tcPr>
          <w:p w:rsidR="000B4A1E" w:rsidRPr="00F20B63" w:rsidRDefault="000B4A1E" w:rsidP="00517E51">
            <w:pPr>
              <w:pStyle w:val="TableofFigures"/>
              <w:rPr>
                <w:rFonts w:eastAsiaTheme="minorEastAsia"/>
                <w:b/>
                <w:bCs/>
                <w:sz w:val="21"/>
                <w:lang w:eastAsia="en-AU"/>
              </w:rPr>
            </w:pPr>
            <w:r w:rsidRPr="00F20B63">
              <w:rPr>
                <w:rFonts w:eastAsiaTheme="minorEastAsia"/>
                <w:b/>
                <w:bCs/>
                <w:sz w:val="21"/>
                <w:lang w:eastAsia="en-AU"/>
              </w:rPr>
              <w:t>216 150.1</w:t>
            </w:r>
          </w:p>
        </w:tc>
        <w:tc>
          <w:tcPr>
            <w:tcW w:w="1005" w:type="dxa"/>
            <w:gridSpan w:val="2"/>
            <w:tcBorders>
              <w:top w:val="single" w:sz="6" w:space="0" w:color="auto"/>
              <w:left w:val="nil"/>
              <w:bottom w:val="single" w:sz="12" w:space="0" w:color="auto"/>
              <w:right w:val="nil"/>
            </w:tcBorders>
            <w:shd w:val="solid" w:color="FFFFFF" w:fill="auto"/>
          </w:tcPr>
          <w:p w:rsidR="000B4A1E" w:rsidRPr="00F20B63" w:rsidRDefault="000B4A1E" w:rsidP="00517E51">
            <w:pPr>
              <w:pStyle w:val="TableofFigures"/>
              <w:rPr>
                <w:rFonts w:eastAsiaTheme="minorEastAsia"/>
                <w:b/>
                <w:bCs/>
                <w:sz w:val="21"/>
                <w:lang w:eastAsia="en-AU"/>
              </w:rPr>
            </w:pPr>
            <w:r w:rsidRPr="00F20B63">
              <w:rPr>
                <w:rFonts w:eastAsiaTheme="minorEastAsia"/>
                <w:b/>
                <w:bCs/>
                <w:sz w:val="21"/>
                <w:lang w:eastAsia="en-AU"/>
              </w:rPr>
              <w:t>188 664.6</w:t>
            </w:r>
          </w:p>
        </w:tc>
        <w:tc>
          <w:tcPr>
            <w:tcW w:w="1006" w:type="dxa"/>
            <w:tcBorders>
              <w:top w:val="single" w:sz="6" w:space="0" w:color="auto"/>
              <w:left w:val="nil"/>
              <w:bottom w:val="single" w:sz="12" w:space="0" w:color="auto"/>
              <w:right w:val="nil"/>
            </w:tcBorders>
            <w:shd w:val="solid" w:color="FFFFFF" w:fill="auto"/>
          </w:tcPr>
          <w:p w:rsidR="000B4A1E" w:rsidRPr="00F20B63" w:rsidRDefault="000B4A1E" w:rsidP="00517E51">
            <w:pPr>
              <w:pStyle w:val="TableofFigures"/>
              <w:rPr>
                <w:rFonts w:eastAsiaTheme="minorEastAsia"/>
                <w:b/>
                <w:bCs/>
                <w:sz w:val="21"/>
                <w:lang w:eastAsia="en-AU"/>
              </w:rPr>
            </w:pPr>
            <w:r w:rsidRPr="00F20B63">
              <w:rPr>
                <w:rFonts w:eastAsiaTheme="minorEastAsia"/>
                <w:b/>
                <w:bCs/>
                <w:sz w:val="21"/>
                <w:lang w:eastAsia="en-AU"/>
              </w:rPr>
              <w:t>177 900.7</w:t>
            </w:r>
          </w:p>
        </w:tc>
        <w:tc>
          <w:tcPr>
            <w:tcW w:w="1006" w:type="dxa"/>
            <w:gridSpan w:val="2"/>
            <w:tcBorders>
              <w:top w:val="single" w:sz="6" w:space="0" w:color="auto"/>
              <w:left w:val="nil"/>
              <w:bottom w:val="single" w:sz="12" w:space="0" w:color="auto"/>
              <w:right w:val="nil"/>
            </w:tcBorders>
            <w:shd w:val="solid" w:color="FFFFFF" w:fill="auto"/>
          </w:tcPr>
          <w:p w:rsidR="000B4A1E" w:rsidRPr="00F20B63" w:rsidRDefault="000B4A1E" w:rsidP="00517E51">
            <w:pPr>
              <w:pStyle w:val="TableofFigures"/>
              <w:rPr>
                <w:rFonts w:eastAsiaTheme="minorEastAsia"/>
                <w:b/>
                <w:bCs/>
                <w:sz w:val="21"/>
                <w:lang w:eastAsia="en-AU"/>
              </w:rPr>
            </w:pPr>
            <w:r w:rsidRPr="00F20B63">
              <w:rPr>
                <w:rFonts w:eastAsiaTheme="minorEastAsia"/>
                <w:b/>
                <w:bCs/>
                <w:sz w:val="21"/>
                <w:lang w:eastAsia="en-AU"/>
              </w:rPr>
              <w:t>170 818.7</w:t>
            </w:r>
          </w:p>
        </w:tc>
      </w:tr>
    </w:tbl>
    <w:p w:rsidR="000B4A1E" w:rsidRPr="00D00665" w:rsidRDefault="000B4A1E" w:rsidP="00517E51">
      <w:pPr>
        <w:pStyle w:val="Notes"/>
      </w:pPr>
      <w:r w:rsidRPr="00D00665">
        <w:t>Notes:</w:t>
      </w:r>
    </w:p>
    <w:p w:rsidR="000B4A1E" w:rsidRPr="00D00665" w:rsidRDefault="000B4A1E" w:rsidP="00517E51">
      <w:pPr>
        <w:pStyle w:val="Notes"/>
      </w:pPr>
      <w:r w:rsidRPr="00D00665">
        <w:t>(a)</w:t>
      </w:r>
      <w:r w:rsidRPr="00D00665">
        <w:tab/>
        <w:t>Restated balances at 30 June 2012 and 1 July 2011. Refer to Note 36 of the financial statements.</w:t>
      </w:r>
    </w:p>
    <w:p w:rsidR="000B4A1E" w:rsidRPr="00D00665" w:rsidRDefault="000B4A1E" w:rsidP="00517E51">
      <w:pPr>
        <w:pStyle w:val="Notes"/>
      </w:pPr>
      <w:r w:rsidRPr="00D00665">
        <w:t xml:space="preserve">(b) </w:t>
      </w:r>
      <w:r w:rsidRPr="00D00665">
        <w:tab/>
        <w:t>Represents financial assets which are not able to be allocated by purpose.</w:t>
      </w:r>
    </w:p>
    <w:p w:rsidR="000B4A1E" w:rsidRDefault="000B4A1E" w:rsidP="00517E51">
      <w:pPr>
        <w:pStyle w:val="Notes"/>
      </w:pPr>
      <w:r>
        <w:t xml:space="preserve">(c) </w:t>
      </w:r>
      <w:r>
        <w:tab/>
      </w:r>
      <w:r w:rsidRPr="00D00665">
        <w:t xml:space="preserve">The 2012 figure has been restated to reflect gross </w:t>
      </w:r>
      <w:r>
        <w:t>grants from general government.</w:t>
      </w:r>
    </w:p>
    <w:p w:rsidR="000B4A1E" w:rsidRPr="00D00665" w:rsidRDefault="000B4A1E" w:rsidP="00517E51">
      <w:pPr>
        <w:pStyle w:val="Notes"/>
      </w:pPr>
      <w:r>
        <w:t>(d)</w:t>
      </w:r>
      <w:r>
        <w:tab/>
      </w:r>
      <w:r w:rsidRPr="00D00665">
        <w:t>Note 39 provides definitions and descriptions of government purpose classifications.</w:t>
      </w:r>
    </w:p>
    <w:p w:rsidR="000B4A1E" w:rsidRPr="00D00665" w:rsidRDefault="000B4A1E" w:rsidP="00517E51">
      <w:pPr>
        <w:pStyle w:val="Heading2Notes"/>
        <w:spacing w:before="120"/>
      </w:pPr>
      <w:r w:rsidRPr="00D00665">
        <w:br w:type="page"/>
      </w:r>
      <w:bookmarkStart w:id="74" w:name="_Toc367947884"/>
      <w:r w:rsidRPr="00D00665">
        <w:lastRenderedPageBreak/>
        <w:t>Note 25:</w:t>
      </w:r>
      <w:r w:rsidRPr="00D00665">
        <w:tab/>
        <w:t>Borrowings</w:t>
      </w:r>
      <w:bookmarkEnd w:id="74"/>
    </w:p>
    <w:p w:rsidR="000B4A1E" w:rsidRPr="003E2DBE" w:rsidRDefault="000B4A1E" w:rsidP="00517E51">
      <w:pPr>
        <w:pStyle w:val="million"/>
      </w:pPr>
      <w:r w:rsidRPr="00D00665">
        <w:t>($</w:t>
      </w:r>
      <w:r>
        <w:t> million</w:t>
      </w:r>
      <w:r w:rsidRPr="00D00665">
        <w:t>)</w:t>
      </w:r>
      <w:bookmarkStart w:id="75" w:name="RANGE!B5:F23"/>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944261434"/>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944261434"/>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vAlign w:val="bottom"/>
            <w:hideMark/>
          </w:tcPr>
          <w:p w:rsidR="000B4A1E" w:rsidRPr="003E2DBE" w:rsidRDefault="000B4A1E" w:rsidP="00517E51">
            <w:pPr>
              <w:pStyle w:val="Tabletextheading"/>
              <w:rPr>
                <w:iCs/>
                <w:lang w:eastAsia="en-AU"/>
              </w:rPr>
            </w:pPr>
            <w:r w:rsidRPr="003E2DBE">
              <w:rPr>
                <w:iCs/>
                <w:lang w:eastAsia="en-AU"/>
              </w:rPr>
              <w:t>2013</w:t>
            </w:r>
          </w:p>
        </w:tc>
        <w:tc>
          <w:tcPr>
            <w:tcW w:w="1123" w:type="dxa"/>
            <w:tcBorders>
              <w:top w:val="nil"/>
              <w:left w:val="nil"/>
              <w:bottom w:val="single" w:sz="4" w:space="0" w:color="auto"/>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94426143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Current borrowings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194426143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 xml:space="preserve">Domestic borrowings </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046.6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947.2</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599.8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853.0</w:t>
            </w:r>
          </w:p>
        </w:tc>
      </w:tr>
      <w:tr w:rsidR="000B4A1E" w:rsidRPr="003E2DBE" w:rsidTr="00517E51">
        <w:trPr>
          <w:divId w:val="194426143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 xml:space="preserve">Foreign currency borrowings </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432.7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163.0</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94426143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Finance lease liabilities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135.8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105.0</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74.9</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50.4</w:t>
            </w:r>
          </w:p>
        </w:tc>
      </w:tr>
      <w:tr w:rsidR="000B4A1E" w:rsidRPr="003E2DBE" w:rsidTr="00517E51">
        <w:trPr>
          <w:divId w:val="1944261434"/>
        </w:trPr>
        <w:tc>
          <w:tcPr>
            <w:tcW w:w="5156"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Derivative financial instruments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695.0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198.4</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944261434"/>
        </w:trPr>
        <w:tc>
          <w:tcPr>
            <w:tcW w:w="5156" w:type="dxa"/>
            <w:tcBorders>
              <w:top w:val="single" w:sz="4" w:space="0" w:color="auto"/>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Total current borrowings</w:t>
            </w:r>
          </w:p>
        </w:tc>
        <w:tc>
          <w:tcPr>
            <w:tcW w:w="1123" w:type="dxa"/>
            <w:gridSpan w:val="2"/>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310.2</w:t>
            </w:r>
          </w:p>
        </w:tc>
        <w:tc>
          <w:tcPr>
            <w:tcW w:w="1123"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413.6</w:t>
            </w:r>
          </w:p>
        </w:tc>
        <w:tc>
          <w:tcPr>
            <w:tcW w:w="1123" w:type="dxa"/>
            <w:gridSpan w:val="2"/>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674.7</w:t>
            </w:r>
          </w:p>
        </w:tc>
        <w:tc>
          <w:tcPr>
            <w:tcW w:w="1123"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903.3</w:t>
            </w:r>
          </w:p>
        </w:tc>
      </w:tr>
      <w:tr w:rsidR="000B4A1E" w:rsidRPr="003E2DBE" w:rsidTr="00517E51">
        <w:trPr>
          <w:divId w:val="194426143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Non-current borrowings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 xml:space="preserve">  </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 xml:space="preserve">  </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 xml:space="preserve">  </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194426143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Domestic borrowings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35 </w:t>
            </w:r>
            <w:r w:rsidRPr="003E2DBE">
              <w:rPr>
                <w:rFonts w:cs="Calibri"/>
                <w:szCs w:val="22"/>
                <w:lang w:eastAsia="en-AU"/>
              </w:rPr>
              <w:t>950.1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31 </w:t>
            </w:r>
            <w:r w:rsidRPr="003E2DBE">
              <w:rPr>
                <w:rFonts w:cs="Calibri"/>
                <w:szCs w:val="22"/>
                <w:lang w:eastAsia="en-AU"/>
              </w:rPr>
              <w:t>285.9</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20 </w:t>
            </w:r>
            <w:r w:rsidRPr="003E2DBE">
              <w:rPr>
                <w:rFonts w:cs="Calibri"/>
                <w:szCs w:val="22"/>
                <w:lang w:eastAsia="en-AU"/>
              </w:rPr>
              <w:t>703.2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18 </w:t>
            </w:r>
            <w:r w:rsidRPr="003E2DBE">
              <w:rPr>
                <w:rFonts w:cs="Calibri"/>
                <w:szCs w:val="22"/>
                <w:lang w:eastAsia="en-AU"/>
              </w:rPr>
              <w:t>826.2</w:t>
            </w:r>
          </w:p>
        </w:tc>
      </w:tr>
      <w:tr w:rsidR="000B4A1E" w:rsidRPr="003E2DBE" w:rsidTr="00517E51">
        <w:trPr>
          <w:divId w:val="194426143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Foreign currency borrowings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98.2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109.8</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94426143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Finance lease liabilities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8 </w:t>
            </w:r>
            <w:r w:rsidRPr="003E2DBE">
              <w:rPr>
                <w:rFonts w:cs="Calibri"/>
                <w:szCs w:val="22"/>
                <w:lang w:eastAsia="en-AU"/>
              </w:rPr>
              <w:t>724.5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406.2</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7 </w:t>
            </w:r>
            <w:r w:rsidRPr="003E2DBE">
              <w:rPr>
                <w:rFonts w:cs="Calibri"/>
                <w:szCs w:val="22"/>
                <w:lang w:eastAsia="en-AU"/>
              </w:rPr>
              <w:t>958.4</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628.3</w:t>
            </w:r>
          </w:p>
        </w:tc>
      </w:tr>
      <w:tr w:rsidR="000B4A1E" w:rsidRPr="003E2DBE" w:rsidTr="00517E51">
        <w:trPr>
          <w:divId w:val="1944261434"/>
        </w:trPr>
        <w:tc>
          <w:tcPr>
            <w:tcW w:w="5156"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Derivative financial instruments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354.0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422.3</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9.0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36.0</w:t>
            </w:r>
          </w:p>
        </w:tc>
      </w:tr>
      <w:tr w:rsidR="000B4A1E" w:rsidRPr="003E2DBE" w:rsidTr="00517E51">
        <w:trPr>
          <w:divId w:val="1944261434"/>
        </w:trPr>
        <w:tc>
          <w:tcPr>
            <w:tcW w:w="5156" w:type="dxa"/>
            <w:tcBorders>
              <w:top w:val="single" w:sz="4" w:space="0" w:color="auto"/>
              <w:left w:val="nil"/>
              <w:bottom w:val="single" w:sz="4" w:space="0" w:color="auto"/>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Total non-current borrowings</w:t>
            </w:r>
          </w:p>
        </w:tc>
        <w:tc>
          <w:tcPr>
            <w:tcW w:w="1123" w:type="dxa"/>
            <w:gridSpan w:val="2"/>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45 </w:t>
            </w:r>
            <w:r w:rsidRPr="003E2DBE">
              <w:rPr>
                <w:rFonts w:cs="Calibri"/>
                <w:b/>
                <w:bCs/>
                <w:szCs w:val="22"/>
                <w:lang w:eastAsia="en-AU"/>
              </w:rPr>
              <w:t>126.8</w:t>
            </w:r>
          </w:p>
        </w:tc>
        <w:tc>
          <w:tcPr>
            <w:tcW w:w="1123"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35 </w:t>
            </w:r>
            <w:r w:rsidRPr="003E2DBE">
              <w:rPr>
                <w:rFonts w:cs="Calibri"/>
                <w:b/>
                <w:bCs/>
                <w:szCs w:val="22"/>
                <w:lang w:eastAsia="en-AU"/>
              </w:rPr>
              <w:t>224.1</w:t>
            </w:r>
          </w:p>
        </w:tc>
        <w:tc>
          <w:tcPr>
            <w:tcW w:w="1123" w:type="dxa"/>
            <w:gridSpan w:val="2"/>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28 </w:t>
            </w:r>
            <w:r w:rsidRPr="003E2DBE">
              <w:rPr>
                <w:rFonts w:cs="Calibri"/>
                <w:b/>
                <w:bCs/>
                <w:szCs w:val="22"/>
                <w:lang w:eastAsia="en-AU"/>
              </w:rPr>
              <w:t>670.6</w:t>
            </w:r>
          </w:p>
        </w:tc>
        <w:tc>
          <w:tcPr>
            <w:tcW w:w="1123"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21 </w:t>
            </w:r>
            <w:r w:rsidRPr="003E2DBE">
              <w:rPr>
                <w:rFonts w:cs="Calibri"/>
                <w:b/>
                <w:bCs/>
                <w:szCs w:val="22"/>
                <w:lang w:eastAsia="en-AU"/>
              </w:rPr>
              <w:t>490.5</w:t>
            </w:r>
          </w:p>
        </w:tc>
      </w:tr>
      <w:tr w:rsidR="000B4A1E" w:rsidRPr="003E2DBE" w:rsidTr="00517E51">
        <w:trPr>
          <w:divId w:val="1944261434"/>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 borrowings</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47 </w:t>
            </w:r>
            <w:r w:rsidRPr="003E2DBE">
              <w:rPr>
                <w:rFonts w:cs="Calibri"/>
                <w:b/>
                <w:bCs/>
                <w:szCs w:val="22"/>
                <w:lang w:eastAsia="en-AU"/>
              </w:rPr>
              <w:t>437.0</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40 </w:t>
            </w:r>
            <w:r w:rsidRPr="003E2DBE">
              <w:rPr>
                <w:rFonts w:cs="Calibri"/>
                <w:b/>
                <w:bCs/>
                <w:szCs w:val="22"/>
                <w:lang w:eastAsia="en-AU"/>
              </w:rPr>
              <w:t>637.7</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31 </w:t>
            </w:r>
            <w:r w:rsidRPr="003E2DBE">
              <w:rPr>
                <w:rFonts w:cs="Calibri"/>
                <w:b/>
                <w:bCs/>
                <w:szCs w:val="22"/>
                <w:lang w:eastAsia="en-AU"/>
              </w:rPr>
              <w:t>345.3</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22 </w:t>
            </w:r>
            <w:r w:rsidRPr="003E2DBE">
              <w:rPr>
                <w:rFonts w:cs="Calibri"/>
                <w:b/>
                <w:bCs/>
                <w:szCs w:val="22"/>
                <w:lang w:eastAsia="en-AU"/>
              </w:rPr>
              <w:t>393.9</w:t>
            </w:r>
          </w:p>
        </w:tc>
      </w:tr>
      <w:bookmarkEnd w:id="75"/>
    </w:tbl>
    <w:p w:rsidR="000B4A1E" w:rsidRPr="00D00665" w:rsidRDefault="000B4A1E" w:rsidP="00517E51"/>
    <w:p w:rsidR="000B4A1E" w:rsidRPr="00D00665" w:rsidRDefault="000B4A1E" w:rsidP="00517E51">
      <w:pPr>
        <w:pStyle w:val="Heading2Notes"/>
      </w:pPr>
      <w:bookmarkStart w:id="76" w:name="_Toc367947885"/>
      <w:r w:rsidRPr="00D00665">
        <w:t>Note 26:</w:t>
      </w:r>
      <w:r w:rsidRPr="00D00665">
        <w:tab/>
        <w:t>Employee benefits</w:t>
      </w:r>
      <w:bookmarkEnd w:id="76"/>
    </w:p>
    <w:p w:rsidR="000B4A1E" w:rsidRPr="003E2DBE" w:rsidRDefault="000B4A1E" w:rsidP="00517E51">
      <w:pPr>
        <w:pStyle w:val="million"/>
      </w:pPr>
      <w:r w:rsidRPr="00D00665">
        <w:t>($</w:t>
      </w:r>
      <w:r>
        <w:t> million</w:t>
      </w:r>
      <w:r w:rsidRPr="00D00665">
        <w:t>)</w:t>
      </w:r>
      <w:bookmarkStart w:id="77" w:name="RANGE!B6:F16"/>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787120627"/>
        </w:trPr>
        <w:tc>
          <w:tcPr>
            <w:tcW w:w="5156" w:type="dxa"/>
            <w:tcBorders>
              <w:top w:val="single" w:sz="4" w:space="0" w:color="auto"/>
              <w:left w:val="single" w:sz="4" w:space="0" w:color="auto"/>
              <w:bottom w:val="nil"/>
              <w:right w:val="nil"/>
            </w:tcBorders>
            <w:shd w:val="clear" w:color="auto" w:fill="000000"/>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787120627"/>
        </w:trPr>
        <w:tc>
          <w:tcPr>
            <w:tcW w:w="5156" w:type="dxa"/>
            <w:tcBorders>
              <w:top w:val="nil"/>
              <w:left w:val="single" w:sz="4" w:space="0" w:color="auto"/>
              <w:bottom w:val="single" w:sz="4" w:space="0" w:color="auto"/>
              <w:right w:val="nil"/>
            </w:tcBorders>
            <w:shd w:val="clear" w:color="auto" w:fill="000000"/>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iCs/>
                <w:lang w:eastAsia="en-AU"/>
              </w:rPr>
            </w:pPr>
            <w:r w:rsidRPr="003E2DBE">
              <w:rPr>
                <w:iCs/>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787120627"/>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Current</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 xml:space="preserve">  </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b/>
                <w:bCs/>
                <w:lang w:eastAsia="en-AU"/>
              </w:rPr>
            </w:pPr>
            <w:r w:rsidRPr="003E2DBE">
              <w:rPr>
                <w:b/>
                <w:bCs/>
                <w:lang w:eastAsia="en-AU"/>
              </w:rPr>
              <w:t xml:space="preserve">  </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1787120627"/>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 xml:space="preserve">Accrued salaries and wages </w:t>
            </w:r>
            <w:r w:rsidRPr="003E2DBE">
              <w:rPr>
                <w:vertAlign w:val="superscript"/>
                <w:lang w:eastAsia="en-AU"/>
              </w:rPr>
              <w:t>(a)</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801.4</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681.5</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622.3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515.1</w:t>
            </w:r>
          </w:p>
        </w:tc>
      </w:tr>
      <w:tr w:rsidR="000B4A1E" w:rsidRPr="003E2DBE" w:rsidTr="00517E51">
        <w:trPr>
          <w:divId w:val="1787120627"/>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Long service leave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150.0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206.8</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962.2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028.8</w:t>
            </w:r>
          </w:p>
        </w:tc>
      </w:tr>
      <w:tr w:rsidR="000B4A1E" w:rsidRPr="003E2DBE" w:rsidTr="00517E51">
        <w:trPr>
          <w:divId w:val="1787120627"/>
        </w:trPr>
        <w:tc>
          <w:tcPr>
            <w:tcW w:w="5156"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 current employee benefits</w:t>
            </w:r>
          </w:p>
        </w:tc>
        <w:tc>
          <w:tcPr>
            <w:tcW w:w="1123" w:type="dxa"/>
            <w:gridSpan w:val="2"/>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951.4</w:t>
            </w:r>
          </w:p>
        </w:tc>
        <w:tc>
          <w:tcPr>
            <w:tcW w:w="1123"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888.3</w:t>
            </w:r>
          </w:p>
        </w:tc>
        <w:tc>
          <w:tcPr>
            <w:tcW w:w="1123" w:type="dxa"/>
            <w:gridSpan w:val="2"/>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584.6</w:t>
            </w:r>
          </w:p>
        </w:tc>
        <w:tc>
          <w:tcPr>
            <w:tcW w:w="1123"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543.9</w:t>
            </w:r>
          </w:p>
        </w:tc>
      </w:tr>
      <w:tr w:rsidR="000B4A1E" w:rsidRPr="003E2DBE" w:rsidTr="00517E51">
        <w:trPr>
          <w:divId w:val="1787120627"/>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Non-current</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1787120627"/>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Long service leave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673.3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554.1</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624.3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499.3</w:t>
            </w:r>
          </w:p>
        </w:tc>
      </w:tr>
      <w:tr w:rsidR="000B4A1E" w:rsidRPr="003E2DBE" w:rsidTr="00517E51">
        <w:trPr>
          <w:divId w:val="1787120627"/>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 non-current employee benefits</w:t>
            </w:r>
          </w:p>
        </w:tc>
        <w:tc>
          <w:tcPr>
            <w:tcW w:w="1123" w:type="dxa"/>
            <w:gridSpan w:val="2"/>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673.3</w:t>
            </w:r>
          </w:p>
        </w:tc>
        <w:tc>
          <w:tcPr>
            <w:tcW w:w="1123"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554.1</w:t>
            </w:r>
          </w:p>
        </w:tc>
        <w:tc>
          <w:tcPr>
            <w:tcW w:w="1123" w:type="dxa"/>
            <w:gridSpan w:val="2"/>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624.3</w:t>
            </w:r>
          </w:p>
        </w:tc>
        <w:tc>
          <w:tcPr>
            <w:tcW w:w="1123"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499.3</w:t>
            </w:r>
          </w:p>
        </w:tc>
      </w:tr>
      <w:tr w:rsidR="000B4A1E" w:rsidRPr="003E2DBE" w:rsidTr="00517E51">
        <w:trPr>
          <w:divId w:val="1787120627"/>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 employee benefits</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624.7</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442.4</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208.8</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043.2</w:t>
            </w:r>
          </w:p>
        </w:tc>
      </w:tr>
    </w:tbl>
    <w:bookmarkEnd w:id="77"/>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Includes accrued annual leave, payroll tax and other similar on costs.</w:t>
      </w:r>
    </w:p>
    <w:p w:rsidR="000B4A1E" w:rsidRPr="00D00665" w:rsidRDefault="000B4A1E" w:rsidP="00517E51"/>
    <w:p w:rsidR="000B4A1E" w:rsidRPr="00D00665" w:rsidRDefault="000B4A1E" w:rsidP="00517E51">
      <w:pPr>
        <w:pStyle w:val="Heading2Notes"/>
      </w:pPr>
      <w:r w:rsidRPr="00D00665">
        <w:br w:type="page"/>
      </w:r>
      <w:bookmarkStart w:id="78" w:name="_Toc367947886"/>
      <w:r w:rsidRPr="00D00665">
        <w:lastRenderedPageBreak/>
        <w:t>Note 27:</w:t>
      </w:r>
      <w:r w:rsidRPr="00D00665">
        <w:tab/>
        <w:t>Other provisions</w:t>
      </w:r>
      <w:bookmarkEnd w:id="78"/>
    </w:p>
    <w:p w:rsidR="000B4A1E" w:rsidRPr="003E2DBE" w:rsidRDefault="000B4A1E" w:rsidP="00517E51">
      <w:pPr>
        <w:pStyle w:val="million"/>
      </w:pPr>
      <w:r w:rsidRPr="00D00665">
        <w:t>($</w:t>
      </w:r>
      <w:r>
        <w:t> million</w:t>
      </w:r>
      <w:r w:rsidRPr="00D00665">
        <w:t>)</w:t>
      </w:r>
      <w:bookmarkStart w:id="79" w:name="RANGE!B7:F27"/>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919972966"/>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headingCentred"/>
              <w:rPr>
                <w:sz w:val="21"/>
                <w:lang w:eastAsia="en-AU"/>
              </w:rPr>
            </w:pPr>
            <w:r w:rsidRPr="003E2DBE">
              <w:rPr>
                <w:sz w:val="21"/>
                <w:lang w:eastAsia="en-AU"/>
              </w:rPr>
              <w:t xml:space="preserve">  </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sz w:val="21"/>
                <w:lang w:eastAsia="en-AU"/>
              </w:rPr>
            </w:pPr>
            <w:r w:rsidRPr="003E2DBE">
              <w:rPr>
                <w:sz w:val="21"/>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sz w:val="21"/>
                <w:lang w:eastAsia="en-AU"/>
              </w:rPr>
            </w:pPr>
            <w:r w:rsidRPr="003E2DBE">
              <w:rPr>
                <w:sz w:val="21"/>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sz w:val="21"/>
                <w:lang w:eastAsia="en-AU"/>
              </w:rPr>
            </w:pPr>
            <w:r w:rsidRPr="003E2DBE">
              <w:rPr>
                <w:sz w:val="21"/>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sz w:val="21"/>
                <w:lang w:eastAsia="en-AU"/>
              </w:rPr>
            </w:pPr>
            <w:r w:rsidRPr="003E2DBE">
              <w:rPr>
                <w:sz w:val="21"/>
                <w:lang w:eastAsia="en-AU"/>
              </w:rPr>
              <w:t xml:space="preserve">General </w:t>
            </w:r>
            <w:r w:rsidRPr="003E2DBE">
              <w:rPr>
                <w:sz w:val="21"/>
                <w:lang w:eastAsia="en-AU"/>
              </w:rPr>
              <w:br/>
              <w:t>government sector</w:t>
            </w:r>
          </w:p>
        </w:tc>
      </w:tr>
      <w:tr w:rsidR="000B4A1E" w:rsidRPr="003E2DBE" w:rsidTr="00517E51">
        <w:trPr>
          <w:divId w:val="1919972966"/>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sz w:val="21"/>
                <w:lang w:eastAsia="en-AU"/>
              </w:rPr>
            </w:pPr>
            <w:r w:rsidRPr="003E2DBE">
              <w:rPr>
                <w:sz w:val="21"/>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iCs/>
                <w:sz w:val="21"/>
                <w:lang w:eastAsia="en-AU"/>
              </w:rPr>
            </w:pPr>
            <w:r w:rsidRPr="003E2DBE">
              <w:rPr>
                <w:iCs/>
                <w:sz w:val="21"/>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sz w:val="21"/>
                <w:lang w:eastAsia="en-AU"/>
              </w:rPr>
            </w:pPr>
            <w:r w:rsidRPr="003E2DBE">
              <w:rPr>
                <w:sz w:val="21"/>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sz w:val="21"/>
                <w:lang w:eastAsia="en-AU"/>
              </w:rPr>
            </w:pPr>
            <w:r w:rsidRPr="003E2DBE">
              <w:rPr>
                <w:sz w:val="21"/>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sz w:val="21"/>
                <w:lang w:eastAsia="en-AU"/>
              </w:rPr>
            </w:pPr>
            <w:r w:rsidRPr="003E2DBE">
              <w:rPr>
                <w:sz w:val="21"/>
                <w:lang w:eastAsia="en-AU"/>
              </w:rPr>
              <w:t>2012</w:t>
            </w:r>
          </w:p>
        </w:tc>
      </w:tr>
      <w:tr w:rsidR="000B4A1E" w:rsidRPr="003E2DBE" w:rsidTr="00517E51">
        <w:trPr>
          <w:divId w:val="191997296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21"/>
                <w:lang w:eastAsia="en-AU"/>
              </w:rPr>
            </w:pPr>
            <w:r w:rsidRPr="003E2DBE">
              <w:rPr>
                <w:b/>
                <w:bCs/>
                <w:sz w:val="21"/>
                <w:lang w:eastAsia="en-AU"/>
              </w:rPr>
              <w:t>Provision for insurance claims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sz w:val="21"/>
                <w:lang w:eastAsia="en-AU"/>
              </w:rPr>
            </w:pPr>
            <w:r w:rsidRPr="003E2DBE">
              <w:rPr>
                <w:sz w:val="21"/>
                <w:lang w:eastAsia="en-AU"/>
              </w:rPr>
              <w:t xml:space="preserve">  </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sz w:val="21"/>
                <w:lang w:eastAsia="en-AU"/>
              </w:rPr>
            </w:pPr>
            <w:r w:rsidRPr="003E2DBE">
              <w:rPr>
                <w:sz w:val="21"/>
                <w:lang w:eastAsia="en-AU"/>
              </w:rPr>
              <w:t xml:space="preserve">  </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sz w:val="21"/>
                <w:lang w:eastAsia="en-AU"/>
              </w:rPr>
            </w:pPr>
            <w:r w:rsidRPr="003E2DBE">
              <w:rPr>
                <w:sz w:val="21"/>
                <w:lang w:eastAsia="en-AU"/>
              </w:rPr>
              <w:t xml:space="preserve">  </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sz w:val="21"/>
                <w:lang w:eastAsia="en-AU"/>
              </w:rPr>
            </w:pPr>
            <w:r w:rsidRPr="003E2DBE">
              <w:rPr>
                <w:sz w:val="21"/>
                <w:lang w:eastAsia="en-AU"/>
              </w:rPr>
              <w:t xml:space="preserve">  </w:t>
            </w:r>
          </w:p>
        </w:tc>
      </w:tr>
      <w:tr w:rsidR="000B4A1E" w:rsidRPr="003E2DBE" w:rsidTr="00517E51">
        <w:trPr>
          <w:divId w:val="191997296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Victorian WorkCover Authority</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1 </w:t>
            </w:r>
            <w:r w:rsidRPr="003E2DBE">
              <w:rPr>
                <w:rFonts w:cs="Calibri"/>
                <w:sz w:val="21"/>
                <w:szCs w:val="22"/>
                <w:lang w:eastAsia="en-AU"/>
              </w:rPr>
              <w:t>891.8</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1 </w:t>
            </w:r>
            <w:r w:rsidRPr="003E2DBE">
              <w:rPr>
                <w:rFonts w:cs="Calibri"/>
                <w:sz w:val="21"/>
                <w:szCs w:val="22"/>
                <w:lang w:eastAsia="en-AU"/>
              </w:rPr>
              <w:t>841.5</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r>
      <w:tr w:rsidR="000B4A1E" w:rsidRPr="003E2DBE" w:rsidTr="00517E51">
        <w:trPr>
          <w:divId w:val="191997296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Transport Accident Commission</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1 </w:t>
            </w:r>
            <w:r w:rsidRPr="003E2DBE">
              <w:rPr>
                <w:rFonts w:cs="Calibri"/>
                <w:sz w:val="21"/>
                <w:szCs w:val="22"/>
                <w:lang w:eastAsia="en-AU"/>
              </w:rPr>
              <w:t>063.6</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1 </w:t>
            </w:r>
            <w:r w:rsidRPr="003E2DBE">
              <w:rPr>
                <w:rFonts w:cs="Calibri"/>
                <w:sz w:val="21"/>
                <w:szCs w:val="22"/>
                <w:lang w:eastAsia="en-AU"/>
              </w:rPr>
              <w:t>001.2</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r>
      <w:tr w:rsidR="000B4A1E" w:rsidRPr="003E2DBE" w:rsidTr="00517E51">
        <w:trPr>
          <w:divId w:val="191997296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Victorian Managed Insurance Authority</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375.0</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370.4</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r>
      <w:tr w:rsidR="000B4A1E" w:rsidRPr="003E2DBE" w:rsidTr="00517E51">
        <w:trPr>
          <w:divId w:val="1919972966"/>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Other agencies</w:t>
            </w:r>
          </w:p>
        </w:tc>
        <w:tc>
          <w:tcPr>
            <w:tcW w:w="1123" w:type="dxa"/>
            <w:gridSpan w:val="2"/>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17.4</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19.3</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12.9</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14.7</w:t>
            </w:r>
          </w:p>
        </w:tc>
      </w:tr>
      <w:tr w:rsidR="000B4A1E" w:rsidRPr="003E2DBE" w:rsidTr="00517E51">
        <w:trPr>
          <w:divId w:val="191997296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21"/>
                <w:lang w:eastAsia="en-AU"/>
              </w:rPr>
            </w:pPr>
            <w:r w:rsidRPr="003E2DBE">
              <w:rPr>
                <w:b/>
                <w:bCs/>
                <w:sz w:val="21"/>
                <w:lang w:eastAsia="en-AU"/>
              </w:rPr>
              <w:t>Current provision for insurance claims</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3 </w:t>
            </w:r>
            <w:r w:rsidRPr="003E2DBE">
              <w:rPr>
                <w:rFonts w:cs="Calibri"/>
                <w:b/>
                <w:bCs/>
                <w:sz w:val="21"/>
                <w:szCs w:val="22"/>
                <w:lang w:eastAsia="en-AU"/>
              </w:rPr>
              <w:t>347.8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3 </w:t>
            </w:r>
            <w:r w:rsidRPr="003E2DBE">
              <w:rPr>
                <w:rFonts w:cs="Calibri"/>
                <w:b/>
                <w:bCs/>
                <w:sz w:val="21"/>
                <w:szCs w:val="22"/>
                <w:lang w:eastAsia="en-AU"/>
              </w:rPr>
              <w:t>232.4</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12.9</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14.7</w:t>
            </w:r>
          </w:p>
        </w:tc>
      </w:tr>
      <w:tr w:rsidR="000B4A1E" w:rsidRPr="003E2DBE" w:rsidTr="00517E51">
        <w:trPr>
          <w:divId w:val="191997296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 xml:space="preserve">Onerous contracts </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126.4</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123.6</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r>
      <w:tr w:rsidR="000B4A1E" w:rsidRPr="003E2DBE" w:rsidTr="00517E51">
        <w:trPr>
          <w:divId w:val="1919972966"/>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 xml:space="preserve">Other provisions </w:t>
            </w:r>
          </w:p>
        </w:tc>
        <w:tc>
          <w:tcPr>
            <w:tcW w:w="1123" w:type="dxa"/>
            <w:gridSpan w:val="2"/>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297.4</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377.7</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180.3</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238.1</w:t>
            </w:r>
          </w:p>
        </w:tc>
      </w:tr>
      <w:tr w:rsidR="000B4A1E" w:rsidRPr="003E2DBE" w:rsidTr="00517E51">
        <w:trPr>
          <w:divId w:val="191997296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21"/>
                <w:lang w:eastAsia="en-AU"/>
              </w:rPr>
            </w:pPr>
            <w:r w:rsidRPr="003E2DBE">
              <w:rPr>
                <w:b/>
                <w:bCs/>
                <w:sz w:val="21"/>
                <w:lang w:eastAsia="en-AU"/>
              </w:rPr>
              <w:t>Total current other provisions</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3 </w:t>
            </w:r>
            <w:r w:rsidRPr="003E2DBE">
              <w:rPr>
                <w:rFonts w:cs="Calibri"/>
                <w:b/>
                <w:bCs/>
                <w:sz w:val="21"/>
                <w:szCs w:val="22"/>
                <w:lang w:eastAsia="en-AU"/>
              </w:rPr>
              <w:t>771.6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3 </w:t>
            </w:r>
            <w:r w:rsidRPr="003E2DBE">
              <w:rPr>
                <w:rFonts w:cs="Calibri"/>
                <w:b/>
                <w:bCs/>
                <w:sz w:val="21"/>
                <w:szCs w:val="22"/>
                <w:lang w:eastAsia="en-AU"/>
              </w:rPr>
              <w:t>733.7</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193.2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252.8</w:t>
            </w:r>
          </w:p>
        </w:tc>
      </w:tr>
      <w:tr w:rsidR="000B4A1E" w:rsidRPr="003E2DBE" w:rsidTr="00517E51">
        <w:trPr>
          <w:divId w:val="191997296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21"/>
                <w:lang w:eastAsia="en-AU"/>
              </w:rPr>
            </w:pPr>
            <w:r w:rsidRPr="003E2DBE">
              <w:rPr>
                <w:b/>
                <w:bCs/>
                <w:sz w:val="21"/>
                <w:lang w:eastAsia="en-AU"/>
              </w:rPr>
              <w:t>Non-current provision for insurance claims</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sz w:val="21"/>
                <w:lang w:eastAsia="en-AU"/>
              </w:rPr>
            </w:pPr>
            <w:r w:rsidRPr="003E2DBE">
              <w:rPr>
                <w:sz w:val="21"/>
                <w:lang w:eastAsia="en-AU"/>
              </w:rPr>
              <w:t xml:space="preserve">  </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sz w:val="21"/>
                <w:lang w:eastAsia="en-AU"/>
              </w:rPr>
            </w:pPr>
            <w:r w:rsidRPr="003E2DBE">
              <w:rPr>
                <w:sz w:val="21"/>
                <w:lang w:eastAsia="en-AU"/>
              </w:rPr>
              <w:t xml:space="preserve">  </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sz w:val="21"/>
                <w:lang w:eastAsia="en-AU"/>
              </w:rPr>
            </w:pPr>
            <w:r w:rsidRPr="003E2DBE">
              <w:rPr>
                <w:sz w:val="21"/>
                <w:lang w:eastAsia="en-AU"/>
              </w:rPr>
              <w:t xml:space="preserve">  </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sz w:val="21"/>
                <w:lang w:eastAsia="en-AU"/>
              </w:rPr>
            </w:pPr>
            <w:r w:rsidRPr="003E2DBE">
              <w:rPr>
                <w:sz w:val="21"/>
                <w:lang w:eastAsia="en-AU"/>
              </w:rPr>
              <w:t xml:space="preserve">  </w:t>
            </w:r>
          </w:p>
        </w:tc>
      </w:tr>
      <w:tr w:rsidR="000B4A1E" w:rsidRPr="003E2DBE" w:rsidTr="00517E51">
        <w:trPr>
          <w:divId w:val="191997296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Victorian WorkCover Authority</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8 </w:t>
            </w:r>
            <w:r w:rsidRPr="003E2DBE">
              <w:rPr>
                <w:rFonts w:cs="Calibri"/>
                <w:sz w:val="21"/>
                <w:szCs w:val="22"/>
                <w:lang w:eastAsia="en-AU"/>
              </w:rPr>
              <w:t>545.0</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8 </w:t>
            </w:r>
            <w:r w:rsidRPr="003E2DBE">
              <w:rPr>
                <w:rFonts w:cs="Calibri"/>
                <w:sz w:val="21"/>
                <w:szCs w:val="22"/>
                <w:lang w:eastAsia="en-AU"/>
              </w:rPr>
              <w:t>702.4</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r>
      <w:tr w:rsidR="000B4A1E" w:rsidRPr="003E2DBE" w:rsidTr="00517E51">
        <w:trPr>
          <w:divId w:val="191997296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Transport Accident Commission</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8 </w:t>
            </w:r>
            <w:r w:rsidRPr="003E2DBE">
              <w:rPr>
                <w:rFonts w:cs="Calibri"/>
                <w:sz w:val="21"/>
                <w:szCs w:val="22"/>
                <w:lang w:eastAsia="en-AU"/>
              </w:rPr>
              <w:t>966.8</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9 </w:t>
            </w:r>
            <w:r w:rsidRPr="003E2DBE">
              <w:rPr>
                <w:rFonts w:cs="Calibri"/>
                <w:sz w:val="21"/>
                <w:szCs w:val="22"/>
                <w:lang w:eastAsia="en-AU"/>
              </w:rPr>
              <w:t>101.5</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r>
      <w:tr w:rsidR="000B4A1E" w:rsidRPr="003E2DBE" w:rsidTr="00517E51">
        <w:trPr>
          <w:divId w:val="191997296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Victorian Managed Insurance Authority</w:t>
            </w:r>
          </w:p>
        </w:tc>
        <w:tc>
          <w:tcPr>
            <w:tcW w:w="1123" w:type="dxa"/>
            <w:gridSpan w:val="2"/>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1 </w:t>
            </w:r>
            <w:r w:rsidRPr="003E2DBE">
              <w:rPr>
                <w:rFonts w:cs="Calibri"/>
                <w:sz w:val="21"/>
                <w:szCs w:val="22"/>
                <w:lang w:eastAsia="en-AU"/>
              </w:rPr>
              <w:t>589.4</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1 </w:t>
            </w:r>
            <w:r w:rsidRPr="003E2DBE">
              <w:rPr>
                <w:rFonts w:cs="Calibri"/>
                <w:sz w:val="21"/>
                <w:szCs w:val="22"/>
                <w:lang w:eastAsia="en-AU"/>
              </w:rPr>
              <w:t>600.4</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r>
      <w:tr w:rsidR="000B4A1E" w:rsidRPr="003E2DBE" w:rsidTr="00517E51">
        <w:trPr>
          <w:divId w:val="1919972966"/>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Other agencies</w:t>
            </w:r>
          </w:p>
        </w:tc>
        <w:tc>
          <w:tcPr>
            <w:tcW w:w="1123" w:type="dxa"/>
            <w:gridSpan w:val="2"/>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30.0</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30.1</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28.5</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29.0</w:t>
            </w:r>
          </w:p>
        </w:tc>
      </w:tr>
      <w:tr w:rsidR="000B4A1E" w:rsidRPr="003E2DBE" w:rsidTr="00517E51">
        <w:trPr>
          <w:divId w:val="191997296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21"/>
                <w:lang w:eastAsia="en-AU"/>
              </w:rPr>
            </w:pPr>
            <w:r w:rsidRPr="003E2DBE">
              <w:rPr>
                <w:b/>
                <w:bCs/>
                <w:sz w:val="21"/>
                <w:lang w:eastAsia="en-AU"/>
              </w:rPr>
              <w:t>Non-current provision for insurance claims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19 </w:t>
            </w:r>
            <w:r w:rsidRPr="003E2DBE">
              <w:rPr>
                <w:rFonts w:cs="Calibri"/>
                <w:b/>
                <w:bCs/>
                <w:sz w:val="21"/>
                <w:szCs w:val="22"/>
                <w:lang w:eastAsia="en-AU"/>
              </w:rPr>
              <w:t>131.2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19 </w:t>
            </w:r>
            <w:r w:rsidRPr="003E2DBE">
              <w:rPr>
                <w:rFonts w:cs="Calibri"/>
                <w:b/>
                <w:bCs/>
                <w:sz w:val="21"/>
                <w:szCs w:val="22"/>
                <w:lang w:eastAsia="en-AU"/>
              </w:rPr>
              <w:t>434.3</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28.5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29.0</w:t>
            </w:r>
          </w:p>
        </w:tc>
      </w:tr>
      <w:tr w:rsidR="000B4A1E" w:rsidRPr="003E2DBE" w:rsidTr="00517E51">
        <w:trPr>
          <w:divId w:val="191997296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 xml:space="preserve">Onerous contracts </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211.5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383.5</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r>
      <w:tr w:rsidR="000B4A1E" w:rsidRPr="003E2DBE" w:rsidTr="00517E51">
        <w:trPr>
          <w:divId w:val="1919972966"/>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 xml:space="preserve">Other provisions </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428.2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366.8</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381.6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353.7</w:t>
            </w:r>
          </w:p>
        </w:tc>
      </w:tr>
      <w:tr w:rsidR="000B4A1E" w:rsidRPr="003E2DBE" w:rsidTr="00517E51">
        <w:trPr>
          <w:divId w:val="1919972966"/>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b/>
                <w:bCs/>
                <w:sz w:val="21"/>
                <w:lang w:eastAsia="en-AU"/>
              </w:rPr>
            </w:pPr>
            <w:r w:rsidRPr="003E2DBE">
              <w:rPr>
                <w:b/>
                <w:bCs/>
                <w:sz w:val="21"/>
                <w:lang w:eastAsia="en-AU"/>
              </w:rPr>
              <w:t>Total non-current other provisions</w:t>
            </w:r>
          </w:p>
        </w:tc>
        <w:tc>
          <w:tcPr>
            <w:tcW w:w="1123" w:type="dxa"/>
            <w:gridSpan w:val="2"/>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19 </w:t>
            </w:r>
            <w:r w:rsidRPr="003E2DBE">
              <w:rPr>
                <w:rFonts w:cs="Calibri"/>
                <w:b/>
                <w:bCs/>
                <w:sz w:val="21"/>
                <w:szCs w:val="22"/>
                <w:lang w:eastAsia="en-AU"/>
              </w:rPr>
              <w:t>770.9</w:t>
            </w:r>
          </w:p>
        </w:tc>
        <w:tc>
          <w:tcPr>
            <w:tcW w:w="1123"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20 </w:t>
            </w:r>
            <w:r w:rsidRPr="003E2DBE">
              <w:rPr>
                <w:rFonts w:cs="Calibri"/>
                <w:b/>
                <w:bCs/>
                <w:sz w:val="21"/>
                <w:szCs w:val="22"/>
                <w:lang w:eastAsia="en-AU"/>
              </w:rPr>
              <w:t>184.6</w:t>
            </w:r>
          </w:p>
        </w:tc>
        <w:tc>
          <w:tcPr>
            <w:tcW w:w="1123" w:type="dxa"/>
            <w:gridSpan w:val="2"/>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410.1</w:t>
            </w:r>
          </w:p>
        </w:tc>
        <w:tc>
          <w:tcPr>
            <w:tcW w:w="1123"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382.7</w:t>
            </w:r>
          </w:p>
        </w:tc>
      </w:tr>
      <w:tr w:rsidR="000B4A1E" w:rsidRPr="003E2DBE" w:rsidTr="00517E51">
        <w:trPr>
          <w:divId w:val="1919972966"/>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sz w:val="21"/>
                <w:lang w:eastAsia="en-AU"/>
              </w:rPr>
            </w:pPr>
            <w:r w:rsidRPr="003E2DBE">
              <w:rPr>
                <w:b/>
                <w:bCs/>
                <w:sz w:val="21"/>
                <w:lang w:eastAsia="en-AU"/>
              </w:rPr>
              <w:t>Total other provisions</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23 </w:t>
            </w:r>
            <w:r w:rsidRPr="003E2DBE">
              <w:rPr>
                <w:rFonts w:cs="Calibri"/>
                <w:b/>
                <w:bCs/>
                <w:sz w:val="21"/>
                <w:szCs w:val="22"/>
                <w:lang w:eastAsia="en-AU"/>
              </w:rPr>
              <w:t>542.4</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23 </w:t>
            </w:r>
            <w:r w:rsidRPr="003E2DBE">
              <w:rPr>
                <w:rFonts w:cs="Calibri"/>
                <w:b/>
                <w:bCs/>
                <w:sz w:val="21"/>
                <w:szCs w:val="22"/>
                <w:lang w:eastAsia="en-AU"/>
              </w:rPr>
              <w:t>918.3</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603.3</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635.5</w:t>
            </w:r>
          </w:p>
        </w:tc>
      </w:tr>
      <w:bookmarkEnd w:id="79"/>
    </w:tbl>
    <w:p w:rsidR="000B4A1E" w:rsidRPr="00D00665" w:rsidRDefault="000B4A1E" w:rsidP="00517E51">
      <w:pPr>
        <w:pStyle w:val="Notes"/>
      </w:pPr>
    </w:p>
    <w:p w:rsidR="000B4A1E" w:rsidRPr="00D00665" w:rsidRDefault="000B4A1E" w:rsidP="00517E51">
      <w:pPr>
        <w:pStyle w:val="Tableheading"/>
      </w:pPr>
      <w:r w:rsidRPr="00D00665">
        <w:t>Reconciliation of movements in insurance claims</w:t>
      </w:r>
    </w:p>
    <w:p w:rsidR="000B4A1E" w:rsidRPr="003E2DBE" w:rsidRDefault="000B4A1E" w:rsidP="00517E51">
      <w:pPr>
        <w:pStyle w:val="million"/>
      </w:pPr>
      <w:r w:rsidRPr="00D00665">
        <w:t>($</w:t>
      </w:r>
      <w:r>
        <w:t> million</w:t>
      </w:r>
      <w:r w:rsidRPr="00D00665">
        <w:t>)</w:t>
      </w:r>
      <w:bookmarkStart w:id="80" w:name="RANGE!B38:F46"/>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2139957858"/>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sz w:val="21"/>
                <w:lang w:eastAsia="en-AU"/>
              </w:rPr>
            </w:pPr>
            <w:r w:rsidRPr="003E2DBE">
              <w:rPr>
                <w:sz w:val="21"/>
                <w:lang w:eastAsia="en-AU"/>
              </w:rPr>
              <w:t xml:space="preserve"> </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
              <w:rPr>
                <w:sz w:val="21"/>
                <w:lang w:eastAsia="en-AU"/>
              </w:rPr>
            </w:pPr>
            <w:r w:rsidRPr="003E2DBE">
              <w:rPr>
                <w:sz w:val="21"/>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sz w:val="21"/>
                <w:lang w:eastAsia="en-AU"/>
              </w:rPr>
            </w:pPr>
            <w:r w:rsidRPr="003E2DBE">
              <w:rPr>
                <w:sz w:val="21"/>
                <w:lang w:eastAsia="en-AU"/>
              </w:rPr>
              <w:br/>
              <w:t>State of Victoria</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Centred"/>
              <w:rPr>
                <w:sz w:val="21"/>
                <w:lang w:eastAsia="en-AU"/>
              </w:rPr>
            </w:pPr>
            <w:r w:rsidRPr="003E2DBE">
              <w:rPr>
                <w:sz w:val="21"/>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sz w:val="21"/>
                <w:lang w:eastAsia="en-AU"/>
              </w:rPr>
            </w:pPr>
            <w:r w:rsidRPr="003E2DBE">
              <w:rPr>
                <w:sz w:val="21"/>
                <w:lang w:eastAsia="en-AU"/>
              </w:rPr>
              <w:t xml:space="preserve">General </w:t>
            </w:r>
            <w:r w:rsidRPr="003E2DBE">
              <w:rPr>
                <w:sz w:val="21"/>
                <w:lang w:eastAsia="en-AU"/>
              </w:rPr>
              <w:br/>
              <w:t>government sector</w:t>
            </w:r>
          </w:p>
        </w:tc>
      </w:tr>
      <w:tr w:rsidR="000B4A1E" w:rsidRPr="003E2DBE" w:rsidTr="00517E51">
        <w:trPr>
          <w:divId w:val="2139957858"/>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sz w:val="21"/>
                <w:lang w:eastAsia="en-AU"/>
              </w:rPr>
            </w:pPr>
            <w:r w:rsidRPr="003E2DBE">
              <w:rPr>
                <w:sz w:val="21"/>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sz w:val="21"/>
                <w:lang w:eastAsia="en-AU"/>
              </w:rPr>
            </w:pPr>
            <w:r w:rsidRPr="003E2DBE">
              <w:rPr>
                <w:sz w:val="21"/>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sz w:val="21"/>
                <w:lang w:eastAsia="en-AU"/>
              </w:rPr>
            </w:pPr>
            <w:r w:rsidRPr="003E2DBE">
              <w:rPr>
                <w:sz w:val="21"/>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sz w:val="21"/>
                <w:lang w:eastAsia="en-AU"/>
              </w:rPr>
            </w:pPr>
            <w:r w:rsidRPr="003E2DBE">
              <w:rPr>
                <w:sz w:val="21"/>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sz w:val="21"/>
                <w:lang w:eastAsia="en-AU"/>
              </w:rPr>
            </w:pPr>
            <w:r w:rsidRPr="003E2DBE">
              <w:rPr>
                <w:sz w:val="21"/>
                <w:lang w:eastAsia="en-AU"/>
              </w:rPr>
              <w:t>2012</w:t>
            </w:r>
          </w:p>
        </w:tc>
      </w:tr>
      <w:tr w:rsidR="000B4A1E" w:rsidRPr="003E2DBE" w:rsidTr="00517E51">
        <w:trPr>
          <w:divId w:val="2139957858"/>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Opening balance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22 </w:t>
            </w:r>
            <w:r w:rsidRPr="003E2DBE">
              <w:rPr>
                <w:rFonts w:cs="Calibri"/>
                <w:sz w:val="21"/>
                <w:szCs w:val="22"/>
                <w:lang w:eastAsia="en-AU"/>
              </w:rPr>
              <w:t>666.7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19 </w:t>
            </w:r>
            <w:r w:rsidRPr="003E2DBE">
              <w:rPr>
                <w:rFonts w:cs="Calibri"/>
                <w:sz w:val="21"/>
                <w:szCs w:val="22"/>
                <w:lang w:eastAsia="en-AU"/>
              </w:rPr>
              <w:t>086.6</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43.8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171.8</w:t>
            </w:r>
          </w:p>
        </w:tc>
      </w:tr>
      <w:tr w:rsidR="000B4A1E" w:rsidRPr="003E2DBE" w:rsidTr="00517E51">
        <w:trPr>
          <w:divId w:val="2139957858"/>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Effect of changes in assumptions and claims experience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(1</w:t>
            </w:r>
            <w:r w:rsidRPr="003E2DBE">
              <w:rPr>
                <w:rFonts w:cs="Calibri"/>
                <w:sz w:val="21"/>
                <w:szCs w:val="22"/>
                <w:lang w:eastAsia="en-AU"/>
              </w:rPr>
              <w:t xml:space="preserve"> 403.0)</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2 </w:t>
            </w:r>
            <w:r w:rsidRPr="003E2DBE">
              <w:rPr>
                <w:rFonts w:cs="Calibri"/>
                <w:sz w:val="21"/>
                <w:szCs w:val="22"/>
                <w:lang w:eastAsia="en-AU"/>
              </w:rPr>
              <w:t>499.1</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5.2)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9.9)</w:t>
            </w:r>
          </w:p>
        </w:tc>
      </w:tr>
      <w:tr w:rsidR="000B4A1E" w:rsidRPr="003E2DBE" w:rsidTr="00517E51">
        <w:trPr>
          <w:divId w:val="2139957858"/>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Cost of prior year claims (unwinding of discount)</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765.2</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648.0</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3.2</w:t>
            </w:r>
          </w:p>
        </w:tc>
      </w:tr>
      <w:tr w:rsidR="000B4A1E" w:rsidRPr="003E2DBE" w:rsidTr="00517E51">
        <w:trPr>
          <w:divId w:val="2139957858"/>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 xml:space="preserve">Increase in claims incurred </w:t>
            </w:r>
            <w:r w:rsidRPr="003E2DBE">
              <w:rPr>
                <w:sz w:val="21"/>
                <w:vertAlign w:val="superscript"/>
                <w:lang w:eastAsia="en-AU"/>
              </w:rPr>
              <w:t>(a)</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3 </w:t>
            </w:r>
            <w:r w:rsidRPr="003E2DBE">
              <w:rPr>
                <w:rFonts w:cs="Calibri"/>
                <w:sz w:val="21"/>
                <w:szCs w:val="22"/>
                <w:lang w:eastAsia="en-AU"/>
              </w:rPr>
              <w:t>768.9</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3 </w:t>
            </w:r>
            <w:r w:rsidRPr="003E2DBE">
              <w:rPr>
                <w:rFonts w:cs="Calibri"/>
                <w:sz w:val="21"/>
                <w:szCs w:val="22"/>
                <w:lang w:eastAsia="en-AU"/>
              </w:rPr>
              <w:t>801.6</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18.1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20.2</w:t>
            </w:r>
          </w:p>
        </w:tc>
      </w:tr>
      <w:tr w:rsidR="000B4A1E" w:rsidRPr="003E2DBE" w:rsidTr="00517E51">
        <w:trPr>
          <w:divId w:val="2139957858"/>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 xml:space="preserve">Claim payments during the year </w:t>
            </w:r>
            <w:r w:rsidRPr="003E2DBE">
              <w:rPr>
                <w:sz w:val="21"/>
                <w:vertAlign w:val="superscript"/>
                <w:lang w:eastAsia="en-AU"/>
              </w:rPr>
              <w:t>(a)</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(2</w:t>
            </w:r>
            <w:r w:rsidRPr="003E2DBE">
              <w:rPr>
                <w:rFonts w:cs="Calibri"/>
                <w:sz w:val="21"/>
                <w:szCs w:val="22"/>
                <w:lang w:eastAsia="en-AU"/>
              </w:rPr>
              <w:t xml:space="preserve"> 885.6)</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(2</w:t>
            </w:r>
            <w:r w:rsidRPr="003E2DBE">
              <w:rPr>
                <w:rFonts w:cs="Calibri"/>
                <w:sz w:val="21"/>
                <w:szCs w:val="22"/>
                <w:lang w:eastAsia="en-AU"/>
              </w:rPr>
              <w:t xml:space="preserve"> 808.7)</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16.3)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38.5)</w:t>
            </w:r>
          </w:p>
        </w:tc>
      </w:tr>
      <w:tr w:rsidR="000B4A1E" w:rsidRPr="003E2DBE" w:rsidTr="00517E51">
        <w:trPr>
          <w:divId w:val="2139957858"/>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Other</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433.3)</w:t>
            </w:r>
          </w:p>
        </w:tc>
        <w:tc>
          <w:tcPr>
            <w:tcW w:w="1123"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559.9)</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103.1)</w:t>
            </w:r>
          </w:p>
        </w:tc>
      </w:tr>
      <w:tr w:rsidR="000B4A1E" w:rsidRPr="003E2DBE" w:rsidTr="00517E51">
        <w:trPr>
          <w:divId w:val="2139957858"/>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sz w:val="21"/>
                <w:lang w:eastAsia="en-AU"/>
              </w:rPr>
            </w:pPr>
            <w:r w:rsidRPr="003E2DBE">
              <w:rPr>
                <w:b/>
                <w:bCs/>
                <w:sz w:val="21"/>
                <w:lang w:eastAsia="en-AU"/>
              </w:rPr>
              <w:t>Closing balance</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22 </w:t>
            </w:r>
            <w:r w:rsidRPr="003E2DBE">
              <w:rPr>
                <w:rFonts w:cs="Calibri"/>
                <w:b/>
                <w:bCs/>
                <w:sz w:val="21"/>
                <w:szCs w:val="22"/>
                <w:lang w:eastAsia="en-AU"/>
              </w:rPr>
              <w:t>479.0</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22 </w:t>
            </w:r>
            <w:r w:rsidRPr="003E2DBE">
              <w:rPr>
                <w:rFonts w:cs="Calibri"/>
                <w:b/>
                <w:bCs/>
                <w:sz w:val="21"/>
                <w:szCs w:val="22"/>
                <w:lang w:eastAsia="en-AU"/>
              </w:rPr>
              <w:t>666.7</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41.4</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43.8</w:t>
            </w:r>
          </w:p>
        </w:tc>
      </w:tr>
    </w:tbl>
    <w:bookmarkEnd w:id="80"/>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Claim payments and claims incurred during the year are net of recoveries.</w:t>
      </w:r>
    </w:p>
    <w:p w:rsidR="000B4A1E" w:rsidRPr="00D00665" w:rsidRDefault="000B4A1E" w:rsidP="00517E51">
      <w:pPr>
        <w:pStyle w:val="Notes"/>
      </w:pPr>
    </w:p>
    <w:p w:rsidR="000B4A1E" w:rsidRPr="00D00665" w:rsidRDefault="000B4A1E" w:rsidP="00517E51">
      <w:pPr>
        <w:pStyle w:val="Tableheading"/>
        <w:spacing w:before="180"/>
      </w:pPr>
      <w:r w:rsidRPr="00D00665">
        <w:t>Reconciliation of movements in onerous contracts provisions</w:t>
      </w:r>
    </w:p>
    <w:p w:rsidR="000B4A1E" w:rsidRPr="003E2DBE" w:rsidRDefault="000B4A1E" w:rsidP="00517E51">
      <w:pPr>
        <w:pStyle w:val="million"/>
      </w:pPr>
      <w:r w:rsidRPr="00D00665">
        <w:t>($</w:t>
      </w:r>
      <w:r>
        <w:t> million</w:t>
      </w:r>
      <w:r w:rsidRPr="00D00665">
        <w:t>)</w:t>
      </w:r>
      <w:bookmarkStart w:id="81" w:name="RANGE!B54:F61"/>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702045924"/>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sz w:val="21"/>
                <w:lang w:eastAsia="en-AU"/>
              </w:rPr>
            </w:pPr>
            <w:r w:rsidRPr="003E2DBE">
              <w:rPr>
                <w:sz w:val="21"/>
                <w:lang w:eastAsia="en-AU"/>
              </w:rPr>
              <w:t xml:space="preserve"> </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Centred"/>
              <w:rPr>
                <w:sz w:val="21"/>
                <w:lang w:eastAsia="en-AU"/>
              </w:rPr>
            </w:pPr>
            <w:r w:rsidRPr="003E2DBE">
              <w:rPr>
                <w:sz w:val="21"/>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sz w:val="21"/>
                <w:lang w:eastAsia="en-AU"/>
              </w:rPr>
            </w:pPr>
            <w:r w:rsidRPr="003E2DBE">
              <w:rPr>
                <w:sz w:val="21"/>
                <w:lang w:eastAsia="en-AU"/>
              </w:rPr>
              <w:br/>
              <w:t>State of Victoria</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Centred"/>
              <w:rPr>
                <w:sz w:val="21"/>
                <w:lang w:eastAsia="en-AU"/>
              </w:rPr>
            </w:pPr>
            <w:r w:rsidRPr="003E2DBE">
              <w:rPr>
                <w:sz w:val="21"/>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sz w:val="21"/>
                <w:lang w:eastAsia="en-AU"/>
              </w:rPr>
            </w:pPr>
            <w:r w:rsidRPr="003E2DBE">
              <w:rPr>
                <w:sz w:val="21"/>
                <w:lang w:eastAsia="en-AU"/>
              </w:rPr>
              <w:t xml:space="preserve">General </w:t>
            </w:r>
            <w:r w:rsidRPr="003E2DBE">
              <w:rPr>
                <w:sz w:val="21"/>
                <w:lang w:eastAsia="en-AU"/>
              </w:rPr>
              <w:br/>
              <w:t>government sector</w:t>
            </w:r>
          </w:p>
        </w:tc>
      </w:tr>
      <w:tr w:rsidR="000B4A1E" w:rsidRPr="003E2DBE" w:rsidTr="00517E51">
        <w:trPr>
          <w:divId w:val="1702045924"/>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sz w:val="21"/>
                <w:lang w:eastAsia="en-AU"/>
              </w:rPr>
            </w:pPr>
            <w:r w:rsidRPr="003E2DBE">
              <w:rPr>
                <w:sz w:val="21"/>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sz w:val="21"/>
                <w:lang w:eastAsia="en-AU"/>
              </w:rPr>
            </w:pPr>
            <w:r w:rsidRPr="003E2DBE">
              <w:rPr>
                <w:sz w:val="21"/>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sz w:val="21"/>
                <w:lang w:eastAsia="en-AU"/>
              </w:rPr>
            </w:pPr>
            <w:r w:rsidRPr="003E2DBE">
              <w:rPr>
                <w:sz w:val="21"/>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sz w:val="21"/>
                <w:lang w:eastAsia="en-AU"/>
              </w:rPr>
            </w:pPr>
            <w:r w:rsidRPr="003E2DBE">
              <w:rPr>
                <w:sz w:val="21"/>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sz w:val="21"/>
                <w:lang w:eastAsia="en-AU"/>
              </w:rPr>
            </w:pPr>
            <w:r w:rsidRPr="003E2DBE">
              <w:rPr>
                <w:sz w:val="21"/>
                <w:lang w:eastAsia="en-AU"/>
              </w:rPr>
              <w:t>2012</w:t>
            </w:r>
          </w:p>
        </w:tc>
      </w:tr>
      <w:tr w:rsidR="000B4A1E" w:rsidRPr="003E2DBE" w:rsidTr="00517E51">
        <w:trPr>
          <w:divId w:val="170204592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Opening balance</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507.1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891.9</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r>
      <w:tr w:rsidR="000B4A1E" w:rsidRPr="003E2DBE" w:rsidTr="00517E51">
        <w:trPr>
          <w:divId w:val="170204592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Receipts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352.9</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211.6</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r>
      <w:tr w:rsidR="000B4A1E" w:rsidRPr="003E2DBE" w:rsidTr="00517E51">
        <w:trPr>
          <w:divId w:val="170204592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Payments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478.1)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263.8)</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r>
      <w:tr w:rsidR="000B4A1E" w:rsidRPr="003E2DBE" w:rsidTr="00517E51">
        <w:trPr>
          <w:divId w:val="170204592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 xml:space="preserve">Discount interest </w:t>
            </w:r>
            <w:r w:rsidRPr="003E2DBE">
              <w:rPr>
                <w:sz w:val="21"/>
                <w:vertAlign w:val="superscript"/>
                <w:lang w:eastAsia="en-AU"/>
              </w:rPr>
              <w:t>(a)</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13.1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48.3</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r>
      <w:tr w:rsidR="000B4A1E" w:rsidRPr="003E2DBE" w:rsidTr="00517E51">
        <w:trPr>
          <w:divId w:val="1702045924"/>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(Gain)/loss on restatement of the liability</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57.1)</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380.9)</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1"/>
                <w:szCs w:val="22"/>
                <w:lang w:eastAsia="en-AU"/>
              </w:rPr>
            </w:pPr>
            <w:r w:rsidRPr="003E2DBE">
              <w:rPr>
                <w:sz w:val="21"/>
                <w:lang w:eastAsia="en-AU"/>
              </w:rPr>
              <w:t>..</w:t>
            </w:r>
          </w:p>
        </w:tc>
      </w:tr>
      <w:tr w:rsidR="000B4A1E" w:rsidRPr="003E2DBE" w:rsidTr="00517E51">
        <w:trPr>
          <w:divId w:val="1702045924"/>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sz w:val="21"/>
                <w:lang w:eastAsia="en-AU"/>
              </w:rPr>
            </w:pPr>
            <w:r w:rsidRPr="003E2DBE">
              <w:rPr>
                <w:b/>
                <w:bCs/>
                <w:sz w:val="21"/>
                <w:lang w:eastAsia="en-AU"/>
              </w:rPr>
              <w:t>Closing balance</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337.9</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507.1</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1"/>
                <w:szCs w:val="22"/>
                <w:lang w:eastAsia="en-AU"/>
              </w:rPr>
            </w:pPr>
            <w:r w:rsidRPr="003E2DBE">
              <w:rPr>
                <w:b/>
                <w:bCs/>
                <w:sz w:val="21"/>
                <w:lang w:eastAsia="en-AU"/>
              </w:rPr>
              <w:t>..</w:t>
            </w:r>
          </w:p>
        </w:tc>
      </w:tr>
    </w:tbl>
    <w:bookmarkEnd w:id="81"/>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The net change in the present value of assets and liabilities between reporting periods has been recognised as discount interest.</w:t>
      </w:r>
    </w:p>
    <w:p w:rsidR="000B4A1E" w:rsidRPr="00D00665" w:rsidRDefault="000B4A1E" w:rsidP="00517E51">
      <w:pPr>
        <w:pStyle w:val="Heading2NotesContd"/>
        <w:rPr>
          <w:i/>
        </w:rPr>
      </w:pPr>
      <w:r w:rsidRPr="00D00665">
        <w:br w:type="page"/>
      </w:r>
      <w:r w:rsidRPr="00D00665">
        <w:lastRenderedPageBreak/>
        <w:t>Note 27:</w:t>
      </w:r>
      <w:r w:rsidRPr="00D00665">
        <w:tab/>
        <w:t xml:space="preserve">Other provisions </w:t>
      </w:r>
      <w:r w:rsidRPr="00D00665">
        <w:rPr>
          <w:i/>
        </w:rPr>
        <w:t>(continued)</w:t>
      </w:r>
    </w:p>
    <w:p w:rsidR="000B4A1E" w:rsidRPr="003E2DBE" w:rsidRDefault="000B4A1E" w:rsidP="00517E51">
      <w:pPr>
        <w:pStyle w:val="Tableheading"/>
      </w:pPr>
      <w:r w:rsidRPr="00D00665">
        <w:t>2013</w:t>
      </w:r>
    </w:p>
    <w:tbl>
      <w:tblPr>
        <w:tblW w:w="9595" w:type="dxa"/>
        <w:tblInd w:w="78" w:type="dxa"/>
        <w:tblLayout w:type="fixed"/>
        <w:tblCellMar>
          <w:left w:w="43" w:type="dxa"/>
          <w:right w:w="43" w:type="dxa"/>
        </w:tblCellMar>
        <w:tblLook w:val="0000" w:firstRow="0" w:lastRow="0" w:firstColumn="0" w:lastColumn="0" w:noHBand="0" w:noVBand="0"/>
      </w:tblPr>
      <w:tblGrid>
        <w:gridCol w:w="1225"/>
        <w:gridCol w:w="1980"/>
        <w:gridCol w:w="1350"/>
        <w:gridCol w:w="1800"/>
        <w:gridCol w:w="1710"/>
        <w:gridCol w:w="1530"/>
      </w:tblGrid>
      <w:tr w:rsidR="000B4A1E" w:rsidRPr="006A26DD" w:rsidTr="00517E51">
        <w:trPr>
          <w:cantSplit/>
          <w:tblHeader/>
        </w:trPr>
        <w:tc>
          <w:tcPr>
            <w:tcW w:w="1225" w:type="dxa"/>
            <w:tcBorders>
              <w:top w:val="single" w:sz="6" w:space="0" w:color="auto"/>
              <w:left w:val="nil"/>
              <w:bottom w:val="single" w:sz="6" w:space="0" w:color="auto"/>
              <w:right w:val="nil"/>
            </w:tcBorders>
            <w:shd w:val="solid" w:color="000000" w:fill="auto"/>
          </w:tcPr>
          <w:p w:rsidR="000B4A1E" w:rsidRPr="006A26DD" w:rsidRDefault="000B4A1E" w:rsidP="00517E51">
            <w:pPr>
              <w:pStyle w:val="TabletextheadingLeft"/>
              <w:rPr>
                <w:rFonts w:eastAsiaTheme="minorEastAsia"/>
                <w:sz w:val="21"/>
              </w:rPr>
            </w:pPr>
          </w:p>
          <w:p w:rsidR="000B4A1E" w:rsidRPr="006A26DD" w:rsidRDefault="000B4A1E" w:rsidP="00517E51">
            <w:pPr>
              <w:pStyle w:val="TabletextheadingLeft"/>
              <w:rPr>
                <w:rFonts w:eastAsiaTheme="minorEastAsia"/>
                <w:sz w:val="21"/>
              </w:rPr>
            </w:pPr>
          </w:p>
          <w:p w:rsidR="000B4A1E" w:rsidRPr="006A26DD" w:rsidRDefault="000B4A1E" w:rsidP="00517E51">
            <w:pPr>
              <w:pStyle w:val="TabletextheadingLeft"/>
              <w:rPr>
                <w:rFonts w:eastAsiaTheme="minorEastAsia"/>
                <w:sz w:val="21"/>
              </w:rPr>
            </w:pPr>
          </w:p>
          <w:p w:rsidR="000B4A1E" w:rsidRPr="006A26DD" w:rsidRDefault="000B4A1E" w:rsidP="00517E51">
            <w:pPr>
              <w:pStyle w:val="TabletextheadingLeft"/>
              <w:rPr>
                <w:rFonts w:eastAsiaTheme="minorEastAsia"/>
                <w:sz w:val="21"/>
              </w:rPr>
            </w:pPr>
            <w:r w:rsidRPr="006A26DD">
              <w:rPr>
                <w:rFonts w:eastAsiaTheme="minorEastAsia"/>
                <w:sz w:val="21"/>
              </w:rPr>
              <w:t>Entity</w:t>
            </w:r>
          </w:p>
        </w:tc>
        <w:tc>
          <w:tcPr>
            <w:tcW w:w="1980" w:type="dxa"/>
            <w:tcBorders>
              <w:top w:val="single" w:sz="6" w:space="0" w:color="auto"/>
              <w:left w:val="nil"/>
              <w:bottom w:val="single" w:sz="6" w:space="0" w:color="auto"/>
              <w:right w:val="nil"/>
            </w:tcBorders>
            <w:shd w:val="solid" w:color="000000" w:fill="auto"/>
          </w:tcPr>
          <w:p w:rsidR="000B4A1E" w:rsidRPr="006A26DD" w:rsidRDefault="000B4A1E" w:rsidP="00517E51">
            <w:pPr>
              <w:pStyle w:val="TabletextheadingLeft"/>
              <w:rPr>
                <w:rFonts w:eastAsiaTheme="minorEastAsia"/>
                <w:sz w:val="21"/>
              </w:rPr>
            </w:pPr>
          </w:p>
          <w:p w:rsidR="000B4A1E" w:rsidRPr="006A26DD" w:rsidRDefault="000B4A1E" w:rsidP="00517E51">
            <w:pPr>
              <w:pStyle w:val="TabletextheadingLeft"/>
              <w:rPr>
                <w:rFonts w:eastAsiaTheme="minorEastAsia"/>
                <w:sz w:val="21"/>
              </w:rPr>
            </w:pPr>
          </w:p>
          <w:p w:rsidR="000B4A1E" w:rsidRPr="006A26DD" w:rsidRDefault="000B4A1E" w:rsidP="00517E51">
            <w:pPr>
              <w:pStyle w:val="TabletextheadingLeft"/>
              <w:rPr>
                <w:rFonts w:eastAsiaTheme="minorEastAsia"/>
                <w:sz w:val="21"/>
              </w:rPr>
            </w:pPr>
          </w:p>
          <w:p w:rsidR="000B4A1E" w:rsidRPr="006A26DD" w:rsidRDefault="000B4A1E" w:rsidP="00517E51">
            <w:pPr>
              <w:pStyle w:val="TabletextheadingLeft"/>
              <w:rPr>
                <w:rFonts w:eastAsiaTheme="minorEastAsia"/>
                <w:sz w:val="21"/>
              </w:rPr>
            </w:pPr>
            <w:r w:rsidRPr="006A26DD">
              <w:rPr>
                <w:rFonts w:eastAsiaTheme="minorEastAsia"/>
                <w:sz w:val="21"/>
              </w:rPr>
              <w:t>Actuary</w:t>
            </w:r>
          </w:p>
        </w:tc>
        <w:tc>
          <w:tcPr>
            <w:tcW w:w="1350" w:type="dxa"/>
            <w:tcBorders>
              <w:top w:val="single" w:sz="6" w:space="0" w:color="auto"/>
              <w:left w:val="nil"/>
              <w:bottom w:val="single" w:sz="6" w:space="0" w:color="auto"/>
              <w:right w:val="nil"/>
            </w:tcBorders>
            <w:shd w:val="solid" w:color="000000" w:fill="auto"/>
          </w:tcPr>
          <w:p w:rsidR="000B4A1E" w:rsidRPr="006A26DD" w:rsidRDefault="000B4A1E" w:rsidP="00517E51">
            <w:pPr>
              <w:pStyle w:val="TabletextheadingLeft"/>
              <w:rPr>
                <w:rFonts w:eastAsiaTheme="minorEastAsia"/>
                <w:sz w:val="21"/>
              </w:rPr>
            </w:pPr>
            <w:r w:rsidRPr="006A26DD">
              <w:rPr>
                <w:rFonts w:eastAsiaTheme="minorEastAsia"/>
                <w:sz w:val="21"/>
              </w:rPr>
              <w:t>Weighted average expected term to settlement</w:t>
            </w:r>
          </w:p>
        </w:tc>
        <w:tc>
          <w:tcPr>
            <w:tcW w:w="1800" w:type="dxa"/>
            <w:tcBorders>
              <w:top w:val="single" w:sz="6" w:space="0" w:color="auto"/>
              <w:left w:val="nil"/>
              <w:bottom w:val="single" w:sz="6" w:space="0" w:color="auto"/>
              <w:right w:val="nil"/>
            </w:tcBorders>
            <w:shd w:val="solid" w:color="000000" w:fill="auto"/>
          </w:tcPr>
          <w:p w:rsidR="000B4A1E" w:rsidRPr="006A26DD" w:rsidRDefault="000B4A1E" w:rsidP="00517E51">
            <w:pPr>
              <w:pStyle w:val="TabletextheadingLeft"/>
              <w:rPr>
                <w:rFonts w:eastAsiaTheme="minorEastAsia"/>
                <w:sz w:val="21"/>
              </w:rPr>
            </w:pPr>
            <w:r w:rsidRPr="006A26DD">
              <w:rPr>
                <w:rFonts w:eastAsiaTheme="minorEastAsia"/>
                <w:sz w:val="21"/>
              </w:rPr>
              <w:t xml:space="preserve">Financial assumptions used (not later than </w:t>
            </w:r>
          </w:p>
          <w:p w:rsidR="000B4A1E" w:rsidRPr="006A26DD" w:rsidRDefault="000B4A1E" w:rsidP="00517E51">
            <w:pPr>
              <w:pStyle w:val="TabletextheadingLeft"/>
              <w:rPr>
                <w:rFonts w:eastAsiaTheme="minorEastAsia"/>
                <w:sz w:val="21"/>
                <w:vertAlign w:val="superscript"/>
              </w:rPr>
            </w:pPr>
            <w:r w:rsidRPr="006A26DD">
              <w:rPr>
                <w:rFonts w:eastAsiaTheme="minorEastAsia"/>
                <w:sz w:val="21"/>
              </w:rPr>
              <w:t xml:space="preserve">1 year) </w:t>
            </w:r>
            <w:r w:rsidRPr="006A26DD">
              <w:rPr>
                <w:rFonts w:eastAsiaTheme="minorEastAsia"/>
                <w:sz w:val="21"/>
                <w:vertAlign w:val="superscript"/>
              </w:rPr>
              <w:t>(a)</w:t>
            </w:r>
          </w:p>
        </w:tc>
        <w:tc>
          <w:tcPr>
            <w:tcW w:w="1710" w:type="dxa"/>
            <w:tcBorders>
              <w:top w:val="single" w:sz="6" w:space="0" w:color="auto"/>
              <w:left w:val="nil"/>
              <w:bottom w:val="single" w:sz="6" w:space="0" w:color="auto"/>
              <w:right w:val="nil"/>
            </w:tcBorders>
            <w:shd w:val="solid" w:color="000000" w:fill="auto"/>
          </w:tcPr>
          <w:p w:rsidR="000B4A1E" w:rsidRPr="006A26DD" w:rsidRDefault="000B4A1E" w:rsidP="00517E51">
            <w:pPr>
              <w:pStyle w:val="TabletextheadingLeft"/>
              <w:rPr>
                <w:rFonts w:eastAsiaTheme="minorEastAsia"/>
                <w:sz w:val="21"/>
              </w:rPr>
            </w:pPr>
            <w:r w:rsidRPr="006A26DD">
              <w:rPr>
                <w:rFonts w:eastAsiaTheme="minorEastAsia"/>
                <w:sz w:val="21"/>
              </w:rPr>
              <w:t xml:space="preserve">Financial assumptions used (later than </w:t>
            </w:r>
          </w:p>
          <w:p w:rsidR="000B4A1E" w:rsidRPr="006A26DD" w:rsidRDefault="000B4A1E" w:rsidP="00517E51">
            <w:pPr>
              <w:pStyle w:val="TabletextheadingLeft"/>
              <w:rPr>
                <w:rFonts w:eastAsiaTheme="minorEastAsia"/>
                <w:sz w:val="21"/>
                <w:vertAlign w:val="superscript"/>
              </w:rPr>
            </w:pPr>
            <w:r w:rsidRPr="006A26DD">
              <w:rPr>
                <w:rFonts w:eastAsiaTheme="minorEastAsia"/>
                <w:sz w:val="21"/>
              </w:rPr>
              <w:t xml:space="preserve">1 year) </w:t>
            </w:r>
            <w:r w:rsidRPr="006A26DD">
              <w:rPr>
                <w:rFonts w:eastAsiaTheme="minorEastAsia"/>
                <w:sz w:val="21"/>
                <w:vertAlign w:val="superscript"/>
              </w:rPr>
              <w:t>(a)</w:t>
            </w:r>
          </w:p>
        </w:tc>
        <w:tc>
          <w:tcPr>
            <w:tcW w:w="1530" w:type="dxa"/>
            <w:tcBorders>
              <w:top w:val="single" w:sz="6" w:space="0" w:color="auto"/>
              <w:left w:val="nil"/>
              <w:bottom w:val="single" w:sz="6" w:space="0" w:color="auto"/>
              <w:right w:val="nil"/>
            </w:tcBorders>
            <w:shd w:val="solid" w:color="000000" w:fill="auto"/>
          </w:tcPr>
          <w:p w:rsidR="000B4A1E" w:rsidRPr="006A26DD" w:rsidRDefault="000B4A1E" w:rsidP="00517E51">
            <w:pPr>
              <w:pStyle w:val="TabletextheadingLeft"/>
              <w:rPr>
                <w:rFonts w:eastAsiaTheme="minorEastAsia"/>
                <w:sz w:val="21"/>
              </w:rPr>
            </w:pPr>
          </w:p>
          <w:p w:rsidR="000B4A1E" w:rsidRPr="006A26DD" w:rsidRDefault="000B4A1E" w:rsidP="00517E51">
            <w:pPr>
              <w:pStyle w:val="TabletextheadingLeft"/>
              <w:rPr>
                <w:rFonts w:eastAsiaTheme="minorEastAsia"/>
                <w:sz w:val="21"/>
              </w:rPr>
            </w:pPr>
          </w:p>
          <w:p w:rsidR="000B4A1E" w:rsidRPr="006A26DD" w:rsidRDefault="000B4A1E" w:rsidP="00517E51">
            <w:pPr>
              <w:pStyle w:val="TabletextheadingLeft"/>
              <w:rPr>
                <w:rFonts w:eastAsiaTheme="minorEastAsia"/>
                <w:sz w:val="21"/>
              </w:rPr>
            </w:pPr>
            <w:r w:rsidRPr="006A26DD">
              <w:rPr>
                <w:rFonts w:eastAsiaTheme="minorEastAsia"/>
                <w:sz w:val="21"/>
              </w:rPr>
              <w:t>Prudential margin</w:t>
            </w:r>
          </w:p>
        </w:tc>
      </w:tr>
      <w:tr w:rsidR="000B4A1E" w:rsidRPr="006A26DD" w:rsidTr="00517E51">
        <w:trPr>
          <w:cantSplit/>
        </w:trPr>
        <w:tc>
          <w:tcPr>
            <w:tcW w:w="1225"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Victorian WorkCover Authority</w:t>
            </w:r>
          </w:p>
        </w:tc>
        <w:tc>
          <w:tcPr>
            <w:tcW w:w="198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Pricewaterhouse Coopers Actuarial Ltd</w:t>
            </w:r>
          </w:p>
        </w:tc>
        <w:tc>
          <w:tcPr>
            <w:tcW w:w="135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5.5 years</w:t>
            </w:r>
          </w:p>
        </w:tc>
        <w:tc>
          <w:tcPr>
            <w:tcW w:w="180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inflation rate</w:t>
            </w: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3.75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discount rate</w:t>
            </w: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2.54 per cent</w:t>
            </w:r>
            <w:r w:rsidRPr="006A26DD">
              <w:rPr>
                <w:rFonts w:eastAsiaTheme="minorEastAsia" w:cs="Calibri"/>
                <w:color w:val="auto"/>
                <w:szCs w:val="22"/>
              </w:rPr>
              <w:t xml:space="preserve"> </w:t>
            </w:r>
          </w:p>
        </w:tc>
        <w:tc>
          <w:tcPr>
            <w:tcW w:w="171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inflation rate</w:t>
            </w: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3.75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discount rate</w:t>
            </w: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2.54</w:t>
            </w:r>
            <w:r>
              <w:rPr>
                <w:rFonts w:eastAsiaTheme="minorEastAsia"/>
                <w:color w:val="auto"/>
                <w:sz w:val="21"/>
              </w:rPr>
              <w:t>–</w:t>
            </w:r>
            <w:r w:rsidRPr="006A26DD">
              <w:rPr>
                <w:rFonts w:eastAsiaTheme="minorEastAsia"/>
                <w:color w:val="auto"/>
                <w:sz w:val="21"/>
              </w:rPr>
              <w:t>5.50 per cent</w:t>
            </w:r>
            <w:r w:rsidRPr="006A26DD">
              <w:rPr>
                <w:rFonts w:eastAsiaTheme="minorEastAsia" w:cs="Calibri"/>
                <w:color w:val="auto"/>
                <w:szCs w:val="22"/>
              </w:rPr>
              <w:t xml:space="preserve">  </w:t>
            </w:r>
          </w:p>
        </w:tc>
        <w:tc>
          <w:tcPr>
            <w:tcW w:w="153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8.0 per cent</w:t>
            </w:r>
          </w:p>
        </w:tc>
      </w:tr>
      <w:tr w:rsidR="000B4A1E" w:rsidRPr="006A26DD" w:rsidTr="00517E51">
        <w:trPr>
          <w:cantSplit/>
        </w:trPr>
        <w:tc>
          <w:tcPr>
            <w:tcW w:w="1225" w:type="dxa"/>
            <w:tcBorders>
              <w:top w:val="nil"/>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Transport Accident Commission</w:t>
            </w:r>
          </w:p>
        </w:tc>
        <w:tc>
          <w:tcPr>
            <w:tcW w:w="1980" w:type="dxa"/>
            <w:tcBorders>
              <w:top w:val="nil"/>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Pricewaterhouse Coopers Actuarial Ltd</w:t>
            </w:r>
          </w:p>
        </w:tc>
        <w:tc>
          <w:tcPr>
            <w:tcW w:w="135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13.9 years</w:t>
            </w:r>
          </w:p>
        </w:tc>
        <w:tc>
          <w:tcPr>
            <w:tcW w:w="180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inflation rate</w:t>
            </w: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3.75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discount rate</w:t>
            </w: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2.54 per cent</w:t>
            </w:r>
            <w:r w:rsidRPr="006A26DD">
              <w:rPr>
                <w:rFonts w:eastAsiaTheme="minorEastAsia" w:cs="Calibri"/>
                <w:color w:val="auto"/>
                <w:szCs w:val="22"/>
              </w:rPr>
              <w:t xml:space="preserve"> </w:t>
            </w:r>
          </w:p>
        </w:tc>
        <w:tc>
          <w:tcPr>
            <w:tcW w:w="171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inflation rate</w:t>
            </w: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3.75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 xml:space="preserve">discount rate  </w:t>
            </w: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5.50 per cent</w:t>
            </w:r>
            <w:r w:rsidRPr="006A26DD">
              <w:rPr>
                <w:rFonts w:eastAsiaTheme="minorEastAsia" w:cs="Calibri"/>
                <w:color w:val="auto"/>
                <w:szCs w:val="22"/>
              </w:rPr>
              <w:t xml:space="preserve"> </w:t>
            </w:r>
          </w:p>
        </w:tc>
        <w:tc>
          <w:tcPr>
            <w:tcW w:w="153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10.0 per cent</w:t>
            </w:r>
          </w:p>
        </w:tc>
      </w:tr>
      <w:tr w:rsidR="000B4A1E" w:rsidRPr="006A26DD" w:rsidTr="00517E51">
        <w:trPr>
          <w:cantSplit/>
        </w:trPr>
        <w:tc>
          <w:tcPr>
            <w:tcW w:w="1225"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Victorian Managed Insurance Authority</w:t>
            </w:r>
          </w:p>
        </w:tc>
        <w:tc>
          <w:tcPr>
            <w:tcW w:w="198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 xml:space="preserve">Finity Consulting </w:t>
            </w:r>
            <w:r>
              <w:rPr>
                <w:rFonts w:eastAsiaTheme="minorEastAsia"/>
                <w:color w:val="auto"/>
                <w:sz w:val="21"/>
              </w:rPr>
              <w:t>Pty Ltd</w:t>
            </w:r>
          </w:p>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(Medical Indemnity – Public Healthcare Program)</w:t>
            </w:r>
          </w:p>
        </w:tc>
        <w:tc>
          <w:tcPr>
            <w:tcW w:w="135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6 years</w:t>
            </w:r>
          </w:p>
        </w:tc>
        <w:tc>
          <w:tcPr>
            <w:tcW w:w="180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inflation rate = 7.8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discount rate = 3.7 per cent</w:t>
            </w:r>
          </w:p>
        </w:tc>
        <w:tc>
          <w:tcPr>
            <w:tcW w:w="171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inflation rate = 7.8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discount rate = 3.7 per cent</w:t>
            </w:r>
          </w:p>
        </w:tc>
        <w:tc>
          <w:tcPr>
            <w:tcW w:w="153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18.9 per cent of the net central estimate of outstanding claims liability and claims handling expense</w:t>
            </w:r>
            <w:r w:rsidRPr="006A26DD">
              <w:rPr>
                <w:rFonts w:eastAsiaTheme="minorEastAsia" w:cs="Calibri"/>
                <w:color w:val="auto"/>
                <w:szCs w:val="22"/>
              </w:rPr>
              <w:t xml:space="preserve"> </w:t>
            </w:r>
          </w:p>
        </w:tc>
      </w:tr>
      <w:tr w:rsidR="000B4A1E" w:rsidRPr="006A26DD" w:rsidTr="00517E51">
        <w:trPr>
          <w:cantSplit/>
        </w:trPr>
        <w:tc>
          <w:tcPr>
            <w:tcW w:w="1225"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Victorian Managed Insurance Authority</w:t>
            </w:r>
          </w:p>
        </w:tc>
        <w:tc>
          <w:tcPr>
            <w:tcW w:w="198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 xml:space="preserve">Finity Consulting </w:t>
            </w:r>
            <w:r>
              <w:rPr>
                <w:rFonts w:eastAsiaTheme="minorEastAsia"/>
                <w:color w:val="auto"/>
                <w:sz w:val="21"/>
              </w:rPr>
              <w:t>Pty Ltd</w:t>
            </w:r>
          </w:p>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(Liability)</w:t>
            </w:r>
          </w:p>
        </w:tc>
        <w:tc>
          <w:tcPr>
            <w:tcW w:w="135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3.9 years</w:t>
            </w:r>
          </w:p>
        </w:tc>
        <w:tc>
          <w:tcPr>
            <w:tcW w:w="180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inflation rate = 3.8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discount rate = 3.2 per cent</w:t>
            </w:r>
          </w:p>
        </w:tc>
        <w:tc>
          <w:tcPr>
            <w:tcW w:w="171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inflation rate = 3.8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weighted average discount rate = 3.2per cent</w:t>
            </w:r>
          </w:p>
        </w:tc>
        <w:tc>
          <w:tcPr>
            <w:tcW w:w="153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29.1 per cent of the net central estimate of outstanding claims liability and claims handling expense</w:t>
            </w:r>
            <w:r w:rsidRPr="006A26DD">
              <w:rPr>
                <w:rFonts w:eastAsiaTheme="minorEastAsia" w:cs="Calibri"/>
                <w:color w:val="auto"/>
                <w:szCs w:val="22"/>
              </w:rPr>
              <w:t xml:space="preserve"> </w:t>
            </w:r>
          </w:p>
        </w:tc>
      </w:tr>
      <w:tr w:rsidR="000B4A1E" w:rsidRPr="006A26DD" w:rsidTr="00517E51">
        <w:trPr>
          <w:cantSplit/>
        </w:trPr>
        <w:tc>
          <w:tcPr>
            <w:tcW w:w="1225"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Victorian Managed Insurance Authority</w:t>
            </w:r>
          </w:p>
        </w:tc>
        <w:tc>
          <w:tcPr>
            <w:tcW w:w="198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 xml:space="preserve">Finity Consulting </w:t>
            </w:r>
            <w:r>
              <w:rPr>
                <w:rFonts w:eastAsiaTheme="minorEastAsia"/>
                <w:color w:val="auto"/>
                <w:sz w:val="21"/>
              </w:rPr>
              <w:t>Pty Ltd</w:t>
            </w:r>
          </w:p>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(Property)</w:t>
            </w:r>
          </w:p>
        </w:tc>
        <w:tc>
          <w:tcPr>
            <w:tcW w:w="135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1.2 years</w:t>
            </w:r>
          </w:p>
        </w:tc>
        <w:tc>
          <w:tcPr>
            <w:tcW w:w="180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inflation rate = 3.8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discount rate = 3.2 per cent</w:t>
            </w:r>
          </w:p>
        </w:tc>
        <w:tc>
          <w:tcPr>
            <w:tcW w:w="171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inflation rate = 3.8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weighted average discount rate = 3.2</w:t>
            </w:r>
            <w:r>
              <w:rPr>
                <w:rFonts w:eastAsiaTheme="minorEastAsia"/>
                <w:color w:val="auto"/>
                <w:sz w:val="21"/>
              </w:rPr>
              <w:t> </w:t>
            </w:r>
            <w:r w:rsidRPr="006A26DD">
              <w:rPr>
                <w:rFonts w:eastAsiaTheme="minorEastAsia"/>
                <w:color w:val="auto"/>
                <w:sz w:val="21"/>
              </w:rPr>
              <w:t>per cent</w:t>
            </w:r>
          </w:p>
        </w:tc>
        <w:tc>
          <w:tcPr>
            <w:tcW w:w="153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25.8 per cent of the net central estimate of outstanding claims liability and claims handling expense</w:t>
            </w:r>
            <w:r w:rsidRPr="006A26DD">
              <w:rPr>
                <w:rFonts w:eastAsiaTheme="minorEastAsia" w:cs="Calibri"/>
                <w:color w:val="auto"/>
                <w:szCs w:val="22"/>
              </w:rPr>
              <w:t xml:space="preserve"> </w:t>
            </w:r>
          </w:p>
        </w:tc>
      </w:tr>
      <w:tr w:rsidR="000B4A1E" w:rsidRPr="006A26DD" w:rsidTr="00517E51">
        <w:trPr>
          <w:cantSplit/>
        </w:trPr>
        <w:tc>
          <w:tcPr>
            <w:tcW w:w="1225"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Victorian Managed Insurance Authority</w:t>
            </w:r>
          </w:p>
        </w:tc>
        <w:tc>
          <w:tcPr>
            <w:tcW w:w="198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 xml:space="preserve">Finity Consulting </w:t>
            </w:r>
            <w:r>
              <w:rPr>
                <w:rFonts w:eastAsiaTheme="minorEastAsia"/>
                <w:color w:val="auto"/>
                <w:sz w:val="21"/>
              </w:rPr>
              <w:t>Pty Ltd</w:t>
            </w:r>
          </w:p>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(Other)</w:t>
            </w:r>
          </w:p>
        </w:tc>
        <w:tc>
          <w:tcPr>
            <w:tcW w:w="135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3.7 years</w:t>
            </w:r>
          </w:p>
        </w:tc>
        <w:tc>
          <w:tcPr>
            <w:tcW w:w="180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inflation rate = 3.8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discount rate = 3.2 per cent</w:t>
            </w:r>
          </w:p>
        </w:tc>
        <w:tc>
          <w:tcPr>
            <w:tcW w:w="171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inflation rate = 3.8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weighted average discount rate = 3.2</w:t>
            </w:r>
            <w:r>
              <w:rPr>
                <w:rFonts w:eastAsiaTheme="minorEastAsia"/>
                <w:color w:val="auto"/>
                <w:sz w:val="21"/>
              </w:rPr>
              <w:t> </w:t>
            </w:r>
            <w:r w:rsidRPr="006A26DD">
              <w:rPr>
                <w:rFonts w:eastAsiaTheme="minorEastAsia"/>
                <w:color w:val="auto"/>
                <w:sz w:val="21"/>
              </w:rPr>
              <w:t>per cent</w:t>
            </w:r>
          </w:p>
        </w:tc>
        <w:tc>
          <w:tcPr>
            <w:tcW w:w="153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28.7 per cent of the net central estimate of outstanding claims liability and claims handling expense</w:t>
            </w:r>
            <w:r w:rsidRPr="006A26DD">
              <w:rPr>
                <w:rFonts w:eastAsiaTheme="minorEastAsia" w:cs="Calibri"/>
                <w:color w:val="auto"/>
                <w:szCs w:val="22"/>
              </w:rPr>
              <w:t xml:space="preserve"> </w:t>
            </w:r>
          </w:p>
        </w:tc>
      </w:tr>
      <w:tr w:rsidR="000B4A1E" w:rsidRPr="006A26DD" w:rsidTr="00517E51">
        <w:trPr>
          <w:cantSplit/>
        </w:trPr>
        <w:tc>
          <w:tcPr>
            <w:tcW w:w="1225"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lastRenderedPageBreak/>
              <w:t xml:space="preserve">Victorian Managed Insurance Authority </w:t>
            </w:r>
          </w:p>
        </w:tc>
        <w:tc>
          <w:tcPr>
            <w:tcW w:w="198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 xml:space="preserve">Finity Consulting </w:t>
            </w:r>
            <w:r>
              <w:rPr>
                <w:rFonts w:eastAsiaTheme="minorEastAsia"/>
                <w:color w:val="auto"/>
                <w:sz w:val="21"/>
              </w:rPr>
              <w:t>Pty Ltd</w:t>
            </w:r>
            <w:r w:rsidRPr="006A26DD">
              <w:rPr>
                <w:rFonts w:eastAsiaTheme="minorEastAsia"/>
                <w:color w:val="auto"/>
                <w:sz w:val="21"/>
              </w:rPr>
              <w:t xml:space="preserve"> </w:t>
            </w:r>
          </w:p>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 xml:space="preserve">(Dust Diseases and Workers Compensation) </w:t>
            </w:r>
          </w:p>
        </w:tc>
        <w:tc>
          <w:tcPr>
            <w:tcW w:w="135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12.2 years</w:t>
            </w:r>
          </w:p>
        </w:tc>
        <w:tc>
          <w:tcPr>
            <w:tcW w:w="180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inflation rate = 5.8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discount rate = 4.5 per cent</w:t>
            </w:r>
          </w:p>
        </w:tc>
        <w:tc>
          <w:tcPr>
            <w:tcW w:w="171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inflation rate = 5.8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discount rate = 4.5 per cent</w:t>
            </w:r>
          </w:p>
        </w:tc>
        <w:tc>
          <w:tcPr>
            <w:tcW w:w="1530" w:type="dxa"/>
            <w:tcBorders>
              <w:top w:val="single" w:sz="6" w:space="0" w:color="auto"/>
              <w:left w:val="nil"/>
              <w:bottom w:val="single" w:sz="6"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28.5 per cent of the net central estimate of outstanding claims liability and claims handling expense</w:t>
            </w:r>
            <w:r w:rsidRPr="006A26DD">
              <w:rPr>
                <w:rFonts w:eastAsiaTheme="minorEastAsia" w:cs="Calibri"/>
                <w:color w:val="auto"/>
                <w:szCs w:val="22"/>
              </w:rPr>
              <w:t xml:space="preserve"> </w:t>
            </w:r>
          </w:p>
        </w:tc>
      </w:tr>
      <w:tr w:rsidR="000B4A1E" w:rsidRPr="006A26DD" w:rsidTr="00517E51">
        <w:trPr>
          <w:cantSplit/>
        </w:trPr>
        <w:tc>
          <w:tcPr>
            <w:tcW w:w="1225" w:type="dxa"/>
            <w:tcBorders>
              <w:top w:val="single" w:sz="6" w:space="0" w:color="auto"/>
              <w:left w:val="nil"/>
              <w:bottom w:val="single" w:sz="12"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 xml:space="preserve">Victorian Managed Insurance Authority </w:t>
            </w:r>
          </w:p>
        </w:tc>
        <w:tc>
          <w:tcPr>
            <w:tcW w:w="1980" w:type="dxa"/>
            <w:tcBorders>
              <w:top w:val="single" w:sz="6" w:space="0" w:color="auto"/>
              <w:left w:val="nil"/>
              <w:bottom w:val="single" w:sz="12"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 xml:space="preserve">Finity Consulting </w:t>
            </w:r>
            <w:r>
              <w:rPr>
                <w:rFonts w:eastAsiaTheme="minorEastAsia"/>
                <w:color w:val="auto"/>
                <w:sz w:val="21"/>
              </w:rPr>
              <w:t>Pty Ltd</w:t>
            </w:r>
            <w:r w:rsidRPr="006A26DD">
              <w:rPr>
                <w:rFonts w:eastAsiaTheme="minorEastAsia"/>
                <w:color w:val="auto"/>
                <w:sz w:val="21"/>
              </w:rPr>
              <w:t xml:space="preserve"> </w:t>
            </w:r>
          </w:p>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 xml:space="preserve">(Domestic Building Insurance) </w:t>
            </w:r>
          </w:p>
        </w:tc>
        <w:tc>
          <w:tcPr>
            <w:tcW w:w="1350" w:type="dxa"/>
            <w:tcBorders>
              <w:top w:val="single" w:sz="6" w:space="0" w:color="auto"/>
              <w:left w:val="nil"/>
              <w:bottom w:val="single" w:sz="12" w:space="0" w:color="auto"/>
              <w:right w:val="nil"/>
            </w:tcBorders>
            <w:shd w:val="solid" w:color="FFFFFF" w:fill="auto"/>
          </w:tcPr>
          <w:p w:rsidR="000B4A1E" w:rsidRPr="006A26DD" w:rsidRDefault="000B4A1E" w:rsidP="00517E51">
            <w:pPr>
              <w:pStyle w:val="TableTextnoindent"/>
              <w:rPr>
                <w:rFonts w:eastAsiaTheme="minorEastAsia"/>
                <w:color w:val="auto"/>
                <w:sz w:val="21"/>
              </w:rPr>
            </w:pPr>
            <w:r w:rsidRPr="006A26DD">
              <w:rPr>
                <w:rFonts w:eastAsiaTheme="minorEastAsia"/>
                <w:color w:val="auto"/>
                <w:sz w:val="21"/>
              </w:rPr>
              <w:t>4.1 years</w:t>
            </w:r>
          </w:p>
        </w:tc>
        <w:tc>
          <w:tcPr>
            <w:tcW w:w="1800" w:type="dxa"/>
            <w:tcBorders>
              <w:top w:val="single" w:sz="6" w:space="0" w:color="auto"/>
              <w:left w:val="nil"/>
              <w:bottom w:val="single" w:sz="12"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inflation rate = 3.8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discount rate = 3.4 per cent</w:t>
            </w:r>
          </w:p>
        </w:tc>
        <w:tc>
          <w:tcPr>
            <w:tcW w:w="1710" w:type="dxa"/>
            <w:tcBorders>
              <w:top w:val="single" w:sz="6" w:space="0" w:color="auto"/>
              <w:left w:val="nil"/>
              <w:bottom w:val="single" w:sz="12"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inflation rate = 3.8 per cent</w:t>
            </w:r>
            <w:r w:rsidRPr="006A26DD">
              <w:rPr>
                <w:rFonts w:eastAsiaTheme="minorEastAsia" w:cs="Calibri"/>
                <w:color w:val="auto"/>
                <w:szCs w:val="22"/>
              </w:rPr>
              <w:t xml:space="preserve"> </w:t>
            </w:r>
          </w:p>
          <w:p w:rsidR="000B4A1E" w:rsidRPr="006A26DD" w:rsidRDefault="000B4A1E" w:rsidP="00517E51">
            <w:pPr>
              <w:pStyle w:val="TableTextnoindent"/>
              <w:rPr>
                <w:rFonts w:eastAsiaTheme="minorEastAsia"/>
                <w:color w:val="auto"/>
                <w:sz w:val="21"/>
              </w:rPr>
            </w:pPr>
          </w:p>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weighted average discount rate = 3.4 per cent</w:t>
            </w:r>
          </w:p>
        </w:tc>
        <w:tc>
          <w:tcPr>
            <w:tcW w:w="1530" w:type="dxa"/>
            <w:tcBorders>
              <w:top w:val="single" w:sz="6" w:space="0" w:color="auto"/>
              <w:left w:val="nil"/>
              <w:bottom w:val="single" w:sz="12" w:space="0" w:color="auto"/>
              <w:right w:val="nil"/>
            </w:tcBorders>
            <w:shd w:val="solid" w:color="FFFFFF" w:fill="auto"/>
          </w:tcPr>
          <w:p w:rsidR="000B4A1E" w:rsidRPr="006A26DD" w:rsidRDefault="000B4A1E" w:rsidP="00517E51">
            <w:pPr>
              <w:pStyle w:val="TableTextnoindent"/>
              <w:rPr>
                <w:rFonts w:eastAsiaTheme="minorEastAsia" w:cs="Calibri"/>
                <w:color w:val="auto"/>
                <w:szCs w:val="22"/>
              </w:rPr>
            </w:pPr>
            <w:r w:rsidRPr="006A26DD">
              <w:rPr>
                <w:rFonts w:eastAsiaTheme="minorEastAsia"/>
                <w:color w:val="auto"/>
                <w:sz w:val="21"/>
              </w:rPr>
              <w:t>23.5 per cent of the net central estimate of outstanding claims liability and claims handling expense</w:t>
            </w:r>
            <w:r w:rsidRPr="006A26DD">
              <w:rPr>
                <w:rFonts w:eastAsiaTheme="minorEastAsia" w:cs="Calibri"/>
                <w:color w:val="auto"/>
                <w:szCs w:val="22"/>
              </w:rPr>
              <w:t xml:space="preserve"> </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The inflation rate assumptions are based on the anticipated rise in costs relevant to a particular entity.</w:t>
      </w:r>
    </w:p>
    <w:p w:rsidR="000B4A1E" w:rsidRPr="00D00665" w:rsidRDefault="000B4A1E" w:rsidP="00517E51"/>
    <w:p w:rsidR="000B4A1E" w:rsidRPr="00D00665" w:rsidRDefault="000B4A1E" w:rsidP="00517E51">
      <w:pPr>
        <w:pStyle w:val="Heading2NotesContd"/>
        <w:rPr>
          <w:i/>
        </w:rPr>
      </w:pPr>
      <w:r w:rsidRPr="00D00665">
        <w:br w:type="page"/>
      </w:r>
      <w:r w:rsidRPr="00D00665">
        <w:lastRenderedPageBreak/>
        <w:t>Note 27:</w:t>
      </w:r>
      <w:r w:rsidRPr="00D00665">
        <w:tab/>
        <w:t xml:space="preserve">Other provisions </w:t>
      </w:r>
      <w:r w:rsidRPr="00D00665">
        <w:rPr>
          <w:i/>
        </w:rPr>
        <w:t>(continued)</w:t>
      </w:r>
    </w:p>
    <w:p w:rsidR="000B4A1E" w:rsidRPr="00894AB1" w:rsidRDefault="000B4A1E" w:rsidP="00517E51">
      <w:pPr>
        <w:pStyle w:val="Tableheading"/>
      </w:pPr>
      <w:r w:rsidRPr="00894AB1">
        <w:t>2012</w:t>
      </w:r>
      <w:bookmarkStart w:id="82" w:name="RANGE!A3:F9"/>
    </w:p>
    <w:tbl>
      <w:tblPr>
        <w:tblW w:w="9648" w:type="dxa"/>
        <w:tblInd w:w="29" w:type="dxa"/>
        <w:tblCellMar>
          <w:left w:w="43" w:type="dxa"/>
          <w:right w:w="43" w:type="dxa"/>
        </w:tblCellMar>
        <w:tblLook w:val="04A0" w:firstRow="1" w:lastRow="0" w:firstColumn="1" w:lastColumn="0" w:noHBand="0" w:noVBand="1"/>
      </w:tblPr>
      <w:tblGrid>
        <w:gridCol w:w="1274"/>
        <w:gridCol w:w="1980"/>
        <w:gridCol w:w="1350"/>
        <w:gridCol w:w="1800"/>
        <w:gridCol w:w="1710"/>
        <w:gridCol w:w="1534"/>
      </w:tblGrid>
      <w:tr w:rsidR="000B4A1E" w:rsidRPr="00894AB1" w:rsidTr="00517E51">
        <w:trPr>
          <w:divId w:val="838541901"/>
        </w:trPr>
        <w:tc>
          <w:tcPr>
            <w:tcW w:w="1274" w:type="dxa"/>
            <w:tcBorders>
              <w:top w:val="single" w:sz="6" w:space="0" w:color="auto"/>
              <w:left w:val="single" w:sz="6" w:space="0" w:color="auto"/>
              <w:bottom w:val="single" w:sz="6" w:space="0" w:color="auto"/>
              <w:right w:val="nil"/>
            </w:tcBorders>
            <w:shd w:val="clear" w:color="auto" w:fill="000000"/>
            <w:vAlign w:val="center"/>
            <w:hideMark/>
          </w:tcPr>
          <w:p w:rsidR="000B4A1E" w:rsidRPr="00894AB1" w:rsidRDefault="000B4A1E" w:rsidP="00517E51">
            <w:pPr>
              <w:pStyle w:val="TabletextheadingLeft"/>
              <w:rPr>
                <w:sz w:val="21"/>
              </w:rPr>
            </w:pPr>
            <w:r w:rsidRPr="00894AB1">
              <w:rPr>
                <w:sz w:val="21"/>
              </w:rPr>
              <w:br/>
            </w:r>
            <w:r w:rsidRPr="00894AB1">
              <w:rPr>
                <w:sz w:val="21"/>
              </w:rPr>
              <w:br/>
            </w:r>
            <w:r w:rsidRPr="00894AB1">
              <w:rPr>
                <w:sz w:val="21"/>
              </w:rPr>
              <w:br/>
              <w:t>Entity</w:t>
            </w:r>
          </w:p>
        </w:tc>
        <w:tc>
          <w:tcPr>
            <w:tcW w:w="1980" w:type="dxa"/>
            <w:tcBorders>
              <w:top w:val="single" w:sz="6" w:space="0" w:color="auto"/>
              <w:left w:val="nil"/>
              <w:bottom w:val="single" w:sz="6" w:space="0" w:color="auto"/>
              <w:right w:val="nil"/>
            </w:tcBorders>
            <w:shd w:val="clear" w:color="auto" w:fill="000000"/>
            <w:vAlign w:val="center"/>
            <w:hideMark/>
          </w:tcPr>
          <w:p w:rsidR="000B4A1E" w:rsidRPr="00894AB1" w:rsidRDefault="000B4A1E" w:rsidP="00517E51">
            <w:pPr>
              <w:pStyle w:val="TabletextheadingLeft"/>
              <w:rPr>
                <w:sz w:val="21"/>
              </w:rPr>
            </w:pPr>
            <w:r w:rsidRPr="00894AB1">
              <w:rPr>
                <w:sz w:val="21"/>
              </w:rPr>
              <w:br/>
            </w:r>
            <w:r w:rsidRPr="00894AB1">
              <w:rPr>
                <w:sz w:val="21"/>
              </w:rPr>
              <w:br/>
            </w:r>
            <w:r w:rsidRPr="00894AB1">
              <w:rPr>
                <w:sz w:val="21"/>
              </w:rPr>
              <w:br/>
              <w:t>Actuary</w:t>
            </w:r>
          </w:p>
        </w:tc>
        <w:tc>
          <w:tcPr>
            <w:tcW w:w="1350" w:type="dxa"/>
            <w:tcBorders>
              <w:top w:val="single" w:sz="6" w:space="0" w:color="auto"/>
              <w:left w:val="nil"/>
              <w:bottom w:val="single" w:sz="6" w:space="0" w:color="auto"/>
              <w:right w:val="nil"/>
            </w:tcBorders>
            <w:shd w:val="clear" w:color="auto" w:fill="000000"/>
            <w:vAlign w:val="center"/>
            <w:hideMark/>
          </w:tcPr>
          <w:p w:rsidR="000B4A1E" w:rsidRPr="00894AB1" w:rsidRDefault="000B4A1E" w:rsidP="00517E51">
            <w:pPr>
              <w:pStyle w:val="TabletextheadingLeft"/>
              <w:rPr>
                <w:sz w:val="21"/>
              </w:rPr>
            </w:pPr>
            <w:r w:rsidRPr="00894AB1">
              <w:rPr>
                <w:sz w:val="21"/>
              </w:rPr>
              <w:t>Weighted average expected term to settlement</w:t>
            </w:r>
          </w:p>
        </w:tc>
        <w:tc>
          <w:tcPr>
            <w:tcW w:w="1800" w:type="dxa"/>
            <w:tcBorders>
              <w:top w:val="single" w:sz="6" w:space="0" w:color="auto"/>
              <w:left w:val="nil"/>
              <w:bottom w:val="single" w:sz="6" w:space="0" w:color="auto"/>
              <w:right w:val="nil"/>
            </w:tcBorders>
            <w:shd w:val="clear" w:color="auto" w:fill="000000"/>
            <w:vAlign w:val="center"/>
            <w:hideMark/>
          </w:tcPr>
          <w:p w:rsidR="000B4A1E" w:rsidRPr="00894AB1" w:rsidRDefault="000B4A1E" w:rsidP="00517E51">
            <w:pPr>
              <w:pStyle w:val="TabletextheadingLeft"/>
              <w:rPr>
                <w:sz w:val="21"/>
              </w:rPr>
            </w:pPr>
            <w:r w:rsidRPr="00894AB1">
              <w:rPr>
                <w:sz w:val="21"/>
              </w:rPr>
              <w:t xml:space="preserve">Financial assumptions used (not later than </w:t>
            </w:r>
            <w:r w:rsidRPr="00894AB1">
              <w:rPr>
                <w:sz w:val="21"/>
              </w:rPr>
              <w:br/>
              <w:t xml:space="preserve">1 year) </w:t>
            </w:r>
            <w:r w:rsidRPr="00894AB1">
              <w:rPr>
                <w:sz w:val="21"/>
                <w:vertAlign w:val="superscript"/>
              </w:rPr>
              <w:t>(a)</w:t>
            </w:r>
          </w:p>
        </w:tc>
        <w:tc>
          <w:tcPr>
            <w:tcW w:w="1710" w:type="dxa"/>
            <w:tcBorders>
              <w:top w:val="single" w:sz="6" w:space="0" w:color="auto"/>
              <w:left w:val="nil"/>
              <w:bottom w:val="single" w:sz="6" w:space="0" w:color="auto"/>
              <w:right w:val="nil"/>
            </w:tcBorders>
            <w:shd w:val="clear" w:color="auto" w:fill="000000"/>
            <w:vAlign w:val="center"/>
            <w:hideMark/>
          </w:tcPr>
          <w:p w:rsidR="000B4A1E" w:rsidRPr="00894AB1" w:rsidRDefault="000B4A1E" w:rsidP="00517E51">
            <w:pPr>
              <w:pStyle w:val="TabletextheadingLeft"/>
              <w:rPr>
                <w:sz w:val="21"/>
              </w:rPr>
            </w:pPr>
            <w:r w:rsidRPr="00894AB1">
              <w:rPr>
                <w:sz w:val="21"/>
              </w:rPr>
              <w:t xml:space="preserve">Financial assumptions used (later than </w:t>
            </w:r>
            <w:r w:rsidRPr="00894AB1">
              <w:rPr>
                <w:sz w:val="21"/>
              </w:rPr>
              <w:br/>
              <w:t xml:space="preserve">1 year) </w:t>
            </w:r>
            <w:r w:rsidRPr="00894AB1">
              <w:rPr>
                <w:sz w:val="21"/>
                <w:vertAlign w:val="superscript"/>
              </w:rPr>
              <w:t>(a)</w:t>
            </w:r>
          </w:p>
        </w:tc>
        <w:tc>
          <w:tcPr>
            <w:tcW w:w="1534" w:type="dxa"/>
            <w:tcBorders>
              <w:top w:val="single" w:sz="6" w:space="0" w:color="auto"/>
              <w:left w:val="nil"/>
              <w:bottom w:val="single" w:sz="6" w:space="0" w:color="auto"/>
              <w:right w:val="single" w:sz="6" w:space="0" w:color="auto"/>
            </w:tcBorders>
            <w:shd w:val="clear" w:color="auto" w:fill="000000"/>
            <w:vAlign w:val="center"/>
            <w:hideMark/>
          </w:tcPr>
          <w:p w:rsidR="000B4A1E" w:rsidRPr="00894AB1" w:rsidRDefault="000B4A1E" w:rsidP="00517E51">
            <w:pPr>
              <w:pStyle w:val="TabletextheadingLeft"/>
              <w:rPr>
                <w:sz w:val="21"/>
              </w:rPr>
            </w:pPr>
            <w:r w:rsidRPr="00894AB1">
              <w:rPr>
                <w:sz w:val="21"/>
              </w:rPr>
              <w:br/>
            </w:r>
            <w:r w:rsidRPr="00894AB1">
              <w:rPr>
                <w:sz w:val="21"/>
              </w:rPr>
              <w:br/>
              <w:t xml:space="preserve">Prudential </w:t>
            </w:r>
            <w:r w:rsidRPr="00894AB1">
              <w:rPr>
                <w:sz w:val="21"/>
              </w:rPr>
              <w:br/>
              <w:t>margin</w:t>
            </w:r>
          </w:p>
        </w:tc>
      </w:tr>
      <w:tr w:rsidR="000B4A1E" w:rsidRPr="00894AB1" w:rsidTr="00517E51">
        <w:trPr>
          <w:divId w:val="838541901"/>
        </w:trPr>
        <w:tc>
          <w:tcPr>
            <w:tcW w:w="1274" w:type="dxa"/>
            <w:tcBorders>
              <w:top w:val="single" w:sz="6" w:space="0" w:color="auto"/>
              <w:bottom w:val="single" w:sz="6" w:space="0" w:color="auto"/>
              <w:right w:val="nil"/>
            </w:tcBorders>
            <w:shd w:val="clear" w:color="auto" w:fill="auto"/>
            <w:hideMark/>
          </w:tcPr>
          <w:p w:rsidR="000B4A1E" w:rsidRPr="00894AB1" w:rsidRDefault="000B4A1E" w:rsidP="00517E51">
            <w:pPr>
              <w:pStyle w:val="TableTextnoindent"/>
              <w:rPr>
                <w:color w:val="auto"/>
                <w:sz w:val="21"/>
              </w:rPr>
            </w:pPr>
            <w:r w:rsidRPr="00894AB1">
              <w:rPr>
                <w:color w:val="auto"/>
                <w:sz w:val="21"/>
              </w:rPr>
              <w:t>Victorian WorkCover Authority</w:t>
            </w:r>
          </w:p>
        </w:tc>
        <w:tc>
          <w:tcPr>
            <w:tcW w:w="1980" w:type="dxa"/>
            <w:tcBorders>
              <w:top w:val="single" w:sz="6" w:space="0" w:color="auto"/>
              <w:left w:val="nil"/>
              <w:bottom w:val="single" w:sz="6" w:space="0" w:color="auto"/>
              <w:right w:val="nil"/>
            </w:tcBorders>
            <w:shd w:val="clear" w:color="auto" w:fill="auto"/>
            <w:hideMark/>
          </w:tcPr>
          <w:p w:rsidR="000B4A1E" w:rsidRPr="00894AB1" w:rsidRDefault="000B4A1E" w:rsidP="00517E51">
            <w:pPr>
              <w:pStyle w:val="TableTextnoindent"/>
              <w:rPr>
                <w:color w:val="auto"/>
                <w:sz w:val="21"/>
              </w:rPr>
            </w:pPr>
            <w:r w:rsidRPr="00894AB1">
              <w:rPr>
                <w:color w:val="auto"/>
                <w:sz w:val="21"/>
              </w:rPr>
              <w:t>Pricewaterhouse Coopers Actuarial Ltd</w:t>
            </w:r>
          </w:p>
        </w:tc>
        <w:tc>
          <w:tcPr>
            <w:tcW w:w="1350" w:type="dxa"/>
            <w:tcBorders>
              <w:top w:val="single" w:sz="6" w:space="0" w:color="auto"/>
              <w:left w:val="nil"/>
              <w:bottom w:val="single" w:sz="6" w:space="0" w:color="auto"/>
              <w:right w:val="nil"/>
            </w:tcBorders>
            <w:shd w:val="clear" w:color="auto" w:fill="auto"/>
            <w:hideMark/>
          </w:tcPr>
          <w:p w:rsidR="000B4A1E" w:rsidRPr="00894AB1" w:rsidRDefault="000B4A1E" w:rsidP="00517E51">
            <w:pPr>
              <w:pStyle w:val="TableTextnoindent"/>
              <w:rPr>
                <w:color w:val="auto"/>
                <w:sz w:val="21"/>
              </w:rPr>
            </w:pPr>
            <w:r w:rsidRPr="00894AB1">
              <w:rPr>
                <w:color w:val="auto"/>
                <w:sz w:val="21"/>
              </w:rPr>
              <w:t>5.8 years</w:t>
            </w:r>
          </w:p>
        </w:tc>
        <w:tc>
          <w:tcPr>
            <w:tcW w:w="1800" w:type="dxa"/>
            <w:tcBorders>
              <w:top w:val="single" w:sz="6" w:space="0" w:color="auto"/>
              <w:left w:val="nil"/>
              <w:bottom w:val="single" w:sz="6" w:space="0" w:color="auto"/>
              <w:right w:val="nil"/>
            </w:tcBorders>
            <w:shd w:val="clear" w:color="auto" w:fill="auto"/>
            <w:hideMark/>
          </w:tcPr>
          <w:p w:rsidR="000B4A1E" w:rsidRPr="00894AB1" w:rsidRDefault="000B4A1E" w:rsidP="00517E51">
            <w:pPr>
              <w:pStyle w:val="TableTextnoindent"/>
              <w:rPr>
                <w:rFonts w:cs="Calibri"/>
                <w:color w:val="auto"/>
                <w:szCs w:val="22"/>
              </w:rPr>
            </w:pPr>
            <w:r w:rsidRPr="00894AB1">
              <w:rPr>
                <w:color w:val="auto"/>
                <w:sz w:val="21"/>
              </w:rPr>
              <w:t>inflation rate</w:t>
            </w:r>
            <w:r w:rsidRPr="00894AB1">
              <w:rPr>
                <w:color w:val="auto"/>
                <w:sz w:val="21"/>
              </w:rPr>
              <w:br/>
              <w:t xml:space="preserve">3.75 per cent </w:t>
            </w:r>
            <w:r w:rsidRPr="00894AB1">
              <w:rPr>
                <w:color w:val="auto"/>
                <w:sz w:val="21"/>
              </w:rPr>
              <w:br/>
            </w:r>
            <w:r w:rsidRPr="00894AB1">
              <w:rPr>
                <w:color w:val="auto"/>
                <w:sz w:val="21"/>
              </w:rPr>
              <w:br/>
              <w:t>discount rate</w:t>
            </w:r>
            <w:r w:rsidRPr="00894AB1">
              <w:rPr>
                <w:color w:val="auto"/>
                <w:sz w:val="21"/>
              </w:rPr>
              <w:br/>
              <w:t>2.79 per cent</w:t>
            </w:r>
            <w:r w:rsidRPr="00894AB1">
              <w:rPr>
                <w:rFonts w:cs="Calibri"/>
                <w:color w:val="auto"/>
                <w:szCs w:val="22"/>
              </w:rPr>
              <w:t xml:space="preserve"> </w:t>
            </w:r>
          </w:p>
        </w:tc>
        <w:tc>
          <w:tcPr>
            <w:tcW w:w="1710" w:type="dxa"/>
            <w:tcBorders>
              <w:top w:val="single" w:sz="6" w:space="0" w:color="auto"/>
              <w:left w:val="nil"/>
              <w:bottom w:val="single" w:sz="6" w:space="0" w:color="auto"/>
              <w:right w:val="nil"/>
            </w:tcBorders>
            <w:shd w:val="clear" w:color="auto" w:fill="auto"/>
            <w:hideMark/>
          </w:tcPr>
          <w:p w:rsidR="000B4A1E" w:rsidRPr="00894AB1" w:rsidRDefault="000B4A1E" w:rsidP="00517E51">
            <w:pPr>
              <w:pStyle w:val="TableTextnoindent"/>
              <w:rPr>
                <w:rFonts w:cs="Calibri"/>
                <w:color w:val="auto"/>
                <w:szCs w:val="22"/>
              </w:rPr>
            </w:pPr>
            <w:r w:rsidRPr="00894AB1">
              <w:rPr>
                <w:color w:val="auto"/>
                <w:sz w:val="21"/>
              </w:rPr>
              <w:t>inflation rate</w:t>
            </w:r>
            <w:r w:rsidRPr="00894AB1">
              <w:rPr>
                <w:color w:val="auto"/>
                <w:sz w:val="21"/>
              </w:rPr>
              <w:br/>
              <w:t xml:space="preserve">3.75 per cent </w:t>
            </w:r>
            <w:r w:rsidRPr="00894AB1">
              <w:rPr>
                <w:color w:val="auto"/>
                <w:sz w:val="21"/>
              </w:rPr>
              <w:br/>
            </w:r>
            <w:r w:rsidRPr="00894AB1">
              <w:rPr>
                <w:color w:val="auto"/>
                <w:sz w:val="21"/>
              </w:rPr>
              <w:br/>
              <w:t>discount rate</w:t>
            </w:r>
            <w:r w:rsidRPr="00894AB1">
              <w:rPr>
                <w:color w:val="auto"/>
                <w:sz w:val="21"/>
              </w:rPr>
              <w:br/>
              <w:t>2.13 – 5.50 per cent</w:t>
            </w:r>
            <w:r w:rsidRPr="00894AB1">
              <w:rPr>
                <w:rFonts w:cs="Calibri"/>
                <w:color w:val="auto"/>
                <w:szCs w:val="22"/>
              </w:rPr>
              <w:t xml:space="preserve">  </w:t>
            </w:r>
          </w:p>
        </w:tc>
        <w:tc>
          <w:tcPr>
            <w:tcW w:w="1534" w:type="dxa"/>
            <w:tcBorders>
              <w:top w:val="single" w:sz="6" w:space="0" w:color="auto"/>
              <w:left w:val="nil"/>
              <w:bottom w:val="single" w:sz="6" w:space="0" w:color="auto"/>
            </w:tcBorders>
            <w:shd w:val="clear" w:color="auto" w:fill="auto"/>
            <w:hideMark/>
          </w:tcPr>
          <w:p w:rsidR="000B4A1E" w:rsidRPr="00894AB1" w:rsidRDefault="000B4A1E" w:rsidP="00517E51">
            <w:pPr>
              <w:pStyle w:val="TableTextnoindent"/>
              <w:rPr>
                <w:rFonts w:cs="Calibri"/>
                <w:color w:val="auto"/>
                <w:szCs w:val="22"/>
              </w:rPr>
            </w:pPr>
            <w:r w:rsidRPr="00894AB1">
              <w:rPr>
                <w:color w:val="auto"/>
                <w:sz w:val="21"/>
              </w:rPr>
              <w:t>8.5 per cent</w:t>
            </w:r>
          </w:p>
        </w:tc>
      </w:tr>
      <w:tr w:rsidR="000B4A1E" w:rsidRPr="00894AB1" w:rsidTr="00517E51">
        <w:trPr>
          <w:divId w:val="838541901"/>
        </w:trPr>
        <w:tc>
          <w:tcPr>
            <w:tcW w:w="1274" w:type="dxa"/>
            <w:tcBorders>
              <w:top w:val="single" w:sz="6" w:space="0" w:color="auto"/>
              <w:left w:val="nil"/>
              <w:bottom w:val="single" w:sz="4"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Transport Accident Commission</w:t>
            </w:r>
          </w:p>
        </w:tc>
        <w:tc>
          <w:tcPr>
            <w:tcW w:w="1980" w:type="dxa"/>
            <w:tcBorders>
              <w:top w:val="single" w:sz="6" w:space="0" w:color="auto"/>
              <w:left w:val="nil"/>
              <w:bottom w:val="single" w:sz="4"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Pricewaterhouse Coopers Actuarial Ltd</w:t>
            </w:r>
          </w:p>
        </w:tc>
        <w:tc>
          <w:tcPr>
            <w:tcW w:w="1350" w:type="dxa"/>
            <w:tcBorders>
              <w:top w:val="single" w:sz="6" w:space="0" w:color="auto"/>
              <w:left w:val="nil"/>
              <w:bottom w:val="single" w:sz="4"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14.6 years</w:t>
            </w:r>
          </w:p>
        </w:tc>
        <w:tc>
          <w:tcPr>
            <w:tcW w:w="1800" w:type="dxa"/>
            <w:tcBorders>
              <w:top w:val="single" w:sz="6" w:space="0" w:color="auto"/>
              <w:left w:val="nil"/>
              <w:bottom w:val="single" w:sz="4"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inflation rate</w:t>
            </w:r>
            <w:r w:rsidRPr="00894AB1">
              <w:rPr>
                <w:color w:val="auto"/>
                <w:sz w:val="21"/>
              </w:rPr>
              <w:br/>
              <w:t xml:space="preserve">4.25 per cent </w:t>
            </w:r>
            <w:r w:rsidRPr="00894AB1">
              <w:rPr>
                <w:color w:val="auto"/>
                <w:sz w:val="21"/>
              </w:rPr>
              <w:br/>
            </w:r>
            <w:r w:rsidRPr="00894AB1">
              <w:rPr>
                <w:color w:val="auto"/>
                <w:sz w:val="21"/>
              </w:rPr>
              <w:br/>
              <w:t>discount rate</w:t>
            </w:r>
            <w:r w:rsidRPr="00894AB1">
              <w:rPr>
                <w:color w:val="auto"/>
                <w:sz w:val="21"/>
              </w:rPr>
              <w:br/>
              <w:t>2.8 per cent</w:t>
            </w:r>
            <w:r w:rsidRPr="00894AB1">
              <w:rPr>
                <w:rFonts w:cs="Calibri"/>
                <w:color w:val="auto"/>
                <w:szCs w:val="22"/>
              </w:rPr>
              <w:t xml:space="preserve"> </w:t>
            </w:r>
          </w:p>
        </w:tc>
        <w:tc>
          <w:tcPr>
            <w:tcW w:w="1710" w:type="dxa"/>
            <w:tcBorders>
              <w:top w:val="single" w:sz="6" w:space="0" w:color="auto"/>
              <w:left w:val="nil"/>
              <w:bottom w:val="single" w:sz="4"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inflation rate</w:t>
            </w:r>
            <w:r w:rsidRPr="00894AB1">
              <w:rPr>
                <w:color w:val="auto"/>
                <w:sz w:val="21"/>
              </w:rPr>
              <w:br/>
              <w:t xml:space="preserve">3.75 per cent </w:t>
            </w:r>
            <w:r w:rsidRPr="00894AB1">
              <w:rPr>
                <w:color w:val="auto"/>
                <w:sz w:val="21"/>
              </w:rPr>
              <w:br/>
            </w:r>
            <w:r w:rsidRPr="00894AB1">
              <w:rPr>
                <w:color w:val="auto"/>
                <w:sz w:val="21"/>
              </w:rPr>
              <w:br/>
              <w:t xml:space="preserve">discount rate  </w:t>
            </w:r>
            <w:r w:rsidRPr="00894AB1">
              <w:rPr>
                <w:color w:val="auto"/>
                <w:sz w:val="21"/>
              </w:rPr>
              <w:br/>
              <w:t>5.50 per cent</w:t>
            </w:r>
            <w:r w:rsidRPr="00894AB1">
              <w:rPr>
                <w:rFonts w:cs="Calibri"/>
                <w:color w:val="auto"/>
                <w:szCs w:val="22"/>
              </w:rPr>
              <w:t xml:space="preserve"> </w:t>
            </w:r>
          </w:p>
        </w:tc>
        <w:tc>
          <w:tcPr>
            <w:tcW w:w="1534" w:type="dxa"/>
            <w:tcBorders>
              <w:top w:val="single" w:sz="6" w:space="0" w:color="auto"/>
              <w:left w:val="nil"/>
              <w:bottom w:val="single" w:sz="4"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10.5 per cent</w:t>
            </w:r>
          </w:p>
        </w:tc>
      </w:tr>
      <w:tr w:rsidR="000B4A1E" w:rsidRPr="00894AB1" w:rsidTr="00517E51">
        <w:trPr>
          <w:divId w:val="838541901"/>
        </w:trPr>
        <w:tc>
          <w:tcPr>
            <w:tcW w:w="1274"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Victorian Managed Insurance Authority</w:t>
            </w:r>
          </w:p>
        </w:tc>
        <w:tc>
          <w:tcPr>
            <w:tcW w:w="1980"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Finity Consulting Pty Ltd</w:t>
            </w:r>
            <w:r w:rsidRPr="00894AB1">
              <w:rPr>
                <w:color w:val="auto"/>
                <w:sz w:val="21"/>
              </w:rPr>
              <w:br/>
              <w:t>(Public Healthcare Program)</w:t>
            </w:r>
          </w:p>
        </w:tc>
        <w:tc>
          <w:tcPr>
            <w:tcW w:w="1350"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6.1 years</w:t>
            </w:r>
          </w:p>
        </w:tc>
        <w:tc>
          <w:tcPr>
            <w:tcW w:w="1800"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 xml:space="preserve">weighted average inflation rate = 7.8 per cent </w:t>
            </w:r>
            <w:r w:rsidRPr="00894AB1">
              <w:rPr>
                <w:color w:val="auto"/>
                <w:sz w:val="21"/>
              </w:rPr>
              <w:br/>
            </w:r>
            <w:r w:rsidRPr="00894AB1">
              <w:rPr>
                <w:color w:val="auto"/>
                <w:sz w:val="21"/>
              </w:rPr>
              <w:br/>
              <w:t>weighted average discount rate = 3.0 per cent</w:t>
            </w:r>
          </w:p>
        </w:tc>
        <w:tc>
          <w:tcPr>
            <w:tcW w:w="1710"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 xml:space="preserve">weighted average inflation rate = 7.8 per cent </w:t>
            </w:r>
            <w:r w:rsidRPr="00894AB1">
              <w:rPr>
                <w:color w:val="auto"/>
                <w:sz w:val="21"/>
              </w:rPr>
              <w:br/>
            </w:r>
            <w:r w:rsidRPr="00894AB1">
              <w:rPr>
                <w:color w:val="auto"/>
                <w:sz w:val="21"/>
              </w:rPr>
              <w:br/>
              <w:t>weighted average discount rate = 3.0 per cent</w:t>
            </w:r>
          </w:p>
        </w:tc>
        <w:tc>
          <w:tcPr>
            <w:tcW w:w="1534"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11.2 per cent of the net central estimate of outstanding claims liability and claims handling expense</w:t>
            </w:r>
            <w:r w:rsidRPr="00894AB1">
              <w:rPr>
                <w:rFonts w:cs="Calibri"/>
                <w:color w:val="auto"/>
                <w:szCs w:val="22"/>
              </w:rPr>
              <w:t xml:space="preserve"> </w:t>
            </w:r>
          </w:p>
        </w:tc>
      </w:tr>
      <w:tr w:rsidR="000B4A1E" w:rsidRPr="00894AB1" w:rsidTr="00517E51">
        <w:trPr>
          <w:divId w:val="838541901"/>
        </w:trPr>
        <w:tc>
          <w:tcPr>
            <w:tcW w:w="1274"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Victorian Managed Insurance Authority</w:t>
            </w:r>
          </w:p>
        </w:tc>
        <w:tc>
          <w:tcPr>
            <w:tcW w:w="1980"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Finity Consulting Pty Ltd</w:t>
            </w:r>
            <w:r w:rsidRPr="00894AB1">
              <w:rPr>
                <w:color w:val="auto"/>
                <w:sz w:val="21"/>
              </w:rPr>
              <w:br/>
              <w:t>(General Government Program)</w:t>
            </w:r>
          </w:p>
        </w:tc>
        <w:tc>
          <w:tcPr>
            <w:tcW w:w="1350"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1.8 years</w:t>
            </w:r>
          </w:p>
        </w:tc>
        <w:tc>
          <w:tcPr>
            <w:tcW w:w="1800"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 xml:space="preserve">weighted average inflation rate = 3.8 per cent </w:t>
            </w:r>
            <w:r w:rsidRPr="00894AB1">
              <w:rPr>
                <w:color w:val="auto"/>
                <w:sz w:val="21"/>
              </w:rPr>
              <w:br/>
            </w:r>
            <w:r w:rsidRPr="00894AB1">
              <w:rPr>
                <w:color w:val="auto"/>
                <w:sz w:val="21"/>
              </w:rPr>
              <w:br/>
              <w:t>weighted average discount rate = 2.8 per cent</w:t>
            </w:r>
          </w:p>
        </w:tc>
        <w:tc>
          <w:tcPr>
            <w:tcW w:w="1710"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 xml:space="preserve">weighted average inflation rate = 3.8 per cent </w:t>
            </w:r>
            <w:r w:rsidRPr="00894AB1">
              <w:rPr>
                <w:color w:val="auto"/>
                <w:sz w:val="21"/>
              </w:rPr>
              <w:br/>
            </w:r>
            <w:r w:rsidRPr="00894AB1">
              <w:rPr>
                <w:color w:val="auto"/>
                <w:sz w:val="21"/>
              </w:rPr>
              <w:br/>
              <w:t>weighted average discount rate = 2.8 per cent</w:t>
            </w:r>
          </w:p>
        </w:tc>
        <w:tc>
          <w:tcPr>
            <w:tcW w:w="1534"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21.5 per cent of the net central estimate of outstanding claims liability and claims handling expense</w:t>
            </w:r>
            <w:r w:rsidRPr="00894AB1">
              <w:rPr>
                <w:rFonts w:cs="Calibri"/>
                <w:color w:val="auto"/>
                <w:szCs w:val="22"/>
              </w:rPr>
              <w:t xml:space="preserve"> </w:t>
            </w:r>
          </w:p>
        </w:tc>
      </w:tr>
      <w:tr w:rsidR="000B4A1E" w:rsidRPr="00894AB1" w:rsidTr="00517E51">
        <w:trPr>
          <w:divId w:val="838541901"/>
        </w:trPr>
        <w:tc>
          <w:tcPr>
            <w:tcW w:w="1274"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 xml:space="preserve">Victorian Managed Insurance Authority </w:t>
            </w:r>
          </w:p>
        </w:tc>
        <w:tc>
          <w:tcPr>
            <w:tcW w:w="1980"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 xml:space="preserve">Finity Consulting Pty Ltd </w:t>
            </w:r>
            <w:r w:rsidRPr="00894AB1">
              <w:rPr>
                <w:color w:val="auto"/>
                <w:sz w:val="21"/>
              </w:rPr>
              <w:br/>
              <w:t xml:space="preserve">(Dust Diseases </w:t>
            </w:r>
            <w:r>
              <w:rPr>
                <w:color w:val="auto"/>
                <w:sz w:val="21"/>
              </w:rPr>
              <w:t>and</w:t>
            </w:r>
            <w:r w:rsidRPr="00894AB1">
              <w:rPr>
                <w:color w:val="auto"/>
                <w:sz w:val="21"/>
              </w:rPr>
              <w:t xml:space="preserve"> Workers Compensation or Run-off Program) </w:t>
            </w:r>
          </w:p>
        </w:tc>
        <w:tc>
          <w:tcPr>
            <w:tcW w:w="1350"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12.8 years</w:t>
            </w:r>
          </w:p>
        </w:tc>
        <w:tc>
          <w:tcPr>
            <w:tcW w:w="1800"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 xml:space="preserve">weighted average inflation rate = 5.8 per cent </w:t>
            </w:r>
            <w:r w:rsidRPr="00894AB1">
              <w:rPr>
                <w:color w:val="auto"/>
                <w:sz w:val="21"/>
              </w:rPr>
              <w:br/>
            </w:r>
            <w:r w:rsidRPr="00894AB1">
              <w:rPr>
                <w:color w:val="auto"/>
                <w:sz w:val="21"/>
              </w:rPr>
              <w:br/>
              <w:t>weighted average discount rate = 4.00 per cent</w:t>
            </w:r>
          </w:p>
        </w:tc>
        <w:tc>
          <w:tcPr>
            <w:tcW w:w="1710"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 xml:space="preserve">weighted average inflation rate = 5.8 per cent </w:t>
            </w:r>
            <w:r w:rsidRPr="00894AB1">
              <w:rPr>
                <w:color w:val="auto"/>
                <w:sz w:val="21"/>
              </w:rPr>
              <w:br/>
            </w:r>
            <w:r w:rsidRPr="00894AB1">
              <w:rPr>
                <w:color w:val="auto"/>
                <w:sz w:val="21"/>
              </w:rPr>
              <w:br/>
              <w:t>weighted average discount rate = 4.00 per cent</w:t>
            </w:r>
          </w:p>
        </w:tc>
        <w:tc>
          <w:tcPr>
            <w:tcW w:w="1534" w:type="dxa"/>
            <w:tcBorders>
              <w:top w:val="nil"/>
              <w:left w:val="nil"/>
              <w:bottom w:val="single" w:sz="4"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28.5 per cent of the net central estimate of outstanding claims liability and claims handling expense</w:t>
            </w:r>
            <w:r w:rsidRPr="00894AB1">
              <w:rPr>
                <w:rFonts w:cs="Calibri"/>
                <w:color w:val="auto"/>
                <w:szCs w:val="22"/>
              </w:rPr>
              <w:t xml:space="preserve"> </w:t>
            </w:r>
          </w:p>
        </w:tc>
      </w:tr>
      <w:tr w:rsidR="000B4A1E" w:rsidRPr="00894AB1" w:rsidTr="00517E51">
        <w:trPr>
          <w:divId w:val="838541901"/>
        </w:trPr>
        <w:tc>
          <w:tcPr>
            <w:tcW w:w="1274" w:type="dxa"/>
            <w:tcBorders>
              <w:top w:val="single" w:sz="4" w:space="0" w:color="auto"/>
              <w:left w:val="nil"/>
              <w:bottom w:val="single" w:sz="12"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 xml:space="preserve">Victorian Managed Insurance Authority </w:t>
            </w:r>
          </w:p>
        </w:tc>
        <w:tc>
          <w:tcPr>
            <w:tcW w:w="1980" w:type="dxa"/>
            <w:tcBorders>
              <w:top w:val="single" w:sz="4" w:space="0" w:color="auto"/>
              <w:left w:val="nil"/>
              <w:bottom w:val="single" w:sz="12"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 xml:space="preserve">Finity Consulting Pty Ltd </w:t>
            </w:r>
            <w:r w:rsidRPr="00894AB1">
              <w:rPr>
                <w:color w:val="auto"/>
                <w:sz w:val="21"/>
              </w:rPr>
              <w:br/>
              <w:t xml:space="preserve">(Domestic Building Insurance Program) </w:t>
            </w:r>
          </w:p>
        </w:tc>
        <w:tc>
          <w:tcPr>
            <w:tcW w:w="1350" w:type="dxa"/>
            <w:tcBorders>
              <w:top w:val="single" w:sz="4" w:space="0" w:color="auto"/>
              <w:left w:val="nil"/>
              <w:bottom w:val="single" w:sz="12" w:space="0" w:color="auto"/>
              <w:right w:val="nil"/>
            </w:tcBorders>
            <w:shd w:val="clear" w:color="000000" w:fill="FFFFFF"/>
            <w:hideMark/>
          </w:tcPr>
          <w:p w:rsidR="000B4A1E" w:rsidRPr="00894AB1" w:rsidRDefault="000B4A1E" w:rsidP="00517E51">
            <w:pPr>
              <w:pStyle w:val="TableTextnoindent"/>
              <w:rPr>
                <w:color w:val="auto"/>
                <w:sz w:val="21"/>
              </w:rPr>
            </w:pPr>
            <w:r w:rsidRPr="00894AB1">
              <w:rPr>
                <w:color w:val="auto"/>
                <w:sz w:val="21"/>
              </w:rPr>
              <w:t>4.5 years</w:t>
            </w:r>
          </w:p>
        </w:tc>
        <w:tc>
          <w:tcPr>
            <w:tcW w:w="1800" w:type="dxa"/>
            <w:tcBorders>
              <w:top w:val="single" w:sz="4" w:space="0" w:color="auto"/>
              <w:left w:val="nil"/>
              <w:bottom w:val="single" w:sz="12"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 xml:space="preserve">weighted average inflation rate = 3.8 per cent </w:t>
            </w:r>
            <w:r w:rsidRPr="00894AB1">
              <w:rPr>
                <w:color w:val="auto"/>
                <w:sz w:val="21"/>
              </w:rPr>
              <w:br/>
            </w:r>
            <w:r w:rsidRPr="00894AB1">
              <w:rPr>
                <w:color w:val="auto"/>
                <w:sz w:val="21"/>
              </w:rPr>
              <w:br/>
              <w:t>weighted average discount rate = 2.8 per cent</w:t>
            </w:r>
          </w:p>
        </w:tc>
        <w:tc>
          <w:tcPr>
            <w:tcW w:w="1710" w:type="dxa"/>
            <w:tcBorders>
              <w:top w:val="single" w:sz="4" w:space="0" w:color="auto"/>
              <w:left w:val="nil"/>
              <w:bottom w:val="single" w:sz="12"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 xml:space="preserve">weighted average inflation rate = 3.8 per cent </w:t>
            </w:r>
            <w:r w:rsidRPr="00894AB1">
              <w:rPr>
                <w:color w:val="auto"/>
                <w:sz w:val="21"/>
              </w:rPr>
              <w:br/>
            </w:r>
            <w:r w:rsidRPr="00894AB1">
              <w:rPr>
                <w:color w:val="auto"/>
                <w:sz w:val="21"/>
              </w:rPr>
              <w:br/>
              <w:t>weighted average discount rate = 2.8 per cent</w:t>
            </w:r>
          </w:p>
        </w:tc>
        <w:tc>
          <w:tcPr>
            <w:tcW w:w="1534" w:type="dxa"/>
            <w:tcBorders>
              <w:top w:val="single" w:sz="4" w:space="0" w:color="auto"/>
              <w:left w:val="nil"/>
              <w:bottom w:val="single" w:sz="12" w:space="0" w:color="auto"/>
              <w:right w:val="nil"/>
            </w:tcBorders>
            <w:shd w:val="clear" w:color="000000" w:fill="FFFFFF"/>
            <w:hideMark/>
          </w:tcPr>
          <w:p w:rsidR="000B4A1E" w:rsidRPr="00894AB1" w:rsidRDefault="000B4A1E" w:rsidP="00517E51">
            <w:pPr>
              <w:pStyle w:val="TableTextnoindent"/>
              <w:rPr>
                <w:rFonts w:cs="Calibri"/>
                <w:color w:val="auto"/>
                <w:szCs w:val="22"/>
              </w:rPr>
            </w:pPr>
            <w:r w:rsidRPr="00894AB1">
              <w:rPr>
                <w:color w:val="auto"/>
                <w:sz w:val="21"/>
              </w:rPr>
              <w:t>23.5 per cent of the net central estimate of outstanding claims liability and claims handling expense</w:t>
            </w:r>
            <w:r w:rsidRPr="00894AB1">
              <w:rPr>
                <w:rFonts w:cs="Calibri"/>
                <w:color w:val="auto"/>
                <w:szCs w:val="22"/>
              </w:rPr>
              <w:t xml:space="preserve"> </w:t>
            </w:r>
          </w:p>
        </w:tc>
      </w:tr>
    </w:tbl>
    <w:bookmarkEnd w:id="82"/>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The inflation rate assumptions are based on the anticipated rise in costs relevant to a particular entity.</w:t>
      </w:r>
    </w:p>
    <w:p w:rsidR="000B4A1E" w:rsidRPr="00D00665" w:rsidRDefault="000B4A1E" w:rsidP="00517E51"/>
    <w:p w:rsidR="000B4A1E" w:rsidRPr="00D00665" w:rsidRDefault="000B4A1E" w:rsidP="00517E51">
      <w:pPr>
        <w:pStyle w:val="Heading2Notes"/>
      </w:pPr>
      <w:r w:rsidRPr="00D00665">
        <w:br w:type="page"/>
      </w:r>
      <w:bookmarkStart w:id="83" w:name="_Toc367947887"/>
      <w:r w:rsidRPr="00D00665">
        <w:lastRenderedPageBreak/>
        <w:t>Note 28:</w:t>
      </w:r>
      <w:r w:rsidRPr="00D00665">
        <w:tab/>
        <w:t>Reserves, accumulated surplus/(deficit) and non</w:t>
      </w:r>
      <w:r w:rsidRPr="00D00665">
        <w:noBreakHyphen/>
        <w:t>controlling interests</w:t>
      </w:r>
      <w:bookmarkEnd w:id="83"/>
    </w:p>
    <w:p w:rsidR="000B4A1E" w:rsidRPr="00D00665" w:rsidRDefault="000B4A1E" w:rsidP="00517E51">
      <w:pPr>
        <w:pStyle w:val="Heading5"/>
      </w:pPr>
      <w:r w:rsidRPr="00D00665">
        <w:t>(a)</w:t>
      </w:r>
      <w:r w:rsidRPr="00D00665">
        <w:tab/>
        <w:t>Reserves</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4033"/>
        <w:gridCol w:w="236"/>
        <w:gridCol w:w="887"/>
        <w:gridCol w:w="1123"/>
        <w:gridCol w:w="236"/>
        <w:gridCol w:w="887"/>
        <w:gridCol w:w="1123"/>
        <w:gridCol w:w="1017"/>
        <w:gridCol w:w="106"/>
      </w:tblGrid>
      <w:tr w:rsidR="000B4A1E" w:rsidRPr="003E2DBE" w:rsidTr="00517E51">
        <w:tc>
          <w:tcPr>
            <w:tcW w:w="4033"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36"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010"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236"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3027" w:type="dxa"/>
            <w:gridSpan w:val="3"/>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cs="Calibri"/>
                <w:iCs/>
                <w:szCs w:val="22"/>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c>
          <w:tcPr>
            <w:tcW w:w="106"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r>
      <w:tr w:rsidR="000B4A1E" w:rsidRPr="003E2DBE" w:rsidTr="00517E51">
        <w:tc>
          <w:tcPr>
            <w:tcW w:w="4033"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i/>
                <w:iCs/>
                <w:lang w:eastAsia="en-AU"/>
              </w:rPr>
            </w:pPr>
            <w:r w:rsidRPr="003E2DBE">
              <w:rPr>
                <w:rFonts w:eastAsiaTheme="minorEastAsia"/>
                <w:i/>
                <w:iCs/>
                <w:lang w:eastAsia="en-AU"/>
              </w:rPr>
              <w:t xml:space="preserve">  </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cs="Calibri"/>
                <w:iCs/>
                <w:color w:val="FFFFFF"/>
                <w:szCs w:val="22"/>
                <w:vertAlign w:val="superscript"/>
                <w:lang w:eastAsia="en-AU"/>
              </w:rPr>
            </w:pPr>
            <w:r w:rsidRPr="003E2DBE">
              <w:rPr>
                <w:rFonts w:eastAsiaTheme="minorEastAsia"/>
                <w:lang w:eastAsia="en-AU"/>
              </w:rPr>
              <w:t>2012</w:t>
            </w:r>
            <w:r>
              <w:rPr>
                <w:rFonts w:eastAsiaTheme="minorEastAsia"/>
                <w:lang w:eastAsia="en-AU"/>
              </w:rPr>
              <w:t xml:space="preserve"> </w:t>
            </w:r>
            <w:r w:rsidRPr="007F2A0B">
              <w:rPr>
                <w:rFonts w:eastAsiaTheme="minorEastAsia"/>
                <w:vertAlign w:val="superscript"/>
                <w:lang w:eastAsia="en-AU"/>
              </w:rPr>
              <w:t>(</w:t>
            </w:r>
            <w:r w:rsidRPr="003E2DBE">
              <w:rPr>
                <w:rFonts w:eastAsiaTheme="minorEastAsia" w:cs="Calibri"/>
                <w:iCs/>
                <w:color w:val="FFFFFF"/>
                <w:szCs w:val="22"/>
                <w:vertAlign w:val="superscript"/>
                <w:lang w:eastAsia="en-AU"/>
              </w:rPr>
              <w:t>a)</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vertAlign w:val="superscript"/>
                <w:lang w:eastAsia="en-AU"/>
              </w:rPr>
            </w:pPr>
            <w:r w:rsidRPr="003E2DBE">
              <w:rPr>
                <w:rFonts w:eastAsiaTheme="minorEastAsia"/>
                <w:lang w:eastAsia="en-AU"/>
              </w:rPr>
              <w:t>2012</w:t>
            </w:r>
            <w:r>
              <w:rPr>
                <w:rFonts w:eastAsiaTheme="minorEastAsia"/>
                <w:lang w:eastAsia="en-AU"/>
              </w:rPr>
              <w:t xml:space="preserve"> </w:t>
            </w:r>
            <w:r w:rsidRPr="003E2DBE">
              <w:rPr>
                <w:rFonts w:eastAsiaTheme="minorEastAsia"/>
                <w:vertAlign w:val="superscript"/>
                <w:lang w:eastAsia="en-AU"/>
              </w:rPr>
              <w:t>(a)</w:t>
            </w:r>
          </w:p>
        </w:tc>
        <w:tc>
          <w:tcPr>
            <w:tcW w:w="1123" w:type="dxa"/>
            <w:gridSpan w:val="2"/>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vertAlign w:val="superscript"/>
                <w:lang w:eastAsia="en-AU"/>
              </w:rPr>
            </w:pPr>
            <w:r w:rsidRPr="003E2DBE">
              <w:rPr>
                <w:rFonts w:eastAsiaTheme="minorEastAsia"/>
                <w:lang w:eastAsia="en-AU"/>
              </w:rPr>
              <w:t>2011</w:t>
            </w:r>
            <w:r>
              <w:rPr>
                <w:rFonts w:eastAsiaTheme="minorEastAsia"/>
                <w:lang w:eastAsia="en-AU"/>
              </w:rPr>
              <w:t xml:space="preserve"> </w:t>
            </w:r>
            <w:r w:rsidRPr="003E2DBE">
              <w:rPr>
                <w:rFonts w:eastAsiaTheme="minorEastAsia"/>
                <w:vertAlign w:val="superscript"/>
                <w:lang w:eastAsia="en-AU"/>
              </w:rPr>
              <w:t>(a)</w:t>
            </w:r>
          </w:p>
        </w:tc>
      </w:tr>
      <w:tr w:rsidR="000B4A1E" w:rsidRPr="003E2DBE" w:rsidTr="00517E51">
        <w:tc>
          <w:tcPr>
            <w:tcW w:w="4033" w:type="dxa"/>
            <w:tcBorders>
              <w:top w:val="single" w:sz="4"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Land, buildings, infrastructure, plant and equipment surplus</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76 364.0</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75 568.6</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37 663.0</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36 962.6</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34 956.4</w:t>
            </w:r>
          </w:p>
        </w:tc>
      </w:tr>
      <w:tr w:rsidR="000B4A1E" w:rsidRPr="003E2DBE" w:rsidTr="00517E51">
        <w:tc>
          <w:tcPr>
            <w:tcW w:w="4033"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Available-for-sale investments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66.2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51.8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38.3</w:t>
            </w:r>
          </w:p>
        </w:tc>
      </w:tr>
      <w:tr w:rsidR="000B4A1E" w:rsidRPr="003E2DBE" w:rsidTr="00517E51">
        <w:tc>
          <w:tcPr>
            <w:tcW w:w="4033"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Revaluation reserve for investments in PFC and PNFC entities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38 148.1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38 958.4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39 658.9</w:t>
            </w:r>
          </w:p>
        </w:tc>
      </w:tr>
      <w:tr w:rsidR="000B4A1E" w:rsidRPr="003E2DBE" w:rsidTr="00517E51">
        <w:tc>
          <w:tcPr>
            <w:tcW w:w="4033"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Other reserves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1 798.9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2 614.6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869.6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961.8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971.8</w:t>
            </w:r>
          </w:p>
        </w:tc>
      </w:tr>
      <w:tr w:rsidR="000B4A1E" w:rsidRPr="003E2DBE" w:rsidTr="00517E51">
        <w:tc>
          <w:tcPr>
            <w:tcW w:w="4033"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reserves</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78 229.1</w:t>
            </w:r>
          </w:p>
        </w:tc>
        <w:tc>
          <w:tcPr>
            <w:tcW w:w="1123"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78 195.6</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76 732.5</w:t>
            </w:r>
          </w:p>
        </w:tc>
        <w:tc>
          <w:tcPr>
            <w:tcW w:w="1123"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76 905.5</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75 625.4</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 xml:space="preserve">Restated balances at 30 June 2012 and 1 July 2011. Refer to Note 36 of the financial statements. </w:t>
      </w:r>
    </w:p>
    <w:p w:rsidR="000B4A1E" w:rsidRPr="00D00665" w:rsidRDefault="000B4A1E" w:rsidP="00517E51">
      <w:pPr>
        <w:pStyle w:val="Tableheading"/>
      </w:pPr>
      <w:r w:rsidRPr="00D00665">
        <w:t>Movements in reserves</w:t>
      </w:r>
    </w:p>
    <w:p w:rsidR="000B4A1E" w:rsidRPr="00D00665" w:rsidRDefault="000B4A1E" w:rsidP="00517E51">
      <w:pPr>
        <w:pStyle w:val="Heading5a"/>
      </w:pPr>
      <w:r w:rsidRPr="00D00665">
        <w:t>Property, plant and equipment revaluation surplus</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865"/>
        <w:gridCol w:w="1123"/>
        <w:gridCol w:w="262"/>
        <w:gridCol w:w="861"/>
        <w:gridCol w:w="1123"/>
      </w:tblGrid>
      <w:tr w:rsidR="000B4A1E" w:rsidRPr="003E2DBE" w:rsidTr="00517E51">
        <w:tc>
          <w:tcPr>
            <w:tcW w:w="5156" w:type="dxa"/>
            <w:tcBorders>
              <w:top w:val="single" w:sz="6" w:space="0" w:color="auto"/>
              <w:left w:val="single" w:sz="6"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58"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8" w:type="dxa"/>
            <w:gridSpan w:val="2"/>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262"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2"/>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r>
      <w:tr w:rsidR="000B4A1E" w:rsidRPr="003E2DBE" w:rsidTr="00517E51">
        <w:tc>
          <w:tcPr>
            <w:tcW w:w="5156" w:type="dxa"/>
            <w:tcBorders>
              <w:top w:val="nil"/>
              <w:left w:val="single" w:sz="6"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cs="Calibri"/>
                <w:iCs/>
                <w:color w:val="FFFFFF"/>
                <w:szCs w:val="22"/>
                <w:vertAlign w:val="superscript"/>
                <w:lang w:eastAsia="en-AU"/>
              </w:rPr>
            </w:pPr>
            <w:r w:rsidRPr="003E2DBE">
              <w:rPr>
                <w:rFonts w:eastAsiaTheme="minorEastAsia"/>
                <w:lang w:eastAsia="en-AU"/>
              </w:rPr>
              <w:t xml:space="preserve">2012 </w:t>
            </w:r>
            <w:r w:rsidRPr="003E2DBE">
              <w:rPr>
                <w:rFonts w:eastAsiaTheme="minorEastAsia" w:cs="Calibri"/>
                <w:iCs/>
                <w:color w:val="FFFFFF"/>
                <w:szCs w:val="22"/>
                <w:vertAlign w:val="superscript"/>
                <w:lang w:eastAsia="en-AU"/>
              </w:rPr>
              <w:t>(a)</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6" w:space="0" w:color="auto"/>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Balance at beginning of reporting period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75 568.6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73 538.7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36 962.6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34 956.4</w:t>
            </w:r>
          </w:p>
        </w:tc>
      </w:tr>
      <w:tr w:rsidR="000B4A1E" w:rsidRPr="003E2DBE" w:rsidTr="00517E51">
        <w:tc>
          <w:tcPr>
            <w:tcW w:w="5156" w:type="dxa"/>
            <w:tcBorders>
              <w:top w:val="nil"/>
              <w:left w:val="nil"/>
              <w:bottom w:val="nil"/>
              <w:right w:val="nil"/>
            </w:tcBorders>
            <w:shd w:val="solid" w:color="FFFFFF" w:fill="auto"/>
          </w:tcPr>
          <w:p w:rsidR="000B4A1E" w:rsidRPr="003E2DBE" w:rsidRDefault="000B4A1E" w:rsidP="00517E51">
            <w:pPr>
              <w:pStyle w:val="Tabletext"/>
              <w:rPr>
                <w:rFonts w:eastAsiaTheme="minorEastAsia"/>
                <w:lang w:eastAsia="en-AU"/>
              </w:rPr>
            </w:pPr>
            <w:r w:rsidRPr="003E2DBE">
              <w:rPr>
                <w:rFonts w:eastAsiaTheme="minorEastAsia"/>
                <w:lang w:eastAsia="en-AU"/>
              </w:rPr>
              <w:t>Revaluation – associate</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84.4</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278.9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Revaluation – other</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711.0</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1 751.1</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700.5</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2 006.2</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Balance at the end of the reporting period</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76 364.0</w:t>
            </w:r>
          </w:p>
        </w:tc>
        <w:tc>
          <w:tcPr>
            <w:tcW w:w="1123"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75 568.6</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37 663.0</w:t>
            </w:r>
          </w:p>
        </w:tc>
        <w:tc>
          <w:tcPr>
            <w:tcW w:w="1123"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36 962.6</w:t>
            </w:r>
          </w:p>
        </w:tc>
      </w:tr>
    </w:tbl>
    <w:p w:rsidR="000B4A1E" w:rsidRPr="00D00665" w:rsidRDefault="000B4A1E" w:rsidP="00517E51">
      <w:pPr>
        <w:pStyle w:val="Notes"/>
      </w:pPr>
      <w:r w:rsidRPr="00D00665">
        <w:t xml:space="preserve"> Note:</w:t>
      </w:r>
    </w:p>
    <w:p w:rsidR="000B4A1E" w:rsidRPr="00D00665" w:rsidRDefault="000B4A1E" w:rsidP="00517E51">
      <w:pPr>
        <w:pStyle w:val="Notes"/>
      </w:pPr>
      <w:r w:rsidRPr="00D00665">
        <w:t>(a)</w:t>
      </w:r>
      <w:r w:rsidRPr="00D00665">
        <w:tab/>
        <w:t>Restated balances at 30 June 2012 and 1 July 2011. Refer to Note 36 of the financial statements.</w:t>
      </w:r>
    </w:p>
    <w:p w:rsidR="000B4A1E" w:rsidRPr="00D00665" w:rsidRDefault="000B4A1E" w:rsidP="00517E51"/>
    <w:p w:rsidR="000B4A1E" w:rsidRPr="00D00665" w:rsidRDefault="000B4A1E" w:rsidP="00517E51">
      <w:pPr>
        <w:pStyle w:val="Heading5a"/>
      </w:pPr>
      <w:r w:rsidRPr="00D00665">
        <w:t>Available</w:t>
      </w:r>
      <w:r w:rsidRPr="00D00665">
        <w:noBreakHyphen/>
        <w:t>for</w:t>
      </w:r>
      <w:r w:rsidRPr="00D00665">
        <w:noBreakHyphen/>
        <w:t>sale investments revaluation surplus</w:t>
      </w:r>
    </w:p>
    <w:p w:rsidR="000B4A1E" w:rsidRPr="003E2DBE" w:rsidRDefault="000B4A1E" w:rsidP="00517E51">
      <w:pPr>
        <w:pStyle w:val="million"/>
      </w:pPr>
      <w:r w:rsidRPr="00D00665">
        <w:t>($</w:t>
      </w:r>
      <w:r>
        <w:t> million</w:t>
      </w:r>
      <w:r w:rsidRPr="00D00665">
        <w:t>)</w:t>
      </w:r>
      <w:bookmarkStart w:id="84" w:name="RANGE!E57:I62"/>
      <w:bookmarkStart w:id="85" w:name="RANGE!E59:I64"/>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397777854"/>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397777854"/>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39777785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Balance at beginning of reporting period</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12.4</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41.2</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22.7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38.3</w:t>
            </w:r>
          </w:p>
        </w:tc>
      </w:tr>
      <w:tr w:rsidR="000B4A1E" w:rsidRPr="003E2DBE" w:rsidTr="00517E51">
        <w:trPr>
          <w:divId w:val="1397777854"/>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Revaluation</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55.0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27.0)</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30.2</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13.8)</w:t>
            </w:r>
          </w:p>
        </w:tc>
      </w:tr>
      <w:tr w:rsidR="000B4A1E" w:rsidRPr="003E2DBE" w:rsidTr="00517E51">
        <w:trPr>
          <w:divId w:val="1397777854"/>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Transferred to profit or loss for the period</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1.2)</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1.8)</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1.1)</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1.8)</w:t>
            </w:r>
          </w:p>
        </w:tc>
      </w:tr>
      <w:tr w:rsidR="000B4A1E" w:rsidRPr="003E2DBE" w:rsidTr="00517E51">
        <w:trPr>
          <w:divId w:val="1397777854"/>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Balance at the end of the reporting period</w:t>
            </w:r>
          </w:p>
        </w:tc>
        <w:tc>
          <w:tcPr>
            <w:tcW w:w="1123" w:type="dxa"/>
            <w:gridSpan w:val="2"/>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66.2</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12.4</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51.8</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22.7</w:t>
            </w:r>
          </w:p>
        </w:tc>
      </w:tr>
      <w:bookmarkEnd w:id="84"/>
      <w:bookmarkEnd w:id="85"/>
    </w:tbl>
    <w:p w:rsidR="000B4A1E" w:rsidRPr="00D00665" w:rsidRDefault="000B4A1E" w:rsidP="00517E51"/>
    <w:p w:rsidR="000B4A1E" w:rsidRPr="00D00665" w:rsidRDefault="000B4A1E" w:rsidP="00517E51">
      <w:pPr>
        <w:pStyle w:val="Heading5a"/>
      </w:pPr>
      <w:r w:rsidRPr="00D00665">
        <w:t>Revaluation surplus for investments in PFC and PNFC</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4033"/>
        <w:gridCol w:w="121"/>
        <w:gridCol w:w="1002"/>
        <w:gridCol w:w="1123"/>
        <w:gridCol w:w="125"/>
        <w:gridCol w:w="998"/>
        <w:gridCol w:w="1123"/>
        <w:gridCol w:w="1017"/>
        <w:gridCol w:w="106"/>
      </w:tblGrid>
      <w:tr w:rsidR="000B4A1E" w:rsidRPr="003E2DBE" w:rsidTr="00517E51">
        <w:tc>
          <w:tcPr>
            <w:tcW w:w="4033"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21"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125"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State of </w:t>
            </w:r>
            <w:r w:rsidRPr="003E2DBE">
              <w:t>Victoria</w:t>
            </w:r>
          </w:p>
        </w:tc>
        <w:tc>
          <w:tcPr>
            <w:tcW w:w="125"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3138" w:type="dxa"/>
            <w:gridSpan w:val="3"/>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cs="Calibri"/>
                <w:iCs/>
                <w:szCs w:val="22"/>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cs="Calibri"/>
                <w:iCs/>
                <w:szCs w:val="22"/>
                <w:lang w:eastAsia="en-AU"/>
              </w:rPr>
            </w:pPr>
            <w:r w:rsidRPr="003E2DBE">
              <w:rPr>
                <w:rFonts w:eastAsiaTheme="minorEastAsia" w:cs="Calibri"/>
                <w:iCs/>
                <w:szCs w:val="22"/>
                <w:lang w:eastAsia="en-AU"/>
              </w:rPr>
              <w:t>government sector</w:t>
            </w:r>
          </w:p>
        </w:tc>
        <w:tc>
          <w:tcPr>
            <w:tcW w:w="106"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r>
      <w:tr w:rsidR="000B4A1E" w:rsidRPr="003E2DBE" w:rsidTr="00517E51">
        <w:tc>
          <w:tcPr>
            <w:tcW w:w="4033"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vertAlign w:val="superscript"/>
                <w:lang w:eastAsia="en-AU"/>
              </w:rPr>
            </w:pPr>
            <w:r w:rsidRPr="003E2DBE">
              <w:rPr>
                <w:rFonts w:eastAsiaTheme="minorEastAsia"/>
                <w:lang w:eastAsia="en-AU"/>
              </w:rPr>
              <w:t>2012</w:t>
            </w:r>
            <w:r>
              <w:rPr>
                <w:rFonts w:eastAsiaTheme="minorEastAsia"/>
                <w:lang w:eastAsia="en-AU"/>
              </w:rPr>
              <w:t xml:space="preserve"> </w:t>
            </w:r>
            <w:r w:rsidRPr="003E2DBE">
              <w:rPr>
                <w:rFonts w:eastAsiaTheme="minorEastAsia"/>
                <w:vertAlign w:val="superscript"/>
                <w:lang w:eastAsia="en-AU"/>
              </w:rPr>
              <w:t>(a)</w:t>
            </w:r>
          </w:p>
        </w:tc>
        <w:tc>
          <w:tcPr>
            <w:tcW w:w="1123" w:type="dxa"/>
            <w:gridSpan w:val="2"/>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vertAlign w:val="superscript"/>
                <w:lang w:eastAsia="en-AU"/>
              </w:rPr>
            </w:pPr>
            <w:r w:rsidRPr="003E2DBE">
              <w:rPr>
                <w:rFonts w:eastAsiaTheme="minorEastAsia"/>
                <w:lang w:eastAsia="en-AU"/>
              </w:rPr>
              <w:t>2011</w:t>
            </w:r>
            <w:r>
              <w:rPr>
                <w:rFonts w:eastAsiaTheme="minorEastAsia"/>
                <w:lang w:eastAsia="en-AU"/>
              </w:rPr>
              <w:t xml:space="preserve"> </w:t>
            </w:r>
            <w:r w:rsidRPr="003E2DBE">
              <w:rPr>
                <w:rFonts w:eastAsiaTheme="minorEastAsia"/>
                <w:vertAlign w:val="superscript"/>
                <w:lang w:eastAsia="en-AU"/>
              </w:rPr>
              <w:t>(a)</w:t>
            </w:r>
          </w:p>
        </w:tc>
      </w:tr>
      <w:tr w:rsidR="000B4A1E" w:rsidRPr="003E2DBE" w:rsidTr="00517E51">
        <w:tc>
          <w:tcPr>
            <w:tcW w:w="4033" w:type="dxa"/>
            <w:tcBorders>
              <w:top w:val="single" w:sz="4"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Balance at beginning of reporting period</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38 958.4</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39 658.9</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36 063.2</w:t>
            </w:r>
          </w:p>
        </w:tc>
      </w:tr>
      <w:tr w:rsidR="000B4A1E" w:rsidRPr="003E2DBE" w:rsidTr="00517E51">
        <w:tc>
          <w:tcPr>
            <w:tcW w:w="4033"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Revaluation – PFC entities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897.0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( 81.3)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710.4</w:t>
            </w:r>
          </w:p>
        </w:tc>
      </w:tr>
      <w:tr w:rsidR="000B4A1E" w:rsidRPr="003E2DBE" w:rsidTr="00517E51">
        <w:tc>
          <w:tcPr>
            <w:tcW w:w="4033"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Revaluation – PNFC entities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(1 707.3)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( 619.2)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2 885.3</w:t>
            </w:r>
          </w:p>
        </w:tc>
      </w:tr>
      <w:tr w:rsidR="000B4A1E" w:rsidRPr="003E2DBE" w:rsidTr="00517E51">
        <w:tc>
          <w:tcPr>
            <w:tcW w:w="4033"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Balance at the end of the reporting period</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w:t>
            </w:r>
          </w:p>
        </w:tc>
        <w:tc>
          <w:tcPr>
            <w:tcW w:w="1123"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38 148.1</w:t>
            </w:r>
          </w:p>
        </w:tc>
        <w:tc>
          <w:tcPr>
            <w:tcW w:w="1123"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38 958.4</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39 658.9</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 xml:space="preserve">Restated balances at 30 June 2012 and 1 July 2011. Refer to Note 36 of the financial statements. </w:t>
      </w:r>
    </w:p>
    <w:p w:rsidR="000B4A1E" w:rsidRPr="0051380F" w:rsidRDefault="000B4A1E" w:rsidP="00517E51">
      <w:pPr>
        <w:pStyle w:val="Heading2Notes"/>
        <w:rPr>
          <w:i/>
        </w:rPr>
      </w:pPr>
      <w:r w:rsidRPr="00D00665">
        <w:lastRenderedPageBreak/>
        <w:t>Note 28:</w:t>
      </w:r>
      <w:r w:rsidRPr="00D00665">
        <w:tab/>
        <w:t>Reserves, accumulated surplus/(deficit) and non</w:t>
      </w:r>
      <w:r w:rsidRPr="00D00665">
        <w:noBreakHyphen/>
        <w:t>controlling interests</w:t>
      </w:r>
      <w:r>
        <w:t xml:space="preserve"> </w:t>
      </w:r>
      <w:r>
        <w:rPr>
          <w:i/>
        </w:rPr>
        <w:t>(continued)</w:t>
      </w:r>
    </w:p>
    <w:p w:rsidR="000B4A1E" w:rsidRDefault="000B4A1E" w:rsidP="00517E51"/>
    <w:p w:rsidR="000B4A1E" w:rsidRPr="00D00665" w:rsidRDefault="000B4A1E" w:rsidP="00517E51">
      <w:pPr>
        <w:pStyle w:val="Heading5a"/>
      </w:pPr>
      <w:r w:rsidRPr="00D00665">
        <w:t>Other reserves</w:t>
      </w:r>
    </w:p>
    <w:p w:rsidR="000B4A1E" w:rsidRPr="003E2DBE" w:rsidRDefault="000B4A1E" w:rsidP="00517E51">
      <w:pPr>
        <w:pStyle w:val="million"/>
      </w:pPr>
      <w:r w:rsidRPr="00D00665">
        <w:t>($</w:t>
      </w:r>
      <w:r>
        <w:t> million</w:t>
      </w:r>
      <w:r w:rsidRPr="00D00665">
        <w:t>)</w:t>
      </w:r>
      <w:bookmarkStart w:id="86" w:name="RANGE!E84:I88"/>
      <w:bookmarkStart w:id="87" w:name="RANGE!E86:I90"/>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748571487"/>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748571487"/>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748571487"/>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Balance at beginning of reporting period</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614.6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605.6</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961.8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971.8</w:t>
            </w:r>
          </w:p>
        </w:tc>
      </w:tr>
      <w:tr w:rsidR="000B4A1E" w:rsidRPr="003E2DBE" w:rsidTr="00517E51">
        <w:trPr>
          <w:divId w:val="1748571487"/>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Transfers to/(from) accumulated surplus</w:t>
            </w:r>
          </w:p>
        </w:tc>
        <w:tc>
          <w:tcPr>
            <w:tcW w:w="1123" w:type="dxa"/>
            <w:gridSpan w:val="2"/>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815.7)</w:t>
            </w:r>
          </w:p>
        </w:tc>
        <w:tc>
          <w:tcPr>
            <w:tcW w:w="1123"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9.0</w:t>
            </w:r>
          </w:p>
        </w:tc>
        <w:tc>
          <w:tcPr>
            <w:tcW w:w="1123" w:type="dxa"/>
            <w:gridSpan w:val="2"/>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92.2)</w:t>
            </w:r>
          </w:p>
        </w:tc>
        <w:tc>
          <w:tcPr>
            <w:tcW w:w="1123"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10.0)</w:t>
            </w:r>
          </w:p>
        </w:tc>
      </w:tr>
      <w:tr w:rsidR="000B4A1E" w:rsidRPr="003E2DBE" w:rsidTr="00517E51">
        <w:trPr>
          <w:divId w:val="1748571487"/>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Balance at the end of the reporting period</w:t>
            </w:r>
          </w:p>
        </w:tc>
        <w:tc>
          <w:tcPr>
            <w:tcW w:w="1123" w:type="dxa"/>
            <w:gridSpan w:val="2"/>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798.9</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614.6</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869.6</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961.8</w:t>
            </w:r>
          </w:p>
        </w:tc>
      </w:tr>
      <w:bookmarkEnd w:id="86"/>
      <w:bookmarkEnd w:id="87"/>
    </w:tbl>
    <w:p w:rsidR="000B4A1E" w:rsidRPr="00D00665" w:rsidRDefault="000B4A1E" w:rsidP="00517E51"/>
    <w:p w:rsidR="000B4A1E" w:rsidRPr="00D00665" w:rsidRDefault="000B4A1E" w:rsidP="00517E51">
      <w:pPr>
        <w:pStyle w:val="Heading5"/>
      </w:pPr>
      <w:r w:rsidRPr="00D00665">
        <w:t>(b)</w:t>
      </w:r>
      <w:r w:rsidRPr="00D00665">
        <w:tab/>
        <w:t>Accumulated surplus/(deficit)</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865"/>
        <w:gridCol w:w="1123"/>
        <w:gridCol w:w="262"/>
        <w:gridCol w:w="861"/>
        <w:gridCol w:w="1123"/>
      </w:tblGrid>
      <w:tr w:rsidR="000B4A1E" w:rsidRPr="003E2DBE" w:rsidTr="00517E51">
        <w:tc>
          <w:tcPr>
            <w:tcW w:w="5156" w:type="dxa"/>
            <w:tcBorders>
              <w:top w:val="single" w:sz="6" w:space="0" w:color="auto"/>
              <w:left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58"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8" w:type="dxa"/>
            <w:gridSpan w:val="2"/>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c>
          <w:tcPr>
            <w:tcW w:w="262"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2"/>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r>
      <w:tr w:rsidR="000B4A1E" w:rsidRPr="003E2DBE" w:rsidTr="00517E51">
        <w:tc>
          <w:tcPr>
            <w:tcW w:w="5156" w:type="dxa"/>
            <w:tcBorders>
              <w:left w:val="single" w:sz="6" w:space="0" w:color="auto"/>
              <w:bottom w:val="single" w:sz="6" w:space="0" w:color="auto"/>
              <w:right w:val="nil"/>
            </w:tcBorders>
            <w:shd w:val="clear" w:color="auto" w:fill="000000"/>
          </w:tcPr>
          <w:p w:rsidR="000B4A1E" w:rsidRPr="003E2DBE" w:rsidRDefault="000B4A1E" w:rsidP="00517E51">
            <w:pPr>
              <w:pStyle w:val="Tabletext"/>
              <w:rPr>
                <w:rFonts w:eastAsiaTheme="minorEastAsia"/>
                <w:i/>
                <w:iCs/>
                <w:lang w:eastAsia="en-AU"/>
              </w:rPr>
            </w:pPr>
            <w:r w:rsidRPr="003E2DBE">
              <w:rPr>
                <w:rFonts w:eastAsiaTheme="minorEastAsia"/>
                <w:i/>
                <w:iCs/>
                <w:lang w:eastAsia="en-AU"/>
              </w:rPr>
              <w:t xml:space="preserve"> </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cs="Calibri"/>
                <w:iCs/>
                <w:color w:val="FFFFFF"/>
                <w:szCs w:val="22"/>
                <w:vertAlign w:val="superscript"/>
                <w:lang w:eastAsia="en-AU"/>
              </w:rPr>
            </w:pPr>
            <w:r w:rsidRPr="003E2DBE">
              <w:rPr>
                <w:rFonts w:eastAsiaTheme="minorEastAsia"/>
                <w:lang w:eastAsia="en-AU"/>
              </w:rPr>
              <w:t xml:space="preserve">2012 </w:t>
            </w:r>
            <w:r w:rsidRPr="003E2DBE">
              <w:rPr>
                <w:rFonts w:eastAsiaTheme="minorEastAsia" w:cs="Calibri"/>
                <w:iCs/>
                <w:color w:val="FFFFFF"/>
                <w:szCs w:val="22"/>
                <w:vertAlign w:val="superscript"/>
                <w:lang w:eastAsia="en-AU"/>
              </w:rPr>
              <w:t>(a)</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6" w:space="0" w:color="auto"/>
              <w:right w:val="single" w:sz="6" w:space="0" w:color="auto"/>
            </w:tcBorders>
            <w:shd w:val="clear" w:color="auto" w:fill="000000"/>
          </w:tcPr>
          <w:p w:rsidR="000B4A1E" w:rsidRPr="003E2DBE" w:rsidRDefault="000B4A1E" w:rsidP="00517E51">
            <w:pPr>
              <w:pStyle w:val="Tabletextheading"/>
              <w:rPr>
                <w:rFonts w:eastAsiaTheme="minorEastAsia" w:cs="Calibri"/>
                <w:iCs/>
                <w:color w:val="FFFFFF"/>
                <w:szCs w:val="22"/>
                <w:vertAlign w:val="superscript"/>
                <w:lang w:eastAsia="en-AU"/>
              </w:rPr>
            </w:pPr>
            <w:r w:rsidRPr="003E2DBE">
              <w:rPr>
                <w:rFonts w:eastAsiaTheme="minorEastAsia"/>
                <w:lang w:eastAsia="en-AU"/>
              </w:rPr>
              <w:t xml:space="preserve">2012 </w:t>
            </w:r>
            <w:r w:rsidRPr="003E2DBE">
              <w:rPr>
                <w:rFonts w:eastAsiaTheme="minorEastAsia" w:cs="Calibri"/>
                <w:iCs/>
                <w:color w:val="FFFFFF"/>
                <w:szCs w:val="22"/>
                <w:vertAlign w:val="superscript"/>
                <w:lang w:eastAsia="en-AU"/>
              </w:rPr>
              <w:t>(a)</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Balance at beginning of reporting period</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34 612.0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50 364.5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34 808.2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44 048.9</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Net result for the period</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9 525.8</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(15 </w:t>
            </w:r>
            <w:r w:rsidRPr="003E2DBE">
              <w:rPr>
                <w:rFonts w:eastAsiaTheme="minorEastAsia" w:cs="Calibri"/>
                <w:szCs w:val="22"/>
                <w:lang w:eastAsia="en-AU"/>
              </w:rPr>
              <w:t>961.9)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7 413.8</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(9 </w:t>
            </w:r>
            <w:r w:rsidRPr="003E2DBE">
              <w:rPr>
                <w:rFonts w:eastAsiaTheme="minorEastAsia" w:cs="Calibri"/>
                <w:szCs w:val="22"/>
                <w:lang w:eastAsia="en-AU"/>
              </w:rPr>
              <w:t>652.9)</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Other comprehensive income for the </w:t>
            </w:r>
            <w:r w:rsidRPr="003E2DBE">
              <w:rPr>
                <w:rFonts w:eastAsiaTheme="minorEastAsia" w:cs="Calibri"/>
                <w:szCs w:val="22"/>
                <w:lang w:eastAsia="en-AU"/>
              </w:rPr>
              <w:t>year</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1 215.2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209.4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952.6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412.2</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Balance at the end of the </w:t>
            </w:r>
            <w:r w:rsidRPr="003E2DBE">
              <w:rPr>
                <w:rFonts w:eastAsiaTheme="minorEastAsia" w:cs="Calibri"/>
                <w:b/>
                <w:bCs/>
                <w:szCs w:val="22"/>
                <w:lang w:eastAsia="en-AU"/>
              </w:rPr>
              <w:t>reporting period</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45 353.0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34 612.0</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43 174.7</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34 808.2</w:t>
            </w:r>
          </w:p>
        </w:tc>
      </w:tr>
    </w:tbl>
    <w:p w:rsidR="000B4A1E" w:rsidRPr="00D00665" w:rsidRDefault="000B4A1E" w:rsidP="00517E51">
      <w:pPr>
        <w:pStyle w:val="Notes"/>
      </w:pPr>
      <w:r w:rsidRPr="00D00665">
        <w:t>Note:</w:t>
      </w:r>
    </w:p>
    <w:p w:rsidR="000B4A1E" w:rsidRDefault="000B4A1E" w:rsidP="00517E51">
      <w:pPr>
        <w:pStyle w:val="Notes"/>
      </w:pPr>
      <w:r w:rsidRPr="00D00665">
        <w:t>(a)</w:t>
      </w:r>
      <w:r w:rsidRPr="00D00665">
        <w:tab/>
        <w:t>Restated balances at 30 June 2012. Refer to Note 36 of the financial statements.</w:t>
      </w:r>
    </w:p>
    <w:p w:rsidR="000B4A1E" w:rsidRPr="00D00665" w:rsidRDefault="000B4A1E" w:rsidP="00517E51">
      <w:pPr>
        <w:pStyle w:val="Notes"/>
      </w:pPr>
    </w:p>
    <w:p w:rsidR="000B4A1E" w:rsidRPr="00D00665" w:rsidRDefault="000B4A1E" w:rsidP="00517E51">
      <w:pPr>
        <w:pStyle w:val="Heading5"/>
      </w:pPr>
      <w:r w:rsidRPr="00D00665">
        <w:t>(c)</w:t>
      </w:r>
      <w:r w:rsidRPr="00D00665">
        <w:tab/>
        <w:t>Non</w:t>
      </w:r>
      <w:r w:rsidRPr="00D00665">
        <w:noBreakHyphen/>
        <w:t>controlling interest</w:t>
      </w:r>
    </w:p>
    <w:p w:rsidR="000B4A1E" w:rsidRPr="003E2DBE" w:rsidRDefault="000B4A1E" w:rsidP="00517E51">
      <w:pPr>
        <w:pStyle w:val="million"/>
      </w:pPr>
      <w:r w:rsidRPr="00D00665">
        <w:t>($</w:t>
      </w:r>
      <w:r>
        <w:t> million</w:t>
      </w:r>
      <w:r w:rsidRPr="00D00665">
        <w:t>)</w:t>
      </w:r>
      <w:bookmarkStart w:id="88" w:name="RANGE!E116:I120"/>
      <w:bookmarkStart w:id="89" w:name="RANGE!E118:I122"/>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487284315"/>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487284315"/>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i/>
                <w:iCs/>
                <w:lang w:eastAsia="en-AU"/>
              </w:rPr>
            </w:pPr>
            <w:r w:rsidRPr="003E2DBE">
              <w:rPr>
                <w:i/>
                <w:iCs/>
                <w:lang w:eastAsia="en-AU"/>
              </w:rPr>
              <w:t xml:space="preserve"> </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487284315"/>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Balance at beginning of reporting period</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50.0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48.5</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50.0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48.5</w:t>
            </w:r>
          </w:p>
        </w:tc>
      </w:tr>
      <w:tr w:rsidR="000B4A1E" w:rsidRPr="003E2DBE" w:rsidTr="00517E51">
        <w:trPr>
          <w:divId w:val="487284315"/>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 xml:space="preserve">Net contributions during the year </w:t>
            </w:r>
            <w:r w:rsidRPr="003E2DBE">
              <w:rPr>
                <w:vertAlign w:val="superscript"/>
                <w:lang w:eastAsia="en-AU"/>
              </w:rPr>
              <w:t>(a)</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1.5</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1.5</w:t>
            </w:r>
          </w:p>
        </w:tc>
      </w:tr>
      <w:tr w:rsidR="000B4A1E" w:rsidRPr="003E2DBE" w:rsidTr="00517E51">
        <w:trPr>
          <w:divId w:val="487284315"/>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Balance at the end of the reporting period</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szCs w:val="22"/>
                <w:lang w:eastAsia="en-AU"/>
              </w:rPr>
            </w:pPr>
            <w:r w:rsidRPr="003E2DBE">
              <w:rPr>
                <w:b/>
                <w:lang w:eastAsia="en-AU"/>
              </w:rPr>
              <w:t xml:space="preserve"> 50.0</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szCs w:val="22"/>
                <w:lang w:eastAsia="en-AU"/>
              </w:rPr>
            </w:pPr>
            <w:r w:rsidRPr="003E2DBE">
              <w:rPr>
                <w:b/>
                <w:lang w:eastAsia="en-AU"/>
              </w:rPr>
              <w:t xml:space="preserve"> 50.0</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szCs w:val="22"/>
                <w:lang w:eastAsia="en-AU"/>
              </w:rPr>
            </w:pPr>
            <w:r w:rsidRPr="003E2DBE">
              <w:rPr>
                <w:b/>
                <w:lang w:eastAsia="en-AU"/>
              </w:rPr>
              <w:t xml:space="preserve"> 50.0</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szCs w:val="22"/>
                <w:lang w:eastAsia="en-AU"/>
              </w:rPr>
            </w:pPr>
            <w:r w:rsidRPr="003E2DBE">
              <w:rPr>
                <w:b/>
                <w:lang w:eastAsia="en-AU"/>
              </w:rPr>
              <w:t xml:space="preserve"> 50.0</w:t>
            </w:r>
          </w:p>
        </w:tc>
      </w:tr>
    </w:tbl>
    <w:bookmarkEnd w:id="88"/>
    <w:bookmarkEnd w:id="89"/>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Non</w:t>
      </w:r>
      <w:r w:rsidRPr="00D00665">
        <w:noBreakHyphen/>
        <w:t xml:space="preserve">controlling interest share of contributed capital in the Australian Synchrotron Holding Company at 30 June 2013. </w:t>
      </w:r>
    </w:p>
    <w:p w:rsidR="000B4A1E" w:rsidRPr="00D00665" w:rsidRDefault="000B4A1E" w:rsidP="00517E51">
      <w:pPr>
        <w:pStyle w:val="Heading2Notes"/>
      </w:pPr>
      <w:r w:rsidRPr="00D00665">
        <w:br w:type="page"/>
      </w:r>
      <w:bookmarkStart w:id="90" w:name="_Toc367947888"/>
      <w:r w:rsidRPr="00D00665">
        <w:lastRenderedPageBreak/>
        <w:t>Note 29:</w:t>
      </w:r>
      <w:r w:rsidRPr="00D00665">
        <w:tab/>
        <w:t>Cash flow information</w:t>
      </w:r>
      <w:bookmarkEnd w:id="90"/>
    </w:p>
    <w:p w:rsidR="000B4A1E" w:rsidRPr="00D00665" w:rsidRDefault="000B4A1E" w:rsidP="00517E51">
      <w:pPr>
        <w:pStyle w:val="Heading5"/>
      </w:pPr>
      <w:r w:rsidRPr="00D00665">
        <w:t>(a)</w:t>
      </w:r>
      <w:r w:rsidRPr="00D00665">
        <w:tab/>
        <w:t>Reconciliation of cash and cash equivalents</w:t>
      </w:r>
    </w:p>
    <w:p w:rsidR="000B4A1E" w:rsidRPr="003E2DBE" w:rsidRDefault="000B4A1E" w:rsidP="00517E51">
      <w:pPr>
        <w:pStyle w:val="million"/>
      </w:pPr>
      <w:r w:rsidRPr="00D00665">
        <w:t>($</w:t>
      </w:r>
      <w:r>
        <w:t> million</w:t>
      </w:r>
      <w:r w:rsidRPr="00D00665">
        <w:t>)</w:t>
      </w:r>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416555326"/>
        </w:trPr>
        <w:tc>
          <w:tcPr>
            <w:tcW w:w="5156" w:type="dxa"/>
            <w:tcBorders>
              <w:top w:val="single" w:sz="4" w:space="0" w:color="auto"/>
              <w:left w:val="single" w:sz="4" w:space="0" w:color="auto"/>
              <w:bottom w:val="nil"/>
              <w:right w:val="nil"/>
            </w:tcBorders>
            <w:shd w:val="clear" w:color="auto" w:fill="000000"/>
            <w:vAlign w:val="bottom"/>
            <w:hideMark/>
          </w:tcPr>
          <w:p w:rsidR="000B4A1E" w:rsidRPr="003E2DBE" w:rsidRDefault="000B4A1E" w:rsidP="00517E51">
            <w:pPr>
              <w:pStyle w:val="Tabletext"/>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416555326"/>
        </w:trPr>
        <w:tc>
          <w:tcPr>
            <w:tcW w:w="5156" w:type="dxa"/>
            <w:tcBorders>
              <w:top w:val="nil"/>
              <w:left w:val="single" w:sz="4" w:space="0" w:color="auto"/>
              <w:bottom w:val="single" w:sz="4" w:space="0" w:color="auto"/>
              <w:right w:val="nil"/>
            </w:tcBorders>
            <w:shd w:val="clear" w:color="auto" w:fill="000000"/>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vAlign w:val="bottom"/>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41655532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Cash</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822.5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284.4</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381.6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058.2</w:t>
            </w:r>
          </w:p>
        </w:tc>
      </w:tr>
      <w:tr w:rsidR="000B4A1E" w:rsidRPr="003E2DBE" w:rsidTr="00517E51">
        <w:trPr>
          <w:divId w:val="416555326"/>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 xml:space="preserve">Deposits at call </w:t>
            </w:r>
            <w:r w:rsidRPr="003E2DBE">
              <w:rPr>
                <w:rFonts w:cs="Calibri"/>
                <w:szCs w:val="22"/>
                <w:vertAlign w:val="superscript"/>
                <w:lang w:eastAsia="en-AU"/>
              </w:rPr>
              <w:t>(a)</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430.4</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771.2</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580.4</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943.1</w:t>
            </w:r>
          </w:p>
        </w:tc>
      </w:tr>
      <w:tr w:rsidR="000B4A1E" w:rsidRPr="003E2DBE" w:rsidTr="00517E51">
        <w:trPr>
          <w:divId w:val="416555326"/>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Cash and cash equivalents</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6 </w:t>
            </w:r>
            <w:r w:rsidRPr="003E2DBE">
              <w:rPr>
                <w:rFonts w:cs="Calibri"/>
                <w:b/>
                <w:bCs/>
                <w:szCs w:val="22"/>
                <w:lang w:eastAsia="en-AU"/>
              </w:rPr>
              <w:t>252.9</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6 </w:t>
            </w:r>
            <w:r w:rsidRPr="003E2DBE">
              <w:rPr>
                <w:rFonts w:cs="Calibri"/>
                <w:b/>
                <w:bCs/>
                <w:szCs w:val="22"/>
                <w:lang w:eastAsia="en-AU"/>
              </w:rPr>
              <w:t>055.6</w:t>
            </w:r>
          </w:p>
        </w:tc>
        <w:tc>
          <w:tcPr>
            <w:tcW w:w="1123" w:type="dxa"/>
            <w:gridSpan w:val="2"/>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962.0</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001.3</w:t>
            </w:r>
          </w:p>
        </w:tc>
      </w:tr>
      <w:tr w:rsidR="000B4A1E" w:rsidRPr="003E2DBE" w:rsidTr="00517E51">
        <w:trPr>
          <w:divId w:val="416555326"/>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Bank overdraft</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Pr>
                <w:lang w:eastAsia="en-AU"/>
              </w:rPr>
              <w:t>..</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Pr>
                <w:lang w:eastAsia="en-AU"/>
              </w:rPr>
              <w:t>..</w:t>
            </w:r>
          </w:p>
        </w:tc>
        <w:tc>
          <w:tcPr>
            <w:tcW w:w="1123"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416555326"/>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Balances as per cash flow statement</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6 </w:t>
            </w:r>
            <w:r w:rsidRPr="003E2DBE">
              <w:rPr>
                <w:rFonts w:cs="Calibri"/>
                <w:b/>
                <w:bCs/>
                <w:szCs w:val="22"/>
                <w:lang w:eastAsia="en-AU"/>
              </w:rPr>
              <w:t>252.9</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6 </w:t>
            </w:r>
            <w:r w:rsidRPr="003E2DBE">
              <w:rPr>
                <w:rFonts w:cs="Calibri"/>
                <w:b/>
                <w:bCs/>
                <w:szCs w:val="22"/>
                <w:lang w:eastAsia="en-AU"/>
              </w:rPr>
              <w:t>055.6</w:t>
            </w:r>
          </w:p>
        </w:tc>
        <w:tc>
          <w:tcPr>
            <w:tcW w:w="1123"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962.0</w:t>
            </w:r>
          </w:p>
        </w:tc>
        <w:tc>
          <w:tcPr>
            <w:tcW w:w="112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2"/>
                <w:lang w:eastAsia="en-AU"/>
              </w:rPr>
              <w:t>001.3</w:t>
            </w:r>
          </w:p>
        </w:tc>
      </w:tr>
    </w:tbl>
    <w:p w:rsidR="000B4A1E" w:rsidRPr="00D00665" w:rsidRDefault="000B4A1E" w:rsidP="00517E51">
      <w:pPr>
        <w:pStyle w:val="Notes"/>
      </w:pPr>
      <w:r>
        <w:t>Note</w:t>
      </w:r>
      <w:r w:rsidRPr="00D00665">
        <w:t>:</w:t>
      </w:r>
    </w:p>
    <w:p w:rsidR="000B4A1E" w:rsidRPr="00D00665" w:rsidRDefault="000B4A1E" w:rsidP="00517E51">
      <w:pPr>
        <w:pStyle w:val="Notes"/>
      </w:pPr>
      <w:r>
        <w:t>(a)</w:t>
      </w:r>
      <w:r>
        <w:tab/>
      </w:r>
      <w:r w:rsidRPr="00EE4CA2">
        <w:t xml:space="preserve"> </w:t>
      </w:r>
      <w:r w:rsidRPr="00D00665">
        <w:t>Review of Cash Investments in 2012-13 has reclassified some Australian Dollar Term Deposits held in 2011-12 to Cash and Deposits.</w:t>
      </w:r>
    </w:p>
    <w:p w:rsidR="000B4A1E" w:rsidRPr="00D00665" w:rsidRDefault="000B4A1E" w:rsidP="00517E51"/>
    <w:p w:rsidR="000B4A1E" w:rsidRPr="00D00665" w:rsidRDefault="000B4A1E" w:rsidP="00517E51">
      <w:pPr>
        <w:pStyle w:val="Heading5"/>
      </w:pPr>
      <w:r w:rsidRPr="00D00665">
        <w:t>(b)</w:t>
      </w:r>
      <w:r w:rsidRPr="00D00665">
        <w:tab/>
        <w:t>Reconciliation of net result to net cash flows from operating activities</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45"/>
        <w:gridCol w:w="142"/>
        <w:gridCol w:w="736"/>
        <w:gridCol w:w="1123"/>
        <w:gridCol w:w="267"/>
        <w:gridCol w:w="856"/>
        <w:gridCol w:w="1123"/>
      </w:tblGrid>
      <w:tr w:rsidR="000B4A1E" w:rsidRPr="003E2DBE" w:rsidTr="00517E51">
        <w:tc>
          <w:tcPr>
            <w:tcW w:w="5156"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45"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2001" w:type="dxa"/>
            <w:gridSpan w:val="3"/>
            <w:tcBorders>
              <w:top w:val="single" w:sz="4" w:space="0" w:color="auto"/>
              <w:left w:val="nil"/>
              <w:bottom w:val="nil"/>
              <w:right w:val="nil"/>
            </w:tcBorders>
            <w:shd w:val="clear" w:color="auto" w:fill="000000"/>
          </w:tcPr>
          <w:p w:rsidR="000B4A1E" w:rsidRPr="003E2DBE" w:rsidRDefault="000B4A1E" w:rsidP="00517E51">
            <w:pPr>
              <w:pStyle w:val="Tabletextheading"/>
              <w:jc w:val="center"/>
              <w:rPr>
                <w:rFonts w:eastAsiaTheme="minorEastAsia"/>
                <w:lang w:eastAsia="en-AU"/>
              </w:rPr>
            </w:pPr>
          </w:p>
          <w:p w:rsidR="000B4A1E" w:rsidRPr="003E2DBE" w:rsidRDefault="000B4A1E" w:rsidP="00517E51">
            <w:pPr>
              <w:pStyle w:val="Tabletextheading"/>
              <w:jc w:val="center"/>
              <w:rPr>
                <w:rFonts w:eastAsiaTheme="minorEastAsia"/>
                <w:lang w:eastAsia="en-AU"/>
              </w:rPr>
            </w:pPr>
            <w:r w:rsidRPr="003E2DBE">
              <w:rPr>
                <w:rFonts w:eastAsiaTheme="minorEastAsia"/>
                <w:lang w:eastAsia="en-AU"/>
              </w:rPr>
              <w:t>State of Victoria</w:t>
            </w:r>
          </w:p>
        </w:tc>
        <w:tc>
          <w:tcPr>
            <w:tcW w:w="267" w:type="dxa"/>
            <w:tcBorders>
              <w:top w:val="single" w:sz="4" w:space="0" w:color="auto"/>
              <w:left w:val="nil"/>
              <w:bottom w:val="nil"/>
              <w:right w:val="nil"/>
            </w:tcBorders>
            <w:shd w:val="clear" w:color="auto" w:fill="000000"/>
          </w:tcPr>
          <w:p w:rsidR="000B4A1E" w:rsidRPr="003E2DBE" w:rsidRDefault="000B4A1E" w:rsidP="00517E51">
            <w:pPr>
              <w:pStyle w:val="Tabletextheading"/>
              <w:jc w:val="center"/>
              <w:rPr>
                <w:rFonts w:eastAsiaTheme="minorEastAsia" w:cs="Calibri"/>
                <w:iCs/>
                <w:szCs w:val="22"/>
                <w:lang w:eastAsia="en-AU"/>
              </w:rPr>
            </w:pPr>
            <w:r w:rsidRPr="003E2DBE">
              <w:rPr>
                <w:rFonts w:eastAsiaTheme="minorEastAsia"/>
                <w:lang w:eastAsia="en-AU"/>
              </w:rPr>
              <w:t xml:space="preserve"> </w:t>
            </w:r>
          </w:p>
        </w:tc>
        <w:tc>
          <w:tcPr>
            <w:tcW w:w="1979"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
              <w:jc w:val="center"/>
              <w:rPr>
                <w:rFonts w:eastAsiaTheme="minorEastAsia" w:cs="Calibri"/>
                <w:iCs/>
                <w:szCs w:val="22"/>
                <w:lang w:eastAsia="en-AU"/>
              </w:rPr>
            </w:pPr>
            <w:r w:rsidRPr="003E2DBE">
              <w:rPr>
                <w:rFonts w:eastAsiaTheme="minorEastAsia"/>
                <w:lang w:eastAsia="en-AU"/>
              </w:rPr>
              <w:t xml:space="preserve">General </w:t>
            </w:r>
          </w:p>
          <w:p w:rsidR="000B4A1E" w:rsidRPr="003E2DBE" w:rsidRDefault="000B4A1E" w:rsidP="00517E51">
            <w:pPr>
              <w:pStyle w:val="Tabletextheading"/>
              <w:jc w:val="center"/>
              <w:rPr>
                <w:rFonts w:eastAsiaTheme="minorEastAsia"/>
                <w:lang w:eastAsia="en-AU"/>
              </w:rPr>
            </w:pPr>
            <w:r w:rsidRPr="003E2DBE">
              <w:rPr>
                <w:rFonts w:eastAsiaTheme="minorEastAsia"/>
                <w:lang w:eastAsia="en-AU"/>
              </w:rPr>
              <w:t>government sector</w:t>
            </w:r>
          </w:p>
        </w:tc>
      </w:tr>
      <w:tr w:rsidR="000B4A1E" w:rsidRPr="003E2DBE" w:rsidTr="00517E51">
        <w:tc>
          <w:tcPr>
            <w:tcW w:w="5156" w:type="dxa"/>
            <w:tcBorders>
              <w:top w:val="single" w:sz="6" w:space="0" w:color="auto"/>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3"/>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Net result</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9 525.8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(15 961.9)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7 413.8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(9 652.9)</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Non-cash movements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Depreciation and amortisation</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4 155.4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3 902.4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2 270.0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2 141.6</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Revaluation of investments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(1 562.9)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633.7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( 15.8)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8.5</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Assets (received)/provided free of charge</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( 140.0)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( 405.3)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( 94.3)</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Assets not previously recognised</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( 231.9)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( 81.5)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( 230.2)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( 79.7)</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Revaluation of assets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126.0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145.0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113.8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127.4</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Discount/premium on other financial assets/borrowings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( 99.5)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( 183.9)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5.4</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Bad/doubtful debts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( 0.1)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color w:val="000000"/>
                <w:szCs w:val="22"/>
                <w:lang w:eastAsia="en-AU"/>
              </w:rPr>
            </w:pPr>
            <w:r>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Foreign currency dealings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( 0.4)</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color w:val="000000"/>
                <w:szCs w:val="22"/>
                <w:lang w:eastAsia="en-AU"/>
              </w:rPr>
            </w:pPr>
            <w:r>
              <w:rPr>
                <w:rFonts w:eastAsiaTheme="minorEastAsia"/>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( 0.3)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( 0.1)</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Unrealised (gains)/losses on borrowings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( 910.4)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2 436.2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Discounting of assets and liabilities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( 39.0)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543" w:type="dxa"/>
            <w:gridSpan w:val="3"/>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Movements included in investing and financing activities</w:t>
            </w:r>
          </w:p>
        </w:tc>
        <w:tc>
          <w:tcPr>
            <w:tcW w:w="73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Net gain/loss from sale of investments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( 586.5)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( 39.7)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( 15.4)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( 3.4)</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Net gain/loss from sale of plant and equipment</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( 21.1)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100.5</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( 20.8)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105.0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Realised gains/losses on borrowings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( 14.6</w:t>
            </w:r>
            <w:r w:rsidRPr="003E2DBE">
              <w:rPr>
                <w:rFonts w:eastAsiaTheme="minorEastAsia" w:cs="Calibri"/>
                <w:szCs w:val="22"/>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223.1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Movements in assets and liabilities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Increase/(decrease) in provision for doubtful debts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137.2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160.1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130.7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158.2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vertAlign w:val="superscript"/>
                <w:lang w:eastAsia="en-AU"/>
              </w:rPr>
            </w:pPr>
            <w:r w:rsidRPr="003E2DBE">
              <w:rPr>
                <w:rFonts w:eastAsiaTheme="minorEastAsia"/>
                <w:lang w:eastAsia="en-AU"/>
              </w:rPr>
              <w:t xml:space="preserve">Increase/(decrease) in payables </w:t>
            </w:r>
            <w:r w:rsidRPr="003E2DBE">
              <w:rPr>
                <w:rFonts w:eastAsiaTheme="minorEastAsia" w:cs="Calibri"/>
                <w:szCs w:val="22"/>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1 752.0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(1 115.9)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773.2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( 301.1)</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Increase/(decrease) in employee benefits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182.3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567.6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165.7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523.3</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Increase/(decrease) in superannuation</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(7 525.3)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9 907.6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(7 455.0)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9 817.2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Increase/(decrease) in other provisions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( 371.9)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3 191.4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( 51.0)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( 70.5)</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Increase/(decrease) in other liabilities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vertAlign w:val="superscript"/>
                <w:lang w:eastAsia="en-AU"/>
              </w:rPr>
            </w:pPr>
            <w:r w:rsidRPr="003E2DBE">
              <w:rPr>
                <w:rFonts w:eastAsiaTheme="minorEastAsia"/>
                <w:lang w:eastAsia="en-AU"/>
              </w:rPr>
              <w:t xml:space="preserve">(Increase)/decrease in receivables </w:t>
            </w:r>
            <w:r w:rsidRPr="003E2DBE">
              <w:rPr>
                <w:rFonts w:eastAsiaTheme="minorEastAsia" w:cs="Calibri"/>
                <w:szCs w:val="22"/>
                <w:vertAlign w:val="superscript"/>
                <w:lang w:eastAsia="en-AU"/>
              </w:rPr>
              <w:t>(a)</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(1 709.5)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559.1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(1 358.7)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42.3</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(Increase)/decrease in other non-financial assets</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( 51.3)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( 45.5)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30.8</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Net cash flows from operating activities</w:t>
            </w:r>
          </w:p>
        </w:tc>
        <w:tc>
          <w:tcPr>
            <w:tcW w:w="1123"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2 652.2</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4 005.3</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1 692.3</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2 757.5</w:t>
            </w:r>
          </w:p>
        </w:tc>
      </w:tr>
    </w:tbl>
    <w:p w:rsidR="000B4A1E" w:rsidRPr="00D00665" w:rsidRDefault="000B4A1E" w:rsidP="00517E51">
      <w:pPr>
        <w:pStyle w:val="Notes"/>
      </w:pPr>
      <w:r>
        <w:t>Note</w:t>
      </w:r>
      <w:r w:rsidRPr="00D00665">
        <w:t>:</w:t>
      </w:r>
    </w:p>
    <w:p w:rsidR="000B4A1E" w:rsidRPr="00D00665" w:rsidRDefault="000B4A1E" w:rsidP="00517E51">
      <w:pPr>
        <w:pStyle w:val="Notes"/>
      </w:pPr>
      <w:r w:rsidRPr="00D00665">
        <w:t>(a)</w:t>
      </w:r>
      <w:r w:rsidRPr="00D00665">
        <w:tab/>
      </w:r>
      <w:r>
        <w:t>Restatement of</w:t>
      </w:r>
      <w:r w:rsidRPr="00D00665">
        <w:t xml:space="preserve"> previously published information relate</w:t>
      </w:r>
      <w:r>
        <w:t>s</w:t>
      </w:r>
      <w:r w:rsidRPr="00D00665">
        <w:t xml:space="preserve"> to restated balances at 30 June 2012 and 1 July 2011. Refer to Note 36 of the Financial Statements.</w:t>
      </w:r>
    </w:p>
    <w:p w:rsidR="000B4A1E" w:rsidRPr="00D00665" w:rsidRDefault="000B4A1E" w:rsidP="00517E51"/>
    <w:p w:rsidR="000B4A1E" w:rsidRPr="00D00665" w:rsidRDefault="000B4A1E" w:rsidP="00517E51">
      <w:pPr>
        <w:pStyle w:val="Heading2Notes"/>
      </w:pPr>
      <w:r w:rsidRPr="00D00665">
        <w:br w:type="page"/>
      </w:r>
      <w:bookmarkStart w:id="91" w:name="_Toc367947889"/>
      <w:r w:rsidRPr="00D00665">
        <w:lastRenderedPageBreak/>
        <w:t>Note 30:</w:t>
      </w:r>
      <w:r w:rsidRPr="00D00665">
        <w:tab/>
        <w:t>Reconciliations</w:t>
      </w:r>
      <w:bookmarkEnd w:id="91"/>
    </w:p>
    <w:p w:rsidR="000B4A1E" w:rsidRPr="00D00665" w:rsidRDefault="000B4A1E" w:rsidP="00517E51">
      <w:pPr>
        <w:pStyle w:val="Tableheading"/>
        <w:rPr>
          <w:vertAlign w:val="superscript"/>
        </w:rPr>
      </w:pPr>
      <w:r w:rsidRPr="00D00665">
        <w:t>(a)</w:t>
      </w:r>
      <w:r w:rsidRPr="00D00665">
        <w:tab/>
        <w:t>Reconciliation to GFS net operating balance</w:t>
      </w:r>
      <w:r w:rsidRPr="00D00665">
        <w:rPr>
          <w:vertAlign w:val="superscript"/>
        </w:rPr>
        <w:t>(a)</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865"/>
        <w:gridCol w:w="1123"/>
        <w:gridCol w:w="262"/>
        <w:gridCol w:w="861"/>
        <w:gridCol w:w="1123"/>
      </w:tblGrid>
      <w:tr w:rsidR="000B4A1E" w:rsidRPr="003E2DBE" w:rsidTr="00517E51">
        <w:tc>
          <w:tcPr>
            <w:tcW w:w="5156" w:type="dxa"/>
            <w:tcBorders>
              <w:top w:val="single" w:sz="6" w:space="0" w:color="auto"/>
              <w:left w:val="single" w:sz="6" w:space="0" w:color="auto"/>
              <w:bottom w:val="nil"/>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258"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1988" w:type="dxa"/>
            <w:gridSpan w:val="2"/>
            <w:tcBorders>
              <w:top w:val="single" w:sz="6"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General </w:t>
            </w:r>
          </w:p>
          <w:p w:rsidR="000B4A1E" w:rsidRPr="003E2DBE" w:rsidRDefault="000B4A1E" w:rsidP="00517E51">
            <w:pPr>
              <w:pStyle w:val="TabletextheadingCentred"/>
              <w:rPr>
                <w:lang w:eastAsia="en-AU"/>
              </w:rPr>
            </w:pPr>
            <w:r w:rsidRPr="003E2DBE">
              <w:rPr>
                <w:lang w:eastAsia="en-AU"/>
              </w:rPr>
              <w:t>government sector</w:t>
            </w:r>
          </w:p>
        </w:tc>
        <w:tc>
          <w:tcPr>
            <w:tcW w:w="262"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1984" w:type="dxa"/>
            <w:gridSpan w:val="2"/>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Centred"/>
              <w:rPr>
                <w:lang w:eastAsia="en-AU"/>
              </w:rPr>
            </w:pPr>
            <w:r w:rsidRPr="003E2DBE">
              <w:rPr>
                <w:lang w:eastAsia="en-AU"/>
              </w:rPr>
              <w:t>Public non-financial corporations</w:t>
            </w:r>
          </w:p>
        </w:tc>
      </w:tr>
      <w:tr w:rsidR="000B4A1E" w:rsidRPr="003E2DBE" w:rsidTr="00517E51">
        <w:tc>
          <w:tcPr>
            <w:tcW w:w="5156" w:type="dxa"/>
            <w:tcBorders>
              <w:top w:val="nil"/>
              <w:left w:val="single" w:sz="6" w:space="0" w:color="auto"/>
              <w:bottom w:val="single" w:sz="6" w:space="0" w:color="auto"/>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6" w:space="0" w:color="auto"/>
              <w:right w:val="single" w:sz="6" w:space="0" w:color="auto"/>
            </w:tcBorders>
            <w:shd w:val="clear" w:color="auto" w:fill="000000"/>
          </w:tcPr>
          <w:p w:rsidR="000B4A1E" w:rsidRPr="003E2DBE" w:rsidRDefault="000B4A1E" w:rsidP="00517E51">
            <w:pPr>
              <w:pStyle w:val="Tabletextheading"/>
              <w:rPr>
                <w:lang w:eastAsia="en-AU"/>
              </w:rPr>
            </w:pPr>
            <w:r w:rsidRPr="003E2DBE">
              <w:rPr>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Net result from transactions – net operating balance</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316.4</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571.2</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298.2)</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59.7)</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i/>
                <w:iCs/>
                <w:lang w:eastAsia="en-AU"/>
              </w:rPr>
            </w:pPr>
            <w:r w:rsidRPr="003E2DBE">
              <w:rPr>
                <w:i/>
                <w:iCs/>
                <w:lang w:eastAsia="en-AU"/>
              </w:rPr>
              <w:t>Convergence differences</w:t>
            </w:r>
            <w:r>
              <w:rPr>
                <w:i/>
                <w:iCs/>
                <w:lang w:eastAsia="en-AU"/>
              </w:rPr>
              <w:t>:</w:t>
            </w:r>
            <w:r w:rsidRPr="003E2DBE">
              <w:rPr>
                <w:lang w:eastAsia="en-AU"/>
              </w:rPr>
              <w:t xml:space="preserve"> </w:t>
            </w:r>
            <w:r w:rsidRPr="003E2DBE">
              <w:rPr>
                <w:vertAlign w:val="superscript"/>
                <w:lang w:eastAsia="en-AU"/>
              </w:rPr>
              <w:t>(b)</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b/>
                <w:lang w:eastAsia="en-AU"/>
              </w:rPr>
            </w:pPr>
            <w:r w:rsidRPr="003E2DBE">
              <w:rPr>
                <w:b/>
                <w:lang w:eastAsia="en-AU"/>
              </w:rPr>
              <w:t xml:space="preserve">PNFC/PFC dividends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720.3</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305.9</w:t>
            </w:r>
          </w:p>
        </w:tc>
      </w:tr>
      <w:tr w:rsidR="000B4A1E" w:rsidRPr="003E2DBE" w:rsidTr="00517E51">
        <w:tc>
          <w:tcPr>
            <w:tcW w:w="5156" w:type="dxa"/>
            <w:tcBorders>
              <w:top w:val="single" w:sz="6" w:space="0" w:color="auto"/>
              <w:left w:val="nil"/>
              <w:bottom w:val="single" w:sz="6" w:space="0" w:color="auto"/>
              <w:right w:val="nil"/>
            </w:tcBorders>
          </w:tcPr>
          <w:p w:rsidR="000B4A1E" w:rsidRPr="003E2DBE" w:rsidRDefault="000B4A1E" w:rsidP="00517E51">
            <w:pPr>
              <w:pStyle w:val="Tabletext"/>
              <w:rPr>
                <w:i/>
                <w:iCs/>
                <w:lang w:eastAsia="en-AU"/>
              </w:rPr>
            </w:pPr>
            <w:r w:rsidRPr="003E2DBE">
              <w:rPr>
                <w:i/>
                <w:iCs/>
                <w:lang w:eastAsia="en-AU"/>
              </w:rPr>
              <w:t>plus total convergence difference:</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720.3)</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305.9)</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b/>
                <w:lang w:eastAsia="en-AU"/>
              </w:rPr>
            </w:pPr>
            <w:r w:rsidRPr="003E2DBE">
              <w:rPr>
                <w:b/>
                <w:lang w:eastAsia="en-AU"/>
              </w:rPr>
              <w:t>GFS net operating balance</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316.4</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571.2</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(1</w:t>
            </w:r>
            <w:r w:rsidRPr="003E2DBE">
              <w:rPr>
                <w:rFonts w:eastAsiaTheme="minorEastAsia" w:cs="Calibri"/>
                <w:b/>
                <w:bCs/>
                <w:szCs w:val="22"/>
                <w:lang w:eastAsia="en-AU"/>
              </w:rPr>
              <w:t xml:space="preserve"> 018.5)</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365.5)</w:t>
            </w:r>
          </w:p>
        </w:tc>
      </w:tr>
    </w:tbl>
    <w:p w:rsidR="000B4A1E" w:rsidRPr="00D00665" w:rsidRDefault="000B4A1E" w:rsidP="00517E51">
      <w:pPr>
        <w:pStyle w:val="Notes"/>
      </w:pPr>
      <w:r w:rsidRPr="00D00665">
        <w:t>Notes:</w:t>
      </w:r>
    </w:p>
    <w:p w:rsidR="000B4A1E" w:rsidRPr="00D00665" w:rsidRDefault="000B4A1E" w:rsidP="00517E51">
      <w:pPr>
        <w:pStyle w:val="Notes"/>
      </w:pPr>
      <w:r w:rsidRPr="00D00665">
        <w:t>(a)</w:t>
      </w:r>
      <w:r w:rsidRPr="00D00665">
        <w:tab/>
        <w:t xml:space="preserve">Determined in accordance with the ABS </w:t>
      </w:r>
      <w:r w:rsidR="00FC7ED5">
        <w:t>GFS manual</w:t>
      </w:r>
      <w:r w:rsidRPr="00D00665">
        <w:t>.</w:t>
      </w:r>
    </w:p>
    <w:p w:rsidR="000B4A1E" w:rsidRPr="00D00665" w:rsidRDefault="000B4A1E" w:rsidP="00517E51">
      <w:pPr>
        <w:pStyle w:val="Notes"/>
      </w:pPr>
      <w:r w:rsidRPr="00D00665">
        <w:t>(b)</w:t>
      </w:r>
      <w:r w:rsidRPr="00D00665">
        <w:tab/>
        <w:t>The convergence difference arises because GFS recognised dividends paid/ payable as an expense from transactions on the operating statement whereas, under accounting standards, dividends are classified as after</w:t>
      </w:r>
      <w:r w:rsidRPr="00D00665">
        <w:noBreakHyphen/>
        <w:t>profit distributions to owner.</w:t>
      </w:r>
    </w:p>
    <w:p w:rsidR="000B4A1E" w:rsidRPr="00D00665" w:rsidRDefault="000B4A1E" w:rsidP="00517E51"/>
    <w:p w:rsidR="000B4A1E" w:rsidRPr="00D00665" w:rsidRDefault="000B4A1E" w:rsidP="00517E51">
      <w:pPr>
        <w:pStyle w:val="Tableheading"/>
        <w:rPr>
          <w:vertAlign w:val="superscript"/>
        </w:rPr>
      </w:pPr>
      <w:r w:rsidRPr="00D00665">
        <w:t>(b)</w:t>
      </w:r>
      <w:r w:rsidRPr="00D00665">
        <w:tab/>
        <w:t>Reconciliation to GFS total change in net worth</w:t>
      </w:r>
      <w:r w:rsidRPr="00D00665">
        <w:rPr>
          <w:vertAlign w:val="superscript"/>
        </w:rPr>
        <w:t>(a)</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168"/>
        <w:gridCol w:w="90"/>
        <w:gridCol w:w="865"/>
        <w:gridCol w:w="1123"/>
        <w:gridCol w:w="262"/>
        <w:gridCol w:w="861"/>
        <w:gridCol w:w="1123"/>
      </w:tblGrid>
      <w:tr w:rsidR="000B4A1E" w:rsidRPr="003E2DBE" w:rsidTr="00517E51">
        <w:tc>
          <w:tcPr>
            <w:tcW w:w="5156" w:type="dxa"/>
            <w:tcBorders>
              <w:top w:val="single" w:sz="6" w:space="0" w:color="auto"/>
              <w:left w:val="single" w:sz="6" w:space="0" w:color="auto"/>
              <w:bottom w:val="nil"/>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258" w:type="dxa"/>
            <w:gridSpan w:val="2"/>
            <w:tcBorders>
              <w:top w:val="single" w:sz="6"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1988" w:type="dxa"/>
            <w:gridSpan w:val="2"/>
            <w:tcBorders>
              <w:top w:val="single" w:sz="6"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General </w:t>
            </w:r>
          </w:p>
          <w:p w:rsidR="000B4A1E" w:rsidRPr="003E2DBE" w:rsidRDefault="000B4A1E" w:rsidP="00517E51">
            <w:pPr>
              <w:pStyle w:val="TabletextheadingCentred"/>
              <w:rPr>
                <w:lang w:eastAsia="en-AU"/>
              </w:rPr>
            </w:pPr>
            <w:r w:rsidRPr="003E2DBE">
              <w:rPr>
                <w:lang w:eastAsia="en-AU"/>
              </w:rPr>
              <w:t>government sector</w:t>
            </w:r>
          </w:p>
        </w:tc>
        <w:tc>
          <w:tcPr>
            <w:tcW w:w="262"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1984" w:type="dxa"/>
            <w:gridSpan w:val="2"/>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Centred"/>
              <w:rPr>
                <w:lang w:eastAsia="en-AU"/>
              </w:rPr>
            </w:pPr>
            <w:r w:rsidRPr="003E2DBE">
              <w:rPr>
                <w:lang w:eastAsia="en-AU"/>
              </w:rPr>
              <w:t>Public non-financial corporations</w:t>
            </w:r>
          </w:p>
        </w:tc>
      </w:tr>
      <w:tr w:rsidR="000B4A1E" w:rsidRPr="003E2DBE" w:rsidTr="00517E51">
        <w:tc>
          <w:tcPr>
            <w:tcW w:w="5156" w:type="dxa"/>
            <w:tcBorders>
              <w:top w:val="nil"/>
              <w:left w:val="single" w:sz="6" w:space="0" w:color="auto"/>
              <w:bottom w:val="single" w:sz="6" w:space="0" w:color="auto"/>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1123" w:type="dxa"/>
            <w:gridSpan w:val="3"/>
            <w:tcBorders>
              <w:top w:val="nil"/>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6" w:space="0" w:color="auto"/>
              <w:right w:val="single" w:sz="6" w:space="0" w:color="auto"/>
            </w:tcBorders>
            <w:shd w:val="clear" w:color="auto" w:fill="000000"/>
          </w:tcPr>
          <w:p w:rsidR="000B4A1E" w:rsidRPr="003E2DBE" w:rsidRDefault="000B4A1E" w:rsidP="00517E51">
            <w:pPr>
              <w:pStyle w:val="Tabletextheading"/>
              <w:rPr>
                <w:lang w:eastAsia="en-AU"/>
              </w:rPr>
            </w:pPr>
            <w:r w:rsidRPr="003E2DBE">
              <w:rPr>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b/>
                <w:bCs/>
                <w:i/>
                <w:iCs/>
                <w:szCs w:val="22"/>
                <w:vertAlign w:val="superscript"/>
                <w:lang w:eastAsia="en-AU"/>
              </w:rPr>
            </w:pPr>
            <w:r w:rsidRPr="003E2DBE">
              <w:rPr>
                <w:b/>
                <w:lang w:eastAsia="en-AU"/>
              </w:rPr>
              <w:t xml:space="preserve">Comprehensive result – total change in net worth </w:t>
            </w:r>
            <w:r w:rsidRPr="00A354AB">
              <w:rPr>
                <w:rFonts w:eastAsiaTheme="minorEastAsia" w:cs="Calibri"/>
                <w:b/>
                <w:bCs/>
                <w:iCs/>
                <w:szCs w:val="22"/>
                <w:vertAlign w:val="superscript"/>
                <w:lang w:eastAsia="en-AU"/>
              </w:rPr>
              <w:t>(b)</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8 </w:t>
            </w:r>
            <w:r w:rsidRPr="003E2DBE">
              <w:rPr>
                <w:rFonts w:eastAsiaTheme="minorEastAsia" w:cs="Calibri"/>
                <w:b/>
                <w:bCs/>
                <w:szCs w:val="22"/>
                <w:lang w:eastAsia="en-AU"/>
              </w:rPr>
              <w:t>193.5</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(7</w:t>
            </w:r>
            <w:r w:rsidRPr="003E2DBE">
              <w:rPr>
                <w:rFonts w:eastAsiaTheme="minorEastAsia" w:cs="Calibri"/>
                <w:b/>
                <w:bCs/>
                <w:szCs w:val="22"/>
                <w:lang w:eastAsia="en-AU"/>
              </w:rPr>
              <w:t xml:space="preserve"> 960.6)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987.0)</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443.8)</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i/>
                <w:iCs/>
                <w:lang w:eastAsia="en-AU"/>
              </w:rPr>
            </w:pPr>
            <w:r w:rsidRPr="003E2DBE">
              <w:rPr>
                <w:i/>
                <w:iCs/>
                <w:lang w:eastAsia="en-AU"/>
              </w:rPr>
              <w:t>Convergence differences:</w:t>
            </w:r>
          </w:p>
        </w:tc>
        <w:tc>
          <w:tcPr>
            <w:tcW w:w="1123" w:type="dxa"/>
            <w:gridSpan w:val="3"/>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 xml:space="preserve">Relating to net operating balance – PNFC/PFC dividends </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720.3</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305.9</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i/>
                <w:lang w:eastAsia="en-AU"/>
              </w:rPr>
            </w:pPr>
            <w:r w:rsidRPr="003E2DBE">
              <w:rPr>
                <w:i/>
                <w:lang w:eastAsia="en-AU"/>
              </w:rPr>
              <w:t>Relating to other economic flows</w:t>
            </w:r>
            <w:r>
              <w:rPr>
                <w:i/>
                <w:lang w:eastAsia="en-AU"/>
              </w:rPr>
              <w:t>:</w:t>
            </w:r>
            <w:r w:rsidRPr="003E2DBE">
              <w:rPr>
                <w:i/>
                <w:lang w:eastAsia="en-AU"/>
              </w:rPr>
              <w:t xml:space="preserve"> </w:t>
            </w:r>
            <w:r w:rsidRPr="003E2DBE">
              <w:rPr>
                <w:i/>
                <w:vertAlign w:val="superscript"/>
                <w:lang w:eastAsia="en-AU"/>
              </w:rPr>
              <w:t>(c)</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r>
      <w:tr w:rsidR="000B4A1E" w:rsidRPr="003E2DBE" w:rsidTr="00517E51">
        <w:tc>
          <w:tcPr>
            <w:tcW w:w="5156" w:type="dxa"/>
            <w:tcBorders>
              <w:top w:val="nil"/>
              <w:left w:val="nil"/>
              <w:bottom w:val="nil"/>
              <w:right w:val="nil"/>
            </w:tcBorders>
          </w:tcPr>
          <w:p w:rsidR="000B4A1E" w:rsidRPr="000B4A1E" w:rsidRDefault="000B4A1E" w:rsidP="00517E51">
            <w:pPr>
              <w:pStyle w:val="Tabletext"/>
              <w:rPr>
                <w:rFonts w:eastAsiaTheme="minorEastAsia" w:cs="Calibri"/>
                <w:b/>
                <w:color w:val="000000"/>
                <w:szCs w:val="22"/>
                <w:lang w:eastAsia="en-AU"/>
              </w:rPr>
            </w:pPr>
            <w:r w:rsidRPr="000B4A1E">
              <w:rPr>
                <w:b/>
                <w:lang w:eastAsia="en-AU"/>
              </w:rPr>
              <w:t>Contribution by non-controlling interest</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r>
      <w:tr w:rsidR="000B4A1E" w:rsidRPr="003E2DBE" w:rsidTr="00517E51">
        <w:tc>
          <w:tcPr>
            <w:tcW w:w="5324" w:type="dxa"/>
            <w:gridSpan w:val="2"/>
            <w:tcBorders>
              <w:top w:val="nil"/>
              <w:left w:val="nil"/>
              <w:bottom w:val="nil"/>
              <w:right w:val="nil"/>
            </w:tcBorders>
          </w:tcPr>
          <w:p w:rsidR="000B4A1E" w:rsidRPr="003E2DBE" w:rsidRDefault="000B4A1E" w:rsidP="00517E51">
            <w:pPr>
              <w:pStyle w:val="Tabletext"/>
              <w:rPr>
                <w:vertAlign w:val="superscript"/>
                <w:lang w:eastAsia="en-AU"/>
              </w:rPr>
            </w:pPr>
            <w:r w:rsidRPr="003E2DBE">
              <w:rPr>
                <w:lang w:eastAsia="en-AU"/>
              </w:rPr>
              <w:t xml:space="preserve">Doubtful receivables of the general government sector </w:t>
            </w:r>
            <w:r w:rsidRPr="003E2DBE">
              <w:rPr>
                <w:vertAlign w:val="superscript"/>
                <w:lang w:eastAsia="en-AU"/>
              </w:rPr>
              <w:t>(d)</w:t>
            </w:r>
          </w:p>
        </w:tc>
        <w:tc>
          <w:tcPr>
            <w:tcW w:w="955"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131.1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157.8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Doubtful receivables of the PNFC/PFC sector</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5.2</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2.8)</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Future tax benefits of the PNFC/PFC sector</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10.2)</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6.9)</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Deferred tax liability of the PNFC/PFC sector</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64.6</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232.5)</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vertAlign w:val="superscript"/>
                <w:lang w:eastAsia="en-AU"/>
              </w:rPr>
            </w:pPr>
            <w:r w:rsidRPr="003E2DBE">
              <w:rPr>
                <w:lang w:eastAsia="en-AU"/>
              </w:rPr>
              <w:t xml:space="preserve">Net gain on equity investments in other sector entities measured at proportional share of the carrying amount of net assets/(liabilities) </w:t>
            </w:r>
            <w:r w:rsidRPr="003E2DBE">
              <w:rPr>
                <w:vertAlign w:val="superscript"/>
                <w:lang w:eastAsia="en-AU"/>
              </w:rPr>
              <w:t>(e)(f)</w:t>
            </w:r>
          </w:p>
        </w:tc>
        <w:tc>
          <w:tcPr>
            <w:tcW w:w="1123"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922.3</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990.7)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Change in shares and other contributed capital</w:t>
            </w:r>
          </w:p>
        </w:tc>
        <w:tc>
          <w:tcPr>
            <w:tcW w:w="1123" w:type="dxa"/>
            <w:gridSpan w:val="3"/>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207.2</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380.1</w:t>
            </w:r>
          </w:p>
        </w:tc>
      </w:tr>
      <w:tr w:rsidR="000B4A1E" w:rsidRPr="003E2DBE" w:rsidTr="00517E51">
        <w:tc>
          <w:tcPr>
            <w:tcW w:w="5156" w:type="dxa"/>
            <w:tcBorders>
              <w:top w:val="single" w:sz="6" w:space="0" w:color="auto"/>
              <w:left w:val="nil"/>
              <w:bottom w:val="single" w:sz="6" w:space="0" w:color="auto"/>
              <w:right w:val="nil"/>
            </w:tcBorders>
          </w:tcPr>
          <w:p w:rsidR="000B4A1E" w:rsidRPr="003E2DBE" w:rsidRDefault="000B4A1E" w:rsidP="00517E51">
            <w:pPr>
              <w:pStyle w:val="Tabletext"/>
              <w:rPr>
                <w:i/>
                <w:iCs/>
                <w:lang w:eastAsia="en-AU"/>
              </w:rPr>
            </w:pPr>
            <w:r w:rsidRPr="003E2DBE">
              <w:rPr>
                <w:i/>
                <w:iCs/>
                <w:lang w:eastAsia="en-AU"/>
              </w:rPr>
              <w:t>plus total convergence differences</w:t>
            </w:r>
          </w:p>
        </w:tc>
        <w:tc>
          <w:tcPr>
            <w:tcW w:w="1123" w:type="dxa"/>
            <w:gridSpan w:val="3"/>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053.4</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832.8)</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987.0</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443.8</w:t>
            </w:r>
          </w:p>
        </w:tc>
      </w:tr>
      <w:tr w:rsidR="000B4A1E" w:rsidRPr="003E2DBE" w:rsidTr="00517E51">
        <w:tc>
          <w:tcPr>
            <w:tcW w:w="5156" w:type="dxa"/>
            <w:tcBorders>
              <w:top w:val="nil"/>
              <w:left w:val="nil"/>
              <w:bottom w:val="single" w:sz="12" w:space="0" w:color="auto"/>
              <w:right w:val="nil"/>
            </w:tcBorders>
          </w:tcPr>
          <w:p w:rsidR="000B4A1E" w:rsidRPr="003E2DBE" w:rsidRDefault="000B4A1E" w:rsidP="00517E51">
            <w:pPr>
              <w:pStyle w:val="Tabletext"/>
              <w:rPr>
                <w:b/>
                <w:lang w:eastAsia="en-AU"/>
              </w:rPr>
            </w:pPr>
            <w:r w:rsidRPr="003E2DBE">
              <w:rPr>
                <w:b/>
                <w:lang w:eastAsia="en-AU"/>
              </w:rPr>
              <w:t xml:space="preserve">GFS total change in net worth </w:t>
            </w:r>
          </w:p>
        </w:tc>
        <w:tc>
          <w:tcPr>
            <w:tcW w:w="1123"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9 </w:t>
            </w:r>
            <w:r w:rsidRPr="003E2DBE">
              <w:rPr>
                <w:rFonts w:eastAsiaTheme="minorEastAsia" w:cs="Calibri"/>
                <w:b/>
                <w:bCs/>
                <w:szCs w:val="22"/>
                <w:lang w:eastAsia="en-AU"/>
              </w:rPr>
              <w:t>247.0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(8</w:t>
            </w:r>
            <w:r w:rsidRPr="003E2DBE">
              <w:rPr>
                <w:rFonts w:eastAsiaTheme="minorEastAsia" w:cs="Calibri"/>
                <w:b/>
                <w:bCs/>
                <w:szCs w:val="22"/>
                <w:lang w:eastAsia="en-AU"/>
              </w:rPr>
              <w:t xml:space="preserve"> 793.4)</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r>
    </w:tbl>
    <w:p w:rsidR="000B4A1E" w:rsidRPr="00D00665" w:rsidRDefault="000B4A1E" w:rsidP="00517E51">
      <w:pPr>
        <w:pStyle w:val="Notes"/>
      </w:pPr>
      <w:r w:rsidRPr="00D00665">
        <w:t>Notes:</w:t>
      </w:r>
    </w:p>
    <w:p w:rsidR="000B4A1E" w:rsidRPr="00D00665" w:rsidRDefault="000B4A1E" w:rsidP="00517E51">
      <w:pPr>
        <w:pStyle w:val="Notes"/>
      </w:pPr>
      <w:r w:rsidRPr="00D00665">
        <w:t>(a)</w:t>
      </w:r>
      <w:r w:rsidRPr="00D00665">
        <w:tab/>
        <w:t xml:space="preserve">Determined in accordance with the ABS </w:t>
      </w:r>
      <w:r w:rsidR="00FC7ED5">
        <w:t>GFS manual</w:t>
      </w:r>
      <w:r w:rsidRPr="00D00665">
        <w:t>.</w:t>
      </w:r>
    </w:p>
    <w:p w:rsidR="000B4A1E" w:rsidRPr="00D00665" w:rsidRDefault="000B4A1E" w:rsidP="00517E51">
      <w:pPr>
        <w:pStyle w:val="Notes"/>
      </w:pPr>
      <w:r w:rsidRPr="00D00665">
        <w:t>(b)</w:t>
      </w:r>
      <w:r w:rsidRPr="00D00665">
        <w:tab/>
        <w:t xml:space="preserve">Restated Balances at 30 June 2012 and 1 July 2011. Refer to Note 36 of the financial statements. </w:t>
      </w:r>
    </w:p>
    <w:p w:rsidR="000B4A1E" w:rsidRPr="00D00665" w:rsidRDefault="000B4A1E" w:rsidP="00517E51">
      <w:pPr>
        <w:pStyle w:val="Notes"/>
      </w:pPr>
      <w:r w:rsidRPr="00D00665">
        <w:t>(c)</w:t>
      </w:r>
      <w:r w:rsidRPr="00D00665">
        <w:tab/>
        <w:t>Excludes transactions with owners as owner, therefore excluding non</w:t>
      </w:r>
      <w:r w:rsidRPr="00D00665">
        <w:noBreakHyphen/>
        <w:t xml:space="preserve">controlling interest. </w:t>
      </w:r>
    </w:p>
    <w:p w:rsidR="000B4A1E" w:rsidRPr="00D00665" w:rsidRDefault="000B4A1E" w:rsidP="00517E51">
      <w:pPr>
        <w:pStyle w:val="Notes"/>
      </w:pPr>
      <w:r w:rsidRPr="00D00665">
        <w:t>(d)</w:t>
      </w:r>
      <w:r w:rsidRPr="00D00665">
        <w:tab/>
        <w:t>The convergence difference arises because GFS does not recognise doubtful receivables, whereas the operating statement recognises it and classifies doubtful receivables as other economic flows.</w:t>
      </w:r>
    </w:p>
    <w:p w:rsidR="000B4A1E" w:rsidRPr="00D00665" w:rsidRDefault="000B4A1E" w:rsidP="00517E51">
      <w:pPr>
        <w:pStyle w:val="Notes"/>
      </w:pPr>
      <w:r w:rsidRPr="00D00665">
        <w:t>(e)</w:t>
      </w:r>
      <w:r w:rsidRPr="00D00665">
        <w:tab/>
        <w:t>The convergence difference arises because the amount of net assets (and therefore the change in carrying amount of net assets) of other sector entities determined under GFS principles and rules differs from the carrying amount of net assets (and therefore carrying amount of net assets) of the subsidiaries recognised in the balance sheet. The difference is therefore the total change in net worth impacting either through the net operating balance or other economic flows. The components are doubtful receivables.</w:t>
      </w:r>
    </w:p>
    <w:p w:rsidR="000B4A1E" w:rsidRPr="00D00665" w:rsidRDefault="000B4A1E" w:rsidP="00517E51">
      <w:pPr>
        <w:pStyle w:val="Notes"/>
      </w:pPr>
      <w:r w:rsidRPr="00D00665">
        <w:t>(f)</w:t>
      </w:r>
      <w:r w:rsidRPr="00D00665">
        <w:tab/>
        <w:t>Net gain on equity investments in other sector entities includes doubtful receivables, future tax benefits and deferred tax liability of the PNFC and PFC sectors.</w:t>
      </w:r>
    </w:p>
    <w:p w:rsidR="000B4A1E" w:rsidRPr="00D00665" w:rsidRDefault="000B4A1E" w:rsidP="00517E51"/>
    <w:p w:rsidR="000B4A1E" w:rsidRPr="00D00665" w:rsidRDefault="000B4A1E" w:rsidP="00517E51">
      <w:pPr>
        <w:pStyle w:val="Heading2Notes"/>
      </w:pPr>
      <w:r w:rsidRPr="00D00665">
        <w:br w:type="page"/>
      </w:r>
    </w:p>
    <w:p w:rsidR="000B4A1E" w:rsidRPr="00D00665" w:rsidRDefault="000B4A1E" w:rsidP="00517E51">
      <w:pPr>
        <w:pStyle w:val="Tableheading"/>
        <w:rPr>
          <w:vertAlign w:val="superscript"/>
        </w:rPr>
      </w:pPr>
    </w:p>
    <w:p w:rsidR="000B4A1E" w:rsidRPr="00D00665" w:rsidRDefault="000B4A1E" w:rsidP="00517E51">
      <w:pPr>
        <w:pStyle w:val="Tableheading"/>
        <w:spacing w:before="200"/>
        <w:rPr>
          <w:vertAlign w:val="superscript"/>
        </w:rPr>
      </w:pPr>
    </w:p>
    <w:p w:rsidR="000B4A1E" w:rsidRPr="003E2DBE" w:rsidRDefault="000B4A1E" w:rsidP="00517E51">
      <w:pPr>
        <w:pStyle w:val="million"/>
        <w:spacing w:before="300"/>
        <w:rPr>
          <w:rFonts w:ascii="Times New Roman" w:hAnsi="Times New Roman"/>
          <w:i w:val="0"/>
          <w:szCs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284"/>
        <w:gridCol w:w="1328"/>
        <w:gridCol w:w="1613"/>
        <w:gridCol w:w="236"/>
        <w:gridCol w:w="1377"/>
        <w:gridCol w:w="1612"/>
        <w:gridCol w:w="236"/>
        <w:gridCol w:w="1377"/>
        <w:gridCol w:w="1613"/>
      </w:tblGrid>
      <w:tr w:rsidR="000B4A1E" w:rsidRPr="003E2DBE" w:rsidTr="00667BF1">
        <w:trPr>
          <w:cantSplit/>
        </w:trPr>
        <w:tc>
          <w:tcPr>
            <w:tcW w:w="284" w:type="dxa"/>
            <w:tcBorders>
              <w:top w:val="single" w:sz="6" w:space="0" w:color="auto"/>
              <w:left w:val="single" w:sz="6" w:space="0" w:color="auto"/>
              <w:bottom w:val="single" w:sz="6" w:space="0" w:color="auto"/>
              <w:right w:val="nil"/>
            </w:tcBorders>
            <w:shd w:val="clear" w:color="auto" w:fill="000000"/>
          </w:tcPr>
          <w:p w:rsidR="000B4A1E" w:rsidRPr="003E2DBE" w:rsidRDefault="000B4A1E" w:rsidP="00667BF1">
            <w:pPr>
              <w:pStyle w:val="Tabletext"/>
              <w:rPr>
                <w:lang w:eastAsia="en-AU"/>
              </w:rPr>
            </w:pPr>
            <w:r w:rsidRPr="003E2DBE">
              <w:rPr>
                <w:lang w:eastAsia="en-AU"/>
              </w:rPr>
              <w:t xml:space="preserve"> </w:t>
            </w:r>
          </w:p>
        </w:tc>
        <w:tc>
          <w:tcPr>
            <w:tcW w:w="2941" w:type="dxa"/>
            <w:gridSpan w:val="2"/>
            <w:tcBorders>
              <w:top w:val="single" w:sz="6" w:space="0" w:color="auto"/>
              <w:left w:val="nil"/>
              <w:bottom w:val="single" w:sz="6" w:space="0" w:color="auto"/>
              <w:right w:val="nil"/>
            </w:tcBorders>
            <w:shd w:val="clear" w:color="auto" w:fill="000000"/>
          </w:tcPr>
          <w:p w:rsidR="000B4A1E" w:rsidRPr="003E2DBE" w:rsidRDefault="000B4A1E" w:rsidP="00667BF1">
            <w:pPr>
              <w:pStyle w:val="Tabletext"/>
              <w:rPr>
                <w:lang w:eastAsia="en-AU"/>
              </w:rPr>
            </w:pPr>
            <w:r w:rsidRPr="003E2DBE">
              <w:rPr>
                <w:lang w:eastAsia="en-AU"/>
              </w:rPr>
              <w:t xml:space="preserve">Public </w:t>
            </w:r>
          </w:p>
          <w:p w:rsidR="000B4A1E" w:rsidRPr="003E2DBE" w:rsidRDefault="000B4A1E" w:rsidP="00667BF1">
            <w:pPr>
              <w:pStyle w:val="Tabletext"/>
              <w:rPr>
                <w:lang w:eastAsia="en-AU"/>
              </w:rPr>
            </w:pPr>
            <w:r w:rsidRPr="003E2DBE">
              <w:rPr>
                <w:lang w:eastAsia="en-AU"/>
              </w:rPr>
              <w:t>financial corporations</w:t>
            </w:r>
          </w:p>
        </w:tc>
        <w:tc>
          <w:tcPr>
            <w:tcW w:w="236"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2989" w:type="dxa"/>
            <w:gridSpan w:val="2"/>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p>
          <w:p w:rsidR="000B4A1E" w:rsidRPr="003E2DBE" w:rsidRDefault="000B4A1E" w:rsidP="00517E51">
            <w:pPr>
              <w:pStyle w:val="TabletextheadingCentred"/>
              <w:rPr>
                <w:lang w:eastAsia="en-AU"/>
              </w:rPr>
            </w:pPr>
            <w:r w:rsidRPr="003E2DBE">
              <w:rPr>
                <w:lang w:eastAsia="en-AU"/>
              </w:rPr>
              <w:t>Eliminations</w:t>
            </w:r>
          </w:p>
        </w:tc>
        <w:tc>
          <w:tcPr>
            <w:tcW w:w="236" w:type="dxa"/>
            <w:tcBorders>
              <w:top w:val="single" w:sz="6" w:space="0" w:color="auto"/>
              <w:left w:val="nil"/>
              <w:bottom w:val="single" w:sz="6" w:space="0" w:color="auto"/>
              <w:right w:val="single" w:sz="6" w:space="0" w:color="auto"/>
            </w:tcBorders>
            <w:shd w:val="clear" w:color="auto" w:fill="000000"/>
          </w:tcPr>
          <w:p w:rsidR="000B4A1E" w:rsidRPr="003E2DBE" w:rsidRDefault="000B4A1E" w:rsidP="00517E51">
            <w:pPr>
              <w:pStyle w:val="TabletextheadingCentred"/>
              <w:rPr>
                <w:rFonts w:cs="Calibri"/>
                <w:iCs/>
                <w:szCs w:val="22"/>
                <w:lang w:eastAsia="en-AU"/>
              </w:rPr>
            </w:pPr>
            <w:r w:rsidRPr="003E2DBE">
              <w:rPr>
                <w:rFonts w:cs="Calibri"/>
                <w:iCs/>
                <w:szCs w:val="22"/>
                <w:lang w:eastAsia="en-AU"/>
              </w:rPr>
              <w:t xml:space="preserve"> </w:t>
            </w:r>
          </w:p>
        </w:tc>
        <w:tc>
          <w:tcPr>
            <w:tcW w:w="2990" w:type="dxa"/>
            <w:gridSpan w:val="2"/>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headingCentred"/>
              <w:rPr>
                <w:rFonts w:cs="Calibri"/>
                <w:iCs/>
                <w:szCs w:val="22"/>
                <w:lang w:eastAsia="en-AU"/>
              </w:rPr>
            </w:pPr>
          </w:p>
          <w:p w:rsidR="000B4A1E" w:rsidRPr="003E2DBE" w:rsidRDefault="000B4A1E" w:rsidP="00517E51">
            <w:pPr>
              <w:pStyle w:val="TabletextheadingCentred"/>
              <w:rPr>
                <w:rFonts w:cs="Calibri"/>
                <w:iCs/>
                <w:szCs w:val="22"/>
                <w:lang w:eastAsia="en-AU"/>
              </w:rPr>
            </w:pPr>
            <w:r w:rsidRPr="003E2DBE">
              <w:rPr>
                <w:rFonts w:cs="Calibri"/>
                <w:iCs/>
                <w:szCs w:val="22"/>
                <w:lang w:eastAsia="en-AU"/>
              </w:rPr>
              <w:t>State of Victoria</w:t>
            </w:r>
          </w:p>
        </w:tc>
      </w:tr>
      <w:tr w:rsidR="000B4A1E" w:rsidRPr="003E2DBE" w:rsidTr="00667BF1">
        <w:trPr>
          <w:cantSplit/>
        </w:trPr>
        <w:tc>
          <w:tcPr>
            <w:tcW w:w="1612" w:type="dxa"/>
            <w:gridSpan w:val="2"/>
            <w:tcBorders>
              <w:top w:val="single" w:sz="6" w:space="0" w:color="auto"/>
              <w:left w:val="single" w:sz="6" w:space="0" w:color="auto"/>
              <w:bottom w:val="single" w:sz="6" w:space="0" w:color="auto"/>
              <w:right w:val="nil"/>
            </w:tcBorders>
            <w:shd w:val="solid" w:color="000000" w:fill="auto"/>
          </w:tcPr>
          <w:p w:rsidR="000B4A1E" w:rsidRPr="003E2DBE" w:rsidRDefault="000B4A1E" w:rsidP="00667BF1">
            <w:pPr>
              <w:pStyle w:val="Tabletext"/>
              <w:rPr>
                <w:lang w:eastAsia="en-AU"/>
              </w:rPr>
            </w:pPr>
            <w:r w:rsidRPr="003E2DBE">
              <w:rPr>
                <w:lang w:eastAsia="en-AU"/>
              </w:rPr>
              <w:t>2013</w:t>
            </w:r>
          </w:p>
        </w:tc>
        <w:tc>
          <w:tcPr>
            <w:tcW w:w="161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2012</w:t>
            </w:r>
          </w:p>
        </w:tc>
        <w:tc>
          <w:tcPr>
            <w:tcW w:w="1613"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2013</w:t>
            </w:r>
          </w:p>
        </w:tc>
        <w:tc>
          <w:tcPr>
            <w:tcW w:w="1612"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2012</w:t>
            </w:r>
          </w:p>
        </w:tc>
        <w:tc>
          <w:tcPr>
            <w:tcW w:w="1613"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2013</w:t>
            </w:r>
          </w:p>
        </w:tc>
        <w:tc>
          <w:tcPr>
            <w:tcW w:w="1613"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2012</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978.5)</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940.3)</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(1</w:t>
            </w:r>
            <w:r w:rsidRPr="003E2DBE">
              <w:rPr>
                <w:rFonts w:eastAsiaTheme="minorEastAsia" w:cs="Calibri"/>
                <w:szCs w:val="22"/>
                <w:lang w:eastAsia="en-AU"/>
              </w:rPr>
              <w:t xml:space="preserve"> 526.5)</w:t>
            </w:r>
          </w:p>
        </w:tc>
        <w:tc>
          <w:tcPr>
            <w:tcW w:w="1612"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818.9)</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(2</w:t>
            </w:r>
            <w:r w:rsidRPr="003E2DBE">
              <w:rPr>
                <w:rFonts w:eastAsiaTheme="minorEastAsia"/>
                <w:lang w:eastAsia="en-AU"/>
              </w:rPr>
              <w:t xml:space="preserve"> 486.8)</w:t>
            </w:r>
          </w:p>
        </w:tc>
        <w:tc>
          <w:tcPr>
            <w:tcW w:w="161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(1</w:t>
            </w:r>
            <w:r w:rsidRPr="003E2DBE">
              <w:rPr>
                <w:rFonts w:eastAsiaTheme="minorEastAsia"/>
                <w:lang w:eastAsia="en-AU"/>
              </w:rPr>
              <w:t xml:space="preserve"> 247.6)</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2"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 440.6</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353.4</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(1</w:t>
            </w:r>
            <w:r w:rsidRPr="003E2DBE">
              <w:rPr>
                <w:rFonts w:eastAsiaTheme="minorEastAsia" w:cs="Calibri"/>
                <w:b/>
                <w:bCs/>
                <w:szCs w:val="22"/>
                <w:lang w:eastAsia="en-AU"/>
              </w:rPr>
              <w:t xml:space="preserve"> 160.9)</w:t>
            </w:r>
          </w:p>
        </w:tc>
        <w:tc>
          <w:tcPr>
            <w:tcW w:w="1612"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659.3)</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b/>
                <w:bCs/>
                <w:lang w:eastAsia="en-AU"/>
              </w:rPr>
              <w:t>..</w:t>
            </w:r>
          </w:p>
        </w:tc>
        <w:tc>
          <w:tcPr>
            <w:tcW w:w="161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b/>
                <w:bCs/>
                <w:lang w:eastAsia="en-AU"/>
              </w:rPr>
              <w:t>..</w:t>
            </w:r>
          </w:p>
        </w:tc>
      </w:tr>
      <w:tr w:rsidR="000B4A1E" w:rsidRPr="003E2DBE" w:rsidTr="00667BF1">
        <w:trPr>
          <w:cantSplit/>
        </w:trPr>
        <w:tc>
          <w:tcPr>
            <w:tcW w:w="1612" w:type="dxa"/>
            <w:gridSpan w:val="2"/>
            <w:tcBorders>
              <w:top w:val="single" w:sz="6" w:space="0" w:color="auto"/>
              <w:left w:val="nil"/>
              <w:bottom w:val="single" w:sz="6" w:space="0" w:color="auto"/>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440.6)</w:t>
            </w:r>
          </w:p>
        </w:tc>
        <w:tc>
          <w:tcPr>
            <w:tcW w:w="161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353.4)</w:t>
            </w:r>
          </w:p>
        </w:tc>
        <w:tc>
          <w:tcPr>
            <w:tcW w:w="161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160.9</w:t>
            </w:r>
          </w:p>
        </w:tc>
        <w:tc>
          <w:tcPr>
            <w:tcW w:w="1612"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659.3</w:t>
            </w:r>
          </w:p>
        </w:tc>
        <w:tc>
          <w:tcPr>
            <w:tcW w:w="161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lang w:eastAsia="en-AU"/>
              </w:rPr>
              <w:t>..</w:t>
            </w:r>
          </w:p>
        </w:tc>
        <w:tc>
          <w:tcPr>
            <w:tcW w:w="161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lang w:eastAsia="en-AU"/>
              </w:rPr>
              <w:t>..</w:t>
            </w:r>
          </w:p>
        </w:tc>
      </w:tr>
      <w:tr w:rsidR="000B4A1E" w:rsidRPr="003E2DBE" w:rsidTr="00667BF1">
        <w:trPr>
          <w:cantSplit/>
        </w:trPr>
        <w:tc>
          <w:tcPr>
            <w:tcW w:w="1612" w:type="dxa"/>
            <w:gridSpan w:val="2"/>
            <w:tcBorders>
              <w:top w:val="single" w:sz="6" w:space="0" w:color="auto"/>
              <w:left w:val="nil"/>
              <w:bottom w:val="single" w:sz="12"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(1</w:t>
            </w:r>
            <w:r w:rsidRPr="003E2DBE">
              <w:rPr>
                <w:rFonts w:eastAsiaTheme="minorEastAsia" w:cs="Calibri"/>
                <w:b/>
                <w:bCs/>
                <w:szCs w:val="22"/>
                <w:lang w:eastAsia="en-AU"/>
              </w:rPr>
              <w:t xml:space="preserve"> 419.1)</w:t>
            </w:r>
          </w:p>
        </w:tc>
        <w:tc>
          <w:tcPr>
            <w:tcW w:w="161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(1</w:t>
            </w:r>
            <w:r w:rsidRPr="003E2DBE">
              <w:rPr>
                <w:rFonts w:eastAsiaTheme="minorEastAsia" w:cs="Calibri"/>
                <w:b/>
                <w:bCs/>
                <w:szCs w:val="22"/>
                <w:lang w:eastAsia="en-AU"/>
              </w:rPr>
              <w:t xml:space="preserve"> 293.7)</w:t>
            </w:r>
          </w:p>
        </w:tc>
        <w:tc>
          <w:tcPr>
            <w:tcW w:w="161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365.6)</w:t>
            </w:r>
          </w:p>
        </w:tc>
        <w:tc>
          <w:tcPr>
            <w:tcW w:w="1612"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159.6)</w:t>
            </w:r>
          </w:p>
        </w:tc>
        <w:tc>
          <w:tcPr>
            <w:tcW w:w="161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b/>
                <w:bCs/>
                <w:lang w:eastAsia="en-AU"/>
              </w:rPr>
              <w:t>(2</w:t>
            </w:r>
            <w:r w:rsidRPr="003E2DBE">
              <w:rPr>
                <w:rFonts w:eastAsiaTheme="minorEastAsia"/>
                <w:b/>
                <w:bCs/>
                <w:lang w:eastAsia="en-AU"/>
              </w:rPr>
              <w:t xml:space="preserve"> 486.8)</w:t>
            </w:r>
          </w:p>
        </w:tc>
        <w:tc>
          <w:tcPr>
            <w:tcW w:w="161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b/>
                <w:bCs/>
                <w:lang w:eastAsia="en-AU"/>
              </w:rPr>
              <w:t>(1</w:t>
            </w:r>
            <w:r w:rsidRPr="003E2DBE">
              <w:rPr>
                <w:rFonts w:eastAsiaTheme="minorEastAsia"/>
                <w:b/>
                <w:bCs/>
                <w:lang w:eastAsia="en-AU"/>
              </w:rPr>
              <w:t xml:space="preserve"> 247.6)</w:t>
            </w:r>
          </w:p>
        </w:tc>
      </w:tr>
    </w:tbl>
    <w:p w:rsidR="000B4A1E" w:rsidRPr="00D00665" w:rsidRDefault="000B4A1E" w:rsidP="00517E51">
      <w:pPr>
        <w:pStyle w:val="Notes"/>
      </w:pPr>
    </w:p>
    <w:p w:rsidR="000B4A1E" w:rsidRPr="00D00665" w:rsidRDefault="000B4A1E" w:rsidP="00517E51">
      <w:pPr>
        <w:pStyle w:val="Notes"/>
        <w:spacing w:after="60"/>
      </w:pPr>
    </w:p>
    <w:p w:rsidR="000B4A1E" w:rsidRPr="00D00665" w:rsidRDefault="000B4A1E" w:rsidP="00517E51">
      <w:pPr>
        <w:pStyle w:val="Notes"/>
      </w:pPr>
    </w:p>
    <w:p w:rsidR="000B4A1E" w:rsidRPr="00D00665" w:rsidRDefault="000B4A1E" w:rsidP="00517E51">
      <w:pPr>
        <w:pStyle w:val="Notes"/>
        <w:spacing w:before="40"/>
      </w:pPr>
    </w:p>
    <w:p w:rsidR="000B4A1E" w:rsidRPr="00D00665" w:rsidRDefault="000B4A1E" w:rsidP="00517E51">
      <w:pPr>
        <w:pStyle w:val="Notes"/>
      </w:pPr>
    </w:p>
    <w:p w:rsidR="000B4A1E" w:rsidRPr="00D00665" w:rsidRDefault="000B4A1E" w:rsidP="00517E51">
      <w:pPr>
        <w:pStyle w:val="Tableheading"/>
        <w:spacing w:before="180"/>
        <w:rPr>
          <w:vertAlign w:val="superscript"/>
        </w:rPr>
      </w:pPr>
    </w:p>
    <w:p w:rsidR="000B4A1E" w:rsidRDefault="000B4A1E" w:rsidP="00517E51">
      <w:pPr>
        <w:pStyle w:val="million"/>
        <w:rPr>
          <w:rFonts w:ascii="Times New Roman" w:hAnsi="Times New Roman"/>
          <w:i w:val="0"/>
          <w:szCs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284"/>
        <w:gridCol w:w="1328"/>
        <w:gridCol w:w="1613"/>
        <w:gridCol w:w="236"/>
        <w:gridCol w:w="1377"/>
        <w:gridCol w:w="1612"/>
        <w:gridCol w:w="236"/>
        <w:gridCol w:w="1377"/>
        <w:gridCol w:w="1613"/>
      </w:tblGrid>
      <w:tr w:rsidR="000B4A1E" w:rsidRPr="003E2DBE" w:rsidTr="00103F3E">
        <w:tc>
          <w:tcPr>
            <w:tcW w:w="284" w:type="dxa"/>
            <w:tcBorders>
              <w:top w:val="single" w:sz="6" w:space="0" w:color="auto"/>
              <w:left w:val="single" w:sz="6" w:space="0" w:color="auto"/>
              <w:bottom w:val="single" w:sz="6" w:space="0" w:color="auto"/>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2941" w:type="dxa"/>
            <w:gridSpan w:val="2"/>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Public </w:t>
            </w:r>
          </w:p>
          <w:p w:rsidR="000B4A1E" w:rsidRPr="003E2DBE" w:rsidRDefault="000B4A1E" w:rsidP="00517E51">
            <w:pPr>
              <w:pStyle w:val="TabletextheadingCentred"/>
              <w:rPr>
                <w:lang w:eastAsia="en-AU"/>
              </w:rPr>
            </w:pPr>
            <w:r w:rsidRPr="003E2DBE">
              <w:rPr>
                <w:lang w:eastAsia="en-AU"/>
              </w:rPr>
              <w:t>financial corporations</w:t>
            </w:r>
          </w:p>
        </w:tc>
        <w:tc>
          <w:tcPr>
            <w:tcW w:w="236"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2989" w:type="dxa"/>
            <w:gridSpan w:val="2"/>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p>
          <w:p w:rsidR="000B4A1E" w:rsidRPr="003E2DBE" w:rsidRDefault="000B4A1E" w:rsidP="00517E51">
            <w:pPr>
              <w:pStyle w:val="TabletextheadingCentred"/>
              <w:rPr>
                <w:lang w:eastAsia="en-AU"/>
              </w:rPr>
            </w:pPr>
            <w:r w:rsidRPr="003E2DBE">
              <w:rPr>
                <w:lang w:eastAsia="en-AU"/>
              </w:rPr>
              <w:t>Eliminations</w:t>
            </w:r>
          </w:p>
        </w:tc>
        <w:tc>
          <w:tcPr>
            <w:tcW w:w="236" w:type="dxa"/>
            <w:tcBorders>
              <w:top w:val="single" w:sz="6" w:space="0" w:color="auto"/>
              <w:left w:val="nil"/>
              <w:bottom w:val="single" w:sz="6" w:space="0" w:color="auto"/>
              <w:right w:val="single" w:sz="6" w:space="0" w:color="auto"/>
            </w:tcBorders>
            <w:shd w:val="clear" w:color="auto" w:fill="000000"/>
          </w:tcPr>
          <w:p w:rsidR="000B4A1E" w:rsidRPr="003E2DBE" w:rsidRDefault="000B4A1E" w:rsidP="00517E51">
            <w:pPr>
              <w:pStyle w:val="TabletextheadingCentred"/>
              <w:rPr>
                <w:rFonts w:cs="Calibri"/>
                <w:iCs/>
                <w:szCs w:val="22"/>
                <w:lang w:eastAsia="en-AU"/>
              </w:rPr>
            </w:pPr>
            <w:r w:rsidRPr="003E2DBE">
              <w:rPr>
                <w:rFonts w:cs="Calibri"/>
                <w:iCs/>
                <w:szCs w:val="22"/>
                <w:lang w:eastAsia="en-AU"/>
              </w:rPr>
              <w:t xml:space="preserve"> </w:t>
            </w:r>
          </w:p>
        </w:tc>
        <w:tc>
          <w:tcPr>
            <w:tcW w:w="2990" w:type="dxa"/>
            <w:gridSpan w:val="2"/>
            <w:tcBorders>
              <w:top w:val="single" w:sz="6" w:space="0" w:color="auto"/>
              <w:left w:val="single" w:sz="6" w:space="0" w:color="auto"/>
              <w:bottom w:val="single" w:sz="6" w:space="0" w:color="auto"/>
              <w:right w:val="single" w:sz="6" w:space="0" w:color="auto"/>
            </w:tcBorders>
            <w:shd w:val="solid" w:color="000000" w:fill="auto"/>
          </w:tcPr>
          <w:p w:rsidR="000B4A1E" w:rsidRPr="003E2DBE" w:rsidRDefault="000B4A1E" w:rsidP="00517E51">
            <w:pPr>
              <w:pStyle w:val="TabletextheadingCentred"/>
              <w:rPr>
                <w:rFonts w:cs="Calibri"/>
                <w:iCs/>
                <w:szCs w:val="22"/>
                <w:lang w:eastAsia="en-AU"/>
              </w:rPr>
            </w:pPr>
          </w:p>
          <w:p w:rsidR="000B4A1E" w:rsidRPr="003E2DBE" w:rsidRDefault="000B4A1E" w:rsidP="00517E51">
            <w:pPr>
              <w:pStyle w:val="TabletextheadingCentred"/>
              <w:rPr>
                <w:rFonts w:cs="Calibri"/>
                <w:iCs/>
                <w:szCs w:val="22"/>
                <w:lang w:eastAsia="en-AU"/>
              </w:rPr>
            </w:pPr>
            <w:r w:rsidRPr="003E2DBE">
              <w:rPr>
                <w:rFonts w:cs="Calibri"/>
                <w:iCs/>
                <w:szCs w:val="22"/>
                <w:lang w:eastAsia="en-AU"/>
              </w:rPr>
              <w:t>State of Victoria</w:t>
            </w:r>
          </w:p>
        </w:tc>
      </w:tr>
      <w:tr w:rsidR="000B4A1E" w:rsidRPr="003E2DBE" w:rsidTr="00517E51">
        <w:tc>
          <w:tcPr>
            <w:tcW w:w="1612" w:type="dxa"/>
            <w:gridSpan w:val="2"/>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2013</w:t>
            </w:r>
          </w:p>
        </w:tc>
        <w:tc>
          <w:tcPr>
            <w:tcW w:w="161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2012</w:t>
            </w:r>
          </w:p>
        </w:tc>
        <w:tc>
          <w:tcPr>
            <w:tcW w:w="1613"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2013</w:t>
            </w:r>
          </w:p>
        </w:tc>
        <w:tc>
          <w:tcPr>
            <w:tcW w:w="1612"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2012</w:t>
            </w:r>
          </w:p>
        </w:tc>
        <w:tc>
          <w:tcPr>
            <w:tcW w:w="1613"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2013</w:t>
            </w:r>
          </w:p>
        </w:tc>
        <w:tc>
          <w:tcPr>
            <w:tcW w:w="1613"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2012</w:t>
            </w:r>
          </w:p>
        </w:tc>
      </w:tr>
      <w:tr w:rsidR="000B4A1E" w:rsidRPr="003E2DBE" w:rsidTr="00517E51">
        <w:tc>
          <w:tcPr>
            <w:tcW w:w="1612" w:type="dxa"/>
            <w:gridSpan w:val="2"/>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 </w:t>
            </w:r>
            <w:r w:rsidRPr="003E2DBE">
              <w:rPr>
                <w:rFonts w:eastAsiaTheme="minorEastAsia" w:cs="Calibri"/>
                <w:b/>
                <w:bCs/>
                <w:szCs w:val="22"/>
                <w:lang w:eastAsia="en-AU"/>
              </w:rPr>
              <w:t>258.7</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(4</w:t>
            </w:r>
            <w:r w:rsidRPr="003E2DBE">
              <w:rPr>
                <w:rFonts w:eastAsiaTheme="minorEastAsia" w:cs="Calibri"/>
                <w:b/>
                <w:bCs/>
                <w:szCs w:val="22"/>
                <w:lang w:eastAsia="en-AU"/>
              </w:rPr>
              <w:t xml:space="preserve"> 432.7)</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309.3</w:t>
            </w:r>
          </w:p>
        </w:tc>
        <w:tc>
          <w:tcPr>
            <w:tcW w:w="1612"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905.3)</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 xml:space="preserve">10 </w:t>
            </w:r>
            <w:r w:rsidRPr="003E2DBE">
              <w:rPr>
                <w:rFonts w:eastAsiaTheme="minorEastAsia"/>
                <w:lang w:eastAsia="en-AU"/>
              </w:rPr>
              <w:t>774.5</w:t>
            </w:r>
          </w:p>
        </w:tc>
        <w:tc>
          <w:tcPr>
            <w:tcW w:w="161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(13</w:t>
            </w:r>
            <w:r w:rsidRPr="003E2DBE">
              <w:rPr>
                <w:rFonts w:eastAsiaTheme="minorEastAsia"/>
                <w:lang w:eastAsia="en-AU"/>
              </w:rPr>
              <w:t xml:space="preserve"> 742.4)</w:t>
            </w:r>
          </w:p>
        </w:tc>
      </w:tr>
      <w:tr w:rsidR="000B4A1E" w:rsidRPr="003E2DBE" w:rsidTr="00517E51">
        <w:tc>
          <w:tcPr>
            <w:tcW w:w="1612"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3"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2"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3"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c>
          <w:tcPr>
            <w:tcW w:w="1612"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440.6</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353.4</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(1</w:t>
            </w:r>
            <w:r w:rsidRPr="003E2DBE">
              <w:rPr>
                <w:rFonts w:eastAsiaTheme="minorEastAsia" w:cs="Calibri"/>
                <w:szCs w:val="22"/>
                <w:lang w:eastAsia="en-AU"/>
              </w:rPr>
              <w:t xml:space="preserve"> 160.9)</w:t>
            </w:r>
          </w:p>
        </w:tc>
        <w:tc>
          <w:tcPr>
            <w:tcW w:w="1612"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659.3)</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w:t>
            </w:r>
          </w:p>
        </w:tc>
      </w:tr>
      <w:tr w:rsidR="000B4A1E" w:rsidRPr="003E2DBE" w:rsidTr="00517E51">
        <w:tc>
          <w:tcPr>
            <w:tcW w:w="1612"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2"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r>
      <w:tr w:rsidR="000B4A1E" w:rsidRPr="003E2DBE" w:rsidTr="00517E51">
        <w:tc>
          <w:tcPr>
            <w:tcW w:w="1612"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2"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r>
      <w:tr w:rsidR="000B4A1E" w:rsidRPr="003E2DBE" w:rsidTr="00517E51">
        <w:tc>
          <w:tcPr>
            <w:tcW w:w="1612"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2"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 xml:space="preserve"> 131.1</w:t>
            </w:r>
          </w:p>
        </w:tc>
        <w:tc>
          <w:tcPr>
            <w:tcW w:w="161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 xml:space="preserve"> 157.8</w:t>
            </w:r>
          </w:p>
        </w:tc>
      </w:tr>
      <w:tr w:rsidR="000B4A1E" w:rsidRPr="003E2DBE" w:rsidTr="00517E51">
        <w:tc>
          <w:tcPr>
            <w:tcW w:w="1612"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1.3</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4.7</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2"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 xml:space="preserve"> 6.5</w:t>
            </w:r>
          </w:p>
        </w:tc>
        <w:tc>
          <w:tcPr>
            <w:tcW w:w="161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 xml:space="preserve"> 1.8</w:t>
            </w:r>
          </w:p>
        </w:tc>
      </w:tr>
      <w:tr w:rsidR="000B4A1E" w:rsidRPr="003E2DBE" w:rsidTr="00517E51">
        <w:tc>
          <w:tcPr>
            <w:tcW w:w="1612"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775.1</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754.8)</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764.9)</w:t>
            </w:r>
          </w:p>
        </w:tc>
        <w:tc>
          <w:tcPr>
            <w:tcW w:w="1612"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761.7</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w:t>
            </w:r>
          </w:p>
        </w:tc>
      </w:tr>
      <w:tr w:rsidR="000B4A1E" w:rsidRPr="003E2DBE" w:rsidTr="00517E51">
        <w:tc>
          <w:tcPr>
            <w:tcW w:w="1612"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86.4</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1.7</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150.9)</w:t>
            </w:r>
          </w:p>
        </w:tc>
        <w:tc>
          <w:tcPr>
            <w:tcW w:w="1612"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230.8</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w:t>
            </w:r>
          </w:p>
        </w:tc>
      </w:tr>
      <w:tr w:rsidR="000B4A1E" w:rsidRPr="003E2DBE" w:rsidTr="00517E51">
        <w:tc>
          <w:tcPr>
            <w:tcW w:w="1612"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w:t>
            </w:r>
            <w:r>
              <w:rPr>
                <w:lang w:eastAsia="en-AU"/>
              </w:rPr>
              <w:br/>
            </w:r>
            <w:r>
              <w:rPr>
                <w:lang w:eastAsia="en-AU"/>
              </w:rPr>
              <w:br/>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922.3)</w:t>
            </w:r>
          </w:p>
        </w:tc>
        <w:tc>
          <w:tcPr>
            <w:tcW w:w="1612"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990.7</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lang w:eastAsia="en-AU"/>
              </w:rPr>
              <w:t>..</w:t>
            </w:r>
          </w:p>
        </w:tc>
      </w:tr>
      <w:tr w:rsidR="000B4A1E" w:rsidRPr="003E2DBE" w:rsidTr="00517E51">
        <w:tc>
          <w:tcPr>
            <w:tcW w:w="1612"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(4</w:t>
            </w:r>
            <w:r w:rsidRPr="003E2DBE">
              <w:rPr>
                <w:rFonts w:eastAsiaTheme="minorEastAsia" w:cs="Calibri"/>
                <w:szCs w:val="22"/>
                <w:lang w:eastAsia="en-AU"/>
              </w:rPr>
              <w:t xml:space="preserve"> 562.0)</w:t>
            </w:r>
          </w:p>
        </w:tc>
        <w:tc>
          <w:tcPr>
            <w:tcW w:w="161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4 </w:t>
            </w:r>
            <w:r w:rsidRPr="003E2DBE">
              <w:rPr>
                <w:rFonts w:eastAsiaTheme="minorEastAsia" w:cs="Calibri"/>
                <w:szCs w:val="22"/>
                <w:lang w:eastAsia="en-AU"/>
              </w:rPr>
              <w:t>827.7</w:t>
            </w:r>
          </w:p>
        </w:tc>
        <w:tc>
          <w:tcPr>
            <w:tcW w:w="161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4 </w:t>
            </w:r>
            <w:r w:rsidRPr="003E2DBE">
              <w:rPr>
                <w:rFonts w:eastAsiaTheme="minorEastAsia" w:cs="Calibri"/>
                <w:szCs w:val="22"/>
                <w:lang w:eastAsia="en-AU"/>
              </w:rPr>
              <w:t>354.8</w:t>
            </w:r>
          </w:p>
        </w:tc>
        <w:tc>
          <w:tcPr>
            <w:tcW w:w="1612"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(5</w:t>
            </w:r>
            <w:r w:rsidRPr="003E2DBE">
              <w:rPr>
                <w:rFonts w:eastAsiaTheme="minorEastAsia" w:cs="Calibri"/>
                <w:szCs w:val="22"/>
                <w:lang w:eastAsia="en-AU"/>
              </w:rPr>
              <w:t xml:space="preserve"> 207.8)</w:t>
            </w:r>
          </w:p>
        </w:tc>
        <w:tc>
          <w:tcPr>
            <w:tcW w:w="161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lang w:eastAsia="en-AU"/>
              </w:rPr>
              <w:t>..</w:t>
            </w:r>
          </w:p>
        </w:tc>
        <w:tc>
          <w:tcPr>
            <w:tcW w:w="161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lang w:eastAsia="en-AU"/>
              </w:rPr>
              <w:t>..</w:t>
            </w:r>
          </w:p>
        </w:tc>
      </w:tr>
      <w:tr w:rsidR="000B4A1E" w:rsidRPr="003E2DBE" w:rsidTr="00517E51">
        <w:tc>
          <w:tcPr>
            <w:tcW w:w="1612"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(3</w:t>
            </w:r>
            <w:r w:rsidRPr="003E2DBE">
              <w:rPr>
                <w:rFonts w:eastAsiaTheme="minorEastAsia" w:cs="Calibri"/>
                <w:szCs w:val="22"/>
                <w:lang w:eastAsia="en-AU"/>
              </w:rPr>
              <w:t xml:space="preserve"> 258.7)</w:t>
            </w:r>
          </w:p>
        </w:tc>
        <w:tc>
          <w:tcPr>
            <w:tcW w:w="161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4 </w:t>
            </w:r>
            <w:r w:rsidRPr="003E2DBE">
              <w:rPr>
                <w:rFonts w:eastAsiaTheme="minorEastAsia" w:cs="Calibri"/>
                <w:szCs w:val="22"/>
                <w:lang w:eastAsia="en-AU"/>
              </w:rPr>
              <w:t>432.7</w:t>
            </w:r>
          </w:p>
        </w:tc>
        <w:tc>
          <w:tcPr>
            <w:tcW w:w="161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355.8</w:t>
            </w:r>
          </w:p>
        </w:tc>
        <w:tc>
          <w:tcPr>
            <w:tcW w:w="1612"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(3</w:t>
            </w:r>
            <w:r w:rsidRPr="003E2DBE">
              <w:rPr>
                <w:rFonts w:eastAsiaTheme="minorEastAsia" w:cs="Calibri"/>
                <w:szCs w:val="22"/>
                <w:lang w:eastAsia="en-AU"/>
              </w:rPr>
              <w:t xml:space="preserve"> 884.0)</w:t>
            </w:r>
          </w:p>
        </w:tc>
        <w:tc>
          <w:tcPr>
            <w:tcW w:w="161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lang w:eastAsia="en-AU"/>
              </w:rPr>
              <w:t xml:space="preserve"> 137.6</w:t>
            </w:r>
          </w:p>
        </w:tc>
        <w:tc>
          <w:tcPr>
            <w:tcW w:w="161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lang w:eastAsia="en-AU"/>
              </w:rPr>
              <w:t xml:space="preserve"> 159.7</w:t>
            </w:r>
          </w:p>
        </w:tc>
      </w:tr>
      <w:tr w:rsidR="000B4A1E" w:rsidRPr="003E2DBE" w:rsidTr="00517E51">
        <w:tc>
          <w:tcPr>
            <w:tcW w:w="1612"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161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161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1 </w:t>
            </w:r>
            <w:r w:rsidRPr="003E2DBE">
              <w:rPr>
                <w:rFonts w:eastAsiaTheme="minorEastAsia" w:cs="Calibri"/>
                <w:b/>
                <w:bCs/>
                <w:szCs w:val="22"/>
                <w:lang w:eastAsia="en-AU"/>
              </w:rPr>
              <w:t>665.1</w:t>
            </w:r>
          </w:p>
        </w:tc>
        <w:tc>
          <w:tcPr>
            <w:tcW w:w="1612"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(4</w:t>
            </w:r>
            <w:r w:rsidRPr="003E2DBE">
              <w:rPr>
                <w:rFonts w:eastAsiaTheme="minorEastAsia" w:cs="Calibri"/>
                <w:b/>
                <w:bCs/>
                <w:szCs w:val="22"/>
                <w:lang w:eastAsia="en-AU"/>
              </w:rPr>
              <w:t xml:space="preserve"> 789.2)</w:t>
            </w:r>
          </w:p>
        </w:tc>
        <w:tc>
          <w:tcPr>
            <w:tcW w:w="161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b/>
                <w:lang w:eastAsia="en-AU"/>
              </w:rPr>
              <w:t xml:space="preserve">10 </w:t>
            </w:r>
            <w:r w:rsidRPr="003E2DBE">
              <w:rPr>
                <w:rFonts w:eastAsiaTheme="minorEastAsia"/>
                <w:b/>
                <w:lang w:eastAsia="en-AU"/>
              </w:rPr>
              <w:t>912.1</w:t>
            </w:r>
          </w:p>
        </w:tc>
        <w:tc>
          <w:tcPr>
            <w:tcW w:w="161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b/>
                <w:lang w:eastAsia="en-AU"/>
              </w:rPr>
              <w:t>(13</w:t>
            </w:r>
            <w:r w:rsidRPr="003E2DBE">
              <w:rPr>
                <w:rFonts w:eastAsiaTheme="minorEastAsia"/>
                <w:b/>
                <w:lang w:eastAsia="en-AU"/>
              </w:rPr>
              <w:t xml:space="preserve"> 582.7)</w:t>
            </w:r>
          </w:p>
        </w:tc>
      </w:tr>
    </w:tbl>
    <w:p w:rsidR="000B4A1E" w:rsidRPr="00D00665" w:rsidRDefault="000B4A1E" w:rsidP="00517E51">
      <w:pPr>
        <w:pStyle w:val="million"/>
      </w:pPr>
    </w:p>
    <w:p w:rsidR="000B4A1E" w:rsidRPr="00D00665" w:rsidRDefault="000B4A1E" w:rsidP="00517E51">
      <w:pPr>
        <w:pStyle w:val="Heading2NotesContd"/>
        <w:rPr>
          <w:i/>
        </w:rPr>
      </w:pPr>
      <w:r w:rsidRPr="00D00665">
        <w:br w:type="page"/>
      </w:r>
      <w:r w:rsidRPr="00D00665">
        <w:lastRenderedPageBreak/>
        <w:t>Note 30:</w:t>
      </w:r>
      <w:r w:rsidRPr="00D00665">
        <w:tab/>
        <w:t xml:space="preserve">Reconciliations </w:t>
      </w:r>
      <w:r w:rsidRPr="00D00665">
        <w:rPr>
          <w:i/>
        </w:rPr>
        <w:t>(continued)</w:t>
      </w:r>
    </w:p>
    <w:p w:rsidR="000B4A1E" w:rsidRPr="00D00665" w:rsidRDefault="000B4A1E" w:rsidP="00517E51">
      <w:pPr>
        <w:pStyle w:val="Tableheading"/>
        <w:rPr>
          <w:vertAlign w:val="superscript"/>
        </w:rPr>
      </w:pPr>
      <w:r w:rsidRPr="00D00665">
        <w:t>(c)</w:t>
      </w:r>
      <w:r w:rsidRPr="00D00665">
        <w:tab/>
        <w:t>Reconciliation to GFS net lending/(borrowing)</w:t>
      </w:r>
      <w:r w:rsidRPr="00D00665">
        <w:rPr>
          <w:vertAlign w:val="superscript"/>
        </w:rPr>
        <w:t>(a)</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865"/>
        <w:gridCol w:w="1123"/>
        <w:gridCol w:w="262"/>
        <w:gridCol w:w="861"/>
        <w:gridCol w:w="1123"/>
      </w:tblGrid>
      <w:tr w:rsidR="000B4A1E" w:rsidRPr="003E2DBE" w:rsidTr="00517E51">
        <w:tc>
          <w:tcPr>
            <w:tcW w:w="5156"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58"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8"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c>
          <w:tcPr>
            <w:tcW w:w="26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Public non-financial corporations</w:t>
            </w:r>
          </w:p>
        </w:tc>
      </w:tr>
      <w:tr w:rsidR="000B4A1E" w:rsidRPr="003E2DBE" w:rsidTr="00517E51">
        <w:tc>
          <w:tcPr>
            <w:tcW w:w="5156"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5156" w:type="dxa"/>
            <w:tcBorders>
              <w:top w:val="single" w:sz="4"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Net lending/(borrowing)</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(2 367.6)</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(1 710.5)</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(6 479.6)</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(2 423.9)</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i/>
                <w:iCs/>
                <w:lang w:eastAsia="en-AU"/>
              </w:rPr>
            </w:pPr>
            <w:r w:rsidRPr="003E2DBE">
              <w:rPr>
                <w:rFonts w:eastAsiaTheme="minorEastAsia"/>
                <w:i/>
                <w:iCs/>
                <w:lang w:eastAsia="en-AU"/>
              </w:rPr>
              <w:t>Convergence differences</w:t>
            </w:r>
            <w:r>
              <w:rPr>
                <w:rFonts w:eastAsiaTheme="minorEastAsia"/>
                <w:i/>
                <w:iCs/>
                <w:lang w:eastAsia="en-AU"/>
              </w:rPr>
              <w:t>:</w:t>
            </w:r>
            <w:r w:rsidRPr="003E2DBE">
              <w:rPr>
                <w:rFonts w:eastAsiaTheme="minorEastAsia"/>
                <w:i/>
                <w:iCs/>
                <w:lang w:eastAsia="en-AU"/>
              </w:rPr>
              <w:t xml:space="preserve"> </w:t>
            </w:r>
            <w:r w:rsidRPr="003E2DBE">
              <w:rPr>
                <w:rFonts w:eastAsiaTheme="minorEastAsia"/>
                <w:vertAlign w:val="superscript"/>
                <w:lang w:eastAsia="en-AU"/>
              </w:rPr>
              <w:t>(b)</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Relating to net operating balance – PNFC/PFC dividends </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720.3</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305.9</w:t>
            </w:r>
          </w:p>
        </w:tc>
      </w:tr>
      <w:tr w:rsidR="000B4A1E" w:rsidRPr="003E2DBE" w:rsidTr="00517E51">
        <w:tc>
          <w:tcPr>
            <w:tcW w:w="5156"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i/>
                <w:iCs/>
                <w:lang w:eastAsia="en-AU"/>
              </w:rPr>
            </w:pPr>
            <w:r w:rsidRPr="003E2DBE">
              <w:rPr>
                <w:rFonts w:eastAsiaTheme="minorEastAsia"/>
                <w:i/>
                <w:iCs/>
                <w:lang w:eastAsia="en-AU"/>
              </w:rPr>
              <w:t>plus total convergence difference:</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( 720.3)</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( 305.9)</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GFS net lending/(borrowing)</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(2 367.6)</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(1 710.5)</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(7 199.9)</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(2 729.8)</w:t>
            </w:r>
          </w:p>
        </w:tc>
      </w:tr>
    </w:tbl>
    <w:p w:rsidR="000B4A1E" w:rsidRPr="00D00665" w:rsidRDefault="000B4A1E" w:rsidP="00517E51">
      <w:pPr>
        <w:pStyle w:val="Notes"/>
      </w:pPr>
      <w:r w:rsidRPr="00D00665">
        <w:t>Notes:</w:t>
      </w:r>
    </w:p>
    <w:p w:rsidR="000B4A1E" w:rsidRPr="00D00665" w:rsidRDefault="000B4A1E" w:rsidP="00517E51">
      <w:pPr>
        <w:pStyle w:val="Notes"/>
      </w:pPr>
      <w:r w:rsidRPr="00D00665">
        <w:t>(a)</w:t>
      </w:r>
      <w:r w:rsidRPr="00D00665">
        <w:tab/>
        <w:t xml:space="preserve">Determined in accordance with the ABS </w:t>
      </w:r>
      <w:r w:rsidR="00FC7ED5">
        <w:t>GFS manual</w:t>
      </w:r>
      <w:r w:rsidRPr="00D00665">
        <w:t>.</w:t>
      </w:r>
    </w:p>
    <w:p w:rsidR="000B4A1E" w:rsidRPr="00D00665" w:rsidRDefault="000B4A1E" w:rsidP="00517E51">
      <w:pPr>
        <w:pStyle w:val="Notes"/>
      </w:pPr>
      <w:r w:rsidRPr="00D00665">
        <w:t>(b)</w:t>
      </w:r>
      <w:r w:rsidRPr="00D00665">
        <w:tab/>
        <w:t>The convergence difference arises because GFS recognised dividends paid/ payable as an expense from transactions on the operating statement whereas, under accounting standards, dividends are classified as after</w:t>
      </w:r>
      <w:r w:rsidRPr="00D00665">
        <w:noBreakHyphen/>
        <w:t>profit distributions to owner.</w:t>
      </w:r>
    </w:p>
    <w:p w:rsidR="000B4A1E" w:rsidRPr="00D00665" w:rsidRDefault="000B4A1E" w:rsidP="00517E51"/>
    <w:p w:rsidR="000B4A1E" w:rsidRPr="00D00665" w:rsidRDefault="000B4A1E" w:rsidP="00517E51"/>
    <w:p w:rsidR="000B4A1E" w:rsidRPr="00D00665" w:rsidRDefault="000B4A1E" w:rsidP="00517E51">
      <w:pPr>
        <w:pStyle w:val="Tableheading"/>
        <w:rPr>
          <w:vertAlign w:val="superscript"/>
        </w:rPr>
      </w:pPr>
      <w:r w:rsidRPr="00D00665">
        <w:t>(d)</w:t>
      </w:r>
      <w:r w:rsidRPr="00D00665">
        <w:tab/>
        <w:t>Reconciliation to GFS net worth</w:t>
      </w:r>
      <w:r w:rsidRPr="00D00665">
        <w:rPr>
          <w:vertAlign w:val="superscript"/>
        </w:rPr>
        <w:t>(a)</w:t>
      </w:r>
    </w:p>
    <w:p w:rsidR="000B4A1E" w:rsidRPr="003E2DBE" w:rsidRDefault="000B4A1E" w:rsidP="00517E51">
      <w:pPr>
        <w:pStyle w:val="million"/>
        <w:rPr>
          <w:b/>
          <w:bCs/>
          <w:sz w:val="16"/>
          <w:lang w:val="en-US"/>
        </w:rPr>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234"/>
        <w:gridCol w:w="180"/>
        <w:gridCol w:w="865"/>
        <w:gridCol w:w="1123"/>
        <w:gridCol w:w="262"/>
        <w:gridCol w:w="861"/>
        <w:gridCol w:w="1123"/>
      </w:tblGrid>
      <w:tr w:rsidR="000B4A1E" w:rsidRPr="003E2DBE" w:rsidTr="00517E51">
        <w:tc>
          <w:tcPr>
            <w:tcW w:w="523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80"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8"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General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government sector</w:t>
            </w:r>
          </w:p>
        </w:tc>
        <w:tc>
          <w:tcPr>
            <w:tcW w:w="26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Public non-financial corporations</w:t>
            </w:r>
          </w:p>
        </w:tc>
      </w:tr>
      <w:tr w:rsidR="000B4A1E" w:rsidRPr="003E2DBE" w:rsidTr="00517E51">
        <w:tc>
          <w:tcPr>
            <w:tcW w:w="5234"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045"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5234" w:type="dxa"/>
            <w:tcBorders>
              <w:top w:val="single" w:sz="4" w:space="0" w:color="auto"/>
              <w:left w:val="nil"/>
              <w:bottom w:val="nil"/>
              <w:right w:val="nil"/>
            </w:tcBorders>
          </w:tcPr>
          <w:p w:rsidR="000B4A1E" w:rsidRPr="003E2DBE" w:rsidRDefault="000B4A1E" w:rsidP="00517E51">
            <w:pPr>
              <w:pStyle w:val="Tabletext"/>
              <w:rPr>
                <w:rFonts w:eastAsiaTheme="minorEastAsia" w:cs="Calibri"/>
                <w:b/>
                <w:bCs/>
                <w:szCs w:val="22"/>
                <w:vertAlign w:val="superscript"/>
                <w:lang w:eastAsia="en-AU"/>
              </w:rPr>
            </w:pPr>
            <w:r w:rsidRPr="003E2DBE">
              <w:rPr>
                <w:rFonts w:eastAsiaTheme="minorEastAsia"/>
                <w:b/>
                <w:lang w:eastAsia="en-AU"/>
              </w:rPr>
              <w:t xml:space="preserve">Net worth </w:t>
            </w:r>
            <w:r w:rsidRPr="003E2DBE">
              <w:rPr>
                <w:rFonts w:eastAsiaTheme="minorEastAsia" w:cs="Calibri"/>
                <w:b/>
                <w:bCs/>
                <w:szCs w:val="22"/>
                <w:vertAlign w:val="superscript"/>
                <w:lang w:eastAsia="en-AU"/>
              </w:rPr>
              <w:t>(b)</w:t>
            </w:r>
          </w:p>
        </w:tc>
        <w:tc>
          <w:tcPr>
            <w:tcW w:w="1045"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119 957.2</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111 763.7</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67 540.2</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66 476.7</w:t>
            </w:r>
          </w:p>
        </w:tc>
      </w:tr>
      <w:tr w:rsidR="000B4A1E" w:rsidRPr="003E2DBE" w:rsidTr="00517E51">
        <w:trPr>
          <w:trHeight w:hRule="exact" w:val="115"/>
        </w:trPr>
        <w:tc>
          <w:tcPr>
            <w:tcW w:w="5234" w:type="dxa"/>
            <w:tcBorders>
              <w:top w:val="nil"/>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lang w:eastAsia="en-AU"/>
              </w:rPr>
              <w:t xml:space="preserve"> </w:t>
            </w:r>
          </w:p>
        </w:tc>
        <w:tc>
          <w:tcPr>
            <w:tcW w:w="1045"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rFonts w:eastAsiaTheme="minorEastAsia"/>
                <w:i/>
                <w:iCs/>
                <w:lang w:eastAsia="en-AU"/>
              </w:rPr>
            </w:pPr>
            <w:r w:rsidRPr="003E2DBE">
              <w:rPr>
                <w:rFonts w:eastAsiaTheme="minorEastAsia"/>
                <w:i/>
                <w:iCs/>
                <w:lang w:eastAsia="en-AU"/>
              </w:rPr>
              <w:t>Convergence differences:</w:t>
            </w:r>
          </w:p>
        </w:tc>
        <w:tc>
          <w:tcPr>
            <w:tcW w:w="104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Relating to net operating balance – PNFC/PFC dividends </w:t>
            </w:r>
          </w:p>
        </w:tc>
        <w:tc>
          <w:tcPr>
            <w:tcW w:w="104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720.3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305.9</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Non-controlling interest</w:t>
            </w:r>
          </w:p>
        </w:tc>
        <w:tc>
          <w:tcPr>
            <w:tcW w:w="104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( 50.0)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( 50.0)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rFonts w:eastAsiaTheme="minorEastAsia"/>
                <w:vertAlign w:val="superscript"/>
                <w:lang w:eastAsia="en-AU"/>
              </w:rPr>
            </w:pPr>
            <w:r w:rsidRPr="003E2DBE">
              <w:rPr>
                <w:rFonts w:eastAsiaTheme="minorEastAsia"/>
                <w:lang w:eastAsia="en-AU"/>
              </w:rPr>
              <w:t xml:space="preserve">Doubtful receivables of the general government sector </w:t>
            </w:r>
            <w:r w:rsidRPr="003E2DBE">
              <w:rPr>
                <w:rFonts w:eastAsiaTheme="minorEastAsia"/>
                <w:vertAlign w:val="superscript"/>
                <w:lang w:eastAsia="en-AU"/>
              </w:rPr>
              <w:t>(c)</w:t>
            </w:r>
          </w:p>
        </w:tc>
        <w:tc>
          <w:tcPr>
            <w:tcW w:w="104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894.0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762.8</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Doubtful receivables of the PNFC/PFC sector</w:t>
            </w:r>
          </w:p>
        </w:tc>
        <w:tc>
          <w:tcPr>
            <w:tcW w:w="104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16.9</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Future tax benefits of the PNFC/PFC sector</w:t>
            </w:r>
          </w:p>
        </w:tc>
        <w:tc>
          <w:tcPr>
            <w:tcW w:w="104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( 174.8</w:t>
            </w:r>
            <w:r w:rsidRPr="003E2DBE">
              <w:rPr>
                <w:rFonts w:eastAsiaTheme="minorEastAsia" w:cs="Calibri"/>
                <w:szCs w:val="22"/>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( 164.6)</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Deferred tax liability of the PNFC/PFC sector</w:t>
            </w:r>
          </w:p>
        </w:tc>
        <w:tc>
          <w:tcPr>
            <w:tcW w:w="104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8 037.2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7 972.7</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rFonts w:eastAsiaTheme="minorEastAsia"/>
                <w:vertAlign w:val="superscript"/>
                <w:lang w:eastAsia="en-AU"/>
              </w:rPr>
            </w:pPr>
            <w:r w:rsidRPr="003E2DBE">
              <w:rPr>
                <w:rFonts w:eastAsiaTheme="minorEastAsia"/>
                <w:lang w:eastAsia="en-AU"/>
              </w:rPr>
              <w:t xml:space="preserve">Investments in other sector entities </w:t>
            </w:r>
            <w:r w:rsidRPr="003E2DBE">
              <w:rPr>
                <w:rFonts w:eastAsiaTheme="minorEastAsia"/>
                <w:vertAlign w:val="superscript"/>
                <w:lang w:eastAsia="en-AU"/>
              </w:rPr>
              <w:t>(d)(e)</w:t>
            </w:r>
          </w:p>
        </w:tc>
        <w:tc>
          <w:tcPr>
            <w:tcW w:w="104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6 527.6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5 605.3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23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Shares and other contributed capital</w:t>
            </w:r>
          </w:p>
        </w:tc>
        <w:tc>
          <w:tcPr>
            <w:tcW w:w="1045"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(76 144.9)</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(74 607.5)</w:t>
            </w:r>
          </w:p>
        </w:tc>
      </w:tr>
      <w:tr w:rsidR="000B4A1E" w:rsidRPr="003E2DBE" w:rsidTr="00517E51">
        <w:tc>
          <w:tcPr>
            <w:tcW w:w="523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i/>
                <w:iCs/>
                <w:lang w:eastAsia="en-AU"/>
              </w:rPr>
            </w:pPr>
            <w:r w:rsidRPr="003E2DBE">
              <w:rPr>
                <w:rFonts w:eastAsiaTheme="minorEastAsia"/>
                <w:i/>
                <w:iCs/>
                <w:lang w:eastAsia="en-AU"/>
              </w:rPr>
              <w:t>plus total convergence difference:</w:t>
            </w:r>
          </w:p>
        </w:tc>
        <w:tc>
          <w:tcPr>
            <w:tcW w:w="1045"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7 371.5</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6 318.1</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(67 540.2)</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(66 476.7)</w:t>
            </w:r>
          </w:p>
        </w:tc>
      </w:tr>
      <w:tr w:rsidR="000B4A1E" w:rsidRPr="003E2DBE" w:rsidTr="00517E51">
        <w:tc>
          <w:tcPr>
            <w:tcW w:w="523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GFS net worth</w:t>
            </w:r>
          </w:p>
        </w:tc>
        <w:tc>
          <w:tcPr>
            <w:tcW w:w="1045"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127 328.8</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118 081.8</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r>
    </w:tbl>
    <w:p w:rsidR="000B4A1E" w:rsidRPr="00D00665" w:rsidRDefault="000B4A1E" w:rsidP="00517E51">
      <w:pPr>
        <w:pStyle w:val="Notes"/>
      </w:pPr>
      <w:r w:rsidRPr="00D00665">
        <w:t>Notes:</w:t>
      </w:r>
    </w:p>
    <w:p w:rsidR="000B4A1E" w:rsidRPr="00D00665" w:rsidRDefault="000B4A1E" w:rsidP="00517E51">
      <w:pPr>
        <w:pStyle w:val="Notes"/>
      </w:pPr>
      <w:r w:rsidRPr="00D00665">
        <w:t xml:space="preserve">(a) </w:t>
      </w:r>
      <w:r w:rsidRPr="00D00665">
        <w:tab/>
        <w:t xml:space="preserve">Determined in accordance with the ABS </w:t>
      </w:r>
      <w:r w:rsidR="00FC7ED5">
        <w:t>GFS manual</w:t>
      </w:r>
      <w:r w:rsidRPr="00D00665">
        <w:t>.</w:t>
      </w:r>
    </w:p>
    <w:p w:rsidR="000B4A1E" w:rsidRPr="00D00665" w:rsidRDefault="000B4A1E" w:rsidP="00517E51">
      <w:pPr>
        <w:pStyle w:val="Notes"/>
      </w:pPr>
      <w:r w:rsidRPr="00D00665">
        <w:t xml:space="preserve">(b) </w:t>
      </w:r>
      <w:r w:rsidRPr="00D00665">
        <w:tab/>
        <w:t>Restated Balances at 30 June 2012 and 1 July 2011. Refer to Note 36 of the financial statements.</w:t>
      </w:r>
    </w:p>
    <w:p w:rsidR="000B4A1E" w:rsidRPr="00D00665" w:rsidRDefault="000B4A1E" w:rsidP="00517E51">
      <w:pPr>
        <w:pStyle w:val="Notes"/>
      </w:pPr>
      <w:r w:rsidRPr="00D00665">
        <w:t>(c)</w:t>
      </w:r>
      <w:r w:rsidRPr="00D00665">
        <w:tab/>
        <w:t xml:space="preserve">The convergence difference in accounts receivable arises because GFS does not recognise doubtful receivables, whereas a provision for doubtful receivables is recognised in the balance sheet. </w:t>
      </w:r>
    </w:p>
    <w:p w:rsidR="000B4A1E" w:rsidRPr="00D00665" w:rsidRDefault="000B4A1E" w:rsidP="00517E51">
      <w:pPr>
        <w:pStyle w:val="Notes"/>
      </w:pPr>
      <w:r w:rsidRPr="00D00665">
        <w:t xml:space="preserve">(d) </w:t>
      </w:r>
      <w:r w:rsidRPr="00D00665">
        <w:tab/>
        <w:t>The convergence difference arises because the amount of net assets (and therefore the change in carrying amount of net assets) of other sector entities determined under GFS principles and rules differs from the carrying amount of net assets.</w:t>
      </w:r>
    </w:p>
    <w:p w:rsidR="000B4A1E" w:rsidRPr="00D00665" w:rsidRDefault="000B4A1E" w:rsidP="00517E51">
      <w:pPr>
        <w:pStyle w:val="Notes"/>
      </w:pPr>
      <w:r w:rsidRPr="00D00665">
        <w:t xml:space="preserve">(e) </w:t>
      </w:r>
      <w:r w:rsidRPr="00D00665">
        <w:tab/>
        <w:t>Investments in other sector entities for general government sector include doubtful receivables, future tax benefits and deferred tax liability of the PNFC and PFC sectors.</w:t>
      </w:r>
    </w:p>
    <w:p w:rsidR="000B4A1E" w:rsidRPr="00D00665" w:rsidRDefault="000B4A1E" w:rsidP="00517E51"/>
    <w:p w:rsidR="000B4A1E" w:rsidRPr="00D00665" w:rsidRDefault="000B4A1E" w:rsidP="00517E51">
      <w:pPr>
        <w:pStyle w:val="Heading2NotesContd"/>
      </w:pPr>
      <w:r w:rsidRPr="00D00665">
        <w:br w:type="page"/>
      </w:r>
    </w:p>
    <w:p w:rsidR="000B4A1E" w:rsidRPr="00D00665" w:rsidRDefault="000B4A1E" w:rsidP="00517E51">
      <w:pPr>
        <w:pStyle w:val="Tableheading"/>
        <w:spacing w:before="360"/>
        <w:rPr>
          <w:vertAlign w:val="superscript"/>
        </w:rPr>
      </w:pPr>
    </w:p>
    <w:p w:rsidR="000B4A1E" w:rsidRPr="00D00665" w:rsidRDefault="000B4A1E" w:rsidP="00517E51">
      <w:pPr>
        <w:pStyle w:val="Tableheading"/>
        <w:spacing w:before="360"/>
        <w:rPr>
          <w:vertAlign w:val="superscript"/>
        </w:rPr>
      </w:pPr>
    </w:p>
    <w:p w:rsidR="000B4A1E" w:rsidRPr="003E2DBE" w:rsidRDefault="000B4A1E" w:rsidP="00517E51">
      <w:pPr>
        <w:pStyle w:val="million"/>
        <w:spacing w:before="300"/>
        <w:rPr>
          <w:rFonts w:ascii="Times New Roman" w:hAnsi="Times New Roman"/>
          <w:i w:val="0"/>
          <w:szCs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284"/>
        <w:gridCol w:w="1328"/>
        <w:gridCol w:w="1613"/>
        <w:gridCol w:w="236"/>
        <w:gridCol w:w="1377"/>
        <w:gridCol w:w="1612"/>
        <w:gridCol w:w="236"/>
        <w:gridCol w:w="1377"/>
        <w:gridCol w:w="1613"/>
      </w:tblGrid>
      <w:tr w:rsidR="000B4A1E" w:rsidRPr="003E2DBE" w:rsidTr="00103F3E">
        <w:tc>
          <w:tcPr>
            <w:tcW w:w="284" w:type="dxa"/>
            <w:tcBorders>
              <w:top w:val="single" w:sz="6" w:space="0" w:color="auto"/>
              <w:left w:val="single" w:sz="6" w:space="0" w:color="auto"/>
              <w:bottom w:val="single" w:sz="6" w:space="0" w:color="auto"/>
              <w:right w:val="nil"/>
            </w:tcBorders>
            <w:shd w:val="clear" w:color="auto" w:fill="000000"/>
          </w:tcPr>
          <w:p w:rsidR="000B4A1E" w:rsidRPr="003E2DBE" w:rsidRDefault="000B4A1E" w:rsidP="00517E51">
            <w:pPr>
              <w:pStyle w:val="TableofFigures"/>
              <w:rPr>
                <w:lang w:eastAsia="en-AU"/>
              </w:rPr>
            </w:pPr>
            <w:r w:rsidRPr="003E2DBE">
              <w:rPr>
                <w:lang w:eastAsia="en-AU"/>
              </w:rPr>
              <w:t xml:space="preserve"> </w:t>
            </w:r>
          </w:p>
        </w:tc>
        <w:tc>
          <w:tcPr>
            <w:tcW w:w="2941" w:type="dxa"/>
            <w:gridSpan w:val="2"/>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Public </w:t>
            </w:r>
          </w:p>
          <w:p w:rsidR="000B4A1E" w:rsidRPr="003E2DBE" w:rsidRDefault="000B4A1E" w:rsidP="00517E51">
            <w:pPr>
              <w:pStyle w:val="TabletextheadingCentred"/>
              <w:rPr>
                <w:lang w:eastAsia="en-AU"/>
              </w:rPr>
            </w:pPr>
            <w:r w:rsidRPr="003E2DBE">
              <w:rPr>
                <w:lang w:eastAsia="en-AU"/>
              </w:rPr>
              <w:t>financial corporations</w:t>
            </w:r>
          </w:p>
        </w:tc>
        <w:tc>
          <w:tcPr>
            <w:tcW w:w="236"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2989" w:type="dxa"/>
            <w:gridSpan w:val="2"/>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p>
          <w:p w:rsidR="000B4A1E" w:rsidRPr="003E2DBE" w:rsidRDefault="000B4A1E" w:rsidP="00517E51">
            <w:pPr>
              <w:pStyle w:val="TabletextheadingCentred"/>
              <w:rPr>
                <w:lang w:eastAsia="en-AU"/>
              </w:rPr>
            </w:pPr>
            <w:r w:rsidRPr="003E2DBE">
              <w:rPr>
                <w:lang w:eastAsia="en-AU"/>
              </w:rPr>
              <w:t>Eliminations</w:t>
            </w:r>
          </w:p>
        </w:tc>
        <w:tc>
          <w:tcPr>
            <w:tcW w:w="236" w:type="dxa"/>
            <w:tcBorders>
              <w:top w:val="single" w:sz="6" w:space="0" w:color="auto"/>
              <w:left w:val="nil"/>
              <w:bottom w:val="single" w:sz="6" w:space="0" w:color="auto"/>
              <w:right w:val="single" w:sz="6" w:space="0" w:color="auto"/>
            </w:tcBorders>
            <w:shd w:val="clear" w:color="auto" w:fill="000000"/>
          </w:tcPr>
          <w:p w:rsidR="000B4A1E" w:rsidRPr="003E2DBE" w:rsidRDefault="000B4A1E" w:rsidP="00517E51">
            <w:pPr>
              <w:pStyle w:val="TabletextheadingCentred"/>
              <w:rPr>
                <w:rFonts w:cs="Calibri"/>
                <w:iCs/>
                <w:szCs w:val="22"/>
                <w:lang w:eastAsia="en-AU"/>
              </w:rPr>
            </w:pPr>
            <w:r w:rsidRPr="003E2DBE">
              <w:rPr>
                <w:rFonts w:cs="Calibri"/>
                <w:iCs/>
                <w:szCs w:val="22"/>
                <w:lang w:eastAsia="en-AU"/>
              </w:rPr>
              <w:t xml:space="preserve"> </w:t>
            </w:r>
          </w:p>
        </w:tc>
        <w:tc>
          <w:tcPr>
            <w:tcW w:w="2990" w:type="dxa"/>
            <w:gridSpan w:val="2"/>
            <w:tcBorders>
              <w:top w:val="single" w:sz="6" w:space="0" w:color="auto"/>
              <w:left w:val="single" w:sz="6" w:space="0" w:color="auto"/>
              <w:bottom w:val="single" w:sz="6" w:space="0" w:color="auto"/>
              <w:right w:val="single" w:sz="6" w:space="0" w:color="auto"/>
            </w:tcBorders>
            <w:shd w:val="solid" w:color="000000" w:fill="auto"/>
          </w:tcPr>
          <w:p w:rsidR="000B4A1E" w:rsidRPr="003E2DBE" w:rsidRDefault="000B4A1E" w:rsidP="00517E51">
            <w:pPr>
              <w:pStyle w:val="TabletextheadingCentred"/>
              <w:rPr>
                <w:rFonts w:cs="Calibri"/>
                <w:iCs/>
                <w:szCs w:val="22"/>
                <w:lang w:eastAsia="en-AU"/>
              </w:rPr>
            </w:pPr>
          </w:p>
          <w:p w:rsidR="000B4A1E" w:rsidRPr="003E2DBE" w:rsidRDefault="000B4A1E" w:rsidP="00517E51">
            <w:pPr>
              <w:pStyle w:val="TabletextheadingCentred"/>
              <w:rPr>
                <w:rFonts w:cs="Calibri"/>
                <w:iCs/>
                <w:szCs w:val="22"/>
                <w:lang w:eastAsia="en-AU"/>
              </w:rPr>
            </w:pPr>
            <w:r w:rsidRPr="003E2DBE">
              <w:rPr>
                <w:rFonts w:cs="Calibri"/>
                <w:iCs/>
                <w:szCs w:val="22"/>
                <w:lang w:eastAsia="en-AU"/>
              </w:rPr>
              <w:t>State of Victoria</w:t>
            </w:r>
          </w:p>
        </w:tc>
      </w:tr>
      <w:tr w:rsidR="000B4A1E" w:rsidRPr="003E2DBE" w:rsidTr="00517E51">
        <w:tc>
          <w:tcPr>
            <w:tcW w:w="1612" w:type="dxa"/>
            <w:gridSpan w:val="2"/>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2013</w:t>
            </w:r>
          </w:p>
        </w:tc>
        <w:tc>
          <w:tcPr>
            <w:tcW w:w="1613"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2012</w:t>
            </w:r>
          </w:p>
        </w:tc>
        <w:tc>
          <w:tcPr>
            <w:tcW w:w="1613"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2013</w:t>
            </w:r>
          </w:p>
        </w:tc>
        <w:tc>
          <w:tcPr>
            <w:tcW w:w="1612"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2012</w:t>
            </w:r>
          </w:p>
        </w:tc>
        <w:tc>
          <w:tcPr>
            <w:tcW w:w="1613"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2013</w:t>
            </w:r>
          </w:p>
        </w:tc>
        <w:tc>
          <w:tcPr>
            <w:tcW w:w="1613"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2012</w:t>
            </w:r>
          </w:p>
        </w:tc>
      </w:tr>
      <w:tr w:rsidR="000B4A1E" w:rsidRPr="003E2DBE" w:rsidTr="00517E51">
        <w:tc>
          <w:tcPr>
            <w:tcW w:w="1612" w:type="dxa"/>
            <w:gridSpan w:val="2"/>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(1</w:t>
            </w:r>
            <w:r w:rsidRPr="003E2DBE">
              <w:rPr>
                <w:rFonts w:eastAsiaTheme="minorEastAsia" w:cs="Calibri"/>
                <w:b/>
                <w:bCs/>
                <w:szCs w:val="22"/>
                <w:lang w:eastAsia="en-AU"/>
              </w:rPr>
              <w:t xml:space="preserve"> 011.7)</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958.5)</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b/>
                <w:bCs/>
                <w:color w:val="0000FF"/>
                <w:szCs w:val="22"/>
                <w:lang w:eastAsia="en-AU"/>
              </w:rPr>
            </w:pPr>
            <w:r w:rsidRPr="003E2DBE">
              <w:rPr>
                <w:b/>
                <w:bCs/>
                <w:lang w:eastAsia="en-AU"/>
              </w:rPr>
              <w:t>(1</w:t>
            </w:r>
            <w:r w:rsidRPr="003E2DBE">
              <w:rPr>
                <w:rFonts w:eastAsiaTheme="minorEastAsia" w:cs="Calibri"/>
                <w:b/>
                <w:bCs/>
                <w:szCs w:val="22"/>
                <w:lang w:eastAsia="en-AU"/>
              </w:rPr>
              <w:t xml:space="preserve"> 214.3)</w:t>
            </w:r>
          </w:p>
        </w:tc>
        <w:tc>
          <w:tcPr>
            <w:tcW w:w="1612"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818.9)</w:t>
            </w:r>
          </w:p>
        </w:tc>
        <w:tc>
          <w:tcPr>
            <w:tcW w:w="161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cs="Calibri"/>
                <w:b/>
                <w:bCs/>
                <w:szCs w:val="22"/>
                <w:lang w:eastAsia="en-AU"/>
              </w:rPr>
              <w:t>(11 073.1)</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cs="Calibri"/>
                <w:b/>
                <w:bCs/>
                <w:szCs w:val="22"/>
                <w:lang w:eastAsia="en-AU"/>
              </w:rPr>
              <w:t>(5 911.7)</w:t>
            </w:r>
          </w:p>
        </w:tc>
      </w:tr>
      <w:tr w:rsidR="000B4A1E" w:rsidRPr="003E2DBE" w:rsidTr="00517E51">
        <w:tc>
          <w:tcPr>
            <w:tcW w:w="1612"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3"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2"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3"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c>
          <w:tcPr>
            <w:tcW w:w="1612"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440.6</w:t>
            </w:r>
          </w:p>
        </w:tc>
        <w:tc>
          <w:tcPr>
            <w:tcW w:w="161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353.4</w:t>
            </w:r>
          </w:p>
        </w:tc>
        <w:tc>
          <w:tcPr>
            <w:tcW w:w="161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(1</w:t>
            </w:r>
            <w:r w:rsidRPr="003E2DBE">
              <w:rPr>
                <w:rFonts w:eastAsiaTheme="minorEastAsia" w:cs="Calibri"/>
                <w:szCs w:val="22"/>
                <w:lang w:eastAsia="en-AU"/>
              </w:rPr>
              <w:t xml:space="preserve"> 160.9)</w:t>
            </w:r>
          </w:p>
        </w:tc>
        <w:tc>
          <w:tcPr>
            <w:tcW w:w="1612"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659.3)</w:t>
            </w:r>
          </w:p>
        </w:tc>
        <w:tc>
          <w:tcPr>
            <w:tcW w:w="1613" w:type="dxa"/>
            <w:gridSpan w:val="2"/>
            <w:tcBorders>
              <w:top w:val="nil"/>
              <w:left w:val="nil"/>
              <w:bottom w:val="single" w:sz="6" w:space="0" w:color="auto"/>
              <w:right w:val="nil"/>
            </w:tcBorders>
          </w:tcPr>
          <w:p w:rsidR="000B4A1E" w:rsidRPr="003E2DBE" w:rsidRDefault="000B4A1E" w:rsidP="00517E51">
            <w:pPr>
              <w:pStyle w:val="TableofFigures"/>
              <w:rPr>
                <w:lang w:eastAsia="en-AU"/>
              </w:rPr>
            </w:pPr>
            <w:r w:rsidRPr="003E2DBE">
              <w:rPr>
                <w:lang w:eastAsia="en-AU"/>
              </w:rPr>
              <w:t>..</w:t>
            </w:r>
          </w:p>
        </w:tc>
        <w:tc>
          <w:tcPr>
            <w:tcW w:w="1613" w:type="dxa"/>
            <w:tcBorders>
              <w:top w:val="nil"/>
              <w:left w:val="nil"/>
              <w:bottom w:val="single" w:sz="6" w:space="0" w:color="auto"/>
              <w:right w:val="nil"/>
            </w:tcBorders>
          </w:tcPr>
          <w:p w:rsidR="000B4A1E" w:rsidRPr="003E2DBE" w:rsidRDefault="000B4A1E" w:rsidP="00517E51">
            <w:pPr>
              <w:pStyle w:val="TableofFigures"/>
              <w:rPr>
                <w:lang w:eastAsia="en-AU"/>
              </w:rPr>
            </w:pPr>
            <w:r w:rsidRPr="003E2DBE">
              <w:rPr>
                <w:lang w:eastAsia="en-AU"/>
              </w:rPr>
              <w:t>..</w:t>
            </w:r>
          </w:p>
        </w:tc>
      </w:tr>
      <w:tr w:rsidR="000B4A1E" w:rsidRPr="003E2DBE" w:rsidTr="00517E51">
        <w:tc>
          <w:tcPr>
            <w:tcW w:w="1612"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440.6)</w:t>
            </w:r>
          </w:p>
        </w:tc>
        <w:tc>
          <w:tcPr>
            <w:tcW w:w="161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353.4)</w:t>
            </w:r>
          </w:p>
        </w:tc>
        <w:tc>
          <w:tcPr>
            <w:tcW w:w="161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160.9</w:t>
            </w:r>
          </w:p>
        </w:tc>
        <w:tc>
          <w:tcPr>
            <w:tcW w:w="1612"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659.3</w:t>
            </w:r>
          </w:p>
        </w:tc>
        <w:tc>
          <w:tcPr>
            <w:tcW w:w="1613" w:type="dxa"/>
            <w:gridSpan w:val="2"/>
            <w:tcBorders>
              <w:top w:val="nil"/>
              <w:left w:val="nil"/>
              <w:bottom w:val="single" w:sz="6" w:space="0" w:color="auto"/>
              <w:right w:val="nil"/>
            </w:tcBorders>
          </w:tcPr>
          <w:p w:rsidR="000B4A1E" w:rsidRPr="003E2DBE" w:rsidRDefault="000B4A1E" w:rsidP="00517E51">
            <w:pPr>
              <w:pStyle w:val="TableofFigures"/>
              <w:rPr>
                <w:lang w:eastAsia="en-AU"/>
              </w:rPr>
            </w:pPr>
            <w:r w:rsidRPr="003E2DBE">
              <w:rPr>
                <w:lang w:eastAsia="en-AU"/>
              </w:rPr>
              <w:t>..</w:t>
            </w:r>
          </w:p>
        </w:tc>
        <w:tc>
          <w:tcPr>
            <w:tcW w:w="1613" w:type="dxa"/>
            <w:tcBorders>
              <w:top w:val="nil"/>
              <w:left w:val="nil"/>
              <w:bottom w:val="single" w:sz="6" w:space="0" w:color="auto"/>
              <w:right w:val="nil"/>
            </w:tcBorders>
          </w:tcPr>
          <w:p w:rsidR="000B4A1E" w:rsidRPr="003E2DBE" w:rsidRDefault="000B4A1E" w:rsidP="00517E51">
            <w:pPr>
              <w:pStyle w:val="TableofFigures"/>
              <w:rPr>
                <w:lang w:eastAsia="en-AU"/>
              </w:rPr>
            </w:pPr>
            <w:r w:rsidRPr="003E2DBE">
              <w:rPr>
                <w:lang w:eastAsia="en-AU"/>
              </w:rPr>
              <w:t>..</w:t>
            </w:r>
          </w:p>
        </w:tc>
      </w:tr>
      <w:tr w:rsidR="000B4A1E" w:rsidRPr="003E2DBE" w:rsidTr="00517E51">
        <w:tc>
          <w:tcPr>
            <w:tcW w:w="1612"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(1</w:t>
            </w:r>
            <w:r w:rsidRPr="003E2DBE">
              <w:rPr>
                <w:rFonts w:eastAsiaTheme="minorEastAsia" w:cs="Calibri"/>
                <w:b/>
                <w:bCs/>
                <w:szCs w:val="22"/>
                <w:lang w:eastAsia="en-AU"/>
              </w:rPr>
              <w:t xml:space="preserve"> 452.3)</w:t>
            </w:r>
          </w:p>
        </w:tc>
        <w:tc>
          <w:tcPr>
            <w:tcW w:w="161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(1</w:t>
            </w:r>
            <w:r w:rsidRPr="003E2DBE">
              <w:rPr>
                <w:rFonts w:eastAsiaTheme="minorEastAsia" w:cs="Calibri"/>
                <w:b/>
                <w:bCs/>
                <w:szCs w:val="22"/>
                <w:lang w:eastAsia="en-AU"/>
              </w:rPr>
              <w:t xml:space="preserve"> 311.9)</w:t>
            </w:r>
          </w:p>
        </w:tc>
        <w:tc>
          <w:tcPr>
            <w:tcW w:w="161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color w:val="0000FF"/>
                <w:szCs w:val="22"/>
                <w:lang w:eastAsia="en-AU"/>
              </w:rPr>
            </w:pPr>
            <w:r w:rsidRPr="003E2DBE">
              <w:rPr>
                <w:b/>
                <w:bCs/>
                <w:lang w:eastAsia="en-AU"/>
              </w:rPr>
              <w:t xml:space="preserve">( </w:t>
            </w:r>
            <w:r w:rsidRPr="003E2DBE">
              <w:rPr>
                <w:rFonts w:eastAsiaTheme="minorEastAsia" w:cs="Calibri"/>
                <w:b/>
                <w:bCs/>
                <w:szCs w:val="22"/>
                <w:lang w:eastAsia="en-AU"/>
              </w:rPr>
              <w:t>53.4</w:t>
            </w:r>
            <w:r w:rsidRPr="003E2DBE">
              <w:rPr>
                <w:rFonts w:eastAsiaTheme="minorEastAsia" w:cs="Calibri"/>
                <w:b/>
                <w:bCs/>
                <w:color w:val="0000FF"/>
                <w:szCs w:val="22"/>
                <w:lang w:eastAsia="en-AU"/>
              </w:rPr>
              <w:t>)</w:t>
            </w:r>
          </w:p>
        </w:tc>
        <w:tc>
          <w:tcPr>
            <w:tcW w:w="1612"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159.6)</w:t>
            </w:r>
          </w:p>
        </w:tc>
        <w:tc>
          <w:tcPr>
            <w:tcW w:w="161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cs="Calibri"/>
                <w:b/>
                <w:bCs/>
                <w:szCs w:val="22"/>
                <w:lang w:eastAsia="en-AU"/>
              </w:rPr>
              <w:t>(11 073.1)</w:t>
            </w:r>
          </w:p>
        </w:tc>
        <w:tc>
          <w:tcPr>
            <w:tcW w:w="161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cs="Calibri"/>
                <w:b/>
                <w:bCs/>
                <w:szCs w:val="22"/>
                <w:lang w:eastAsia="en-AU"/>
              </w:rPr>
              <w:t>(5 911.7)</w:t>
            </w:r>
          </w:p>
        </w:tc>
      </w:tr>
    </w:tbl>
    <w:p w:rsidR="000B4A1E" w:rsidRPr="00D00665" w:rsidRDefault="000B4A1E" w:rsidP="00517E51">
      <w:pPr>
        <w:pStyle w:val="Notes"/>
      </w:pPr>
    </w:p>
    <w:p w:rsidR="000B4A1E" w:rsidRPr="00D00665" w:rsidRDefault="000B4A1E" w:rsidP="00517E51">
      <w:pPr>
        <w:pStyle w:val="Notes"/>
      </w:pPr>
      <w:r w:rsidRPr="00D00665">
        <w:br/>
      </w:r>
    </w:p>
    <w:p w:rsidR="000B4A1E" w:rsidRPr="00D00665" w:rsidRDefault="000B4A1E" w:rsidP="00517E51">
      <w:pPr>
        <w:pStyle w:val="Notes"/>
      </w:pPr>
    </w:p>
    <w:p w:rsidR="000B4A1E" w:rsidRPr="00D00665" w:rsidRDefault="000B4A1E" w:rsidP="00517E51"/>
    <w:p w:rsidR="000B4A1E" w:rsidRPr="00D00665" w:rsidRDefault="000B4A1E" w:rsidP="00517E51"/>
    <w:p w:rsidR="000B4A1E" w:rsidRPr="00D00665" w:rsidRDefault="000B4A1E" w:rsidP="00517E51">
      <w:pPr>
        <w:pStyle w:val="Tableheading"/>
        <w:spacing w:before="200"/>
        <w:rPr>
          <w:vertAlign w:val="superscript"/>
        </w:rPr>
      </w:pPr>
    </w:p>
    <w:p w:rsidR="000B4A1E" w:rsidRPr="003E2DBE" w:rsidRDefault="000B4A1E" w:rsidP="00517E51">
      <w:pPr>
        <w:pStyle w:val="million"/>
        <w:rPr>
          <w:b/>
          <w:bCs/>
          <w:lang w:val="en-US"/>
        </w:rPr>
      </w:pPr>
    </w:p>
    <w:tbl>
      <w:tblPr>
        <w:tblW w:w="9648" w:type="dxa"/>
        <w:tblInd w:w="29" w:type="dxa"/>
        <w:tblLayout w:type="fixed"/>
        <w:tblCellMar>
          <w:left w:w="43" w:type="dxa"/>
          <w:right w:w="43" w:type="dxa"/>
        </w:tblCellMar>
        <w:tblLook w:val="0000" w:firstRow="0" w:lastRow="0" w:firstColumn="0" w:lastColumn="0" w:noHBand="0" w:noVBand="0"/>
      </w:tblPr>
      <w:tblGrid>
        <w:gridCol w:w="734"/>
        <w:gridCol w:w="874"/>
        <w:gridCol w:w="1608"/>
        <w:gridCol w:w="488"/>
        <w:gridCol w:w="1120"/>
        <w:gridCol w:w="1608"/>
        <w:gridCol w:w="512"/>
        <w:gridCol w:w="1096"/>
        <w:gridCol w:w="1608"/>
      </w:tblGrid>
      <w:tr w:rsidR="000B4A1E" w:rsidRPr="003E2DBE" w:rsidTr="00517E51">
        <w:tc>
          <w:tcPr>
            <w:tcW w:w="73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482"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Public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financial corporations</w:t>
            </w:r>
          </w:p>
        </w:tc>
        <w:tc>
          <w:tcPr>
            <w:tcW w:w="488"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728"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Eliminations</w:t>
            </w:r>
          </w:p>
        </w:tc>
        <w:tc>
          <w:tcPr>
            <w:tcW w:w="51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704"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r>
      <w:tr w:rsidR="000B4A1E" w:rsidRPr="003E2DBE" w:rsidTr="00517E51">
        <w:tc>
          <w:tcPr>
            <w:tcW w:w="1608" w:type="dxa"/>
            <w:gridSpan w:val="2"/>
            <w:tcBorders>
              <w:top w:val="nil"/>
              <w:left w:val="single" w:sz="4" w:space="0" w:color="auto"/>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608"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608"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608"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608"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608"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1608"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( 852.8)</w:t>
            </w:r>
          </w:p>
        </w:tc>
        <w:tc>
          <w:tcPr>
            <w:tcW w:w="1608"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(3 667.7)</w:t>
            </w:r>
          </w:p>
        </w:tc>
        <w:tc>
          <w:tcPr>
            <w:tcW w:w="1608"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(63 012.5)</w:t>
            </w:r>
          </w:p>
        </w:tc>
        <w:tc>
          <w:tcPr>
            <w:tcW w:w="1608"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(61 715.1)</w:t>
            </w:r>
          </w:p>
        </w:tc>
        <w:tc>
          <w:tcPr>
            <w:tcW w:w="1608"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123 632.1</w:t>
            </w:r>
          </w:p>
        </w:tc>
        <w:tc>
          <w:tcPr>
            <w:tcW w:w="1608"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112 857.6</w:t>
            </w:r>
          </w:p>
        </w:tc>
      </w:tr>
      <w:tr w:rsidR="000B4A1E" w:rsidRPr="003E2DBE" w:rsidTr="00517E51">
        <w:trPr>
          <w:trHeight w:hRule="exact" w:val="120"/>
        </w:trPr>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440.6</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353.4</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(1 160.9)</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( 659.3)</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( 50.0</w:t>
            </w:r>
            <w:r w:rsidRPr="003E2DBE">
              <w:rPr>
                <w:rFonts w:eastAsiaTheme="minorEastAsia" w:cs="Calibri"/>
                <w:szCs w:val="22"/>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( 50.0)</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894.0</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762.8</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55.4</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54.2</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77.5</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71.0</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(1 501.9)</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(2 277.0)</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1 676.7</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2 441.6</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89.6</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3.2</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(8 </w:t>
            </w:r>
            <w:r w:rsidRPr="003E2DBE">
              <w:rPr>
                <w:rFonts w:eastAsiaTheme="minorEastAsia" w:cs="Calibri"/>
                <w:szCs w:val="22"/>
                <w:lang w:eastAsia="en-AU"/>
              </w:rPr>
              <w:t>126.8)</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(7 975.9)</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(6 527.6)</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(5 605.3)</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1 769.1</w:t>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5 533.9</w:t>
            </w:r>
          </w:p>
        </w:tc>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74 375.8</w:t>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69 073.6</w:t>
            </w:r>
          </w:p>
        </w:tc>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852.8</w:t>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3 667.7</w:t>
            </w:r>
          </w:p>
        </w:tc>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60 237.3</w:t>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57 274.8</w:t>
            </w:r>
          </w:p>
        </w:tc>
        <w:tc>
          <w:tcPr>
            <w:tcW w:w="160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921.5</w:t>
            </w:r>
          </w:p>
        </w:tc>
        <w:tc>
          <w:tcPr>
            <w:tcW w:w="1608"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783.9</w:t>
            </w:r>
          </w:p>
        </w:tc>
      </w:tr>
      <w:tr w:rsidR="000B4A1E" w:rsidRPr="003E2DBE" w:rsidTr="00517E51">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(2 </w:t>
            </w:r>
            <w:r w:rsidRPr="003E2DBE">
              <w:rPr>
                <w:rFonts w:eastAsiaTheme="minorEastAsia" w:cs="Calibri"/>
                <w:b/>
                <w:bCs/>
                <w:szCs w:val="22"/>
                <w:lang w:eastAsia="en-AU"/>
              </w:rPr>
              <w:t>775.2)</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(4 440.3)</w:t>
            </w:r>
          </w:p>
        </w:tc>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124 553.6</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113 641.5</w:t>
            </w:r>
          </w:p>
        </w:tc>
      </w:tr>
    </w:tbl>
    <w:p w:rsidR="000B4A1E" w:rsidRPr="00D00665" w:rsidRDefault="000B4A1E" w:rsidP="00517E51">
      <w:pPr>
        <w:pStyle w:val="million"/>
      </w:pPr>
    </w:p>
    <w:p w:rsidR="000B4A1E" w:rsidRPr="00D00665" w:rsidRDefault="000B4A1E" w:rsidP="00517E51">
      <w:pPr>
        <w:pStyle w:val="million"/>
      </w:pPr>
    </w:p>
    <w:p w:rsidR="000B4A1E" w:rsidRPr="00D00665" w:rsidRDefault="000B4A1E" w:rsidP="00517E51">
      <w:pPr>
        <w:pStyle w:val="Heading2NotesContd"/>
        <w:rPr>
          <w:i/>
        </w:rPr>
      </w:pPr>
      <w:r w:rsidRPr="00D00665">
        <w:br w:type="page"/>
      </w:r>
      <w:r w:rsidRPr="00D00665">
        <w:lastRenderedPageBreak/>
        <w:t>Note 30:</w:t>
      </w:r>
      <w:r w:rsidRPr="00D00665">
        <w:tab/>
        <w:t xml:space="preserve">Reconciliations </w:t>
      </w:r>
      <w:r w:rsidRPr="00D00665">
        <w:rPr>
          <w:i/>
        </w:rPr>
        <w:t>(continued)</w:t>
      </w:r>
    </w:p>
    <w:p w:rsidR="000B4A1E" w:rsidRPr="00D00665" w:rsidRDefault="000B4A1E" w:rsidP="00517E51">
      <w:pPr>
        <w:pStyle w:val="Tableheading"/>
        <w:rPr>
          <w:vertAlign w:val="superscript"/>
        </w:rPr>
      </w:pPr>
      <w:r w:rsidRPr="00D00665">
        <w:t>(e)</w:t>
      </w:r>
      <w:r w:rsidRPr="00D00665">
        <w:tab/>
        <w:t>Reconciliation to GFS cash surplus/(deficit)</w:t>
      </w:r>
      <w:r w:rsidRPr="00D00665">
        <w:rPr>
          <w:vertAlign w:val="superscript"/>
        </w:rPr>
        <w:t>(a)</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865"/>
        <w:gridCol w:w="1123"/>
        <w:gridCol w:w="262"/>
        <w:gridCol w:w="861"/>
        <w:gridCol w:w="1123"/>
      </w:tblGrid>
      <w:tr w:rsidR="000B4A1E" w:rsidRPr="003E2DBE" w:rsidTr="00517E51">
        <w:tc>
          <w:tcPr>
            <w:tcW w:w="5156" w:type="dxa"/>
            <w:tcBorders>
              <w:top w:val="single" w:sz="6" w:space="0" w:color="auto"/>
              <w:left w:val="single" w:sz="6" w:space="0" w:color="auto"/>
              <w:bottom w:val="nil"/>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258" w:type="dxa"/>
            <w:tcBorders>
              <w:top w:val="single" w:sz="6" w:space="0" w:color="auto"/>
              <w:left w:val="nil"/>
              <w:bottom w:val="nil"/>
              <w:right w:val="nil"/>
            </w:tcBorders>
            <w:shd w:val="clear" w:color="auto" w:fill="000000"/>
          </w:tcPr>
          <w:p w:rsidR="000B4A1E" w:rsidRPr="003E2DBE" w:rsidRDefault="000B4A1E" w:rsidP="00517E51">
            <w:pPr>
              <w:pStyle w:val="Tabletextheading"/>
              <w:rPr>
                <w:lang w:eastAsia="en-AU"/>
              </w:rPr>
            </w:pPr>
            <w:r w:rsidRPr="003E2DBE">
              <w:rPr>
                <w:lang w:eastAsia="en-AU"/>
              </w:rPr>
              <w:t xml:space="preserve"> </w:t>
            </w:r>
          </w:p>
        </w:tc>
        <w:tc>
          <w:tcPr>
            <w:tcW w:w="1988" w:type="dxa"/>
            <w:gridSpan w:val="2"/>
            <w:tcBorders>
              <w:top w:val="single" w:sz="6"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General </w:t>
            </w:r>
          </w:p>
          <w:p w:rsidR="000B4A1E" w:rsidRPr="003E2DBE" w:rsidRDefault="000B4A1E" w:rsidP="00517E51">
            <w:pPr>
              <w:pStyle w:val="TabletextheadingCentred"/>
              <w:rPr>
                <w:lang w:eastAsia="en-AU"/>
              </w:rPr>
            </w:pPr>
            <w:r w:rsidRPr="003E2DBE">
              <w:rPr>
                <w:lang w:eastAsia="en-AU"/>
              </w:rPr>
              <w:t>government sector</w:t>
            </w:r>
          </w:p>
        </w:tc>
        <w:tc>
          <w:tcPr>
            <w:tcW w:w="262"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1984" w:type="dxa"/>
            <w:gridSpan w:val="2"/>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Centred"/>
              <w:rPr>
                <w:lang w:eastAsia="en-AU"/>
              </w:rPr>
            </w:pPr>
            <w:r w:rsidRPr="003E2DBE">
              <w:rPr>
                <w:lang w:eastAsia="en-AU"/>
              </w:rPr>
              <w:t>Public non-financial corporations</w:t>
            </w:r>
          </w:p>
        </w:tc>
      </w:tr>
      <w:tr w:rsidR="000B4A1E" w:rsidRPr="003E2DBE" w:rsidTr="00517E51">
        <w:tc>
          <w:tcPr>
            <w:tcW w:w="5156" w:type="dxa"/>
            <w:tcBorders>
              <w:top w:val="nil"/>
              <w:left w:val="single" w:sz="6" w:space="0" w:color="auto"/>
              <w:bottom w:val="single" w:sz="6" w:space="0" w:color="auto"/>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6" w:space="0" w:color="auto"/>
              <w:right w:val="single" w:sz="6" w:space="0" w:color="auto"/>
            </w:tcBorders>
            <w:shd w:val="clear" w:color="auto" w:fill="000000"/>
          </w:tcPr>
          <w:p w:rsidR="000B4A1E" w:rsidRPr="003E2DBE" w:rsidRDefault="000B4A1E" w:rsidP="00517E51">
            <w:pPr>
              <w:pStyle w:val="Tabletextheading"/>
              <w:rPr>
                <w:lang w:eastAsia="en-AU"/>
              </w:rPr>
            </w:pPr>
            <w:r w:rsidRPr="003E2DBE">
              <w:rPr>
                <w:lang w:eastAsia="en-AU"/>
              </w:rPr>
              <w:t>2012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Cash surplus/(deficit)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(2</w:t>
            </w:r>
            <w:r w:rsidRPr="003E2DBE">
              <w:rPr>
                <w:rFonts w:eastAsiaTheme="minorEastAsia" w:cs="Calibri"/>
                <w:b/>
                <w:bCs/>
                <w:szCs w:val="22"/>
                <w:lang w:eastAsia="en-AU"/>
              </w:rPr>
              <w:t xml:space="preserve"> 192.9)</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640.3)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(2</w:t>
            </w:r>
            <w:r w:rsidRPr="003E2DBE">
              <w:rPr>
                <w:rFonts w:eastAsiaTheme="minorEastAsia" w:cs="Calibri"/>
                <w:b/>
                <w:bCs/>
                <w:szCs w:val="22"/>
                <w:lang w:eastAsia="en-AU"/>
              </w:rPr>
              <w:t xml:space="preserve"> 789.9)</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(2</w:t>
            </w:r>
            <w:r w:rsidRPr="003E2DBE">
              <w:rPr>
                <w:rFonts w:eastAsiaTheme="minorEastAsia" w:cs="Calibri"/>
                <w:b/>
                <w:bCs/>
                <w:szCs w:val="22"/>
                <w:lang w:eastAsia="en-AU"/>
              </w:rPr>
              <w:t xml:space="preserve"> 679.6)</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i/>
                <w:iCs/>
                <w:lang w:eastAsia="en-AU"/>
              </w:rPr>
            </w:pPr>
            <w:r w:rsidRPr="003E2DBE">
              <w:rPr>
                <w:i/>
                <w:iCs/>
                <w:lang w:eastAsia="en-AU"/>
              </w:rPr>
              <w:t>Convergence differences:</w:t>
            </w:r>
          </w:p>
        </w:tc>
        <w:tc>
          <w:tcPr>
            <w:tcW w:w="1123"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c>
          <w:tcPr>
            <w:tcW w:w="5156" w:type="dxa"/>
            <w:tcBorders>
              <w:top w:val="nil"/>
              <w:left w:val="nil"/>
              <w:bottom w:val="single" w:sz="6" w:space="0" w:color="auto"/>
              <w:right w:val="nil"/>
            </w:tcBorders>
          </w:tcPr>
          <w:p w:rsidR="000B4A1E" w:rsidRPr="003E2DBE" w:rsidRDefault="000B4A1E" w:rsidP="00517E51">
            <w:pPr>
              <w:pStyle w:val="Tabletext"/>
              <w:rPr>
                <w:rFonts w:eastAsiaTheme="minorEastAsia" w:cs="Calibri"/>
                <w:sz w:val="19"/>
                <w:szCs w:val="19"/>
                <w:vertAlign w:val="superscript"/>
                <w:lang w:eastAsia="en-AU"/>
              </w:rPr>
            </w:pPr>
            <w:r w:rsidRPr="003E2DBE">
              <w:rPr>
                <w:lang w:eastAsia="en-AU"/>
              </w:rPr>
              <w:t xml:space="preserve">Less: Acquisitions under finance leases and similar arrangements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(1</w:t>
            </w:r>
            <w:r w:rsidRPr="003E2DBE">
              <w:rPr>
                <w:rFonts w:eastAsiaTheme="minorEastAsia" w:cs="Calibri"/>
                <w:szCs w:val="22"/>
                <w:lang w:eastAsia="en-AU"/>
              </w:rPr>
              <w:t xml:space="preserve"> 064.8)</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916.0)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(4</w:t>
            </w:r>
            <w:r w:rsidRPr="003E2DBE">
              <w:rPr>
                <w:rFonts w:eastAsiaTheme="minorEastAsia" w:cs="Calibri"/>
                <w:szCs w:val="22"/>
                <w:lang w:eastAsia="en-AU"/>
              </w:rPr>
              <w:t xml:space="preserve"> 369.0)</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1.1)</w:t>
            </w:r>
          </w:p>
        </w:tc>
      </w:tr>
      <w:tr w:rsidR="000B4A1E" w:rsidRPr="003E2DBE" w:rsidTr="00517E51">
        <w:tc>
          <w:tcPr>
            <w:tcW w:w="5156" w:type="dxa"/>
            <w:tcBorders>
              <w:top w:val="nil"/>
              <w:left w:val="nil"/>
              <w:bottom w:val="single" w:sz="12" w:space="0" w:color="auto"/>
              <w:right w:val="nil"/>
            </w:tcBorders>
          </w:tcPr>
          <w:p w:rsidR="000B4A1E" w:rsidRPr="003E2DBE" w:rsidRDefault="000B4A1E" w:rsidP="00517E51">
            <w:pPr>
              <w:pStyle w:val="Tabletext"/>
              <w:rPr>
                <w:b/>
                <w:lang w:eastAsia="en-AU"/>
              </w:rPr>
            </w:pPr>
            <w:r w:rsidRPr="003E2DBE">
              <w:rPr>
                <w:b/>
                <w:lang w:eastAsia="en-AU"/>
              </w:rPr>
              <w:t>GFS cash surplus/(deficit)</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(3</w:t>
            </w:r>
            <w:r w:rsidRPr="003E2DBE">
              <w:rPr>
                <w:rFonts w:eastAsiaTheme="minorEastAsia" w:cs="Calibri"/>
                <w:b/>
                <w:bCs/>
                <w:szCs w:val="22"/>
                <w:lang w:eastAsia="en-AU"/>
              </w:rPr>
              <w:t xml:space="preserve"> 257.7)</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(1</w:t>
            </w:r>
            <w:r w:rsidRPr="003E2DBE">
              <w:rPr>
                <w:rFonts w:eastAsiaTheme="minorEastAsia" w:cs="Calibri"/>
                <w:b/>
                <w:bCs/>
                <w:szCs w:val="22"/>
                <w:lang w:eastAsia="en-AU"/>
              </w:rPr>
              <w:t xml:space="preserve"> 556.4)</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(7</w:t>
            </w:r>
            <w:r w:rsidRPr="003E2DBE">
              <w:rPr>
                <w:rFonts w:eastAsiaTheme="minorEastAsia" w:cs="Calibri"/>
                <w:b/>
                <w:bCs/>
                <w:szCs w:val="22"/>
                <w:lang w:eastAsia="en-AU"/>
              </w:rPr>
              <w:t xml:space="preserve"> 158.9)</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(2</w:t>
            </w:r>
            <w:r w:rsidRPr="003E2DBE">
              <w:rPr>
                <w:rFonts w:eastAsiaTheme="minorEastAsia" w:cs="Calibri"/>
                <w:b/>
                <w:bCs/>
                <w:szCs w:val="22"/>
                <w:lang w:eastAsia="en-AU"/>
              </w:rPr>
              <w:t xml:space="preserve"> 680.7)</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 xml:space="preserve">Determined in accordance with the ABS </w:t>
      </w:r>
      <w:r w:rsidR="00FC7ED5">
        <w:t>GFS manual</w:t>
      </w:r>
      <w:r w:rsidRPr="00D00665">
        <w:t>.</w:t>
      </w:r>
    </w:p>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Pr>
        <w:pStyle w:val="Heading2NotesContd"/>
      </w:pPr>
      <w:r w:rsidRPr="00D00665">
        <w:br w:type="page"/>
      </w:r>
    </w:p>
    <w:p w:rsidR="000B4A1E" w:rsidRPr="00D00665" w:rsidRDefault="000B4A1E" w:rsidP="00517E51">
      <w:pPr>
        <w:pStyle w:val="Tableheading"/>
      </w:pPr>
    </w:p>
    <w:p w:rsidR="000B4A1E" w:rsidRPr="00D00665" w:rsidRDefault="000B4A1E" w:rsidP="00517E51">
      <w:pPr>
        <w:pStyle w:val="Notes"/>
        <w:rPr>
          <w:sz w:val="20"/>
          <w:szCs w:val="18"/>
        </w:rPr>
      </w:pPr>
    </w:p>
    <w:p w:rsidR="000B4A1E" w:rsidRPr="00D00665" w:rsidRDefault="000B4A1E" w:rsidP="00517E51">
      <w:pPr>
        <w:pStyle w:val="Notes"/>
        <w:rPr>
          <w:sz w:val="20"/>
          <w:szCs w:val="18"/>
        </w:rPr>
      </w:pPr>
    </w:p>
    <w:p w:rsidR="000B4A1E" w:rsidRPr="00D00665" w:rsidRDefault="000B4A1E" w:rsidP="00517E51">
      <w:pPr>
        <w:pStyle w:val="Notes"/>
        <w:rPr>
          <w:sz w:val="20"/>
          <w:szCs w:val="18"/>
        </w:rPr>
      </w:pPr>
    </w:p>
    <w:p w:rsidR="000B4A1E" w:rsidRPr="003E2DBE" w:rsidRDefault="000B4A1E" w:rsidP="00517E51">
      <w:pPr>
        <w:pStyle w:val="Notes"/>
        <w:spacing w:after="60"/>
        <w:rPr>
          <w:b/>
          <w:bCs/>
          <w:sz w:val="20"/>
          <w:szCs w:val="18"/>
          <w:lang w:val="en-US"/>
        </w:rPr>
      </w:pPr>
    </w:p>
    <w:tbl>
      <w:tblPr>
        <w:tblW w:w="9648" w:type="dxa"/>
        <w:tblInd w:w="29" w:type="dxa"/>
        <w:tblLayout w:type="fixed"/>
        <w:tblCellMar>
          <w:left w:w="43" w:type="dxa"/>
          <w:right w:w="43" w:type="dxa"/>
        </w:tblCellMar>
        <w:tblLook w:val="0000" w:firstRow="0" w:lastRow="0" w:firstColumn="0" w:lastColumn="0" w:noHBand="0" w:noVBand="0"/>
      </w:tblPr>
      <w:tblGrid>
        <w:gridCol w:w="374"/>
        <w:gridCol w:w="1234"/>
        <w:gridCol w:w="1608"/>
        <w:gridCol w:w="398"/>
        <w:gridCol w:w="1210"/>
        <w:gridCol w:w="1608"/>
        <w:gridCol w:w="692"/>
        <w:gridCol w:w="916"/>
        <w:gridCol w:w="1608"/>
      </w:tblGrid>
      <w:tr w:rsidR="000B4A1E" w:rsidRPr="003E2DBE" w:rsidTr="00517E51">
        <w:tc>
          <w:tcPr>
            <w:tcW w:w="37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842"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Public </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financial corporations</w:t>
            </w:r>
          </w:p>
        </w:tc>
        <w:tc>
          <w:tcPr>
            <w:tcW w:w="398"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818"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Eliminations</w:t>
            </w:r>
          </w:p>
        </w:tc>
        <w:tc>
          <w:tcPr>
            <w:tcW w:w="69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524"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p>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r>
      <w:tr w:rsidR="000B4A1E" w:rsidRPr="003E2DBE" w:rsidTr="00517E51">
        <w:tc>
          <w:tcPr>
            <w:tcW w:w="1608" w:type="dxa"/>
            <w:gridSpan w:val="2"/>
            <w:tcBorders>
              <w:top w:val="nil"/>
              <w:left w:val="single" w:sz="4" w:space="0" w:color="auto"/>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608"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608"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608"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c>
          <w:tcPr>
            <w:tcW w:w="1608"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608"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1608"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208.5</w:t>
            </w:r>
          </w:p>
        </w:tc>
        <w:tc>
          <w:tcPr>
            <w:tcW w:w="1608"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286.9</w:t>
            </w:r>
          </w:p>
        </w:tc>
        <w:tc>
          <w:tcPr>
            <w:tcW w:w="1608"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234.9</w:t>
            </w:r>
          </w:p>
        </w:tc>
        <w:tc>
          <w:tcPr>
            <w:tcW w:w="1608"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( 183.8)</w:t>
            </w:r>
          </w:p>
        </w:tc>
        <w:tc>
          <w:tcPr>
            <w:tcW w:w="1608"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(4 539.3)</w:t>
            </w:r>
          </w:p>
        </w:tc>
        <w:tc>
          <w:tcPr>
            <w:tcW w:w="1608"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(3 216.7)</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r>
              <w:rPr>
                <w:rFonts w:eastAsiaTheme="minorEastAsia"/>
                <w:lang w:eastAsia="en-AU"/>
              </w:rPr>
              <w:br/>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60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(5 433.8)</w:t>
            </w:r>
          </w:p>
        </w:tc>
        <w:tc>
          <w:tcPr>
            <w:tcW w:w="160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( 917.1)</w:t>
            </w:r>
          </w:p>
        </w:tc>
      </w:tr>
      <w:tr w:rsidR="000B4A1E" w:rsidRPr="003E2DBE" w:rsidTr="00517E51">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208.5</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286.9</w:t>
            </w:r>
          </w:p>
        </w:tc>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234.9</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( 183.8)</w:t>
            </w:r>
          </w:p>
        </w:tc>
        <w:tc>
          <w:tcPr>
            <w:tcW w:w="1608"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(9 973.1)</w:t>
            </w:r>
          </w:p>
        </w:tc>
        <w:tc>
          <w:tcPr>
            <w:tcW w:w="160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(4 133.9)</w:t>
            </w:r>
          </w:p>
        </w:tc>
      </w:tr>
    </w:tbl>
    <w:p w:rsidR="000B4A1E" w:rsidRPr="00D00665" w:rsidRDefault="000B4A1E" w:rsidP="00517E51">
      <w:pPr>
        <w:pStyle w:val="Notes"/>
      </w:pPr>
    </w:p>
    <w:p w:rsidR="000B4A1E" w:rsidRPr="00D00665" w:rsidRDefault="000B4A1E" w:rsidP="00517E51">
      <w:pPr>
        <w:pStyle w:val="Notes"/>
      </w:pPr>
    </w:p>
    <w:p w:rsidR="000B4A1E" w:rsidRPr="00D00665" w:rsidRDefault="000B4A1E" w:rsidP="00517E51">
      <w:pPr>
        <w:pStyle w:val="Heading2Notes"/>
      </w:pPr>
      <w:r w:rsidRPr="00D00665">
        <w:br w:type="page"/>
      </w:r>
      <w:bookmarkStart w:id="92" w:name="_Toc367947890"/>
      <w:r w:rsidRPr="00D00665">
        <w:lastRenderedPageBreak/>
        <w:t>Note 31:</w:t>
      </w:r>
      <w:r w:rsidRPr="00D00665">
        <w:tab/>
        <w:t>Explanations of material variances between budget and actual outcomes</w:t>
      </w:r>
      <w:bookmarkEnd w:id="92"/>
    </w:p>
    <w:p w:rsidR="000B4A1E" w:rsidRPr="00D00665" w:rsidRDefault="000B4A1E" w:rsidP="00517E51">
      <w:r w:rsidRPr="00D00665">
        <w:t xml:space="preserve">The following tables and notes explain material variances between the general government sector original budget as published in Chapter 1 of </w:t>
      </w:r>
      <w:r w:rsidRPr="00A354AB">
        <w:t>2012</w:t>
      </w:r>
      <w:r w:rsidRPr="00A354AB">
        <w:noBreakHyphen/>
        <w:t>13 Budget Paper No. 5</w:t>
      </w:r>
      <w:r w:rsidRPr="00D00665">
        <w:t xml:space="preserve"> </w:t>
      </w:r>
      <w:r w:rsidRPr="00B950D7">
        <w:rPr>
          <w:i/>
        </w:rPr>
        <w:t>Statement of Finances</w:t>
      </w:r>
      <w:r w:rsidRPr="00D00665">
        <w:t xml:space="preserve">. The tables also include the revised budget estimates as published in Appendix B of </w:t>
      </w:r>
      <w:r>
        <w:t>2013</w:t>
      </w:r>
      <w:r>
        <w:noBreakHyphen/>
        <w:t>14 Budget Paper </w:t>
      </w:r>
      <w:r w:rsidRPr="00A354AB">
        <w:t>No. 5</w:t>
      </w:r>
      <w:r w:rsidRPr="00761895">
        <w:rPr>
          <w:i/>
        </w:rPr>
        <w:t xml:space="preserve"> Statement of Finances.</w:t>
      </w:r>
    </w:p>
    <w:p w:rsidR="000B4A1E" w:rsidRPr="00D00665" w:rsidRDefault="000B4A1E" w:rsidP="00517E51">
      <w:r w:rsidRPr="00D00665">
        <w:t>As stated in Note 1(N), the budget data is sourced from the estimated financial statements, which were reviewed by the Auditor</w:t>
      </w:r>
      <w:r w:rsidRPr="00D00665">
        <w:noBreakHyphen/>
        <w:t>General, but not subject to an audit.</w:t>
      </w:r>
    </w:p>
    <w:p w:rsidR="000B4A1E" w:rsidRPr="00D00665" w:rsidRDefault="000B4A1E" w:rsidP="00517E51">
      <w:r w:rsidRPr="00D00665">
        <w:t>For the general government sector comprehensive operating statement, variances are considered to be material where the variance exceeds the greater of 10</w:t>
      </w:r>
      <w:r>
        <w:t> per cent</w:t>
      </w:r>
      <w:r w:rsidRPr="00D00665">
        <w:t xml:space="preserve"> of the original budget estimates or $15</w:t>
      </w:r>
      <w:r>
        <w:t> million</w:t>
      </w:r>
      <w:r w:rsidRPr="00D00665">
        <w:t>. In regard to the other statements, the high level explanation of major variances in the key aggregates, where material, have been provided.</w:t>
      </w:r>
    </w:p>
    <w:p w:rsidR="000B4A1E" w:rsidRPr="00D00665" w:rsidRDefault="000B4A1E" w:rsidP="00517E51">
      <w:pPr>
        <w:pStyle w:val="Heading5"/>
      </w:pPr>
      <w:r w:rsidRPr="00D00665">
        <w:t>(a)</w:t>
      </w:r>
      <w:r w:rsidRPr="00D00665">
        <w:tab/>
        <w:t>Consolidated comprehensive operating statement</w:t>
      </w:r>
    </w:p>
    <w:p w:rsidR="000B4A1E" w:rsidRPr="003E2DBE" w:rsidRDefault="000B4A1E" w:rsidP="00517E51">
      <w:pPr>
        <w:pStyle w:val="million"/>
      </w:pPr>
      <w:r w:rsidRPr="00D00665">
        <w:t>($</w:t>
      </w:r>
      <w:r>
        <w:t> million</w:t>
      </w:r>
      <w:r w:rsidRPr="00D00665">
        <w:t>)</w:t>
      </w:r>
    </w:p>
    <w:tbl>
      <w:tblPr>
        <w:tblW w:w="9584" w:type="dxa"/>
        <w:tblInd w:w="29" w:type="dxa"/>
        <w:tblLayout w:type="fixed"/>
        <w:tblCellMar>
          <w:left w:w="43" w:type="dxa"/>
          <w:right w:w="43" w:type="dxa"/>
        </w:tblCellMar>
        <w:tblLook w:val="0000" w:firstRow="0" w:lastRow="0" w:firstColumn="0" w:lastColumn="0" w:noHBand="0" w:noVBand="0"/>
      </w:tblPr>
      <w:tblGrid>
        <w:gridCol w:w="2534"/>
        <w:gridCol w:w="180"/>
        <w:gridCol w:w="417"/>
        <w:gridCol w:w="248"/>
        <w:gridCol w:w="667"/>
        <w:gridCol w:w="938"/>
        <w:gridCol w:w="923"/>
        <w:gridCol w:w="260"/>
        <w:gridCol w:w="284"/>
        <w:gridCol w:w="324"/>
        <w:gridCol w:w="903"/>
        <w:gridCol w:w="49"/>
        <w:gridCol w:w="27"/>
        <w:gridCol w:w="90"/>
        <w:gridCol w:w="16"/>
        <w:gridCol w:w="90"/>
        <w:gridCol w:w="157"/>
        <w:gridCol w:w="77"/>
        <w:gridCol w:w="176"/>
        <w:gridCol w:w="64"/>
        <w:gridCol w:w="185"/>
        <w:gridCol w:w="51"/>
        <w:gridCol w:w="12"/>
        <w:gridCol w:w="171"/>
        <w:gridCol w:w="39"/>
        <w:gridCol w:w="205"/>
        <w:gridCol w:w="26"/>
        <w:gridCol w:w="242"/>
        <w:gridCol w:w="13"/>
        <w:gridCol w:w="186"/>
        <w:gridCol w:w="30"/>
      </w:tblGrid>
      <w:tr w:rsidR="000B4A1E" w:rsidRPr="003E2DBE" w:rsidTr="00517E51">
        <w:trPr>
          <w:gridAfter w:val="1"/>
          <w:wAfter w:w="30" w:type="dxa"/>
          <w:cantSplit/>
          <w:tblHeader/>
        </w:trPr>
        <w:tc>
          <w:tcPr>
            <w:tcW w:w="2714" w:type="dxa"/>
            <w:gridSpan w:val="2"/>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 xml:space="preserve"> </w:t>
            </w:r>
          </w:p>
        </w:tc>
        <w:tc>
          <w:tcPr>
            <w:tcW w:w="417"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19"/>
                <w:szCs w:val="19"/>
                <w:lang w:eastAsia="en-AU"/>
              </w:rPr>
            </w:pPr>
          </w:p>
        </w:tc>
        <w:tc>
          <w:tcPr>
            <w:tcW w:w="248"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 xml:space="preserve"> </w:t>
            </w:r>
          </w:p>
        </w:tc>
        <w:tc>
          <w:tcPr>
            <w:tcW w:w="2788" w:type="dxa"/>
            <w:gridSpan w:val="4"/>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 xml:space="preserve">General government sector  </w:t>
            </w:r>
          </w:p>
        </w:tc>
        <w:tc>
          <w:tcPr>
            <w:tcW w:w="284"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 xml:space="preserve"> </w:t>
            </w:r>
          </w:p>
        </w:tc>
        <w:tc>
          <w:tcPr>
            <w:tcW w:w="324"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 xml:space="preserve"> </w:t>
            </w:r>
          </w:p>
        </w:tc>
        <w:tc>
          <w:tcPr>
            <w:tcW w:w="952"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 xml:space="preserve"> </w:t>
            </w:r>
          </w:p>
        </w:tc>
        <w:tc>
          <w:tcPr>
            <w:tcW w:w="945" w:type="dxa"/>
            <w:gridSpan w:val="11"/>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Revised</w:t>
            </w:r>
          </w:p>
        </w:tc>
        <w:tc>
          <w:tcPr>
            <w:tcW w:w="882" w:type="dxa"/>
            <w:gridSpan w:val="7"/>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
              <w:tabs>
                <w:tab w:val="right" w:pos="808"/>
              </w:tabs>
              <w:jc w:val="left"/>
              <w:rPr>
                <w:rFonts w:eastAsiaTheme="minorEastAsia"/>
                <w:sz w:val="19"/>
                <w:szCs w:val="19"/>
                <w:lang w:eastAsia="en-AU"/>
              </w:rPr>
            </w:pPr>
            <w:r w:rsidRPr="003E2DBE">
              <w:rPr>
                <w:rFonts w:eastAsiaTheme="minorEastAsia"/>
                <w:sz w:val="19"/>
                <w:szCs w:val="19"/>
                <w:lang w:eastAsia="en-AU"/>
              </w:rPr>
              <w:t xml:space="preserve"> </w:t>
            </w:r>
          </w:p>
        </w:tc>
      </w:tr>
      <w:tr w:rsidR="000B4A1E" w:rsidRPr="003E2DBE" w:rsidTr="00517E51">
        <w:trPr>
          <w:gridAfter w:val="1"/>
          <w:wAfter w:w="30" w:type="dxa"/>
          <w:cantSplit/>
          <w:tblHeader/>
        </w:trPr>
        <w:tc>
          <w:tcPr>
            <w:tcW w:w="2534"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 xml:space="preserve"> </w:t>
            </w:r>
          </w:p>
        </w:tc>
        <w:tc>
          <w:tcPr>
            <w:tcW w:w="597"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Notes</w:t>
            </w:r>
          </w:p>
        </w:tc>
        <w:tc>
          <w:tcPr>
            <w:tcW w:w="915"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Original budget</w:t>
            </w:r>
          </w:p>
        </w:tc>
        <w:tc>
          <w:tcPr>
            <w:tcW w:w="938"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Revised budget</w:t>
            </w:r>
          </w:p>
        </w:tc>
        <w:tc>
          <w:tcPr>
            <w:tcW w:w="9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2013  Actual</w:t>
            </w:r>
          </w:p>
        </w:tc>
        <w:tc>
          <w:tcPr>
            <w:tcW w:w="868" w:type="dxa"/>
            <w:gridSpan w:val="3"/>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Budget variance</w:t>
            </w:r>
          </w:p>
        </w:tc>
        <w:tc>
          <w:tcPr>
            <w:tcW w:w="90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19"/>
                <w:szCs w:val="19"/>
                <w:lang w:eastAsia="en-AU"/>
              </w:rPr>
            </w:pPr>
          </w:p>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w:t>
            </w:r>
          </w:p>
        </w:tc>
        <w:tc>
          <w:tcPr>
            <w:tcW w:w="994" w:type="dxa"/>
            <w:gridSpan w:val="1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budget variance</w:t>
            </w:r>
          </w:p>
        </w:tc>
        <w:tc>
          <w:tcPr>
            <w:tcW w:w="882" w:type="dxa"/>
            <w:gridSpan w:val="7"/>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sz w:val="19"/>
                <w:szCs w:val="19"/>
                <w:lang w:eastAsia="en-AU"/>
              </w:rPr>
            </w:pPr>
          </w:p>
          <w:p w:rsidR="000B4A1E" w:rsidRPr="003E2DBE" w:rsidRDefault="000B4A1E" w:rsidP="00517E51">
            <w:pPr>
              <w:pStyle w:val="Tabletextheading"/>
              <w:rPr>
                <w:rFonts w:eastAsiaTheme="minorEastAsia"/>
                <w:sz w:val="19"/>
                <w:szCs w:val="19"/>
                <w:lang w:eastAsia="en-AU"/>
              </w:rPr>
            </w:pPr>
            <w:r w:rsidRPr="003E2DBE">
              <w:rPr>
                <w:rFonts w:eastAsiaTheme="minorEastAsia"/>
                <w:sz w:val="19"/>
                <w:szCs w:val="19"/>
                <w:lang w:eastAsia="en-AU"/>
              </w:rPr>
              <w:t>%</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b/>
                <w:bCs/>
                <w:sz w:val="19"/>
                <w:szCs w:val="19"/>
                <w:lang w:eastAsia="en-AU"/>
              </w:rPr>
            </w:pPr>
            <w:r w:rsidRPr="003E2DBE">
              <w:rPr>
                <w:rFonts w:eastAsiaTheme="minorEastAsia"/>
                <w:b/>
                <w:bCs/>
                <w:sz w:val="19"/>
                <w:szCs w:val="19"/>
                <w:lang w:eastAsia="en-AU"/>
              </w:rPr>
              <w:t>Revenue from transactions</w:t>
            </w:r>
          </w:p>
        </w:tc>
        <w:tc>
          <w:tcPr>
            <w:tcW w:w="417"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Taxation revenue</w:t>
            </w:r>
          </w:p>
        </w:tc>
        <w:tc>
          <w:tcPr>
            <w:tcW w:w="417" w:type="dxa"/>
            <w:tcBorders>
              <w:top w:val="nil"/>
              <w:left w:val="nil"/>
              <w:bottom w:val="nil"/>
              <w:right w:val="nil"/>
            </w:tcBorders>
          </w:tcPr>
          <w:p w:rsidR="000B4A1E" w:rsidRPr="003E2DBE" w:rsidRDefault="000B4A1E" w:rsidP="00517E51">
            <w:pPr>
              <w:pStyle w:val="TableofFigures"/>
              <w:jc w:val="center"/>
              <w:rPr>
                <w:rFonts w:eastAsiaTheme="minorEastAsia" w:cs="Calibri"/>
                <w:sz w:val="19"/>
                <w:szCs w:val="22"/>
                <w:lang w:eastAsia="en-AU"/>
              </w:rPr>
            </w:pPr>
            <w:r w:rsidRPr="003E2DBE">
              <w:rPr>
                <w:rFonts w:eastAsiaTheme="minorEastAsia"/>
                <w:sz w:val="19"/>
                <w:szCs w:val="19"/>
                <w:lang w:eastAsia="en-AU"/>
              </w:rPr>
              <w:t>(a</w:t>
            </w:r>
            <w:r w:rsidRPr="003E2DBE">
              <w:rPr>
                <w:rFonts w:eastAsiaTheme="minorEastAsia" w:cs="Calibri"/>
                <w:sz w:val="19"/>
                <w:szCs w:val="22"/>
                <w:lang w:eastAsia="en-AU"/>
              </w:rPr>
              <w:t>)</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15 782.8</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15 621.4</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15 530.7</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( 252.2)</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( 1.6)</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( 90.8)</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( 0.6)</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Interest revenue</w:t>
            </w:r>
          </w:p>
        </w:tc>
        <w:tc>
          <w:tcPr>
            <w:tcW w:w="417" w:type="dxa"/>
            <w:tcBorders>
              <w:top w:val="nil"/>
              <w:left w:val="nil"/>
              <w:bottom w:val="nil"/>
              <w:right w:val="nil"/>
            </w:tcBorders>
          </w:tcPr>
          <w:p w:rsidR="000B4A1E" w:rsidRPr="003E2DBE" w:rsidRDefault="000B4A1E" w:rsidP="00517E51">
            <w:pPr>
              <w:pStyle w:val="TableofFigures"/>
              <w:jc w:val="center"/>
              <w:rPr>
                <w:rFonts w:eastAsiaTheme="minorEastAsia"/>
                <w:sz w:val="19"/>
                <w:szCs w:val="19"/>
                <w:lang w:eastAsia="en-AU"/>
              </w:rPr>
            </w:pP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709.5</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672.6</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700.7</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( 8.7)</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( 1.2)</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28.1</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4.2</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Dividends and income tax equivalent and rate equivalent revenue</w:t>
            </w:r>
          </w:p>
        </w:tc>
        <w:tc>
          <w:tcPr>
            <w:tcW w:w="417" w:type="dxa"/>
            <w:tcBorders>
              <w:top w:val="nil"/>
              <w:left w:val="nil"/>
              <w:bottom w:val="nil"/>
              <w:right w:val="nil"/>
            </w:tcBorders>
          </w:tcPr>
          <w:p w:rsidR="000B4A1E" w:rsidRPr="003E2DBE" w:rsidRDefault="000B4A1E" w:rsidP="00517E51">
            <w:pPr>
              <w:pStyle w:val="TableofFigures"/>
              <w:jc w:val="center"/>
              <w:rPr>
                <w:rFonts w:eastAsiaTheme="minorEastAsia" w:cs="Calibri"/>
                <w:sz w:val="19"/>
                <w:szCs w:val="22"/>
                <w:lang w:eastAsia="en-AU"/>
              </w:rPr>
            </w:pPr>
            <w:r w:rsidRPr="003E2DBE">
              <w:rPr>
                <w:rFonts w:eastAsiaTheme="minorEastAsia"/>
                <w:sz w:val="19"/>
                <w:szCs w:val="19"/>
                <w:lang w:eastAsia="en-AU"/>
              </w:rPr>
              <w:t>(b</w:t>
            </w:r>
            <w:r w:rsidRPr="003E2DBE">
              <w:rPr>
                <w:rFonts w:eastAsiaTheme="minorEastAsia" w:cs="Calibri"/>
                <w:sz w:val="19"/>
                <w:szCs w:val="22"/>
                <w:lang w:eastAsia="en-AU"/>
              </w:rPr>
              <w:t>)</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1 001.9</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1 232.7</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1 341.7</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339.9</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33.9</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109.0</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8.8</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Sales of goods and services</w:t>
            </w:r>
          </w:p>
        </w:tc>
        <w:tc>
          <w:tcPr>
            <w:tcW w:w="417" w:type="dxa"/>
            <w:tcBorders>
              <w:top w:val="nil"/>
              <w:left w:val="nil"/>
              <w:bottom w:val="nil"/>
              <w:right w:val="nil"/>
            </w:tcBorders>
          </w:tcPr>
          <w:p w:rsidR="000B4A1E" w:rsidRPr="003E2DBE" w:rsidRDefault="000B4A1E" w:rsidP="00517E51">
            <w:pPr>
              <w:pStyle w:val="TableofFigures"/>
              <w:jc w:val="center"/>
              <w:rPr>
                <w:rFonts w:eastAsiaTheme="minorEastAsia" w:cs="Calibri"/>
                <w:sz w:val="19"/>
                <w:szCs w:val="22"/>
                <w:lang w:eastAsia="en-AU"/>
              </w:rPr>
            </w:pPr>
            <w:r w:rsidRPr="003E2DBE">
              <w:rPr>
                <w:rFonts w:eastAsiaTheme="minorEastAsia"/>
                <w:sz w:val="19"/>
                <w:szCs w:val="19"/>
                <w:lang w:eastAsia="en-AU"/>
              </w:rPr>
              <w:t>(c</w:t>
            </w:r>
            <w:r w:rsidRPr="003E2DBE">
              <w:rPr>
                <w:rFonts w:eastAsiaTheme="minorEastAsia" w:cs="Calibri"/>
                <w:sz w:val="19"/>
                <w:szCs w:val="22"/>
                <w:lang w:eastAsia="en-AU"/>
              </w:rPr>
              <w:t>)</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6 753.1</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6 916.7</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6 869.3</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116.1</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1.7</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( 47.4)</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( 0.7)</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Grants</w:t>
            </w:r>
          </w:p>
        </w:tc>
        <w:tc>
          <w:tcPr>
            <w:tcW w:w="417" w:type="dxa"/>
            <w:tcBorders>
              <w:top w:val="nil"/>
              <w:left w:val="nil"/>
              <w:bottom w:val="nil"/>
              <w:right w:val="nil"/>
            </w:tcBorders>
          </w:tcPr>
          <w:p w:rsidR="000B4A1E" w:rsidRPr="003E2DBE" w:rsidRDefault="000B4A1E" w:rsidP="00517E51">
            <w:pPr>
              <w:pStyle w:val="TableofFigures"/>
              <w:jc w:val="center"/>
              <w:rPr>
                <w:rFonts w:eastAsiaTheme="minorEastAsia" w:cs="Calibri"/>
                <w:sz w:val="19"/>
                <w:szCs w:val="22"/>
                <w:lang w:eastAsia="en-AU"/>
              </w:rPr>
            </w:pPr>
            <w:r w:rsidRPr="003E2DBE">
              <w:rPr>
                <w:rFonts w:eastAsiaTheme="minorEastAsia"/>
                <w:sz w:val="19"/>
                <w:szCs w:val="19"/>
                <w:lang w:eastAsia="en-AU"/>
              </w:rPr>
              <w:t>(d</w:t>
            </w:r>
            <w:r w:rsidRPr="003E2DBE">
              <w:rPr>
                <w:rFonts w:eastAsiaTheme="minorEastAsia" w:cs="Calibri"/>
                <w:sz w:val="19"/>
                <w:szCs w:val="22"/>
                <w:lang w:eastAsia="en-AU"/>
              </w:rPr>
              <w:t>)</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22 220.0</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21 693.0</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21 902.2</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( 317.8)</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( 1.4)</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209.2</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1.0</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Other revenue</w:t>
            </w:r>
          </w:p>
        </w:tc>
        <w:tc>
          <w:tcPr>
            <w:tcW w:w="417" w:type="dxa"/>
            <w:tcBorders>
              <w:top w:val="nil"/>
              <w:left w:val="nil"/>
              <w:bottom w:val="nil"/>
              <w:right w:val="nil"/>
            </w:tcBorders>
          </w:tcPr>
          <w:p w:rsidR="000B4A1E" w:rsidRPr="003E2DBE" w:rsidRDefault="000B4A1E" w:rsidP="00517E51">
            <w:pPr>
              <w:pStyle w:val="TableofFigures"/>
              <w:jc w:val="center"/>
              <w:rPr>
                <w:rFonts w:eastAsiaTheme="minorEastAsia" w:cs="Calibri"/>
                <w:sz w:val="19"/>
                <w:szCs w:val="22"/>
                <w:lang w:eastAsia="en-AU"/>
              </w:rPr>
            </w:pPr>
            <w:r w:rsidRPr="003E2DBE">
              <w:rPr>
                <w:rFonts w:eastAsiaTheme="minorEastAsia"/>
                <w:sz w:val="19"/>
                <w:szCs w:val="19"/>
                <w:lang w:eastAsia="en-AU"/>
              </w:rPr>
              <w:t>(e</w:t>
            </w:r>
            <w:r w:rsidRPr="003E2DBE">
              <w:rPr>
                <w:rFonts w:eastAsiaTheme="minorEastAsia" w:cs="Calibri"/>
                <w:sz w:val="19"/>
                <w:szCs w:val="22"/>
                <w:lang w:eastAsia="en-AU"/>
              </w:rPr>
              <w:t>)</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1 889.4</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1 969.2</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2 268.3</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378.9</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20.1</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299.1</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15.2</w:t>
            </w:r>
          </w:p>
        </w:tc>
      </w:tr>
      <w:tr w:rsidR="000B4A1E" w:rsidRPr="003E2DBE" w:rsidTr="00517E51">
        <w:trPr>
          <w:gridAfter w:val="1"/>
          <w:wAfter w:w="30" w:type="dxa"/>
        </w:trPr>
        <w:tc>
          <w:tcPr>
            <w:tcW w:w="2714" w:type="dxa"/>
            <w:gridSpan w:val="2"/>
            <w:tcBorders>
              <w:top w:val="single" w:sz="6" w:space="0" w:color="auto"/>
              <w:left w:val="nil"/>
              <w:bottom w:val="nil"/>
              <w:right w:val="nil"/>
            </w:tcBorders>
          </w:tcPr>
          <w:p w:rsidR="000B4A1E" w:rsidRPr="003E2DBE" w:rsidRDefault="000B4A1E" w:rsidP="00517E51">
            <w:pPr>
              <w:pStyle w:val="Tabletext"/>
              <w:rPr>
                <w:rFonts w:eastAsiaTheme="minorEastAsia"/>
                <w:b/>
                <w:bCs/>
                <w:sz w:val="19"/>
                <w:szCs w:val="19"/>
                <w:lang w:eastAsia="en-AU"/>
              </w:rPr>
            </w:pPr>
            <w:r w:rsidRPr="003E2DBE">
              <w:rPr>
                <w:rFonts w:eastAsiaTheme="minorEastAsia"/>
                <w:b/>
                <w:bCs/>
                <w:sz w:val="19"/>
                <w:szCs w:val="19"/>
                <w:lang w:eastAsia="en-AU"/>
              </w:rPr>
              <w:t>Total revenue from transactions</w:t>
            </w:r>
          </w:p>
        </w:tc>
        <w:tc>
          <w:tcPr>
            <w:tcW w:w="417" w:type="dxa"/>
            <w:tcBorders>
              <w:top w:val="single" w:sz="6" w:space="0" w:color="auto"/>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915" w:type="dxa"/>
            <w:gridSpan w:val="2"/>
            <w:tcBorders>
              <w:top w:val="single" w:sz="6" w:space="0" w:color="auto"/>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48 356.7</w:t>
            </w:r>
          </w:p>
        </w:tc>
        <w:tc>
          <w:tcPr>
            <w:tcW w:w="938" w:type="dxa"/>
            <w:tcBorders>
              <w:top w:val="single" w:sz="6" w:space="0" w:color="auto"/>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48 105.6</w:t>
            </w:r>
          </w:p>
        </w:tc>
        <w:tc>
          <w:tcPr>
            <w:tcW w:w="923" w:type="dxa"/>
            <w:tcBorders>
              <w:top w:val="single" w:sz="6" w:space="0" w:color="auto"/>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48 612.9</w:t>
            </w:r>
          </w:p>
        </w:tc>
        <w:tc>
          <w:tcPr>
            <w:tcW w:w="868" w:type="dxa"/>
            <w:gridSpan w:val="3"/>
            <w:tcBorders>
              <w:top w:val="single" w:sz="6" w:space="0" w:color="auto"/>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256.2</w:t>
            </w:r>
          </w:p>
        </w:tc>
        <w:tc>
          <w:tcPr>
            <w:tcW w:w="903" w:type="dxa"/>
            <w:tcBorders>
              <w:top w:val="single" w:sz="6" w:space="0" w:color="auto"/>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0.5</w:t>
            </w:r>
          </w:p>
        </w:tc>
        <w:tc>
          <w:tcPr>
            <w:tcW w:w="994" w:type="dxa"/>
            <w:gridSpan w:val="12"/>
            <w:tcBorders>
              <w:top w:val="single" w:sz="6" w:space="0" w:color="auto"/>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507.3</w:t>
            </w:r>
          </w:p>
        </w:tc>
        <w:tc>
          <w:tcPr>
            <w:tcW w:w="882" w:type="dxa"/>
            <w:gridSpan w:val="7"/>
            <w:tcBorders>
              <w:top w:val="single" w:sz="6" w:space="0" w:color="auto"/>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1.1</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b/>
                <w:bCs/>
                <w:sz w:val="19"/>
                <w:szCs w:val="19"/>
                <w:lang w:eastAsia="en-AU"/>
              </w:rPr>
            </w:pPr>
            <w:r w:rsidRPr="003E2DBE">
              <w:rPr>
                <w:rFonts w:eastAsiaTheme="minorEastAsia"/>
                <w:b/>
                <w:bCs/>
                <w:sz w:val="19"/>
                <w:szCs w:val="19"/>
                <w:lang w:eastAsia="en-AU"/>
              </w:rPr>
              <w:t>Expenses from transactions</w:t>
            </w:r>
          </w:p>
        </w:tc>
        <w:tc>
          <w:tcPr>
            <w:tcW w:w="417"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Employee expenses</w:t>
            </w:r>
          </w:p>
        </w:tc>
        <w:tc>
          <w:tcPr>
            <w:tcW w:w="417" w:type="dxa"/>
            <w:tcBorders>
              <w:top w:val="nil"/>
              <w:left w:val="nil"/>
              <w:bottom w:val="nil"/>
              <w:right w:val="nil"/>
            </w:tcBorders>
          </w:tcPr>
          <w:p w:rsidR="000B4A1E" w:rsidRPr="003E2DBE" w:rsidRDefault="000B4A1E" w:rsidP="00517E51">
            <w:pPr>
              <w:pStyle w:val="TableofFigures"/>
              <w:jc w:val="center"/>
              <w:rPr>
                <w:rFonts w:eastAsiaTheme="minorEastAsia" w:cs="Calibri"/>
                <w:sz w:val="19"/>
                <w:szCs w:val="22"/>
                <w:lang w:eastAsia="en-AU"/>
              </w:rPr>
            </w:pPr>
            <w:r w:rsidRPr="003E2DBE">
              <w:rPr>
                <w:rFonts w:eastAsiaTheme="minorEastAsia"/>
                <w:sz w:val="19"/>
                <w:szCs w:val="19"/>
                <w:lang w:eastAsia="en-AU"/>
              </w:rPr>
              <w:t>(f</w:t>
            </w:r>
            <w:r w:rsidRPr="003E2DBE">
              <w:rPr>
                <w:rFonts w:eastAsiaTheme="minorEastAsia" w:cs="Calibri"/>
                <w:sz w:val="19"/>
                <w:szCs w:val="22"/>
                <w:lang w:eastAsia="en-AU"/>
              </w:rPr>
              <w:t>)</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17 257.2</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17 546.3</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17 788.5</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531.3</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3.1</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242.2</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1.4</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Superannuation interest expense</w:t>
            </w:r>
          </w:p>
        </w:tc>
        <w:tc>
          <w:tcPr>
            <w:tcW w:w="417" w:type="dxa"/>
            <w:tcBorders>
              <w:top w:val="nil"/>
              <w:left w:val="nil"/>
              <w:bottom w:val="nil"/>
              <w:right w:val="nil"/>
            </w:tcBorders>
          </w:tcPr>
          <w:p w:rsidR="000B4A1E" w:rsidRPr="003E2DBE" w:rsidRDefault="000B4A1E" w:rsidP="00517E51">
            <w:pPr>
              <w:pStyle w:val="TableofFigures"/>
              <w:jc w:val="center"/>
              <w:rPr>
                <w:rFonts w:eastAsiaTheme="minorEastAsia" w:cs="Calibri"/>
                <w:sz w:val="19"/>
                <w:szCs w:val="22"/>
                <w:lang w:eastAsia="en-AU"/>
              </w:rPr>
            </w:pPr>
            <w:r w:rsidRPr="003E2DBE">
              <w:rPr>
                <w:rFonts w:eastAsiaTheme="minorEastAsia"/>
                <w:sz w:val="19"/>
                <w:szCs w:val="19"/>
                <w:lang w:eastAsia="en-AU"/>
              </w:rPr>
              <w:t>(g</w:t>
            </w:r>
            <w:r w:rsidRPr="003E2DBE">
              <w:rPr>
                <w:rFonts w:eastAsiaTheme="minorEastAsia" w:cs="Calibri"/>
                <w:sz w:val="19"/>
                <w:szCs w:val="22"/>
                <w:lang w:eastAsia="en-AU"/>
              </w:rPr>
              <w:t>)</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729.2</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446.3</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446.3</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( 282.9)</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( 38.8)</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Pr>
                <w:rFonts w:eastAsiaTheme="minorEastAsia"/>
                <w:sz w:val="19"/>
                <w:szCs w:val="19"/>
                <w:lang w:eastAsia="en-AU"/>
              </w:rPr>
              <w:t>..</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Pr>
                <w:rFonts w:eastAsiaTheme="minorEastAsia"/>
                <w:sz w:val="19"/>
                <w:szCs w:val="19"/>
                <w:lang w:eastAsia="en-AU"/>
              </w:rPr>
              <w:t>..</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Other superannuation</w:t>
            </w:r>
          </w:p>
        </w:tc>
        <w:tc>
          <w:tcPr>
            <w:tcW w:w="417" w:type="dxa"/>
            <w:tcBorders>
              <w:top w:val="nil"/>
              <w:left w:val="nil"/>
              <w:bottom w:val="nil"/>
              <w:right w:val="nil"/>
            </w:tcBorders>
          </w:tcPr>
          <w:p w:rsidR="000B4A1E" w:rsidRPr="003E2DBE" w:rsidRDefault="000B4A1E" w:rsidP="00517E51">
            <w:pPr>
              <w:pStyle w:val="TableofFigures"/>
              <w:jc w:val="center"/>
              <w:rPr>
                <w:rFonts w:eastAsiaTheme="minorEastAsia" w:cs="Calibri"/>
                <w:sz w:val="19"/>
                <w:szCs w:val="22"/>
                <w:lang w:eastAsia="en-AU"/>
              </w:rPr>
            </w:pPr>
            <w:r w:rsidRPr="003E2DBE">
              <w:rPr>
                <w:rFonts w:eastAsiaTheme="minorEastAsia"/>
                <w:sz w:val="19"/>
                <w:szCs w:val="19"/>
                <w:lang w:eastAsia="en-AU"/>
              </w:rPr>
              <w:t>(g</w:t>
            </w:r>
            <w:r w:rsidRPr="003E2DBE">
              <w:rPr>
                <w:rFonts w:eastAsiaTheme="minorEastAsia" w:cs="Calibri"/>
                <w:sz w:val="19"/>
                <w:szCs w:val="22"/>
                <w:lang w:eastAsia="en-AU"/>
              </w:rPr>
              <w:t>)</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1 811.2</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1 923.1</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1 924.0</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112.8</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6.2</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0.9</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Pr>
                <w:rFonts w:eastAsiaTheme="minorEastAsia"/>
                <w:sz w:val="19"/>
                <w:szCs w:val="19"/>
                <w:lang w:eastAsia="en-AU"/>
              </w:rPr>
              <w:t>..</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Depreciation</w:t>
            </w:r>
          </w:p>
        </w:tc>
        <w:tc>
          <w:tcPr>
            <w:tcW w:w="417" w:type="dxa"/>
            <w:tcBorders>
              <w:top w:val="nil"/>
              <w:left w:val="nil"/>
              <w:bottom w:val="nil"/>
              <w:right w:val="nil"/>
            </w:tcBorders>
          </w:tcPr>
          <w:p w:rsidR="000B4A1E" w:rsidRPr="003E2DBE" w:rsidRDefault="000B4A1E" w:rsidP="00517E51">
            <w:pPr>
              <w:pStyle w:val="TableofFigures"/>
              <w:jc w:val="center"/>
              <w:rPr>
                <w:rFonts w:eastAsiaTheme="minorEastAsia" w:cs="Calibri"/>
                <w:sz w:val="19"/>
                <w:szCs w:val="22"/>
                <w:lang w:eastAsia="en-AU"/>
              </w:rPr>
            </w:pPr>
            <w:r w:rsidRPr="003E2DBE">
              <w:rPr>
                <w:rFonts w:eastAsiaTheme="minorEastAsia"/>
                <w:sz w:val="19"/>
                <w:szCs w:val="19"/>
                <w:lang w:eastAsia="en-AU"/>
              </w:rPr>
              <w:t>(h</w:t>
            </w:r>
            <w:r w:rsidRPr="003E2DBE">
              <w:rPr>
                <w:rFonts w:eastAsiaTheme="minorEastAsia" w:cs="Calibri"/>
                <w:sz w:val="19"/>
                <w:szCs w:val="22"/>
                <w:lang w:eastAsia="en-AU"/>
              </w:rPr>
              <w:t>)</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2 385.9</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2 264.9</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2 254.3</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( 131.7)</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( 5.5)</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( 10.7)</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( 0.5)</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Interest expense</w:t>
            </w:r>
          </w:p>
        </w:tc>
        <w:tc>
          <w:tcPr>
            <w:tcW w:w="417" w:type="dxa"/>
            <w:tcBorders>
              <w:top w:val="nil"/>
              <w:left w:val="nil"/>
              <w:bottom w:val="nil"/>
              <w:right w:val="nil"/>
            </w:tcBorders>
          </w:tcPr>
          <w:p w:rsidR="000B4A1E" w:rsidRPr="003E2DBE" w:rsidRDefault="000B4A1E" w:rsidP="00517E51">
            <w:pPr>
              <w:pStyle w:val="TableofFigures"/>
              <w:jc w:val="center"/>
              <w:rPr>
                <w:rFonts w:eastAsiaTheme="minorEastAsia" w:cs="Calibri"/>
                <w:sz w:val="19"/>
                <w:szCs w:val="22"/>
                <w:lang w:eastAsia="en-AU"/>
              </w:rPr>
            </w:pPr>
            <w:r w:rsidRPr="003E2DBE">
              <w:rPr>
                <w:rFonts w:eastAsiaTheme="minorEastAsia"/>
                <w:sz w:val="19"/>
                <w:szCs w:val="19"/>
                <w:lang w:eastAsia="en-AU"/>
              </w:rPr>
              <w:t>(i</w:t>
            </w:r>
            <w:r w:rsidRPr="003E2DBE">
              <w:rPr>
                <w:rFonts w:eastAsiaTheme="minorEastAsia" w:cs="Calibri"/>
                <w:sz w:val="19"/>
                <w:szCs w:val="22"/>
                <w:lang w:eastAsia="en-AU"/>
              </w:rPr>
              <w:t>)</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1 725.6</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1 750.6</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1 775.3</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49.8</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2.9</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24.7</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1.4</w:t>
            </w:r>
          </w:p>
        </w:tc>
      </w:tr>
      <w:tr w:rsidR="000B4A1E" w:rsidRPr="003E2DBE" w:rsidTr="00517E51">
        <w:trPr>
          <w:gridAfter w:val="1"/>
          <w:wAfter w:w="30" w:type="dxa"/>
        </w:trPr>
        <w:tc>
          <w:tcPr>
            <w:tcW w:w="2714" w:type="dxa"/>
            <w:gridSpan w:val="2"/>
            <w:tcBorders>
              <w:top w:val="nil"/>
              <w:left w:val="nil"/>
              <w:bottom w:val="nil"/>
              <w:right w:val="nil"/>
            </w:tcBorders>
            <w:shd w:val="solid" w:color="FFFFFF" w:fill="auto"/>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Grants and other transfers</w:t>
            </w:r>
          </w:p>
        </w:tc>
        <w:tc>
          <w:tcPr>
            <w:tcW w:w="417" w:type="dxa"/>
            <w:tcBorders>
              <w:top w:val="nil"/>
              <w:left w:val="nil"/>
              <w:bottom w:val="nil"/>
              <w:right w:val="nil"/>
            </w:tcBorders>
            <w:shd w:val="solid" w:color="FFFFFF" w:fill="auto"/>
          </w:tcPr>
          <w:p w:rsidR="000B4A1E" w:rsidRPr="003E2DBE" w:rsidRDefault="000B4A1E" w:rsidP="00517E51">
            <w:pPr>
              <w:pStyle w:val="TableofFigures"/>
              <w:jc w:val="center"/>
              <w:rPr>
                <w:rFonts w:eastAsiaTheme="minorEastAsia" w:cs="Calibri"/>
                <w:sz w:val="19"/>
                <w:szCs w:val="22"/>
                <w:lang w:eastAsia="en-AU"/>
              </w:rPr>
            </w:pPr>
            <w:r w:rsidRPr="003E2DBE">
              <w:rPr>
                <w:rFonts w:eastAsiaTheme="minorEastAsia"/>
                <w:sz w:val="19"/>
                <w:szCs w:val="19"/>
                <w:lang w:eastAsia="en-AU"/>
              </w:rPr>
              <w:t>(j</w:t>
            </w:r>
            <w:r w:rsidRPr="003E2DBE">
              <w:rPr>
                <w:rFonts w:eastAsiaTheme="minorEastAsia" w:cs="Calibri"/>
                <w:sz w:val="19"/>
                <w:szCs w:val="22"/>
                <w:lang w:eastAsia="en-AU"/>
              </w:rPr>
              <w:t>)</w:t>
            </w:r>
          </w:p>
        </w:tc>
        <w:tc>
          <w:tcPr>
            <w:tcW w:w="915"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8 379.0</w:t>
            </w:r>
          </w:p>
        </w:tc>
        <w:tc>
          <w:tcPr>
            <w:tcW w:w="93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7 703.7</w:t>
            </w:r>
          </w:p>
        </w:tc>
        <w:tc>
          <w:tcPr>
            <w:tcW w:w="9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8 013.9</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( 365.1)</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( 4.4)</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310.3</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4.0</w:t>
            </w:r>
          </w:p>
        </w:tc>
      </w:tr>
      <w:tr w:rsidR="000B4A1E" w:rsidRPr="003E2DBE" w:rsidTr="00517E51">
        <w:trPr>
          <w:gridAfter w:val="1"/>
          <w:wAfter w:w="30" w:type="dxa"/>
        </w:trPr>
        <w:tc>
          <w:tcPr>
            <w:tcW w:w="2714" w:type="dxa"/>
            <w:gridSpan w:val="2"/>
            <w:tcBorders>
              <w:top w:val="nil"/>
              <w:left w:val="nil"/>
              <w:bottom w:val="nil"/>
              <w:right w:val="nil"/>
            </w:tcBorders>
            <w:shd w:val="solid" w:color="FFFFFF" w:fill="auto"/>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Other operating expenses</w:t>
            </w:r>
          </w:p>
        </w:tc>
        <w:tc>
          <w:tcPr>
            <w:tcW w:w="417" w:type="dxa"/>
            <w:tcBorders>
              <w:top w:val="nil"/>
              <w:left w:val="nil"/>
              <w:bottom w:val="nil"/>
              <w:right w:val="nil"/>
            </w:tcBorders>
            <w:shd w:val="solid" w:color="FFFFFF" w:fill="auto"/>
          </w:tcPr>
          <w:p w:rsidR="000B4A1E" w:rsidRPr="003E2DBE" w:rsidRDefault="000B4A1E" w:rsidP="00517E51">
            <w:pPr>
              <w:pStyle w:val="TableofFigures"/>
              <w:jc w:val="center"/>
              <w:rPr>
                <w:rFonts w:eastAsiaTheme="minorEastAsia" w:cs="Calibri"/>
                <w:sz w:val="19"/>
                <w:szCs w:val="22"/>
                <w:lang w:eastAsia="en-AU"/>
              </w:rPr>
            </w:pPr>
            <w:r w:rsidRPr="003E2DBE">
              <w:rPr>
                <w:rFonts w:eastAsiaTheme="minorEastAsia"/>
                <w:sz w:val="19"/>
                <w:szCs w:val="19"/>
                <w:lang w:eastAsia="en-AU"/>
              </w:rPr>
              <w:t>(k</w:t>
            </w:r>
            <w:r w:rsidRPr="003E2DBE">
              <w:rPr>
                <w:rFonts w:eastAsiaTheme="minorEastAsia" w:cs="Calibri"/>
                <w:sz w:val="19"/>
                <w:szCs w:val="22"/>
                <w:lang w:eastAsia="en-AU"/>
              </w:rPr>
              <w:t>)</w:t>
            </w:r>
          </w:p>
        </w:tc>
        <w:tc>
          <w:tcPr>
            <w:tcW w:w="915"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15 913.7</w:t>
            </w:r>
          </w:p>
        </w:tc>
        <w:tc>
          <w:tcPr>
            <w:tcW w:w="938"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16 293.7</w:t>
            </w:r>
          </w:p>
        </w:tc>
        <w:tc>
          <w:tcPr>
            <w:tcW w:w="9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16 094.1</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180.4</w:t>
            </w:r>
          </w:p>
        </w:tc>
        <w:tc>
          <w:tcPr>
            <w:tcW w:w="90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1.1</w:t>
            </w:r>
          </w:p>
        </w:tc>
        <w:tc>
          <w:tcPr>
            <w:tcW w:w="994" w:type="dxa"/>
            <w:gridSpan w:val="1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( 199.5)</w:t>
            </w:r>
          </w:p>
        </w:tc>
        <w:tc>
          <w:tcPr>
            <w:tcW w:w="882" w:type="dxa"/>
            <w:gridSpan w:val="7"/>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( 1.2)</w:t>
            </w:r>
          </w:p>
        </w:tc>
      </w:tr>
      <w:tr w:rsidR="000B4A1E" w:rsidRPr="003E2DBE" w:rsidTr="00517E51">
        <w:trPr>
          <w:gridAfter w:val="1"/>
          <w:wAfter w:w="30" w:type="dxa"/>
        </w:trPr>
        <w:tc>
          <w:tcPr>
            <w:tcW w:w="2714" w:type="dxa"/>
            <w:gridSpan w:val="2"/>
            <w:tcBorders>
              <w:top w:val="single" w:sz="6" w:space="0" w:color="auto"/>
              <w:left w:val="nil"/>
              <w:bottom w:val="nil"/>
              <w:right w:val="nil"/>
            </w:tcBorders>
          </w:tcPr>
          <w:p w:rsidR="000B4A1E" w:rsidRPr="003E2DBE" w:rsidRDefault="000B4A1E" w:rsidP="00517E51">
            <w:pPr>
              <w:pStyle w:val="Tabletext"/>
              <w:rPr>
                <w:rFonts w:eastAsiaTheme="minorEastAsia"/>
                <w:b/>
                <w:bCs/>
                <w:sz w:val="19"/>
                <w:szCs w:val="19"/>
                <w:lang w:eastAsia="en-AU"/>
              </w:rPr>
            </w:pPr>
            <w:r w:rsidRPr="003E2DBE">
              <w:rPr>
                <w:rFonts w:eastAsiaTheme="minorEastAsia"/>
                <w:b/>
                <w:bCs/>
                <w:sz w:val="19"/>
                <w:szCs w:val="19"/>
                <w:lang w:eastAsia="en-AU"/>
              </w:rPr>
              <w:t>Total expenses from transactions</w:t>
            </w:r>
          </w:p>
        </w:tc>
        <w:tc>
          <w:tcPr>
            <w:tcW w:w="417" w:type="dxa"/>
            <w:tcBorders>
              <w:top w:val="single" w:sz="6" w:space="0" w:color="auto"/>
              <w:left w:val="nil"/>
              <w:bottom w:val="nil"/>
              <w:right w:val="nil"/>
            </w:tcBorders>
          </w:tcPr>
          <w:p w:rsidR="000B4A1E" w:rsidRPr="003E2DBE" w:rsidRDefault="000B4A1E" w:rsidP="00517E51">
            <w:pPr>
              <w:pStyle w:val="TableofFigures"/>
              <w:rPr>
                <w:rFonts w:eastAsiaTheme="minorEastAsia"/>
                <w:b/>
                <w:bCs/>
                <w:sz w:val="19"/>
                <w:szCs w:val="19"/>
                <w:lang w:eastAsia="en-AU"/>
              </w:rPr>
            </w:pPr>
          </w:p>
        </w:tc>
        <w:tc>
          <w:tcPr>
            <w:tcW w:w="915" w:type="dxa"/>
            <w:gridSpan w:val="2"/>
            <w:tcBorders>
              <w:top w:val="single" w:sz="6" w:space="0" w:color="auto"/>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48 201.8</w:t>
            </w:r>
          </w:p>
        </w:tc>
        <w:tc>
          <w:tcPr>
            <w:tcW w:w="938" w:type="dxa"/>
            <w:tcBorders>
              <w:top w:val="single" w:sz="6" w:space="0" w:color="auto"/>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47 928.6</w:t>
            </w:r>
          </w:p>
        </w:tc>
        <w:tc>
          <w:tcPr>
            <w:tcW w:w="923" w:type="dxa"/>
            <w:tcBorders>
              <w:top w:val="single" w:sz="6" w:space="0" w:color="auto"/>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48 296.4</w:t>
            </w:r>
          </w:p>
        </w:tc>
        <w:tc>
          <w:tcPr>
            <w:tcW w:w="868"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94.6</w:t>
            </w:r>
          </w:p>
        </w:tc>
        <w:tc>
          <w:tcPr>
            <w:tcW w:w="90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0.2</w:t>
            </w:r>
          </w:p>
        </w:tc>
        <w:tc>
          <w:tcPr>
            <w:tcW w:w="994" w:type="dxa"/>
            <w:gridSpan w:val="1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367.9</w:t>
            </w:r>
          </w:p>
        </w:tc>
        <w:tc>
          <w:tcPr>
            <w:tcW w:w="882" w:type="dxa"/>
            <w:gridSpan w:val="7"/>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0.8</w:t>
            </w:r>
          </w:p>
        </w:tc>
      </w:tr>
      <w:tr w:rsidR="000B4A1E" w:rsidRPr="003E2DBE" w:rsidTr="00517E51">
        <w:trPr>
          <w:gridAfter w:val="1"/>
          <w:wAfter w:w="30" w:type="dxa"/>
        </w:trPr>
        <w:tc>
          <w:tcPr>
            <w:tcW w:w="2714" w:type="dxa"/>
            <w:gridSpan w:val="2"/>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sz w:val="19"/>
                <w:szCs w:val="19"/>
                <w:lang w:eastAsia="en-AU"/>
              </w:rPr>
            </w:pPr>
            <w:r w:rsidRPr="003E2DBE">
              <w:rPr>
                <w:rFonts w:eastAsiaTheme="minorEastAsia"/>
                <w:b/>
                <w:bCs/>
                <w:sz w:val="19"/>
                <w:szCs w:val="19"/>
                <w:lang w:eastAsia="en-AU"/>
              </w:rPr>
              <w:t>Net result from transactions</w:t>
            </w:r>
            <w:r>
              <w:rPr>
                <w:rFonts w:eastAsiaTheme="minorEastAsia"/>
                <w:b/>
                <w:bCs/>
                <w:sz w:val="19"/>
                <w:szCs w:val="19"/>
                <w:lang w:eastAsia="en-AU"/>
              </w:rPr>
              <w:t xml:space="preserve"> – </w:t>
            </w:r>
            <w:r w:rsidRPr="003E2DBE">
              <w:rPr>
                <w:rFonts w:eastAsiaTheme="minorEastAsia"/>
                <w:b/>
                <w:bCs/>
                <w:sz w:val="19"/>
                <w:szCs w:val="19"/>
                <w:lang w:eastAsia="en-AU"/>
              </w:rPr>
              <w:t>Net operating balance</w:t>
            </w:r>
          </w:p>
        </w:tc>
        <w:tc>
          <w:tcPr>
            <w:tcW w:w="417"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p>
        </w:tc>
        <w:tc>
          <w:tcPr>
            <w:tcW w:w="915"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154.9</w:t>
            </w:r>
          </w:p>
        </w:tc>
        <w:tc>
          <w:tcPr>
            <w:tcW w:w="93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177.0</w:t>
            </w:r>
          </w:p>
        </w:tc>
        <w:tc>
          <w:tcPr>
            <w:tcW w:w="9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316.4</w:t>
            </w:r>
          </w:p>
        </w:tc>
        <w:tc>
          <w:tcPr>
            <w:tcW w:w="868"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161.6</w:t>
            </w:r>
          </w:p>
        </w:tc>
        <w:tc>
          <w:tcPr>
            <w:tcW w:w="90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104.3</w:t>
            </w:r>
          </w:p>
        </w:tc>
        <w:tc>
          <w:tcPr>
            <w:tcW w:w="994" w:type="dxa"/>
            <w:gridSpan w:val="1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139.4</w:t>
            </w:r>
          </w:p>
        </w:tc>
        <w:tc>
          <w:tcPr>
            <w:tcW w:w="882" w:type="dxa"/>
            <w:gridSpan w:val="7"/>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78.7</w:t>
            </w:r>
          </w:p>
        </w:tc>
      </w:tr>
      <w:tr w:rsidR="000B4A1E" w:rsidRPr="003E2DBE" w:rsidTr="00517E51">
        <w:tc>
          <w:tcPr>
            <w:tcW w:w="7844" w:type="dxa"/>
            <w:gridSpan w:val="14"/>
            <w:tcBorders>
              <w:top w:val="nil"/>
              <w:left w:val="nil"/>
              <w:bottom w:val="nil"/>
              <w:right w:val="nil"/>
            </w:tcBorders>
          </w:tcPr>
          <w:p w:rsidR="000B4A1E" w:rsidRPr="003E2DBE" w:rsidRDefault="000B4A1E" w:rsidP="00517E51">
            <w:pPr>
              <w:pStyle w:val="Tabletext"/>
              <w:rPr>
                <w:rFonts w:eastAsiaTheme="minorEastAsia"/>
                <w:b/>
                <w:bCs/>
                <w:sz w:val="19"/>
                <w:szCs w:val="19"/>
                <w:lang w:eastAsia="en-AU"/>
              </w:rPr>
            </w:pPr>
            <w:r w:rsidRPr="003E2DBE">
              <w:rPr>
                <w:rFonts w:eastAsiaTheme="minorEastAsia"/>
                <w:b/>
                <w:bCs/>
                <w:sz w:val="19"/>
                <w:szCs w:val="19"/>
                <w:lang w:eastAsia="en-AU"/>
              </w:rPr>
              <w:t>Other economic flows included in net result</w:t>
            </w:r>
          </w:p>
        </w:tc>
        <w:tc>
          <w:tcPr>
            <w:tcW w:w="106" w:type="dxa"/>
            <w:gridSpan w:val="2"/>
            <w:tcBorders>
              <w:top w:val="nil"/>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234" w:type="dxa"/>
            <w:gridSpan w:val="2"/>
            <w:tcBorders>
              <w:top w:val="nil"/>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240" w:type="dxa"/>
            <w:gridSpan w:val="2"/>
            <w:tcBorders>
              <w:top w:val="nil"/>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236" w:type="dxa"/>
            <w:gridSpan w:val="2"/>
            <w:tcBorders>
              <w:top w:val="nil"/>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222" w:type="dxa"/>
            <w:gridSpan w:val="3"/>
            <w:tcBorders>
              <w:top w:val="nil"/>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231"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255" w:type="dxa"/>
            <w:gridSpan w:val="2"/>
            <w:tcBorders>
              <w:top w:val="nil"/>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216"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Net gain/(loss) on disposal of non-financial assets</w:t>
            </w:r>
          </w:p>
        </w:tc>
        <w:tc>
          <w:tcPr>
            <w:tcW w:w="417"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264.8</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90.0</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20.8</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( 244.0)</w:t>
            </w:r>
          </w:p>
        </w:tc>
        <w:tc>
          <w:tcPr>
            <w:tcW w:w="90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n.a.</w:t>
            </w:r>
          </w:p>
        </w:tc>
        <w:tc>
          <w:tcPr>
            <w:tcW w:w="994" w:type="dxa"/>
            <w:gridSpan w:val="1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( 69.2)</w:t>
            </w:r>
          </w:p>
        </w:tc>
        <w:tc>
          <w:tcPr>
            <w:tcW w:w="882" w:type="dxa"/>
            <w:gridSpan w:val="7"/>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n.a.</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Net gain/(loss) on financial assets or liabilities at fair value</w:t>
            </w:r>
          </w:p>
        </w:tc>
        <w:tc>
          <w:tcPr>
            <w:tcW w:w="417"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1.7</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2.3</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19.3</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17.6</w:t>
            </w:r>
          </w:p>
        </w:tc>
        <w:tc>
          <w:tcPr>
            <w:tcW w:w="90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szCs w:val="19"/>
                <w:lang w:eastAsia="en-AU"/>
              </w:rPr>
              <w:t>n.a.</w:t>
            </w:r>
          </w:p>
        </w:tc>
        <w:tc>
          <w:tcPr>
            <w:tcW w:w="994" w:type="dxa"/>
            <w:gridSpan w:val="1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17.1</w:t>
            </w:r>
          </w:p>
        </w:tc>
        <w:tc>
          <w:tcPr>
            <w:tcW w:w="882" w:type="dxa"/>
            <w:gridSpan w:val="7"/>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szCs w:val="19"/>
                <w:lang w:eastAsia="en-AU"/>
              </w:rPr>
              <w:t>n.a</w:t>
            </w:r>
            <w:r w:rsidRPr="003E2DBE">
              <w:rPr>
                <w:rFonts w:eastAsiaTheme="minorEastAsia" w:cs="Calibri"/>
                <w:sz w:val="19"/>
                <w:szCs w:val="22"/>
                <w:lang w:eastAsia="en-AU"/>
              </w:rPr>
              <w:t>.</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Net actuarial gain/(loss) of superannuation defined benefits plans</w:t>
            </w:r>
          </w:p>
        </w:tc>
        <w:tc>
          <w:tcPr>
            <w:tcW w:w="417"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3 591.9</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7 314.8</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7 314.8</w:t>
            </w:r>
          </w:p>
        </w:tc>
        <w:tc>
          <w:tcPr>
            <w:tcW w:w="90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szCs w:val="19"/>
                <w:lang w:eastAsia="en-AU"/>
              </w:rPr>
              <w:t>n.a</w:t>
            </w:r>
            <w:r w:rsidRPr="003E2DBE">
              <w:rPr>
                <w:rFonts w:eastAsiaTheme="minorEastAsia" w:cs="Calibri"/>
                <w:sz w:val="19"/>
                <w:szCs w:val="22"/>
                <w:lang w:eastAsia="en-AU"/>
              </w:rPr>
              <w:t>.</w:t>
            </w:r>
          </w:p>
        </w:tc>
        <w:tc>
          <w:tcPr>
            <w:tcW w:w="994" w:type="dxa"/>
            <w:gridSpan w:val="1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3 722.9</w:t>
            </w:r>
          </w:p>
        </w:tc>
        <w:tc>
          <w:tcPr>
            <w:tcW w:w="882" w:type="dxa"/>
            <w:gridSpan w:val="7"/>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szCs w:val="19"/>
                <w:lang w:eastAsia="en-AU"/>
              </w:rPr>
              <w:t>n.a</w:t>
            </w:r>
            <w:r w:rsidRPr="003E2DBE">
              <w:rPr>
                <w:rFonts w:eastAsiaTheme="minorEastAsia" w:cs="Calibri"/>
                <w:sz w:val="19"/>
                <w:szCs w:val="22"/>
                <w:lang w:eastAsia="en-AU"/>
              </w:rPr>
              <w:t>.</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Share of net profit/(loss) from associates/joint venture entities, excluding dividends</w:t>
            </w:r>
          </w:p>
        </w:tc>
        <w:tc>
          <w:tcPr>
            <w:tcW w:w="417"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4.8</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4.8</w:t>
            </w:r>
          </w:p>
        </w:tc>
        <w:tc>
          <w:tcPr>
            <w:tcW w:w="90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szCs w:val="19"/>
                <w:lang w:eastAsia="en-AU"/>
              </w:rPr>
              <w:t>n.a</w:t>
            </w:r>
            <w:r w:rsidRPr="003E2DBE">
              <w:rPr>
                <w:rFonts w:eastAsiaTheme="minorEastAsia" w:cs="Calibri"/>
                <w:sz w:val="19"/>
                <w:szCs w:val="22"/>
                <w:lang w:eastAsia="en-AU"/>
              </w:rPr>
              <w:t>.</w:t>
            </w:r>
          </w:p>
        </w:tc>
        <w:tc>
          <w:tcPr>
            <w:tcW w:w="994" w:type="dxa"/>
            <w:gridSpan w:val="1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4.8</w:t>
            </w:r>
          </w:p>
        </w:tc>
        <w:tc>
          <w:tcPr>
            <w:tcW w:w="882" w:type="dxa"/>
            <w:gridSpan w:val="7"/>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szCs w:val="19"/>
                <w:lang w:eastAsia="en-AU"/>
              </w:rPr>
              <w:t>n.a</w:t>
            </w:r>
            <w:r w:rsidRPr="003E2DBE">
              <w:rPr>
                <w:rFonts w:eastAsiaTheme="minorEastAsia" w:cs="Calibri"/>
                <w:sz w:val="19"/>
                <w:szCs w:val="22"/>
                <w:lang w:eastAsia="en-AU"/>
              </w:rPr>
              <w:t>.</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Other gains/(losses) from other economic flows</w:t>
            </w:r>
          </w:p>
        </w:tc>
        <w:tc>
          <w:tcPr>
            <w:tcW w:w="417"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( 329.0)</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( 476.6)</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( 262.3)</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66.8</w:t>
            </w:r>
          </w:p>
        </w:tc>
        <w:tc>
          <w:tcPr>
            <w:tcW w:w="90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n.a.</w:t>
            </w:r>
          </w:p>
        </w:tc>
        <w:tc>
          <w:tcPr>
            <w:tcW w:w="994" w:type="dxa"/>
            <w:gridSpan w:val="1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214.3</w:t>
            </w:r>
          </w:p>
        </w:tc>
        <w:tc>
          <w:tcPr>
            <w:tcW w:w="882" w:type="dxa"/>
            <w:gridSpan w:val="7"/>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n.a.</w:t>
            </w:r>
          </w:p>
        </w:tc>
      </w:tr>
      <w:tr w:rsidR="000B4A1E" w:rsidRPr="003E2DBE" w:rsidTr="00517E51">
        <w:trPr>
          <w:gridAfter w:val="1"/>
          <w:wAfter w:w="30" w:type="dxa"/>
        </w:trPr>
        <w:tc>
          <w:tcPr>
            <w:tcW w:w="2714" w:type="dxa"/>
            <w:gridSpan w:val="2"/>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19"/>
                <w:szCs w:val="19"/>
                <w:lang w:eastAsia="en-AU"/>
              </w:rPr>
            </w:pPr>
            <w:r w:rsidRPr="003E2DBE">
              <w:rPr>
                <w:rFonts w:eastAsiaTheme="minorEastAsia"/>
                <w:b/>
                <w:bCs/>
                <w:sz w:val="19"/>
                <w:szCs w:val="19"/>
                <w:lang w:eastAsia="en-AU"/>
              </w:rPr>
              <w:t>Total other economic flows included in net result</w:t>
            </w:r>
          </w:p>
        </w:tc>
        <w:tc>
          <w:tcPr>
            <w:tcW w:w="417"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915"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( 62.5)</w:t>
            </w:r>
          </w:p>
        </w:tc>
        <w:tc>
          <w:tcPr>
            <w:tcW w:w="93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3 207.6</w:t>
            </w:r>
          </w:p>
        </w:tc>
        <w:tc>
          <w:tcPr>
            <w:tcW w:w="9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7 097.4</w:t>
            </w:r>
          </w:p>
        </w:tc>
        <w:tc>
          <w:tcPr>
            <w:tcW w:w="868"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7 159.9</w:t>
            </w:r>
          </w:p>
        </w:tc>
        <w:tc>
          <w:tcPr>
            <w:tcW w:w="90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n.a.</w:t>
            </w:r>
          </w:p>
        </w:tc>
        <w:tc>
          <w:tcPr>
            <w:tcW w:w="994" w:type="dxa"/>
            <w:gridSpan w:val="1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3 889.8</w:t>
            </w:r>
          </w:p>
        </w:tc>
        <w:tc>
          <w:tcPr>
            <w:tcW w:w="882" w:type="dxa"/>
            <w:gridSpan w:val="7"/>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szCs w:val="22"/>
                <w:lang w:eastAsia="en-AU"/>
              </w:rPr>
            </w:pPr>
            <w:r w:rsidRPr="003E2DBE">
              <w:rPr>
                <w:rFonts w:eastAsiaTheme="minorEastAsia"/>
                <w:b/>
                <w:bCs/>
                <w:sz w:val="19"/>
                <w:szCs w:val="19"/>
                <w:lang w:eastAsia="en-AU"/>
              </w:rPr>
              <w:t>n.</w:t>
            </w:r>
            <w:r w:rsidRPr="003E2DBE">
              <w:rPr>
                <w:rFonts w:eastAsiaTheme="minorEastAsia" w:cs="Calibri"/>
                <w:b/>
                <w:bCs/>
                <w:sz w:val="19"/>
                <w:szCs w:val="22"/>
                <w:lang w:eastAsia="en-AU"/>
              </w:rPr>
              <w:t>a.</w:t>
            </w:r>
          </w:p>
        </w:tc>
      </w:tr>
      <w:tr w:rsidR="000B4A1E" w:rsidRPr="003E2DBE" w:rsidTr="00517E51">
        <w:trPr>
          <w:gridAfter w:val="1"/>
          <w:wAfter w:w="30" w:type="dxa"/>
        </w:trPr>
        <w:tc>
          <w:tcPr>
            <w:tcW w:w="2714" w:type="dxa"/>
            <w:gridSpan w:val="2"/>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19"/>
                <w:szCs w:val="19"/>
                <w:lang w:eastAsia="en-AU"/>
              </w:rPr>
            </w:pPr>
            <w:r w:rsidRPr="003E2DBE">
              <w:rPr>
                <w:rFonts w:eastAsiaTheme="minorEastAsia"/>
                <w:b/>
                <w:bCs/>
                <w:sz w:val="19"/>
                <w:szCs w:val="19"/>
                <w:lang w:eastAsia="en-AU"/>
              </w:rPr>
              <w:t>Net result</w:t>
            </w:r>
          </w:p>
        </w:tc>
        <w:tc>
          <w:tcPr>
            <w:tcW w:w="417"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915"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92.4</w:t>
            </w:r>
          </w:p>
        </w:tc>
        <w:tc>
          <w:tcPr>
            <w:tcW w:w="93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3 384.7</w:t>
            </w:r>
          </w:p>
        </w:tc>
        <w:tc>
          <w:tcPr>
            <w:tcW w:w="9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7 413.8</w:t>
            </w:r>
          </w:p>
        </w:tc>
        <w:tc>
          <w:tcPr>
            <w:tcW w:w="868"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7 321.5</w:t>
            </w:r>
          </w:p>
        </w:tc>
        <w:tc>
          <w:tcPr>
            <w:tcW w:w="90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szCs w:val="22"/>
                <w:lang w:eastAsia="en-AU"/>
              </w:rPr>
            </w:pPr>
            <w:r w:rsidRPr="003E2DBE">
              <w:rPr>
                <w:rFonts w:eastAsiaTheme="minorEastAsia"/>
                <w:b/>
                <w:bCs/>
                <w:sz w:val="19"/>
                <w:szCs w:val="19"/>
                <w:lang w:eastAsia="en-AU"/>
              </w:rPr>
              <w:t>n.</w:t>
            </w:r>
            <w:r w:rsidRPr="003E2DBE">
              <w:rPr>
                <w:rFonts w:eastAsiaTheme="minorEastAsia" w:cs="Calibri"/>
                <w:b/>
                <w:bCs/>
                <w:sz w:val="19"/>
                <w:szCs w:val="22"/>
                <w:lang w:eastAsia="en-AU"/>
              </w:rPr>
              <w:t>a.</w:t>
            </w:r>
          </w:p>
        </w:tc>
        <w:tc>
          <w:tcPr>
            <w:tcW w:w="994" w:type="dxa"/>
            <w:gridSpan w:val="1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4 029.2</w:t>
            </w:r>
          </w:p>
        </w:tc>
        <w:tc>
          <w:tcPr>
            <w:tcW w:w="882" w:type="dxa"/>
            <w:gridSpan w:val="7"/>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szCs w:val="22"/>
                <w:lang w:eastAsia="en-AU"/>
              </w:rPr>
            </w:pPr>
            <w:r w:rsidRPr="003E2DBE">
              <w:rPr>
                <w:rFonts w:eastAsiaTheme="minorEastAsia"/>
                <w:b/>
                <w:bCs/>
                <w:sz w:val="19"/>
                <w:szCs w:val="19"/>
                <w:lang w:eastAsia="en-AU"/>
              </w:rPr>
              <w:t>n.</w:t>
            </w:r>
            <w:r w:rsidRPr="003E2DBE">
              <w:rPr>
                <w:rFonts w:eastAsiaTheme="minorEastAsia" w:cs="Calibri"/>
                <w:b/>
                <w:bCs/>
                <w:sz w:val="19"/>
                <w:szCs w:val="22"/>
                <w:lang w:eastAsia="en-AU"/>
              </w:rPr>
              <w:t>a.</w:t>
            </w:r>
          </w:p>
        </w:tc>
      </w:tr>
      <w:tr w:rsidR="000B4A1E" w:rsidRPr="003E2DBE" w:rsidTr="00517E51">
        <w:trPr>
          <w:gridAfter w:val="1"/>
          <w:wAfter w:w="30" w:type="dxa"/>
        </w:trPr>
        <w:tc>
          <w:tcPr>
            <w:tcW w:w="7754" w:type="dxa"/>
            <w:gridSpan w:val="13"/>
            <w:tcBorders>
              <w:top w:val="nil"/>
              <w:left w:val="nil"/>
              <w:bottom w:val="nil"/>
              <w:right w:val="nil"/>
            </w:tcBorders>
          </w:tcPr>
          <w:p w:rsidR="000B4A1E" w:rsidRPr="003E2DBE" w:rsidRDefault="000B4A1E" w:rsidP="00517E51">
            <w:pPr>
              <w:pStyle w:val="Tabletext"/>
              <w:keepNext/>
              <w:pageBreakBefore/>
              <w:ind w:left="187" w:hanging="187"/>
              <w:rPr>
                <w:rFonts w:eastAsiaTheme="minorEastAsia"/>
                <w:b/>
                <w:bCs/>
                <w:sz w:val="19"/>
                <w:szCs w:val="19"/>
                <w:lang w:eastAsia="en-AU"/>
              </w:rPr>
            </w:pPr>
            <w:r w:rsidRPr="003E2DBE">
              <w:rPr>
                <w:rFonts w:eastAsiaTheme="minorEastAsia"/>
                <w:b/>
                <w:bCs/>
                <w:sz w:val="19"/>
                <w:szCs w:val="19"/>
                <w:lang w:eastAsia="en-AU"/>
              </w:rPr>
              <w:lastRenderedPageBreak/>
              <w:t>Other economic flows – other comprehensive income</w:t>
            </w:r>
          </w:p>
        </w:tc>
        <w:tc>
          <w:tcPr>
            <w:tcW w:w="106" w:type="dxa"/>
            <w:gridSpan w:val="2"/>
            <w:tcBorders>
              <w:top w:val="nil"/>
              <w:left w:val="nil"/>
              <w:bottom w:val="nil"/>
              <w:right w:val="nil"/>
            </w:tcBorders>
          </w:tcPr>
          <w:p w:rsidR="000B4A1E" w:rsidRPr="003E2DBE" w:rsidRDefault="000B4A1E" w:rsidP="00517E51">
            <w:pPr>
              <w:pStyle w:val="TableofFigures"/>
              <w:keepNext/>
              <w:rPr>
                <w:rFonts w:eastAsiaTheme="minorEastAsia"/>
                <w:b/>
                <w:bCs/>
                <w:sz w:val="19"/>
                <w:szCs w:val="19"/>
                <w:lang w:eastAsia="en-AU"/>
              </w:rPr>
            </w:pPr>
            <w:r w:rsidRPr="003E2DBE">
              <w:rPr>
                <w:rFonts w:eastAsiaTheme="minorEastAsia"/>
                <w:b/>
                <w:bCs/>
                <w:sz w:val="19"/>
                <w:szCs w:val="19"/>
                <w:lang w:eastAsia="en-AU"/>
              </w:rPr>
              <w:t xml:space="preserve"> </w:t>
            </w:r>
          </w:p>
        </w:tc>
        <w:tc>
          <w:tcPr>
            <w:tcW w:w="247" w:type="dxa"/>
            <w:gridSpan w:val="2"/>
            <w:tcBorders>
              <w:top w:val="nil"/>
              <w:left w:val="nil"/>
              <w:bottom w:val="nil"/>
              <w:right w:val="nil"/>
            </w:tcBorders>
          </w:tcPr>
          <w:p w:rsidR="000B4A1E" w:rsidRPr="003E2DBE" w:rsidRDefault="000B4A1E" w:rsidP="00517E51">
            <w:pPr>
              <w:pStyle w:val="TableofFigures"/>
              <w:keepNext/>
              <w:rPr>
                <w:rFonts w:eastAsiaTheme="minorEastAsia"/>
                <w:b/>
                <w:bCs/>
                <w:sz w:val="19"/>
                <w:szCs w:val="19"/>
                <w:lang w:eastAsia="en-AU"/>
              </w:rPr>
            </w:pPr>
            <w:r w:rsidRPr="003E2DBE">
              <w:rPr>
                <w:rFonts w:eastAsiaTheme="minorEastAsia"/>
                <w:b/>
                <w:bCs/>
                <w:sz w:val="19"/>
                <w:szCs w:val="19"/>
                <w:lang w:eastAsia="en-AU"/>
              </w:rPr>
              <w:t xml:space="preserve">  </w:t>
            </w:r>
          </w:p>
        </w:tc>
        <w:tc>
          <w:tcPr>
            <w:tcW w:w="253" w:type="dxa"/>
            <w:gridSpan w:val="2"/>
            <w:tcBorders>
              <w:top w:val="nil"/>
              <w:left w:val="nil"/>
              <w:bottom w:val="nil"/>
              <w:right w:val="nil"/>
            </w:tcBorders>
          </w:tcPr>
          <w:p w:rsidR="000B4A1E" w:rsidRPr="003E2DBE" w:rsidRDefault="000B4A1E" w:rsidP="00517E51">
            <w:pPr>
              <w:pStyle w:val="TableofFigures"/>
              <w:keepNext/>
              <w:rPr>
                <w:rFonts w:eastAsiaTheme="minorEastAsia"/>
                <w:b/>
                <w:bCs/>
                <w:sz w:val="19"/>
                <w:szCs w:val="19"/>
                <w:lang w:eastAsia="en-AU"/>
              </w:rPr>
            </w:pPr>
            <w:r w:rsidRPr="003E2DBE">
              <w:rPr>
                <w:rFonts w:eastAsiaTheme="minorEastAsia"/>
                <w:b/>
                <w:bCs/>
                <w:sz w:val="19"/>
                <w:szCs w:val="19"/>
                <w:lang w:eastAsia="en-AU"/>
              </w:rPr>
              <w:t xml:space="preserve">  </w:t>
            </w:r>
          </w:p>
        </w:tc>
        <w:tc>
          <w:tcPr>
            <w:tcW w:w="249" w:type="dxa"/>
            <w:gridSpan w:val="2"/>
            <w:tcBorders>
              <w:top w:val="nil"/>
              <w:left w:val="nil"/>
              <w:bottom w:val="nil"/>
              <w:right w:val="nil"/>
            </w:tcBorders>
          </w:tcPr>
          <w:p w:rsidR="000B4A1E" w:rsidRPr="003E2DBE" w:rsidRDefault="000B4A1E" w:rsidP="00517E51">
            <w:pPr>
              <w:pStyle w:val="TableofFigures"/>
              <w:keepNext/>
              <w:rPr>
                <w:rFonts w:eastAsiaTheme="minorEastAsia"/>
                <w:b/>
                <w:bCs/>
                <w:sz w:val="19"/>
                <w:szCs w:val="19"/>
                <w:lang w:eastAsia="en-AU"/>
              </w:rPr>
            </w:pPr>
            <w:r w:rsidRPr="003E2DBE">
              <w:rPr>
                <w:rFonts w:eastAsiaTheme="minorEastAsia"/>
                <w:b/>
                <w:bCs/>
                <w:sz w:val="19"/>
                <w:szCs w:val="19"/>
                <w:lang w:eastAsia="en-AU"/>
              </w:rPr>
              <w:t xml:space="preserve">  </w:t>
            </w:r>
          </w:p>
        </w:tc>
        <w:tc>
          <w:tcPr>
            <w:tcW w:w="234" w:type="dxa"/>
            <w:gridSpan w:val="3"/>
            <w:tcBorders>
              <w:top w:val="nil"/>
              <w:left w:val="nil"/>
              <w:bottom w:val="nil"/>
              <w:right w:val="nil"/>
            </w:tcBorders>
          </w:tcPr>
          <w:p w:rsidR="000B4A1E" w:rsidRPr="003E2DBE" w:rsidRDefault="000B4A1E" w:rsidP="00517E51">
            <w:pPr>
              <w:pStyle w:val="TableofFigures"/>
              <w:keepNext/>
              <w:rPr>
                <w:rFonts w:eastAsiaTheme="minorEastAsia"/>
                <w:b/>
                <w:bCs/>
                <w:sz w:val="19"/>
                <w:szCs w:val="19"/>
                <w:lang w:eastAsia="en-AU"/>
              </w:rPr>
            </w:pPr>
            <w:r w:rsidRPr="003E2DBE">
              <w:rPr>
                <w:rFonts w:eastAsiaTheme="minorEastAsia"/>
                <w:b/>
                <w:bCs/>
                <w:sz w:val="19"/>
                <w:szCs w:val="19"/>
                <w:lang w:eastAsia="en-AU"/>
              </w:rPr>
              <w:t xml:space="preserve">  </w:t>
            </w:r>
          </w:p>
        </w:tc>
        <w:tc>
          <w:tcPr>
            <w:tcW w:w="244" w:type="dxa"/>
            <w:gridSpan w:val="2"/>
            <w:tcBorders>
              <w:top w:val="nil"/>
              <w:left w:val="nil"/>
              <w:bottom w:val="nil"/>
              <w:right w:val="nil"/>
            </w:tcBorders>
            <w:shd w:val="solid" w:color="FFFFFF" w:fill="auto"/>
          </w:tcPr>
          <w:p w:rsidR="000B4A1E" w:rsidRPr="003E2DBE" w:rsidRDefault="000B4A1E" w:rsidP="00517E51">
            <w:pPr>
              <w:pStyle w:val="TableofFigures"/>
              <w:keepNext/>
              <w:rPr>
                <w:rFonts w:eastAsiaTheme="minorEastAsia"/>
                <w:sz w:val="19"/>
                <w:szCs w:val="19"/>
                <w:lang w:eastAsia="en-AU"/>
              </w:rPr>
            </w:pPr>
            <w:r w:rsidRPr="003E2DBE">
              <w:rPr>
                <w:rFonts w:eastAsiaTheme="minorEastAsia"/>
                <w:sz w:val="19"/>
                <w:szCs w:val="19"/>
                <w:lang w:eastAsia="en-AU"/>
              </w:rPr>
              <w:t xml:space="preserve">  </w:t>
            </w:r>
          </w:p>
        </w:tc>
        <w:tc>
          <w:tcPr>
            <w:tcW w:w="268" w:type="dxa"/>
            <w:gridSpan w:val="2"/>
            <w:tcBorders>
              <w:top w:val="nil"/>
              <w:left w:val="nil"/>
              <w:bottom w:val="nil"/>
              <w:right w:val="nil"/>
            </w:tcBorders>
            <w:shd w:val="solid" w:color="FFFFFF" w:fill="auto"/>
          </w:tcPr>
          <w:p w:rsidR="000B4A1E" w:rsidRPr="003E2DBE" w:rsidRDefault="000B4A1E" w:rsidP="00517E51">
            <w:pPr>
              <w:pStyle w:val="TableofFigures"/>
              <w:keepNext/>
              <w:rPr>
                <w:rFonts w:eastAsiaTheme="minorEastAsia"/>
                <w:b/>
                <w:bCs/>
                <w:sz w:val="19"/>
                <w:szCs w:val="19"/>
                <w:lang w:eastAsia="en-AU"/>
              </w:rPr>
            </w:pPr>
            <w:r w:rsidRPr="003E2DBE">
              <w:rPr>
                <w:rFonts w:eastAsiaTheme="minorEastAsia"/>
                <w:b/>
                <w:bCs/>
                <w:sz w:val="19"/>
                <w:szCs w:val="19"/>
                <w:lang w:eastAsia="en-AU"/>
              </w:rPr>
              <w:t xml:space="preserve">  </w:t>
            </w:r>
          </w:p>
        </w:tc>
        <w:tc>
          <w:tcPr>
            <w:tcW w:w="199" w:type="dxa"/>
            <w:gridSpan w:val="2"/>
            <w:tcBorders>
              <w:top w:val="nil"/>
              <w:left w:val="nil"/>
              <w:bottom w:val="nil"/>
              <w:right w:val="nil"/>
            </w:tcBorders>
            <w:shd w:val="solid" w:color="FFFFFF" w:fill="auto"/>
          </w:tcPr>
          <w:p w:rsidR="000B4A1E" w:rsidRPr="003E2DBE" w:rsidRDefault="000B4A1E" w:rsidP="00517E51">
            <w:pPr>
              <w:pStyle w:val="TableofFigures"/>
              <w:keepNext/>
              <w:rPr>
                <w:rFonts w:eastAsiaTheme="minorEastAsia"/>
                <w:sz w:val="19"/>
                <w:szCs w:val="19"/>
                <w:lang w:eastAsia="en-AU"/>
              </w:rPr>
            </w:pPr>
            <w:r w:rsidRPr="003E2DBE">
              <w:rPr>
                <w:rFonts w:eastAsiaTheme="minorEastAsia"/>
                <w:sz w:val="19"/>
                <w:szCs w:val="19"/>
                <w:lang w:eastAsia="en-AU"/>
              </w:rPr>
              <w:t xml:space="preserve">  </w:t>
            </w:r>
          </w:p>
        </w:tc>
      </w:tr>
      <w:tr w:rsidR="000B4A1E" w:rsidRPr="003E2DBE" w:rsidTr="00517E51">
        <w:trPr>
          <w:gridAfter w:val="1"/>
          <w:wAfter w:w="30" w:type="dxa"/>
        </w:trPr>
        <w:tc>
          <w:tcPr>
            <w:tcW w:w="7754" w:type="dxa"/>
            <w:gridSpan w:val="13"/>
            <w:tcBorders>
              <w:top w:val="nil"/>
              <w:left w:val="nil"/>
              <w:bottom w:val="nil"/>
              <w:right w:val="nil"/>
            </w:tcBorders>
          </w:tcPr>
          <w:p w:rsidR="000B4A1E" w:rsidRPr="003E2DBE" w:rsidRDefault="000B4A1E" w:rsidP="00517E51">
            <w:pPr>
              <w:pStyle w:val="Tabletext"/>
              <w:rPr>
                <w:rFonts w:eastAsiaTheme="minorEastAsia"/>
                <w:b/>
                <w:bCs/>
                <w:sz w:val="19"/>
                <w:szCs w:val="19"/>
                <w:lang w:eastAsia="en-AU"/>
              </w:rPr>
            </w:pPr>
            <w:r w:rsidRPr="003E2DBE">
              <w:rPr>
                <w:rFonts w:eastAsiaTheme="minorEastAsia"/>
                <w:b/>
                <w:bCs/>
                <w:sz w:val="19"/>
                <w:szCs w:val="19"/>
                <w:lang w:eastAsia="en-AU"/>
              </w:rPr>
              <w:t>Items that will not be reclassified to net result</w:t>
            </w:r>
          </w:p>
        </w:tc>
        <w:tc>
          <w:tcPr>
            <w:tcW w:w="106" w:type="dxa"/>
            <w:gridSpan w:val="2"/>
            <w:tcBorders>
              <w:top w:val="nil"/>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247" w:type="dxa"/>
            <w:gridSpan w:val="2"/>
            <w:tcBorders>
              <w:top w:val="nil"/>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253" w:type="dxa"/>
            <w:gridSpan w:val="2"/>
            <w:tcBorders>
              <w:top w:val="nil"/>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249" w:type="dxa"/>
            <w:gridSpan w:val="2"/>
            <w:tcBorders>
              <w:top w:val="nil"/>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234" w:type="dxa"/>
            <w:gridSpan w:val="3"/>
            <w:tcBorders>
              <w:top w:val="nil"/>
              <w:left w:val="nil"/>
              <w:bottom w:val="nil"/>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244"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268"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199"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Changes in non-financial assets revaluation surplus</w:t>
            </w:r>
          </w:p>
        </w:tc>
        <w:tc>
          <w:tcPr>
            <w:tcW w:w="417"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526.2</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288.2</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700.5</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174.2</w:t>
            </w:r>
          </w:p>
        </w:tc>
        <w:tc>
          <w:tcPr>
            <w:tcW w:w="90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szCs w:val="19"/>
                <w:lang w:eastAsia="en-AU"/>
              </w:rPr>
              <w:t>n.a</w:t>
            </w:r>
            <w:r w:rsidRPr="003E2DBE">
              <w:rPr>
                <w:rFonts w:eastAsiaTheme="minorEastAsia" w:cs="Calibri"/>
                <w:sz w:val="19"/>
                <w:szCs w:val="22"/>
                <w:lang w:eastAsia="en-AU"/>
              </w:rPr>
              <w:t>.</w:t>
            </w:r>
          </w:p>
        </w:tc>
        <w:tc>
          <w:tcPr>
            <w:tcW w:w="994" w:type="dxa"/>
            <w:gridSpan w:val="1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412.2</w:t>
            </w:r>
          </w:p>
        </w:tc>
        <w:tc>
          <w:tcPr>
            <w:tcW w:w="882" w:type="dxa"/>
            <w:gridSpan w:val="7"/>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szCs w:val="19"/>
                <w:lang w:eastAsia="en-AU"/>
              </w:rPr>
              <w:t>n.a</w:t>
            </w:r>
            <w:r w:rsidRPr="003E2DBE">
              <w:rPr>
                <w:rFonts w:eastAsiaTheme="minorEastAsia" w:cs="Calibri"/>
                <w:sz w:val="19"/>
                <w:szCs w:val="22"/>
                <w:lang w:eastAsia="en-AU"/>
              </w:rPr>
              <w:t>.</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Net gain/(loss) on equity investments in other sector entities at proportional share of the carrying amount of net assets</w:t>
            </w:r>
          </w:p>
        </w:tc>
        <w:tc>
          <w:tcPr>
            <w:tcW w:w="417"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( 746.6)</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568.6</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( 810.3)</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( 63.7)</w:t>
            </w:r>
          </w:p>
        </w:tc>
        <w:tc>
          <w:tcPr>
            <w:tcW w:w="90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szCs w:val="19"/>
                <w:lang w:eastAsia="en-AU"/>
              </w:rPr>
              <w:t>n.a</w:t>
            </w:r>
            <w:r w:rsidRPr="003E2DBE">
              <w:rPr>
                <w:rFonts w:eastAsiaTheme="minorEastAsia" w:cs="Calibri"/>
                <w:sz w:val="19"/>
                <w:szCs w:val="22"/>
                <w:lang w:eastAsia="en-AU"/>
              </w:rPr>
              <w:t>.</w:t>
            </w:r>
          </w:p>
        </w:tc>
        <w:tc>
          <w:tcPr>
            <w:tcW w:w="994" w:type="dxa"/>
            <w:gridSpan w:val="1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(1 378.9)</w:t>
            </w:r>
          </w:p>
        </w:tc>
        <w:tc>
          <w:tcPr>
            <w:tcW w:w="882" w:type="dxa"/>
            <w:gridSpan w:val="7"/>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n.a.</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Other movements in equity</w:t>
            </w:r>
          </w:p>
        </w:tc>
        <w:tc>
          <w:tcPr>
            <w:tcW w:w="417"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( 1.0)</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20.9</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869.4</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870.3</w:t>
            </w:r>
          </w:p>
        </w:tc>
        <w:tc>
          <w:tcPr>
            <w:tcW w:w="90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n.a.</w:t>
            </w:r>
          </w:p>
        </w:tc>
        <w:tc>
          <w:tcPr>
            <w:tcW w:w="994" w:type="dxa"/>
            <w:gridSpan w:val="1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848.4</w:t>
            </w:r>
          </w:p>
        </w:tc>
        <w:tc>
          <w:tcPr>
            <w:tcW w:w="882" w:type="dxa"/>
            <w:gridSpan w:val="7"/>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szCs w:val="19"/>
                <w:lang w:eastAsia="en-AU"/>
              </w:rPr>
              <w:t>n.a.</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b/>
                <w:bCs/>
                <w:sz w:val="19"/>
                <w:szCs w:val="19"/>
                <w:lang w:eastAsia="en-AU"/>
              </w:rPr>
            </w:pPr>
            <w:r w:rsidRPr="003E2DBE">
              <w:rPr>
                <w:rFonts w:eastAsiaTheme="minorEastAsia"/>
                <w:b/>
                <w:bCs/>
                <w:sz w:val="19"/>
                <w:szCs w:val="19"/>
                <w:lang w:eastAsia="en-AU"/>
              </w:rPr>
              <w:t>Items that may be reclassified subsequently to net result</w:t>
            </w:r>
          </w:p>
        </w:tc>
        <w:tc>
          <w:tcPr>
            <w:tcW w:w="417"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0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94" w:type="dxa"/>
            <w:gridSpan w:val="1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p>
        </w:tc>
        <w:tc>
          <w:tcPr>
            <w:tcW w:w="882" w:type="dxa"/>
            <w:gridSpan w:val="7"/>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r>
      <w:tr w:rsidR="000B4A1E" w:rsidRPr="003E2DBE" w:rsidTr="00517E51">
        <w:trPr>
          <w:gridAfter w:val="1"/>
          <w:wAfter w:w="30" w:type="dxa"/>
        </w:trPr>
        <w:tc>
          <w:tcPr>
            <w:tcW w:w="2714" w:type="dxa"/>
            <w:gridSpan w:val="2"/>
            <w:tcBorders>
              <w:top w:val="nil"/>
              <w:left w:val="nil"/>
              <w:bottom w:val="nil"/>
              <w:right w:val="nil"/>
            </w:tcBorders>
          </w:tcPr>
          <w:p w:rsidR="000B4A1E" w:rsidRPr="003E2DBE" w:rsidRDefault="000B4A1E" w:rsidP="00517E51">
            <w:pPr>
              <w:pStyle w:val="Tabletext"/>
              <w:rPr>
                <w:rFonts w:eastAsiaTheme="minorEastAsia"/>
                <w:sz w:val="19"/>
                <w:szCs w:val="19"/>
                <w:lang w:eastAsia="en-AU"/>
              </w:rPr>
            </w:pPr>
            <w:r w:rsidRPr="003E2DBE">
              <w:rPr>
                <w:rFonts w:eastAsiaTheme="minorEastAsia"/>
                <w:sz w:val="19"/>
                <w:szCs w:val="19"/>
                <w:lang w:eastAsia="en-AU"/>
              </w:rPr>
              <w:t>Net gain/(loss) on financial assets at fair value</w:t>
            </w:r>
          </w:p>
        </w:tc>
        <w:tc>
          <w:tcPr>
            <w:tcW w:w="417"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w:t>
            </w:r>
          </w:p>
        </w:tc>
        <w:tc>
          <w:tcPr>
            <w:tcW w:w="915" w:type="dxa"/>
            <w:gridSpan w:val="2"/>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w:t>
            </w:r>
          </w:p>
        </w:tc>
        <w:tc>
          <w:tcPr>
            <w:tcW w:w="938"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0.7</w:t>
            </w:r>
          </w:p>
        </w:tc>
        <w:tc>
          <w:tcPr>
            <w:tcW w:w="923" w:type="dxa"/>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20.1</w:t>
            </w:r>
          </w:p>
        </w:tc>
        <w:tc>
          <w:tcPr>
            <w:tcW w:w="868" w:type="dxa"/>
            <w:gridSpan w:val="3"/>
            <w:tcBorders>
              <w:top w:val="nil"/>
              <w:left w:val="nil"/>
              <w:bottom w:val="nil"/>
              <w:right w:val="nil"/>
            </w:tcBorders>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20.1</w:t>
            </w:r>
          </w:p>
        </w:tc>
        <w:tc>
          <w:tcPr>
            <w:tcW w:w="90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szCs w:val="19"/>
                <w:lang w:eastAsia="en-AU"/>
              </w:rPr>
              <w:t>n.a</w:t>
            </w:r>
            <w:r w:rsidRPr="003E2DBE">
              <w:rPr>
                <w:rFonts w:eastAsiaTheme="minorEastAsia" w:cs="Calibri"/>
                <w:sz w:val="19"/>
                <w:szCs w:val="22"/>
                <w:lang w:eastAsia="en-AU"/>
              </w:rPr>
              <w:t>.</w:t>
            </w:r>
          </w:p>
        </w:tc>
        <w:tc>
          <w:tcPr>
            <w:tcW w:w="994" w:type="dxa"/>
            <w:gridSpan w:val="12"/>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szCs w:val="19"/>
                <w:lang w:eastAsia="en-AU"/>
              </w:rPr>
            </w:pPr>
            <w:r w:rsidRPr="003E2DBE">
              <w:rPr>
                <w:rFonts w:eastAsiaTheme="minorEastAsia"/>
                <w:sz w:val="19"/>
                <w:szCs w:val="19"/>
                <w:lang w:eastAsia="en-AU"/>
              </w:rPr>
              <w:t xml:space="preserve"> 19.4</w:t>
            </w:r>
          </w:p>
        </w:tc>
        <w:tc>
          <w:tcPr>
            <w:tcW w:w="882" w:type="dxa"/>
            <w:gridSpan w:val="7"/>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szCs w:val="19"/>
                <w:lang w:eastAsia="en-AU"/>
              </w:rPr>
              <w:t>n.a</w:t>
            </w:r>
            <w:r w:rsidRPr="003E2DBE">
              <w:rPr>
                <w:rFonts w:eastAsiaTheme="minorEastAsia" w:cs="Calibri"/>
                <w:sz w:val="19"/>
                <w:szCs w:val="22"/>
                <w:lang w:eastAsia="en-AU"/>
              </w:rPr>
              <w:t>.</w:t>
            </w:r>
          </w:p>
        </w:tc>
      </w:tr>
      <w:tr w:rsidR="000B4A1E" w:rsidRPr="003E2DBE" w:rsidTr="00517E51">
        <w:trPr>
          <w:gridAfter w:val="1"/>
          <w:wAfter w:w="30" w:type="dxa"/>
        </w:trPr>
        <w:tc>
          <w:tcPr>
            <w:tcW w:w="2714" w:type="dxa"/>
            <w:gridSpan w:val="2"/>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19"/>
                <w:szCs w:val="19"/>
                <w:lang w:eastAsia="en-AU"/>
              </w:rPr>
            </w:pPr>
            <w:r w:rsidRPr="003E2DBE">
              <w:rPr>
                <w:rFonts w:eastAsiaTheme="minorEastAsia"/>
                <w:b/>
                <w:bCs/>
                <w:sz w:val="19"/>
                <w:szCs w:val="19"/>
                <w:lang w:eastAsia="en-AU"/>
              </w:rPr>
              <w:t>Total other economic flows – other comprehensive income</w:t>
            </w:r>
          </w:p>
        </w:tc>
        <w:tc>
          <w:tcPr>
            <w:tcW w:w="417"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w:t>
            </w:r>
          </w:p>
        </w:tc>
        <w:tc>
          <w:tcPr>
            <w:tcW w:w="915"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( 221.3)</w:t>
            </w:r>
          </w:p>
        </w:tc>
        <w:tc>
          <w:tcPr>
            <w:tcW w:w="93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878.5</w:t>
            </w:r>
          </w:p>
        </w:tc>
        <w:tc>
          <w:tcPr>
            <w:tcW w:w="9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xml:space="preserve"> 779.7</w:t>
            </w:r>
          </w:p>
        </w:tc>
        <w:tc>
          <w:tcPr>
            <w:tcW w:w="868"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1 001.0</w:t>
            </w:r>
          </w:p>
        </w:tc>
        <w:tc>
          <w:tcPr>
            <w:tcW w:w="90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szCs w:val="22"/>
                <w:lang w:eastAsia="en-AU"/>
              </w:rPr>
            </w:pPr>
            <w:r w:rsidRPr="003E2DBE">
              <w:rPr>
                <w:rFonts w:eastAsiaTheme="minorEastAsia"/>
                <w:b/>
                <w:bCs/>
                <w:sz w:val="19"/>
                <w:szCs w:val="19"/>
                <w:lang w:eastAsia="en-AU"/>
              </w:rPr>
              <w:t>n.a</w:t>
            </w:r>
            <w:r w:rsidRPr="003E2DBE">
              <w:rPr>
                <w:rFonts w:eastAsiaTheme="minorEastAsia" w:cs="Calibri"/>
                <w:b/>
                <w:bCs/>
                <w:sz w:val="19"/>
                <w:szCs w:val="22"/>
                <w:lang w:eastAsia="en-AU"/>
              </w:rPr>
              <w:t>.</w:t>
            </w:r>
          </w:p>
        </w:tc>
        <w:tc>
          <w:tcPr>
            <w:tcW w:w="994" w:type="dxa"/>
            <w:gridSpan w:val="1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( 98.8)</w:t>
            </w:r>
          </w:p>
        </w:tc>
        <w:tc>
          <w:tcPr>
            <w:tcW w:w="882" w:type="dxa"/>
            <w:gridSpan w:val="7"/>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szCs w:val="22"/>
                <w:lang w:eastAsia="en-AU"/>
              </w:rPr>
            </w:pPr>
            <w:r w:rsidRPr="003E2DBE">
              <w:rPr>
                <w:rFonts w:eastAsiaTheme="minorEastAsia"/>
                <w:b/>
                <w:bCs/>
                <w:sz w:val="19"/>
                <w:szCs w:val="19"/>
                <w:lang w:eastAsia="en-AU"/>
              </w:rPr>
              <w:t>n.a</w:t>
            </w:r>
            <w:r w:rsidRPr="003E2DBE">
              <w:rPr>
                <w:rFonts w:eastAsiaTheme="minorEastAsia" w:cs="Calibri"/>
                <w:b/>
                <w:bCs/>
                <w:sz w:val="19"/>
                <w:szCs w:val="22"/>
                <w:lang w:eastAsia="en-AU"/>
              </w:rPr>
              <w:t>.</w:t>
            </w:r>
          </w:p>
        </w:tc>
      </w:tr>
      <w:tr w:rsidR="000B4A1E" w:rsidRPr="003E2DBE" w:rsidTr="00517E51">
        <w:trPr>
          <w:gridAfter w:val="1"/>
          <w:wAfter w:w="30" w:type="dxa"/>
        </w:trPr>
        <w:tc>
          <w:tcPr>
            <w:tcW w:w="2714" w:type="dxa"/>
            <w:gridSpan w:val="2"/>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sz w:val="19"/>
                <w:szCs w:val="19"/>
                <w:lang w:eastAsia="en-AU"/>
              </w:rPr>
            </w:pPr>
            <w:r w:rsidRPr="003E2DBE">
              <w:rPr>
                <w:rFonts w:eastAsiaTheme="minorEastAsia"/>
                <w:b/>
                <w:bCs/>
                <w:sz w:val="19"/>
                <w:szCs w:val="19"/>
                <w:lang w:eastAsia="en-AU"/>
              </w:rPr>
              <w:t>Comprehensive result – total change in net worth</w:t>
            </w:r>
          </w:p>
        </w:tc>
        <w:tc>
          <w:tcPr>
            <w:tcW w:w="417"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p>
        </w:tc>
        <w:tc>
          <w:tcPr>
            <w:tcW w:w="915"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( 128.9)</w:t>
            </w:r>
          </w:p>
        </w:tc>
        <w:tc>
          <w:tcPr>
            <w:tcW w:w="93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4 263.2</w:t>
            </w:r>
          </w:p>
        </w:tc>
        <w:tc>
          <w:tcPr>
            <w:tcW w:w="9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8 193.5</w:t>
            </w:r>
          </w:p>
        </w:tc>
        <w:tc>
          <w:tcPr>
            <w:tcW w:w="868"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8 322.5</w:t>
            </w:r>
          </w:p>
        </w:tc>
        <w:tc>
          <w:tcPr>
            <w:tcW w:w="90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szCs w:val="22"/>
                <w:lang w:eastAsia="en-AU"/>
              </w:rPr>
            </w:pPr>
            <w:r w:rsidRPr="003E2DBE">
              <w:rPr>
                <w:rFonts w:eastAsiaTheme="minorEastAsia"/>
                <w:b/>
                <w:bCs/>
                <w:sz w:val="19"/>
                <w:szCs w:val="19"/>
                <w:lang w:eastAsia="en-AU"/>
              </w:rPr>
              <w:t>n.a</w:t>
            </w:r>
            <w:r w:rsidRPr="003E2DBE">
              <w:rPr>
                <w:rFonts w:eastAsiaTheme="minorEastAsia" w:cs="Calibri"/>
                <w:b/>
                <w:bCs/>
                <w:sz w:val="19"/>
                <w:szCs w:val="22"/>
                <w:lang w:eastAsia="en-AU"/>
              </w:rPr>
              <w:t>.</w:t>
            </w:r>
          </w:p>
        </w:tc>
        <w:tc>
          <w:tcPr>
            <w:tcW w:w="994" w:type="dxa"/>
            <w:gridSpan w:val="1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szCs w:val="19"/>
                <w:lang w:eastAsia="en-AU"/>
              </w:rPr>
            </w:pPr>
            <w:r w:rsidRPr="003E2DBE">
              <w:rPr>
                <w:rFonts w:eastAsiaTheme="minorEastAsia"/>
                <w:b/>
                <w:bCs/>
                <w:sz w:val="19"/>
                <w:szCs w:val="19"/>
                <w:lang w:eastAsia="en-AU"/>
              </w:rPr>
              <w:t>3 930.3</w:t>
            </w:r>
          </w:p>
        </w:tc>
        <w:tc>
          <w:tcPr>
            <w:tcW w:w="882" w:type="dxa"/>
            <w:gridSpan w:val="7"/>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19"/>
                <w:szCs w:val="22"/>
                <w:lang w:eastAsia="en-AU"/>
              </w:rPr>
            </w:pPr>
            <w:r w:rsidRPr="003E2DBE">
              <w:rPr>
                <w:rFonts w:eastAsiaTheme="minorEastAsia"/>
                <w:b/>
                <w:bCs/>
                <w:sz w:val="19"/>
                <w:szCs w:val="19"/>
                <w:lang w:eastAsia="en-AU"/>
              </w:rPr>
              <w:t>n.a</w:t>
            </w:r>
            <w:r w:rsidRPr="003E2DBE">
              <w:rPr>
                <w:rFonts w:eastAsiaTheme="minorEastAsia" w:cs="Calibri"/>
                <w:b/>
                <w:bCs/>
                <w:sz w:val="19"/>
                <w:szCs w:val="22"/>
                <w:lang w:eastAsia="en-AU"/>
              </w:rPr>
              <w:t>.</w:t>
            </w:r>
          </w:p>
        </w:tc>
      </w:tr>
    </w:tbl>
    <w:p w:rsidR="000B4A1E" w:rsidRPr="00D00665" w:rsidRDefault="000B4A1E" w:rsidP="00517E51">
      <w:pPr>
        <w:pStyle w:val="Source"/>
        <w:spacing w:after="0"/>
      </w:pPr>
    </w:p>
    <w:p w:rsidR="000B4A1E" w:rsidRPr="00D00665" w:rsidRDefault="000B4A1E" w:rsidP="00517E51">
      <w:pPr>
        <w:pStyle w:val="Tableheading"/>
        <w:spacing w:before="40"/>
      </w:pPr>
      <w:r w:rsidRPr="00D00665">
        <w:t>Revenue from transactions</w:t>
      </w:r>
    </w:p>
    <w:p w:rsidR="000B4A1E" w:rsidRPr="00D00665" w:rsidRDefault="000B4A1E" w:rsidP="00517E51">
      <w:r w:rsidRPr="00D00665">
        <w:t>Revenue from transactions was $48.6</w:t>
      </w:r>
      <w:r>
        <w:t> billion</w:t>
      </w:r>
      <w:r w:rsidRPr="00D00665">
        <w:t xml:space="preserve"> for the year to 30 June 2013. This was only 0.5</w:t>
      </w:r>
      <w:r>
        <w:t> per cent</w:t>
      </w:r>
      <w:r w:rsidRPr="00D00665">
        <w:t xml:space="preserve"> higher than estimated in the original budget. The movements in revenue components are discussed below.</w:t>
      </w:r>
    </w:p>
    <w:p w:rsidR="000B4A1E" w:rsidRPr="00D00665" w:rsidRDefault="000B4A1E" w:rsidP="00517E51">
      <w:pPr>
        <w:ind w:left="360" w:hanging="360"/>
      </w:pPr>
      <w:r w:rsidRPr="00D00665">
        <w:t xml:space="preserve">(a) </w:t>
      </w:r>
      <w:r w:rsidRPr="00D00665">
        <w:tab/>
        <w:t>Taxation revenue was $252</w:t>
      </w:r>
      <w:r>
        <w:t> million</w:t>
      </w:r>
      <w:r w:rsidRPr="00D00665">
        <w:t xml:space="preserve"> lower than the original published estimate, largely driven by lower land transfer duty collections of $171</w:t>
      </w:r>
      <w:r>
        <w:t> million</w:t>
      </w:r>
      <w:r w:rsidRPr="00D00665">
        <w:t>. Although the property market showed improvement in the second half of 2012</w:t>
      </w:r>
      <w:r w:rsidRPr="00D00665">
        <w:noBreakHyphen/>
        <w:t xml:space="preserve">13, overall performance showed weakness in the outcome for the year. This reflected both a weaker volume of transactions and prices compared to expectations in the original budget. </w:t>
      </w:r>
    </w:p>
    <w:p w:rsidR="000B4A1E" w:rsidRPr="00D00665" w:rsidRDefault="000B4A1E" w:rsidP="00517E51">
      <w:pPr>
        <w:pStyle w:val="NormalIndent"/>
      </w:pPr>
      <w:r w:rsidRPr="00D00665">
        <w:t>Gambling tax revenue was $77</w:t>
      </w:r>
      <w:r>
        <w:t> million</w:t>
      </w:r>
      <w:r w:rsidRPr="00D00665">
        <w:t xml:space="preserve"> lower than the original budget. This difference was driven by lower revenue collected by electronic gaming machines, partially offset by higher revenue from private lotteries. In addition, payroll tax collections were also $61</w:t>
      </w:r>
      <w:r>
        <w:t> million</w:t>
      </w:r>
      <w:r w:rsidRPr="00D00665">
        <w:t xml:space="preserve"> lower than originally expected.</w:t>
      </w:r>
    </w:p>
    <w:p w:rsidR="000B4A1E" w:rsidRPr="00D00665" w:rsidRDefault="000B4A1E" w:rsidP="00517E51">
      <w:pPr>
        <w:pStyle w:val="NormalIndent"/>
      </w:pPr>
      <w:r w:rsidRPr="00D00665">
        <w:t>These weaker than expected outcomes were partially offset by:</w:t>
      </w:r>
    </w:p>
    <w:p w:rsidR="000B4A1E" w:rsidRPr="00D00665" w:rsidRDefault="000B4A1E" w:rsidP="00517E51">
      <w:pPr>
        <w:pStyle w:val="DashText"/>
      </w:pPr>
      <w:r w:rsidRPr="00D00665">
        <w:t>land tax revenue, which was $48</w:t>
      </w:r>
      <w:r>
        <w:t> million</w:t>
      </w:r>
      <w:r w:rsidRPr="00D00665">
        <w:t xml:space="preserve"> higher than estimated in the </w:t>
      </w:r>
      <w:r w:rsidRPr="00D00665">
        <w:rPr>
          <w:i/>
        </w:rPr>
        <w:t>2012</w:t>
      </w:r>
      <w:r w:rsidRPr="00D00665">
        <w:rPr>
          <w:i/>
        </w:rPr>
        <w:noBreakHyphen/>
        <w:t>13 Budget</w:t>
      </w:r>
      <w:r w:rsidRPr="00D00665">
        <w:t>. This was due to higher than anticipated land revaluations for the period 1 January 2010 to 1 January 2012; and</w:t>
      </w:r>
    </w:p>
    <w:p w:rsidR="000B4A1E" w:rsidRPr="00D00665" w:rsidRDefault="000B4A1E" w:rsidP="00517E51">
      <w:pPr>
        <w:pStyle w:val="DashText"/>
      </w:pPr>
      <w:r w:rsidRPr="00D00665">
        <w:t>h</w:t>
      </w:r>
      <w:r w:rsidRPr="00D00665">
        <w:rPr>
          <w:rStyle w:val="DashTextChar"/>
        </w:rPr>
        <w:t>i</w:t>
      </w:r>
      <w:r w:rsidRPr="00D00665">
        <w:t>gher than expected insurance taxes of $22</w:t>
      </w:r>
      <w:r>
        <w:t> million</w:t>
      </w:r>
      <w:r w:rsidRPr="00D00665">
        <w:t>, reflecting higher premiums for household and motor vehicle insurance than forecast and a higher uptake of insurance following natural disasters.</w:t>
      </w:r>
    </w:p>
    <w:p w:rsidR="000B4A1E" w:rsidRPr="00D00665" w:rsidRDefault="000B4A1E" w:rsidP="00517E51">
      <w:pPr>
        <w:ind w:left="360" w:hanging="360"/>
      </w:pPr>
      <w:r w:rsidRPr="00D00665">
        <w:t>(b)</w:t>
      </w:r>
      <w:r w:rsidRPr="00D00665">
        <w:tab/>
        <w:t>Dividends and income tax equivalent receipts were $340</w:t>
      </w:r>
      <w:r>
        <w:t> million</w:t>
      </w:r>
      <w:r w:rsidRPr="00D00665">
        <w:t xml:space="preserve"> higher than originally estimated,  driven by dividends from the State Electricity Commission of Victoria. </w:t>
      </w:r>
    </w:p>
    <w:p w:rsidR="000B4A1E" w:rsidRPr="00D00665" w:rsidRDefault="000B4A1E" w:rsidP="00517E51">
      <w:pPr>
        <w:ind w:left="360" w:hanging="360"/>
      </w:pPr>
      <w:r w:rsidRPr="00D00665">
        <w:t>(c)</w:t>
      </w:r>
      <w:r w:rsidRPr="00D00665">
        <w:tab/>
        <w:t>Revenue from the sales of goods and services was $116</w:t>
      </w:r>
      <w:r>
        <w:t> million</w:t>
      </w:r>
      <w:r w:rsidRPr="00D00665">
        <w:t xml:space="preserve"> higher than the original budget, primarily reflecting  an increase in regulatory fees for infringements.</w:t>
      </w:r>
    </w:p>
    <w:p w:rsidR="000B4A1E" w:rsidRPr="00D00665" w:rsidRDefault="000B4A1E" w:rsidP="00517E51">
      <w:pPr>
        <w:ind w:left="360" w:hanging="360"/>
      </w:pPr>
      <w:r w:rsidRPr="00D00665">
        <w:t>(d)</w:t>
      </w:r>
      <w:r w:rsidRPr="00D00665">
        <w:tab/>
        <w:t>Grants revenue was $318</w:t>
      </w:r>
      <w:r>
        <w:t> million</w:t>
      </w:r>
      <w:r w:rsidRPr="00D00665">
        <w:t xml:space="preserve"> lower than originally budgeted. This was primarily due to a decrease in specific purpose grants for Nation Building road and rail investment and the National Schools Program, and lower than expected goods and services tax revenue.</w:t>
      </w:r>
    </w:p>
    <w:p w:rsidR="000B4A1E" w:rsidRPr="00D00665" w:rsidRDefault="000B4A1E">
      <w:pPr>
        <w:spacing w:after="0"/>
        <w:rPr>
          <w:rStyle w:val="DashTextChar"/>
        </w:rPr>
      </w:pPr>
      <w:r w:rsidRPr="00D00665">
        <w:rPr>
          <w:rStyle w:val="DashTextChar"/>
        </w:rPr>
        <w:br w:type="page"/>
      </w:r>
    </w:p>
    <w:p w:rsidR="000B4A1E" w:rsidRPr="0051380F" w:rsidRDefault="000B4A1E" w:rsidP="00517E51">
      <w:pPr>
        <w:pStyle w:val="Heading2Notes"/>
        <w:rPr>
          <w:i/>
        </w:rPr>
      </w:pPr>
      <w:r w:rsidRPr="00D00665">
        <w:lastRenderedPageBreak/>
        <w:t>Note 31:</w:t>
      </w:r>
      <w:r w:rsidRPr="00D00665">
        <w:tab/>
        <w:t>Explanations of material variances between budget and actual outcomes</w:t>
      </w:r>
      <w:r>
        <w:t xml:space="preserve"> </w:t>
      </w:r>
      <w:r>
        <w:rPr>
          <w:i/>
        </w:rPr>
        <w:t>(continued)</w:t>
      </w:r>
    </w:p>
    <w:p w:rsidR="000B4A1E" w:rsidRPr="00D00665" w:rsidRDefault="000B4A1E" w:rsidP="00517E51">
      <w:pPr>
        <w:ind w:left="360" w:hanging="360"/>
        <w:rPr>
          <w:rFonts w:ascii="Calibri" w:hAnsi="Calibri"/>
          <w:b/>
          <w:sz w:val="25"/>
        </w:rPr>
      </w:pPr>
      <w:r w:rsidRPr="00D00665">
        <w:rPr>
          <w:rStyle w:val="DashTextChar"/>
        </w:rPr>
        <w:t>(e)</w:t>
      </w:r>
      <w:r w:rsidRPr="00D00665">
        <w:rPr>
          <w:rStyle w:val="DashTextChar"/>
        </w:rPr>
        <w:tab/>
        <w:t>Other revenue was $379</w:t>
      </w:r>
      <w:r>
        <w:rPr>
          <w:rStyle w:val="DashTextChar"/>
        </w:rPr>
        <w:t> million</w:t>
      </w:r>
      <w:r w:rsidRPr="00D00665">
        <w:rPr>
          <w:rStyle w:val="DashTextChar"/>
        </w:rPr>
        <w:t xml:space="preserve"> higher than the original budget. This was in part due to income from </w:t>
      </w:r>
      <w:r w:rsidRPr="00D00665">
        <w:t>land</w:t>
      </w:r>
      <w:r w:rsidRPr="00D00665">
        <w:rPr>
          <w:rStyle w:val="DashTextChar"/>
        </w:rPr>
        <w:t xml:space="preserve"> received free of charge by VicRoads and by Public Transport Victoria to recognise capital improvements made to bus shelters, and higher than expected revenue in relation to the sale of land in Kew. </w:t>
      </w:r>
    </w:p>
    <w:p w:rsidR="000B4A1E" w:rsidRPr="00D00665" w:rsidRDefault="000B4A1E" w:rsidP="00517E51">
      <w:pPr>
        <w:pStyle w:val="Tableheading"/>
      </w:pPr>
      <w:r w:rsidRPr="00D00665">
        <w:t>Expenses from transactions</w:t>
      </w:r>
    </w:p>
    <w:p w:rsidR="000B4A1E" w:rsidRPr="00D00665" w:rsidRDefault="000B4A1E" w:rsidP="00517E51">
      <w:r w:rsidRPr="00D00665">
        <w:t>Expenses from transactions were 0.2</w:t>
      </w:r>
      <w:r>
        <w:t> per cent</w:t>
      </w:r>
      <w:r w:rsidRPr="00D00665">
        <w:t xml:space="preserve"> higher than the original budget. The main movements are outlined below.</w:t>
      </w:r>
    </w:p>
    <w:p w:rsidR="000B4A1E" w:rsidRPr="00D00665" w:rsidRDefault="000B4A1E" w:rsidP="00517E51">
      <w:pPr>
        <w:ind w:left="360" w:hanging="360"/>
      </w:pPr>
      <w:r w:rsidRPr="00D00665">
        <w:t>(f)</w:t>
      </w:r>
      <w:r w:rsidRPr="00D00665">
        <w:tab/>
        <w:t>Employee expenses were $531</w:t>
      </w:r>
      <w:r>
        <w:t> million</w:t>
      </w:r>
      <w:r w:rsidRPr="00D00665">
        <w:t xml:space="preserve"> higher than originally estimated. This was impacted by the result of enterprise bargaining agreements, increased frontline service delivery recruitment and voluntary departure packages associated with previously announced measures to manage public sector workforce growth.</w:t>
      </w:r>
    </w:p>
    <w:p w:rsidR="000B4A1E" w:rsidRPr="00D00665" w:rsidRDefault="000B4A1E" w:rsidP="00517E51">
      <w:pPr>
        <w:ind w:left="360" w:hanging="360"/>
      </w:pPr>
      <w:r w:rsidRPr="00D00665">
        <w:t>(g)</w:t>
      </w:r>
      <w:r w:rsidRPr="00D00665">
        <w:tab/>
        <w:t>The fall in the superannuation interest expense, of $283</w:t>
      </w:r>
      <w:r>
        <w:t> million</w:t>
      </w:r>
      <w:r w:rsidRPr="00D00665">
        <w:t>, was primarily due to the net impact of movements in bond rates between 31 March 2012 (the date at which the Budget estimates were prepared) and 30 June 2012 (the date at which this expense is determined).</w:t>
      </w:r>
    </w:p>
    <w:p w:rsidR="000B4A1E" w:rsidRPr="00D00665" w:rsidRDefault="000B4A1E" w:rsidP="00517E51">
      <w:pPr>
        <w:pStyle w:val="NormalIndent"/>
      </w:pPr>
      <w:r w:rsidRPr="00D00665">
        <w:t>The increase in other superannuation expense of $113</w:t>
      </w:r>
      <w:r>
        <w:t> million</w:t>
      </w:r>
      <w:r w:rsidRPr="00D00665">
        <w:t xml:space="preserve"> was primarily attributable to an increase in the defined benefit Service Cost that arose due to movements in bond rates.</w:t>
      </w:r>
    </w:p>
    <w:p w:rsidR="000B4A1E" w:rsidRPr="00D00665" w:rsidRDefault="000B4A1E" w:rsidP="00517E51">
      <w:pPr>
        <w:ind w:left="360" w:hanging="360"/>
      </w:pPr>
      <w:r w:rsidRPr="00D00665">
        <w:t>(h)</w:t>
      </w:r>
      <w:r w:rsidRPr="00D00665">
        <w:tab/>
        <w:t>The decrease in the depreciation expense of $132</w:t>
      </w:r>
      <w:r>
        <w:t> million</w:t>
      </w:r>
      <w:r w:rsidRPr="00D00665">
        <w:t xml:space="preserve"> compared to original budget is mainly driven by re</w:t>
      </w:r>
      <w:r w:rsidRPr="00D00665">
        <w:noBreakHyphen/>
        <w:t xml:space="preserve">phasing of capital expenditure and lower than expected asset revaluations. </w:t>
      </w:r>
    </w:p>
    <w:p w:rsidR="000B4A1E" w:rsidRPr="00D00665" w:rsidRDefault="000B4A1E" w:rsidP="00517E51">
      <w:pPr>
        <w:ind w:left="360" w:hanging="360"/>
      </w:pPr>
      <w:r w:rsidRPr="00D00665">
        <w:t>(i)</w:t>
      </w:r>
      <w:r w:rsidRPr="00D00665">
        <w:tab/>
        <w:t>Interest expense was $50</w:t>
      </w:r>
      <w:r>
        <w:t> million</w:t>
      </w:r>
      <w:r w:rsidRPr="00D00665">
        <w:t xml:space="preserve"> higher than original budget, largely due to interest expense incurred as a result of financing arrangements for the Royal Children</w:t>
      </w:r>
      <w:r>
        <w:t>’</w:t>
      </w:r>
      <w:r w:rsidRPr="00D00665">
        <w:t xml:space="preserve">s Hospital being reclassified from other operating expenses. </w:t>
      </w:r>
    </w:p>
    <w:p w:rsidR="000B4A1E" w:rsidRPr="00D00665" w:rsidRDefault="000B4A1E" w:rsidP="00517E51">
      <w:pPr>
        <w:ind w:left="360" w:hanging="360"/>
      </w:pPr>
      <w:r w:rsidRPr="00D00665">
        <w:t>(j)</w:t>
      </w:r>
      <w:r w:rsidRPr="00D00665">
        <w:tab/>
        <w:t>Grants and other transfers was $365</w:t>
      </w:r>
      <w:r>
        <w:t> million</w:t>
      </w:r>
      <w:r w:rsidRPr="00D00665">
        <w:t xml:space="preserve"> lower than expected in the </w:t>
      </w:r>
      <w:r w:rsidRPr="00D00665">
        <w:rPr>
          <w:i/>
        </w:rPr>
        <w:t>2012</w:t>
      </w:r>
      <w:r w:rsidRPr="00D00665">
        <w:rPr>
          <w:i/>
        </w:rPr>
        <w:noBreakHyphen/>
        <w:t>13 Budget</w:t>
      </w:r>
      <w:r w:rsidRPr="00D00665">
        <w:t xml:space="preserve">, driven by reclassification of payments to registered training organisations from grants to other operating expenses. </w:t>
      </w:r>
    </w:p>
    <w:p w:rsidR="000B4A1E" w:rsidRPr="00D00665" w:rsidRDefault="000B4A1E" w:rsidP="00517E51">
      <w:pPr>
        <w:ind w:left="360" w:hanging="360"/>
      </w:pPr>
      <w:r w:rsidRPr="00D00665">
        <w:t>(k)</w:t>
      </w:r>
      <w:r w:rsidRPr="00D00665">
        <w:tab/>
        <w:t>Other operating expenses were $180</w:t>
      </w:r>
      <w:r>
        <w:t> million</w:t>
      </w:r>
      <w:r w:rsidRPr="00D00665">
        <w:t xml:space="preserve"> higher than the original budget reflecting the reclassification of payments to registered training organisations into other operating expenses (outlined above). This expense was partially offset by the transfer of the Northern Victoria Irrigation Renewal Project from the general government sector to the public non</w:t>
      </w:r>
      <w:r w:rsidRPr="00D00665">
        <w:noBreakHyphen/>
        <w:t>financial corporations sector.</w:t>
      </w:r>
    </w:p>
    <w:p w:rsidR="000B4A1E" w:rsidRPr="00D00665" w:rsidRDefault="000B4A1E" w:rsidP="00517E51">
      <w:pPr>
        <w:pStyle w:val="Tableheading"/>
      </w:pPr>
      <w:r w:rsidRPr="00D00665">
        <w:t>Other economic flows included in net result</w:t>
      </w:r>
    </w:p>
    <w:p w:rsidR="000B4A1E" w:rsidRPr="00D00665" w:rsidRDefault="000B4A1E" w:rsidP="00517E51">
      <w:r w:rsidRPr="00D00665">
        <w:t>Total other economic flows included in the net result have increased by $7.2</w:t>
      </w:r>
      <w:r>
        <w:t> billion</w:t>
      </w:r>
      <w:r w:rsidRPr="00D00665">
        <w:t xml:space="preserve"> compared to estimates in the original budget, due to a $7.3</w:t>
      </w:r>
      <w:r>
        <w:t> billion</w:t>
      </w:r>
      <w:r w:rsidRPr="00D00665">
        <w:t xml:space="preserve"> actuarial gain on superannuation. This actuarial gain was primarily due to favourable movements in the bond yields that are used to value this liability during the year as well as higher than expected investment returns on superannuation assets. </w:t>
      </w:r>
    </w:p>
    <w:p w:rsidR="000B4A1E" w:rsidRPr="00D00665" w:rsidRDefault="000B4A1E" w:rsidP="00517E51">
      <w:pPr>
        <w:pStyle w:val="Heading2NotesContd"/>
      </w:pPr>
      <w:r w:rsidRPr="00D00665">
        <w:br w:type="page"/>
      </w:r>
    </w:p>
    <w:p w:rsidR="000B4A1E" w:rsidRPr="0051380F" w:rsidRDefault="000B4A1E" w:rsidP="00517E51">
      <w:pPr>
        <w:pStyle w:val="Heading2Notes"/>
        <w:rPr>
          <w:i/>
        </w:rPr>
      </w:pPr>
      <w:r w:rsidRPr="00D00665">
        <w:lastRenderedPageBreak/>
        <w:t>Note 31:</w:t>
      </w:r>
      <w:r w:rsidRPr="00D00665">
        <w:tab/>
        <w:t>Explanations of material variances between budget and actual outcomes</w:t>
      </w:r>
      <w:r>
        <w:t xml:space="preserve"> </w:t>
      </w:r>
      <w:r>
        <w:rPr>
          <w:i/>
        </w:rPr>
        <w:t>(continued)</w:t>
      </w:r>
    </w:p>
    <w:p w:rsidR="000B4A1E" w:rsidRPr="00D00665" w:rsidRDefault="000B4A1E" w:rsidP="00517E51">
      <w:pPr>
        <w:pStyle w:val="Heading5"/>
      </w:pPr>
      <w:r w:rsidRPr="00D00665">
        <w:t>(b)</w:t>
      </w:r>
      <w:r w:rsidRPr="00D00665">
        <w:tab/>
        <w:t>Consolidated balance sheet</w:t>
      </w:r>
    </w:p>
    <w:p w:rsidR="000B4A1E" w:rsidRPr="003E2DBE" w:rsidRDefault="000B4A1E" w:rsidP="00517E51">
      <w:pPr>
        <w:pStyle w:val="million"/>
      </w:pPr>
      <w:r w:rsidRPr="00D00665">
        <w:t>($</w:t>
      </w:r>
      <w:r>
        <w:t> million</w:t>
      </w:r>
      <w:r w:rsidRPr="00D00665">
        <w:t>)</w:t>
      </w:r>
    </w:p>
    <w:tbl>
      <w:tblPr>
        <w:tblW w:w="9653" w:type="dxa"/>
        <w:tblInd w:w="29" w:type="dxa"/>
        <w:tblLayout w:type="fixed"/>
        <w:tblCellMar>
          <w:left w:w="43" w:type="dxa"/>
          <w:right w:w="43" w:type="dxa"/>
        </w:tblCellMar>
        <w:tblLook w:val="0000" w:firstRow="0" w:lastRow="0" w:firstColumn="0" w:lastColumn="0" w:noHBand="0" w:noVBand="0"/>
      </w:tblPr>
      <w:tblGrid>
        <w:gridCol w:w="2984"/>
        <w:gridCol w:w="90"/>
        <w:gridCol w:w="180"/>
        <w:gridCol w:w="270"/>
        <w:gridCol w:w="472"/>
        <w:gridCol w:w="1013"/>
        <w:gridCol w:w="1012"/>
        <w:gridCol w:w="1013"/>
        <w:gridCol w:w="450"/>
        <w:gridCol w:w="270"/>
        <w:gridCol w:w="90"/>
        <w:gridCol w:w="16"/>
        <w:gridCol w:w="974"/>
        <w:gridCol w:w="16"/>
        <w:gridCol w:w="803"/>
      </w:tblGrid>
      <w:tr w:rsidR="000B4A1E" w:rsidRPr="003E2DBE" w:rsidTr="00103F3E">
        <w:tc>
          <w:tcPr>
            <w:tcW w:w="2984" w:type="dxa"/>
            <w:tcBorders>
              <w:top w:val="single" w:sz="6" w:space="0" w:color="auto"/>
              <w:left w:val="single" w:sz="6" w:space="0" w:color="auto"/>
              <w:bottom w:val="nil"/>
              <w:right w:val="nil"/>
            </w:tcBorders>
            <w:shd w:val="clear" w:color="auto" w:fill="000000"/>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 xml:space="preserve"> </w:t>
            </w:r>
          </w:p>
        </w:tc>
        <w:tc>
          <w:tcPr>
            <w:tcW w:w="270" w:type="dxa"/>
            <w:gridSpan w:val="2"/>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19"/>
                <w:lang w:eastAsia="en-AU"/>
              </w:rPr>
            </w:pPr>
            <w:r w:rsidRPr="003E2DBE">
              <w:rPr>
                <w:rFonts w:eastAsiaTheme="minorEastAsia"/>
                <w:sz w:val="19"/>
                <w:lang w:eastAsia="en-AU"/>
              </w:rPr>
              <w:t xml:space="preserve"> </w:t>
            </w:r>
          </w:p>
        </w:tc>
        <w:tc>
          <w:tcPr>
            <w:tcW w:w="270"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19"/>
                <w:lang w:eastAsia="en-AU"/>
              </w:rPr>
            </w:pPr>
          </w:p>
        </w:tc>
        <w:tc>
          <w:tcPr>
            <w:tcW w:w="3960" w:type="dxa"/>
            <w:gridSpan w:val="5"/>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19"/>
                <w:lang w:eastAsia="en-AU"/>
              </w:rPr>
            </w:pPr>
            <w:r w:rsidRPr="003E2DBE">
              <w:rPr>
                <w:rFonts w:eastAsiaTheme="minorEastAsia"/>
                <w:sz w:val="19"/>
                <w:lang w:eastAsia="en-AU"/>
              </w:rPr>
              <w:t xml:space="preserve">General government sector  </w:t>
            </w:r>
          </w:p>
        </w:tc>
        <w:tc>
          <w:tcPr>
            <w:tcW w:w="270" w:type="dxa"/>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19"/>
                <w:lang w:eastAsia="en-AU"/>
              </w:rPr>
            </w:pPr>
            <w:r w:rsidRPr="003E2DBE">
              <w:rPr>
                <w:rFonts w:eastAsiaTheme="minorEastAsia"/>
                <w:sz w:val="19"/>
                <w:lang w:eastAsia="en-AU"/>
              </w:rPr>
              <w:t xml:space="preserve"> </w:t>
            </w:r>
          </w:p>
        </w:tc>
        <w:tc>
          <w:tcPr>
            <w:tcW w:w="106" w:type="dxa"/>
            <w:gridSpan w:val="2"/>
            <w:tcBorders>
              <w:top w:val="single" w:sz="6"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19"/>
                <w:lang w:eastAsia="en-AU"/>
              </w:rPr>
            </w:pPr>
            <w:r w:rsidRPr="003E2DBE">
              <w:rPr>
                <w:rFonts w:eastAsiaTheme="minorEastAsia"/>
                <w:sz w:val="19"/>
                <w:lang w:eastAsia="en-AU"/>
              </w:rPr>
              <w:t xml:space="preserve"> </w:t>
            </w:r>
          </w:p>
        </w:tc>
        <w:tc>
          <w:tcPr>
            <w:tcW w:w="990" w:type="dxa"/>
            <w:gridSpan w:val="2"/>
            <w:tcBorders>
              <w:top w:val="single" w:sz="6" w:space="0" w:color="auto"/>
              <w:left w:val="nil"/>
              <w:bottom w:val="nil"/>
              <w:right w:val="nil"/>
            </w:tcBorders>
            <w:shd w:val="clear" w:color="auto" w:fill="000000"/>
          </w:tcPr>
          <w:p w:rsidR="000B4A1E" w:rsidRPr="003E2DBE" w:rsidRDefault="000B4A1E" w:rsidP="00517E51">
            <w:pPr>
              <w:pStyle w:val="Tabletextheading"/>
              <w:rPr>
                <w:rFonts w:eastAsiaTheme="minorEastAsia"/>
                <w:sz w:val="19"/>
                <w:lang w:eastAsia="en-AU"/>
              </w:rPr>
            </w:pPr>
            <w:r w:rsidRPr="003E2DBE">
              <w:rPr>
                <w:rFonts w:eastAsiaTheme="minorEastAsia"/>
                <w:sz w:val="19"/>
                <w:lang w:eastAsia="en-AU"/>
              </w:rPr>
              <w:t>Revised</w:t>
            </w:r>
          </w:p>
        </w:tc>
        <w:tc>
          <w:tcPr>
            <w:tcW w:w="803" w:type="dxa"/>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
              <w:rPr>
                <w:rFonts w:eastAsiaTheme="minorEastAsia"/>
                <w:sz w:val="19"/>
                <w:lang w:eastAsia="en-AU"/>
              </w:rPr>
            </w:pPr>
            <w:r w:rsidRPr="003E2DBE">
              <w:rPr>
                <w:rFonts w:eastAsiaTheme="minorEastAsia"/>
                <w:sz w:val="19"/>
                <w:lang w:eastAsia="en-AU"/>
              </w:rPr>
              <w:t xml:space="preserve"> </w:t>
            </w:r>
          </w:p>
        </w:tc>
      </w:tr>
      <w:tr w:rsidR="000B4A1E" w:rsidRPr="003E2DBE" w:rsidTr="00103F3E">
        <w:tc>
          <w:tcPr>
            <w:tcW w:w="2984" w:type="dxa"/>
            <w:tcBorders>
              <w:top w:val="nil"/>
              <w:left w:val="single" w:sz="6" w:space="0" w:color="auto"/>
              <w:bottom w:val="single" w:sz="6" w:space="0" w:color="auto"/>
              <w:right w:val="nil"/>
            </w:tcBorders>
            <w:shd w:val="clear" w:color="auto" w:fill="000000"/>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 xml:space="preserve"> </w:t>
            </w:r>
          </w:p>
        </w:tc>
        <w:tc>
          <w:tcPr>
            <w:tcW w:w="1012" w:type="dxa"/>
            <w:gridSpan w:val="4"/>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sz w:val="19"/>
                <w:lang w:eastAsia="en-AU"/>
              </w:rPr>
            </w:pPr>
            <w:r w:rsidRPr="003E2DBE">
              <w:rPr>
                <w:rFonts w:eastAsiaTheme="minorEastAsia"/>
                <w:sz w:val="19"/>
                <w:lang w:eastAsia="en-AU"/>
              </w:rPr>
              <w:t>Original budget</w:t>
            </w:r>
          </w:p>
        </w:tc>
        <w:tc>
          <w:tcPr>
            <w:tcW w:w="1013"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sz w:val="19"/>
                <w:lang w:eastAsia="en-AU"/>
              </w:rPr>
            </w:pPr>
            <w:r w:rsidRPr="003E2DBE">
              <w:rPr>
                <w:rFonts w:eastAsiaTheme="minorEastAsia"/>
                <w:sz w:val="19"/>
                <w:lang w:eastAsia="en-AU"/>
              </w:rPr>
              <w:t>Revised budget</w:t>
            </w:r>
          </w:p>
        </w:tc>
        <w:tc>
          <w:tcPr>
            <w:tcW w:w="1012"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sz w:val="19"/>
                <w:lang w:eastAsia="en-AU"/>
              </w:rPr>
            </w:pPr>
            <w:r w:rsidRPr="003E2DBE">
              <w:rPr>
                <w:rFonts w:eastAsiaTheme="minorEastAsia"/>
                <w:sz w:val="19"/>
                <w:lang w:eastAsia="en-AU"/>
              </w:rPr>
              <w:t>2013  Actual</w:t>
            </w:r>
          </w:p>
        </w:tc>
        <w:tc>
          <w:tcPr>
            <w:tcW w:w="1013"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sz w:val="19"/>
                <w:lang w:eastAsia="en-AU"/>
              </w:rPr>
            </w:pPr>
            <w:r w:rsidRPr="003E2DBE">
              <w:rPr>
                <w:rFonts w:eastAsiaTheme="minorEastAsia"/>
                <w:sz w:val="19"/>
                <w:lang w:eastAsia="en-AU"/>
              </w:rPr>
              <w:t>Budget variance</w:t>
            </w:r>
          </w:p>
        </w:tc>
        <w:tc>
          <w:tcPr>
            <w:tcW w:w="810" w:type="dxa"/>
            <w:gridSpan w:val="3"/>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sz w:val="19"/>
                <w:lang w:eastAsia="en-AU"/>
              </w:rPr>
            </w:pPr>
          </w:p>
          <w:p w:rsidR="000B4A1E" w:rsidRPr="003E2DBE" w:rsidRDefault="000B4A1E" w:rsidP="00517E51">
            <w:pPr>
              <w:pStyle w:val="Tabletextheading"/>
              <w:rPr>
                <w:rFonts w:eastAsiaTheme="minorEastAsia"/>
                <w:sz w:val="19"/>
                <w:lang w:eastAsia="en-AU"/>
              </w:rPr>
            </w:pPr>
            <w:r w:rsidRPr="003E2DBE">
              <w:rPr>
                <w:rFonts w:eastAsiaTheme="minorEastAsia"/>
                <w:sz w:val="19"/>
                <w:lang w:eastAsia="en-AU"/>
              </w:rPr>
              <w:t>%</w:t>
            </w:r>
          </w:p>
        </w:tc>
        <w:tc>
          <w:tcPr>
            <w:tcW w:w="990"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sz w:val="19"/>
                <w:lang w:eastAsia="en-AU"/>
              </w:rPr>
            </w:pPr>
            <w:r w:rsidRPr="003E2DBE">
              <w:rPr>
                <w:rFonts w:eastAsiaTheme="minorEastAsia"/>
                <w:sz w:val="19"/>
                <w:lang w:eastAsia="en-AU"/>
              </w:rPr>
              <w:t>budget variance</w:t>
            </w:r>
          </w:p>
        </w:tc>
        <w:tc>
          <w:tcPr>
            <w:tcW w:w="819" w:type="dxa"/>
            <w:gridSpan w:val="2"/>
            <w:tcBorders>
              <w:top w:val="nil"/>
              <w:left w:val="nil"/>
              <w:bottom w:val="single" w:sz="6" w:space="0" w:color="auto"/>
              <w:right w:val="single" w:sz="6" w:space="0" w:color="auto"/>
            </w:tcBorders>
            <w:shd w:val="clear" w:color="auto" w:fill="000000"/>
          </w:tcPr>
          <w:p w:rsidR="000B4A1E" w:rsidRPr="003E2DBE" w:rsidRDefault="000B4A1E" w:rsidP="00517E51">
            <w:pPr>
              <w:pStyle w:val="Tabletextheading"/>
              <w:rPr>
                <w:rFonts w:eastAsiaTheme="minorEastAsia"/>
                <w:sz w:val="19"/>
                <w:lang w:eastAsia="en-AU"/>
              </w:rPr>
            </w:pPr>
          </w:p>
          <w:p w:rsidR="000B4A1E" w:rsidRPr="003E2DBE" w:rsidRDefault="000B4A1E" w:rsidP="00517E51">
            <w:pPr>
              <w:pStyle w:val="Tabletextheading"/>
              <w:rPr>
                <w:rFonts w:eastAsiaTheme="minorEastAsia"/>
                <w:sz w:val="19"/>
                <w:lang w:eastAsia="en-AU"/>
              </w:rPr>
            </w:pPr>
            <w:r w:rsidRPr="003E2DBE">
              <w:rPr>
                <w:rFonts w:eastAsiaTheme="minorEastAsia"/>
                <w:sz w:val="19"/>
                <w:lang w:eastAsia="en-AU"/>
              </w:rPr>
              <w:t>%</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b/>
                <w:bCs/>
                <w:sz w:val="19"/>
                <w:lang w:eastAsia="en-AU"/>
              </w:rPr>
            </w:pPr>
            <w:r w:rsidRPr="003E2DBE">
              <w:rPr>
                <w:rFonts w:eastAsiaTheme="minorEastAsia"/>
                <w:b/>
                <w:bCs/>
                <w:sz w:val="19"/>
                <w:lang w:eastAsia="en-AU"/>
              </w:rPr>
              <w:t>Assets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b/>
                <w:bCs/>
                <w:sz w:val="19"/>
                <w:lang w:eastAsia="en-AU"/>
              </w:rPr>
            </w:pPr>
            <w:r w:rsidRPr="003E2DBE">
              <w:rPr>
                <w:rFonts w:eastAsiaTheme="minorEastAsia"/>
                <w:b/>
                <w:bCs/>
                <w:sz w:val="19"/>
                <w:lang w:eastAsia="en-AU"/>
              </w:rPr>
              <w:t>Financial assets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w:t>
            </w:r>
          </w:p>
        </w:tc>
      </w:tr>
      <w:tr w:rsidR="000B4A1E" w:rsidRPr="003E2DBE" w:rsidTr="00103F3E">
        <w:tc>
          <w:tcPr>
            <w:tcW w:w="2984" w:type="dxa"/>
            <w:tcBorders>
              <w:top w:val="nil"/>
              <w:left w:val="nil"/>
              <w:bottom w:val="nil"/>
              <w:right w:val="nil"/>
            </w:tcBorders>
            <w:shd w:val="solid" w:color="FFFFFF" w:fill="auto"/>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Cash and deposits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4 369.0</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4 709.3</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3 962.0</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(407.1)</w:t>
            </w:r>
          </w:p>
        </w:tc>
        <w:tc>
          <w:tcPr>
            <w:tcW w:w="810" w:type="dxa"/>
            <w:gridSpan w:val="3"/>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(9.3)</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(747.3)</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(15.9)</w:t>
            </w:r>
          </w:p>
        </w:tc>
      </w:tr>
      <w:tr w:rsidR="000B4A1E" w:rsidRPr="003E2DBE" w:rsidTr="00103F3E">
        <w:tc>
          <w:tcPr>
            <w:tcW w:w="2984" w:type="dxa"/>
            <w:tcBorders>
              <w:top w:val="nil"/>
              <w:left w:val="nil"/>
              <w:bottom w:val="nil"/>
              <w:right w:val="nil"/>
            </w:tcBorders>
            <w:shd w:val="solid" w:color="FFFFFF" w:fill="auto"/>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Advances paid</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4 446.1</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4 634.3</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4 626.8</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180.8</w:t>
            </w:r>
          </w:p>
        </w:tc>
        <w:tc>
          <w:tcPr>
            <w:tcW w:w="810" w:type="dxa"/>
            <w:gridSpan w:val="3"/>
            <w:tcBorders>
              <w:top w:val="nil"/>
              <w:left w:val="nil"/>
              <w:bottom w:val="nil"/>
              <w:right w:val="nil"/>
            </w:tcBorders>
            <w:shd w:val="solid" w:color="FFFFFF" w:fill="auto"/>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4.1</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(7.5)</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(0.2)</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Receivables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4 479.6</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4 078.1</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5 061.0</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581.4</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13.0</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982.9</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24.1</w:t>
            </w:r>
          </w:p>
        </w:tc>
      </w:tr>
      <w:tr w:rsidR="000B4A1E" w:rsidRPr="003E2DBE" w:rsidTr="00103F3E">
        <w:tc>
          <w:tcPr>
            <w:tcW w:w="3074" w:type="dxa"/>
            <w:gridSpan w:val="2"/>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Investments, loans and placements</w:t>
            </w:r>
          </w:p>
        </w:tc>
        <w:tc>
          <w:tcPr>
            <w:tcW w:w="922"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2 678.0</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2 645.0</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3 383.4</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705.4</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26.3</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738.4</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27.9</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Investments accounted for using the equity method</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35.1</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47.1</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49.4</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14.4</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41.0</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2.3</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4.9</w:t>
            </w:r>
          </w:p>
        </w:tc>
      </w:tr>
      <w:tr w:rsidR="000B4A1E" w:rsidRPr="003E2DBE" w:rsidTr="00103F3E">
        <w:tc>
          <w:tcPr>
            <w:tcW w:w="307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Investments in other sector entities</w:t>
            </w:r>
          </w:p>
        </w:tc>
        <w:tc>
          <w:tcPr>
            <w:tcW w:w="922" w:type="dxa"/>
            <w:gridSpan w:val="3"/>
            <w:tcBorders>
              <w:top w:val="nil"/>
              <w:left w:val="nil"/>
              <w:bottom w:val="single" w:sz="6" w:space="0" w:color="auto"/>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69 291.3</w:t>
            </w:r>
          </w:p>
        </w:tc>
        <w:tc>
          <w:tcPr>
            <w:tcW w:w="1013" w:type="dxa"/>
            <w:tcBorders>
              <w:top w:val="nil"/>
              <w:left w:val="nil"/>
              <w:bottom w:val="single" w:sz="6" w:space="0" w:color="auto"/>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69 752.0</w:t>
            </w:r>
          </w:p>
        </w:tc>
        <w:tc>
          <w:tcPr>
            <w:tcW w:w="1012" w:type="dxa"/>
            <w:tcBorders>
              <w:top w:val="nil"/>
              <w:left w:val="nil"/>
              <w:bottom w:val="single" w:sz="6" w:space="0" w:color="auto"/>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69 489.5</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198.2</w:t>
            </w:r>
          </w:p>
        </w:tc>
        <w:tc>
          <w:tcPr>
            <w:tcW w:w="810" w:type="dxa"/>
            <w:gridSpan w:val="3"/>
            <w:tcBorders>
              <w:top w:val="nil"/>
              <w:left w:val="nil"/>
              <w:bottom w:val="single" w:sz="6" w:space="0" w:color="auto"/>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0.3</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(262.6)</w:t>
            </w:r>
          </w:p>
        </w:tc>
        <w:tc>
          <w:tcPr>
            <w:tcW w:w="819"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(0.4)</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b/>
                <w:bCs/>
                <w:sz w:val="19"/>
                <w:lang w:eastAsia="en-AU"/>
              </w:rPr>
            </w:pPr>
            <w:r w:rsidRPr="003E2DBE">
              <w:rPr>
                <w:rFonts w:eastAsiaTheme="minorEastAsia"/>
                <w:b/>
                <w:bCs/>
                <w:sz w:val="19"/>
                <w:lang w:eastAsia="en-AU"/>
              </w:rPr>
              <w:t>Total financial assets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85 299.1</w:t>
            </w:r>
          </w:p>
        </w:tc>
        <w:tc>
          <w:tcPr>
            <w:tcW w:w="1013" w:type="dxa"/>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85 865.9</w:t>
            </w:r>
          </w:p>
        </w:tc>
        <w:tc>
          <w:tcPr>
            <w:tcW w:w="1012" w:type="dxa"/>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86 572.1</w:t>
            </w:r>
          </w:p>
        </w:tc>
        <w:tc>
          <w:tcPr>
            <w:tcW w:w="1013" w:type="dxa"/>
            <w:tcBorders>
              <w:top w:val="single" w:sz="6" w:space="0" w:color="auto"/>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1 273.0</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1.5</w:t>
            </w:r>
          </w:p>
        </w:tc>
        <w:tc>
          <w:tcPr>
            <w:tcW w:w="990" w:type="dxa"/>
            <w:gridSpan w:val="2"/>
            <w:tcBorders>
              <w:top w:val="single" w:sz="6" w:space="0" w:color="auto"/>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706.2</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0.8</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b/>
                <w:bCs/>
                <w:sz w:val="19"/>
                <w:lang w:eastAsia="en-AU"/>
              </w:rPr>
            </w:pPr>
            <w:r w:rsidRPr="003E2DBE">
              <w:rPr>
                <w:rFonts w:eastAsiaTheme="minorEastAsia"/>
                <w:b/>
                <w:bCs/>
                <w:sz w:val="19"/>
                <w:lang w:eastAsia="en-AU"/>
              </w:rPr>
              <w:t>Non-financial assets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Inventories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232.5</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235.4</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192.1</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(40.3)</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(17.4)</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(43.3)</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(18.4)</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Non-financial assets held-for-sale</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58.1</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142.6</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142.1</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84.0</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144.6</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(0.5)</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(0.3)</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Land, buildings, infrastructure, plant and equipment</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102 356.4</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99 871.1</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100 804.0</w:t>
            </w:r>
          </w:p>
        </w:tc>
        <w:tc>
          <w:tcPr>
            <w:tcW w:w="1013" w:type="dxa"/>
            <w:tcBorders>
              <w:top w:val="nil"/>
              <w:left w:val="nil"/>
              <w:bottom w:val="nil"/>
              <w:right w:val="nil"/>
            </w:tcBorders>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lang w:eastAsia="en-AU"/>
              </w:rPr>
              <w:t>(1 552.3</w:t>
            </w:r>
            <w:r w:rsidRPr="003E2DBE">
              <w:rPr>
                <w:rFonts w:eastAsiaTheme="minorEastAsia" w:cs="Calibri"/>
                <w:sz w:val="19"/>
                <w:szCs w:val="22"/>
                <w:lang w:eastAsia="en-AU"/>
              </w:rPr>
              <w:t>)</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(1.5)</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932.9</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0.9</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Other non-financial assets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804.7</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813.9</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954.3</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149.6</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18.6</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140.4</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17.2</w:t>
            </w:r>
          </w:p>
        </w:tc>
      </w:tr>
      <w:tr w:rsidR="000B4A1E" w:rsidRPr="003E2DBE" w:rsidTr="00103F3E">
        <w:tc>
          <w:tcPr>
            <w:tcW w:w="298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19"/>
                <w:lang w:eastAsia="en-AU"/>
              </w:rPr>
            </w:pPr>
            <w:r w:rsidRPr="003E2DBE">
              <w:rPr>
                <w:rFonts w:eastAsiaTheme="minorEastAsia"/>
                <w:b/>
                <w:bCs/>
                <w:sz w:val="19"/>
                <w:lang w:eastAsia="en-AU"/>
              </w:rPr>
              <w:t>Total non-financial assets</w:t>
            </w:r>
          </w:p>
        </w:tc>
        <w:tc>
          <w:tcPr>
            <w:tcW w:w="1012" w:type="dxa"/>
            <w:gridSpan w:val="4"/>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103 451.6</w:t>
            </w:r>
          </w:p>
        </w:tc>
        <w:tc>
          <w:tcPr>
            <w:tcW w:w="101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101 063.0</w:t>
            </w:r>
          </w:p>
        </w:tc>
        <w:tc>
          <w:tcPr>
            <w:tcW w:w="1012"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102 092.5</w:t>
            </w:r>
          </w:p>
        </w:tc>
        <w:tc>
          <w:tcPr>
            <w:tcW w:w="101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(1 359.1)</w:t>
            </w:r>
          </w:p>
        </w:tc>
        <w:tc>
          <w:tcPr>
            <w:tcW w:w="810"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(1.3)</w:t>
            </w:r>
          </w:p>
        </w:tc>
        <w:tc>
          <w:tcPr>
            <w:tcW w:w="9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1 029.5</w:t>
            </w:r>
          </w:p>
        </w:tc>
        <w:tc>
          <w:tcPr>
            <w:tcW w:w="819"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1.0</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b/>
                <w:bCs/>
                <w:sz w:val="19"/>
                <w:lang w:eastAsia="en-AU"/>
              </w:rPr>
            </w:pPr>
            <w:r w:rsidRPr="003E2DBE">
              <w:rPr>
                <w:rFonts w:eastAsiaTheme="minorEastAsia"/>
                <w:b/>
                <w:bCs/>
                <w:sz w:val="19"/>
                <w:lang w:eastAsia="en-AU"/>
              </w:rPr>
              <w:t>Total assets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188 750.7</w:t>
            </w:r>
          </w:p>
        </w:tc>
        <w:tc>
          <w:tcPr>
            <w:tcW w:w="1013" w:type="dxa"/>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186 928.9</w:t>
            </w:r>
          </w:p>
        </w:tc>
        <w:tc>
          <w:tcPr>
            <w:tcW w:w="1012" w:type="dxa"/>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188 664.6</w:t>
            </w:r>
          </w:p>
        </w:tc>
        <w:tc>
          <w:tcPr>
            <w:tcW w:w="1013" w:type="dxa"/>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(86.1)</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cs="Calibri"/>
                <w:b/>
                <w:bCs/>
                <w:color w:val="000000"/>
                <w:szCs w:val="22"/>
                <w:lang w:eastAsia="en-AU"/>
              </w:rPr>
            </w:pPr>
            <w:r>
              <w:rPr>
                <w:rFonts w:eastAsiaTheme="minorEastAsia"/>
                <w:b/>
                <w:bCs/>
                <w:sz w:val="19"/>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1 735.7</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0.9</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b/>
                <w:bCs/>
                <w:sz w:val="19"/>
                <w:lang w:eastAsia="en-AU"/>
              </w:rPr>
            </w:pPr>
            <w:r w:rsidRPr="003E2DBE">
              <w:rPr>
                <w:rFonts w:eastAsiaTheme="minorEastAsia"/>
                <w:b/>
                <w:bCs/>
                <w:sz w:val="19"/>
                <w:lang w:eastAsia="en-AU"/>
              </w:rPr>
              <w:t>Liabilities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r>
      <w:tr w:rsidR="000B4A1E" w:rsidRPr="003E2DBE" w:rsidTr="00103F3E">
        <w:tc>
          <w:tcPr>
            <w:tcW w:w="2984" w:type="dxa"/>
            <w:tcBorders>
              <w:top w:val="nil"/>
              <w:left w:val="nil"/>
              <w:bottom w:val="nil"/>
              <w:right w:val="nil"/>
            </w:tcBorders>
            <w:shd w:val="solid" w:color="FFFFFF" w:fill="auto"/>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Deposits held and advances received</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431.0</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370.3</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449.0</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18.0</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4.2</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78.7</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21.2</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Payables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5 636.3</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5 446.8</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5 958.4</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322.1</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5.7</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511.7</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9.4</w:t>
            </w:r>
          </w:p>
        </w:tc>
      </w:tr>
      <w:tr w:rsidR="000B4A1E" w:rsidRPr="003E2DBE" w:rsidTr="00103F3E">
        <w:tc>
          <w:tcPr>
            <w:tcW w:w="2984" w:type="dxa"/>
            <w:tcBorders>
              <w:top w:val="nil"/>
              <w:left w:val="nil"/>
              <w:bottom w:val="nil"/>
              <w:right w:val="nil"/>
            </w:tcBorders>
            <w:shd w:val="solid" w:color="FFFFFF" w:fill="auto"/>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Borrowings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31 767.6</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31 458.6</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31 345.3</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(422.3)</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(1.3)</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(113.3)</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(0.4)</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Employee benefits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4 895.9</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5 219.8</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5 208.8</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312.9</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6.4</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(11.0)</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(0.2)</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Superannuation</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29 111.5</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28 867.5</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25 142.5</w:t>
            </w:r>
          </w:p>
        </w:tc>
        <w:tc>
          <w:tcPr>
            <w:tcW w:w="1013" w:type="dxa"/>
            <w:tcBorders>
              <w:top w:val="nil"/>
              <w:left w:val="nil"/>
              <w:bottom w:val="nil"/>
              <w:right w:val="nil"/>
            </w:tcBorders>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lang w:eastAsia="en-AU"/>
              </w:rPr>
              <w:t>(3 969.0</w:t>
            </w:r>
            <w:r w:rsidRPr="003E2DBE">
              <w:rPr>
                <w:rFonts w:eastAsiaTheme="minorEastAsia" w:cs="Calibri"/>
                <w:sz w:val="19"/>
                <w:szCs w:val="22"/>
                <w:lang w:eastAsia="en-AU"/>
              </w:rPr>
              <w:t>)</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(13.6)</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lang w:eastAsia="en-AU"/>
              </w:rPr>
              <w:t>(3 725.0</w:t>
            </w:r>
            <w:r w:rsidRPr="003E2DBE">
              <w:rPr>
                <w:rFonts w:eastAsiaTheme="minorEastAsia" w:cs="Calibri"/>
                <w:sz w:val="19"/>
                <w:szCs w:val="22"/>
                <w:lang w:eastAsia="en-AU"/>
              </w:rPr>
              <w:t>)</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(12.9)</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Other provisions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600.9</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586.7</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603.3</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2.4</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0.4</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16.6</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2.8</w:t>
            </w:r>
          </w:p>
        </w:tc>
      </w:tr>
      <w:tr w:rsidR="000B4A1E" w:rsidRPr="003E2DBE" w:rsidTr="00103F3E">
        <w:tc>
          <w:tcPr>
            <w:tcW w:w="298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19"/>
                <w:lang w:eastAsia="en-AU"/>
              </w:rPr>
            </w:pPr>
            <w:r w:rsidRPr="003E2DBE">
              <w:rPr>
                <w:rFonts w:eastAsiaTheme="minorEastAsia"/>
                <w:b/>
                <w:bCs/>
                <w:sz w:val="19"/>
                <w:lang w:eastAsia="en-AU"/>
              </w:rPr>
              <w:t>Total liabilities</w:t>
            </w:r>
          </w:p>
        </w:tc>
        <w:tc>
          <w:tcPr>
            <w:tcW w:w="1012" w:type="dxa"/>
            <w:gridSpan w:val="4"/>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72 443.2</w:t>
            </w:r>
          </w:p>
        </w:tc>
        <w:tc>
          <w:tcPr>
            <w:tcW w:w="101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71 949.7</w:t>
            </w:r>
          </w:p>
        </w:tc>
        <w:tc>
          <w:tcPr>
            <w:tcW w:w="1012"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68 707.4</w:t>
            </w:r>
          </w:p>
        </w:tc>
        <w:tc>
          <w:tcPr>
            <w:tcW w:w="101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szCs w:val="22"/>
                <w:lang w:eastAsia="en-AU"/>
              </w:rPr>
            </w:pPr>
            <w:r w:rsidRPr="003E2DBE">
              <w:rPr>
                <w:rFonts w:eastAsiaTheme="minorEastAsia"/>
                <w:b/>
                <w:bCs/>
                <w:sz w:val="19"/>
                <w:lang w:eastAsia="en-AU"/>
              </w:rPr>
              <w:t>(3 735.9</w:t>
            </w:r>
            <w:r w:rsidRPr="003E2DBE">
              <w:rPr>
                <w:rFonts w:eastAsiaTheme="minorEastAsia" w:cs="Calibri"/>
                <w:b/>
                <w:bCs/>
                <w:sz w:val="19"/>
                <w:szCs w:val="22"/>
                <w:lang w:eastAsia="en-AU"/>
              </w:rPr>
              <w:t>)</w:t>
            </w:r>
          </w:p>
        </w:tc>
        <w:tc>
          <w:tcPr>
            <w:tcW w:w="810"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(5.2)</w:t>
            </w:r>
          </w:p>
        </w:tc>
        <w:tc>
          <w:tcPr>
            <w:tcW w:w="9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19"/>
                <w:szCs w:val="22"/>
                <w:lang w:eastAsia="en-AU"/>
              </w:rPr>
            </w:pPr>
            <w:r w:rsidRPr="003E2DBE">
              <w:rPr>
                <w:rFonts w:eastAsiaTheme="minorEastAsia"/>
                <w:b/>
                <w:bCs/>
                <w:sz w:val="19"/>
                <w:lang w:eastAsia="en-AU"/>
              </w:rPr>
              <w:t>(3 242.4</w:t>
            </w:r>
            <w:r w:rsidRPr="003E2DBE">
              <w:rPr>
                <w:rFonts w:eastAsiaTheme="minorEastAsia" w:cs="Calibri"/>
                <w:b/>
                <w:bCs/>
                <w:sz w:val="19"/>
                <w:szCs w:val="22"/>
                <w:lang w:eastAsia="en-AU"/>
              </w:rPr>
              <w:t>)</w:t>
            </w:r>
          </w:p>
        </w:tc>
        <w:tc>
          <w:tcPr>
            <w:tcW w:w="819"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(4.5)</w:t>
            </w:r>
          </w:p>
        </w:tc>
      </w:tr>
      <w:tr w:rsidR="000B4A1E" w:rsidRPr="003E2DBE" w:rsidTr="00103F3E">
        <w:tc>
          <w:tcPr>
            <w:tcW w:w="298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19"/>
                <w:lang w:eastAsia="en-AU"/>
              </w:rPr>
            </w:pPr>
            <w:r w:rsidRPr="003E2DBE">
              <w:rPr>
                <w:rFonts w:eastAsiaTheme="minorEastAsia"/>
                <w:b/>
                <w:bCs/>
                <w:sz w:val="19"/>
                <w:lang w:eastAsia="en-AU"/>
              </w:rPr>
              <w:t>Net assets</w:t>
            </w:r>
          </w:p>
        </w:tc>
        <w:tc>
          <w:tcPr>
            <w:tcW w:w="1012" w:type="dxa"/>
            <w:gridSpan w:val="4"/>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116 307.4</w:t>
            </w:r>
          </w:p>
        </w:tc>
        <w:tc>
          <w:tcPr>
            <w:tcW w:w="101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114 979.1</w:t>
            </w:r>
          </w:p>
        </w:tc>
        <w:tc>
          <w:tcPr>
            <w:tcW w:w="1012"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119 957.2</w:t>
            </w:r>
          </w:p>
        </w:tc>
        <w:tc>
          <w:tcPr>
            <w:tcW w:w="101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3 649.8</w:t>
            </w:r>
          </w:p>
        </w:tc>
        <w:tc>
          <w:tcPr>
            <w:tcW w:w="810"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3.1</w:t>
            </w:r>
          </w:p>
        </w:tc>
        <w:tc>
          <w:tcPr>
            <w:tcW w:w="9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4 978.1</w:t>
            </w:r>
          </w:p>
        </w:tc>
        <w:tc>
          <w:tcPr>
            <w:tcW w:w="819"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4.3</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Accumulated surplus/(deficit)</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38 101.4</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37 920.9</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43 174.7</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5 073.3</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13.3</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5 253.8</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13.9</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Reserves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78 157.5</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77 008.2</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76 732.5</w:t>
            </w:r>
          </w:p>
        </w:tc>
        <w:tc>
          <w:tcPr>
            <w:tcW w:w="1013" w:type="dxa"/>
            <w:tcBorders>
              <w:top w:val="nil"/>
              <w:left w:val="nil"/>
              <w:bottom w:val="nil"/>
              <w:right w:val="nil"/>
            </w:tcBorders>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lang w:eastAsia="en-AU"/>
              </w:rPr>
              <w:t>(1 425.0</w:t>
            </w:r>
            <w:r w:rsidRPr="003E2DBE">
              <w:rPr>
                <w:rFonts w:eastAsiaTheme="minorEastAsia" w:cs="Calibri"/>
                <w:sz w:val="19"/>
                <w:szCs w:val="22"/>
                <w:lang w:eastAsia="en-AU"/>
              </w:rPr>
              <w:t>)</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(1.8)</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(275.7)</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(0.4)</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Non-controlling interest</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48.5</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50.0</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50.0</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1.5</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3.1</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w:t>
            </w:r>
          </w:p>
        </w:tc>
      </w:tr>
      <w:tr w:rsidR="000B4A1E" w:rsidRPr="003E2DBE" w:rsidTr="00103F3E">
        <w:tc>
          <w:tcPr>
            <w:tcW w:w="298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sz w:val="19"/>
                <w:lang w:eastAsia="en-AU"/>
              </w:rPr>
            </w:pPr>
            <w:r w:rsidRPr="003E2DBE">
              <w:rPr>
                <w:rFonts w:eastAsiaTheme="minorEastAsia"/>
                <w:b/>
                <w:bCs/>
                <w:sz w:val="19"/>
                <w:lang w:eastAsia="en-AU"/>
              </w:rPr>
              <w:t>Net worth</w:t>
            </w:r>
          </w:p>
        </w:tc>
        <w:tc>
          <w:tcPr>
            <w:tcW w:w="1012" w:type="dxa"/>
            <w:gridSpan w:val="4"/>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116 307.4</w:t>
            </w:r>
          </w:p>
        </w:tc>
        <w:tc>
          <w:tcPr>
            <w:tcW w:w="101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114 979.1</w:t>
            </w:r>
          </w:p>
        </w:tc>
        <w:tc>
          <w:tcPr>
            <w:tcW w:w="1012"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119 957.2</w:t>
            </w:r>
          </w:p>
        </w:tc>
        <w:tc>
          <w:tcPr>
            <w:tcW w:w="101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3 649.8</w:t>
            </w:r>
          </w:p>
        </w:tc>
        <w:tc>
          <w:tcPr>
            <w:tcW w:w="810"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3.1</w:t>
            </w:r>
          </w:p>
        </w:tc>
        <w:tc>
          <w:tcPr>
            <w:tcW w:w="99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4 978.1</w:t>
            </w:r>
          </w:p>
        </w:tc>
        <w:tc>
          <w:tcPr>
            <w:tcW w:w="819"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4.3</w:t>
            </w:r>
          </w:p>
        </w:tc>
      </w:tr>
      <w:tr w:rsidR="000B4A1E" w:rsidRPr="003E2DBE" w:rsidTr="00103F3E">
        <w:trPr>
          <w:cantSplit/>
          <w:trHeight w:hRule="exact" w:val="80"/>
        </w:trPr>
        <w:tc>
          <w:tcPr>
            <w:tcW w:w="2984" w:type="dxa"/>
            <w:tcBorders>
              <w:top w:val="nil"/>
              <w:left w:val="nil"/>
              <w:bottom w:val="nil"/>
              <w:right w:val="nil"/>
            </w:tcBorders>
          </w:tcPr>
          <w:p w:rsidR="000B4A1E" w:rsidRPr="003E2DBE" w:rsidRDefault="000B4A1E" w:rsidP="00517E51">
            <w:pPr>
              <w:pStyle w:val="Tabletext"/>
              <w:rPr>
                <w:rFonts w:eastAsiaTheme="minorEastAsia"/>
                <w:b/>
                <w:bCs/>
                <w:sz w:val="19"/>
                <w:lang w:eastAsia="en-AU"/>
              </w:rPr>
            </w:pPr>
            <w:r w:rsidRPr="003E2DBE">
              <w:rPr>
                <w:rFonts w:eastAsiaTheme="minorEastAsia"/>
                <w:b/>
                <w:bCs/>
                <w:sz w:val="19"/>
                <w:lang w:eastAsia="en-AU"/>
              </w:rPr>
              <w:t xml:space="preserve">   </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w:t>
            </w:r>
          </w:p>
        </w:tc>
        <w:tc>
          <w:tcPr>
            <w:tcW w:w="1013" w:type="dxa"/>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w:t>
            </w:r>
          </w:p>
        </w:tc>
        <w:tc>
          <w:tcPr>
            <w:tcW w:w="1012" w:type="dxa"/>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w:t>
            </w:r>
          </w:p>
        </w:tc>
        <w:tc>
          <w:tcPr>
            <w:tcW w:w="1013" w:type="dxa"/>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b/>
                <w:bCs/>
                <w:sz w:val="19"/>
                <w:lang w:eastAsia="en-AU"/>
              </w:rPr>
            </w:pPr>
            <w:r w:rsidRPr="003E2DBE">
              <w:rPr>
                <w:rFonts w:eastAsiaTheme="minorEastAsia"/>
                <w:b/>
                <w:bCs/>
                <w:sz w:val="19"/>
                <w:lang w:eastAsia="en-AU"/>
              </w:rPr>
              <w:t>FISCAL AGGREGATES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b/>
                <w:bCs/>
                <w:sz w:val="19"/>
                <w:lang w:eastAsia="en-AU"/>
              </w:rPr>
            </w:pPr>
            <w:r w:rsidRPr="003E2DBE">
              <w:rPr>
                <w:rFonts w:eastAsiaTheme="minorEastAsia"/>
                <w:b/>
                <w:bCs/>
                <w:sz w:val="19"/>
                <w:lang w:eastAsia="en-AU"/>
              </w:rPr>
              <w:t xml:space="preserve">  </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 xml:space="preserve">Net financial worth </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12 855.8</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13 916.2</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17 864.7</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5 008.9</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39.0</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3 948.6</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 xml:space="preserve"> 28.4</w:t>
            </w:r>
          </w:p>
        </w:tc>
      </w:tr>
      <w:tr w:rsidR="000B4A1E" w:rsidRPr="003E2DBE" w:rsidTr="00103F3E">
        <w:tc>
          <w:tcPr>
            <w:tcW w:w="2984" w:type="dxa"/>
            <w:tcBorders>
              <w:top w:val="nil"/>
              <w:left w:val="nil"/>
              <w:bottom w:val="nil"/>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Net financial liabilities</w:t>
            </w:r>
          </w:p>
        </w:tc>
        <w:tc>
          <w:tcPr>
            <w:tcW w:w="1012" w:type="dxa"/>
            <w:gridSpan w:val="4"/>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56 435.5</w:t>
            </w:r>
          </w:p>
        </w:tc>
        <w:tc>
          <w:tcPr>
            <w:tcW w:w="1013"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55 835.9</w:t>
            </w:r>
          </w:p>
        </w:tc>
        <w:tc>
          <w:tcPr>
            <w:tcW w:w="1012" w:type="dxa"/>
            <w:tcBorders>
              <w:top w:val="nil"/>
              <w:left w:val="nil"/>
              <w:bottom w:val="nil"/>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51 624.7</w:t>
            </w:r>
          </w:p>
        </w:tc>
        <w:tc>
          <w:tcPr>
            <w:tcW w:w="1013" w:type="dxa"/>
            <w:tcBorders>
              <w:top w:val="nil"/>
              <w:left w:val="nil"/>
              <w:bottom w:val="nil"/>
              <w:right w:val="nil"/>
            </w:tcBorders>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lang w:eastAsia="en-AU"/>
              </w:rPr>
              <w:t>(4 810.7</w:t>
            </w:r>
            <w:r w:rsidRPr="003E2DBE">
              <w:rPr>
                <w:rFonts w:eastAsiaTheme="minorEastAsia" w:cs="Calibri"/>
                <w:sz w:val="19"/>
                <w:szCs w:val="22"/>
                <w:lang w:eastAsia="en-AU"/>
              </w:rPr>
              <w:t>)</w:t>
            </w:r>
          </w:p>
        </w:tc>
        <w:tc>
          <w:tcPr>
            <w:tcW w:w="810" w:type="dxa"/>
            <w:gridSpan w:val="3"/>
            <w:tcBorders>
              <w:top w:val="nil"/>
              <w:left w:val="nil"/>
              <w:bottom w:val="nil"/>
              <w:right w:val="nil"/>
            </w:tcBorders>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lang w:eastAsia="en-AU"/>
              </w:rPr>
              <w:t>(8.5)</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lang w:eastAsia="en-AU"/>
              </w:rPr>
              <w:t>(4 211.1</w:t>
            </w:r>
            <w:r w:rsidRPr="003E2DBE">
              <w:rPr>
                <w:rFonts w:eastAsiaTheme="minorEastAsia" w:cs="Calibri"/>
                <w:sz w:val="19"/>
                <w:szCs w:val="22"/>
                <w:lang w:eastAsia="en-AU"/>
              </w:rPr>
              <w:t>)</w:t>
            </w:r>
          </w:p>
        </w:tc>
        <w:tc>
          <w:tcPr>
            <w:tcW w:w="819" w:type="dxa"/>
            <w:gridSpan w:val="2"/>
            <w:tcBorders>
              <w:top w:val="nil"/>
              <w:left w:val="nil"/>
              <w:bottom w:val="nil"/>
              <w:right w:val="nil"/>
            </w:tcBorders>
          </w:tcPr>
          <w:p w:rsidR="000B4A1E" w:rsidRPr="003E2DBE" w:rsidRDefault="000B4A1E" w:rsidP="00517E51">
            <w:pPr>
              <w:pStyle w:val="TableofFigures"/>
              <w:rPr>
                <w:rFonts w:eastAsiaTheme="minorEastAsia" w:cs="Calibri"/>
                <w:sz w:val="19"/>
                <w:szCs w:val="22"/>
                <w:lang w:eastAsia="en-AU"/>
              </w:rPr>
            </w:pPr>
            <w:r w:rsidRPr="003E2DBE">
              <w:rPr>
                <w:rFonts w:eastAsiaTheme="minorEastAsia"/>
                <w:sz w:val="19"/>
                <w:lang w:eastAsia="en-AU"/>
              </w:rPr>
              <w:t>(7.5)</w:t>
            </w:r>
          </w:p>
        </w:tc>
      </w:tr>
      <w:tr w:rsidR="000B4A1E" w:rsidRPr="003E2DBE" w:rsidTr="00103F3E">
        <w:tc>
          <w:tcPr>
            <w:tcW w:w="2984" w:type="dxa"/>
            <w:tcBorders>
              <w:top w:val="nil"/>
              <w:left w:val="nil"/>
              <w:bottom w:val="single" w:sz="12" w:space="0" w:color="auto"/>
              <w:right w:val="nil"/>
            </w:tcBorders>
          </w:tcPr>
          <w:p w:rsidR="000B4A1E" w:rsidRPr="003E2DBE" w:rsidRDefault="000B4A1E" w:rsidP="00517E51">
            <w:pPr>
              <w:pStyle w:val="Tabletext"/>
              <w:rPr>
                <w:rFonts w:eastAsiaTheme="minorEastAsia"/>
                <w:sz w:val="19"/>
                <w:lang w:eastAsia="en-AU"/>
              </w:rPr>
            </w:pPr>
            <w:r w:rsidRPr="003E2DBE">
              <w:rPr>
                <w:rFonts w:eastAsiaTheme="minorEastAsia"/>
                <w:sz w:val="19"/>
                <w:lang w:eastAsia="en-AU"/>
              </w:rPr>
              <w:t>Net debt</w:t>
            </w:r>
          </w:p>
        </w:tc>
        <w:tc>
          <w:tcPr>
            <w:tcW w:w="1012" w:type="dxa"/>
            <w:gridSpan w:val="4"/>
            <w:tcBorders>
              <w:top w:val="nil"/>
              <w:left w:val="nil"/>
              <w:bottom w:val="single" w:sz="12" w:space="0" w:color="auto"/>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20 705.5</w:t>
            </w:r>
          </w:p>
        </w:tc>
        <w:tc>
          <w:tcPr>
            <w:tcW w:w="1013" w:type="dxa"/>
            <w:tcBorders>
              <w:top w:val="nil"/>
              <w:left w:val="nil"/>
              <w:bottom w:val="single" w:sz="12" w:space="0" w:color="auto"/>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19 840.4</w:t>
            </w:r>
          </w:p>
        </w:tc>
        <w:tc>
          <w:tcPr>
            <w:tcW w:w="1012" w:type="dxa"/>
            <w:tcBorders>
              <w:top w:val="nil"/>
              <w:left w:val="nil"/>
              <w:bottom w:val="single" w:sz="12" w:space="0" w:color="auto"/>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19 822.1</w:t>
            </w:r>
          </w:p>
        </w:tc>
        <w:tc>
          <w:tcPr>
            <w:tcW w:w="1013" w:type="dxa"/>
            <w:tcBorders>
              <w:top w:val="nil"/>
              <w:left w:val="nil"/>
              <w:bottom w:val="single" w:sz="12" w:space="0" w:color="auto"/>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(883.4)</w:t>
            </w:r>
          </w:p>
        </w:tc>
        <w:tc>
          <w:tcPr>
            <w:tcW w:w="810" w:type="dxa"/>
            <w:gridSpan w:val="3"/>
            <w:tcBorders>
              <w:top w:val="nil"/>
              <w:left w:val="nil"/>
              <w:bottom w:val="single" w:sz="12" w:space="0" w:color="auto"/>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(4.3)</w:t>
            </w:r>
          </w:p>
        </w:tc>
        <w:tc>
          <w:tcPr>
            <w:tcW w:w="990"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(18.3)</w:t>
            </w:r>
          </w:p>
        </w:tc>
        <w:tc>
          <w:tcPr>
            <w:tcW w:w="819"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sz w:val="19"/>
                <w:lang w:eastAsia="en-AU"/>
              </w:rPr>
            </w:pPr>
            <w:r w:rsidRPr="003E2DBE">
              <w:rPr>
                <w:rFonts w:eastAsiaTheme="minorEastAsia"/>
                <w:sz w:val="19"/>
                <w:lang w:eastAsia="en-AU"/>
              </w:rPr>
              <w:t>(0.1)</w:t>
            </w:r>
          </w:p>
        </w:tc>
      </w:tr>
    </w:tbl>
    <w:p w:rsidR="000B4A1E" w:rsidRPr="00D00665" w:rsidRDefault="000B4A1E" w:rsidP="00517E51">
      <w:pPr>
        <w:pStyle w:val="Source"/>
        <w:spacing w:after="0"/>
      </w:pPr>
    </w:p>
    <w:p w:rsidR="000B4A1E" w:rsidRPr="00D00665" w:rsidRDefault="000B4A1E" w:rsidP="00517E51">
      <w:pPr>
        <w:pStyle w:val="Tableheading"/>
      </w:pPr>
      <w:r w:rsidRPr="00D00665">
        <w:t>Net financial worth</w:t>
      </w:r>
    </w:p>
    <w:p w:rsidR="000B4A1E" w:rsidRPr="00D00665" w:rsidRDefault="000B4A1E" w:rsidP="00517E51">
      <w:r w:rsidRPr="00D00665">
        <w:t>Net financial worth is total financial assets less total liabilities. Net financial worth was $5.0</w:t>
      </w:r>
      <w:r>
        <w:t> billion</w:t>
      </w:r>
      <w:r w:rsidRPr="00D00665">
        <w:t xml:space="preserve"> higher than the original budget, primarily driven by lower liabilities as explained below under net financial liabilities.</w:t>
      </w:r>
    </w:p>
    <w:p w:rsidR="000B4A1E" w:rsidRPr="00D00665" w:rsidRDefault="000B4A1E" w:rsidP="00517E51">
      <w:pPr>
        <w:pStyle w:val="Tableheading"/>
      </w:pPr>
      <w:r w:rsidRPr="00D00665">
        <w:t>Net financial liabilities</w:t>
      </w:r>
    </w:p>
    <w:p w:rsidR="000B4A1E" w:rsidRPr="00D00665" w:rsidRDefault="000B4A1E" w:rsidP="00517E51">
      <w:r w:rsidRPr="00D00665">
        <w:t>Net financial liabilities are total liabilities less all financial assets (excluding investments in other sectors). Net financial liabilities were $4.8</w:t>
      </w:r>
      <w:r>
        <w:t> billion</w:t>
      </w:r>
      <w:r w:rsidRPr="00D00665">
        <w:t xml:space="preserve"> lower than the original budget. </w:t>
      </w:r>
    </w:p>
    <w:p w:rsidR="000B4A1E" w:rsidRPr="00D00665" w:rsidRDefault="000B4A1E" w:rsidP="00517E51">
      <w:r w:rsidRPr="00D00665">
        <w:t xml:space="preserve">The decrease in net financial liabilities during the year was driven by a lower superannuation liability due to favourable bond movements, better than expected investment returns and changes to actuarial assumptions. </w:t>
      </w:r>
    </w:p>
    <w:p w:rsidR="000B4A1E" w:rsidRPr="0051380F" w:rsidRDefault="000B4A1E" w:rsidP="00517E51">
      <w:pPr>
        <w:pStyle w:val="Heading2Notes"/>
        <w:rPr>
          <w:i/>
        </w:rPr>
      </w:pPr>
      <w:r w:rsidRPr="00D00665">
        <w:lastRenderedPageBreak/>
        <w:t>Note 31:</w:t>
      </w:r>
      <w:r w:rsidRPr="00D00665">
        <w:tab/>
        <w:t>Explanations of material variances between budget and actual outcomes</w:t>
      </w:r>
      <w:r>
        <w:t xml:space="preserve"> </w:t>
      </w:r>
      <w:r>
        <w:rPr>
          <w:i/>
        </w:rPr>
        <w:t>(continued)</w:t>
      </w:r>
    </w:p>
    <w:p w:rsidR="000B4A1E" w:rsidRPr="00D00665" w:rsidRDefault="000B4A1E" w:rsidP="00517E51">
      <w:pPr>
        <w:pStyle w:val="Tableheading"/>
      </w:pPr>
      <w:r w:rsidRPr="00D00665">
        <w:t>Net debt</w:t>
      </w:r>
    </w:p>
    <w:p w:rsidR="000B4A1E" w:rsidRDefault="000B4A1E" w:rsidP="00517E51">
      <w:r w:rsidRPr="00D00665">
        <w:t>Net debt is $883</w:t>
      </w:r>
      <w:r>
        <w:t> million</w:t>
      </w:r>
      <w:r w:rsidRPr="00D00665">
        <w:t xml:space="preserve"> lower when compared to the original budget estimate. This was due to higher than expected net result from transactions and lower than estimated capital expenditure since the original budget was published. </w:t>
      </w:r>
    </w:p>
    <w:p w:rsidR="000B4A1E" w:rsidRPr="00D00665" w:rsidRDefault="000B4A1E" w:rsidP="00517E51">
      <w:pPr>
        <w:rPr>
          <w:b/>
        </w:rPr>
      </w:pPr>
    </w:p>
    <w:p w:rsidR="000B4A1E" w:rsidRPr="00D00665" w:rsidRDefault="000B4A1E" w:rsidP="00517E51">
      <w:pPr>
        <w:pStyle w:val="Heading5"/>
      </w:pPr>
      <w:r w:rsidRPr="00D00665">
        <w:t>(c)</w:t>
      </w:r>
      <w:r w:rsidRPr="00D00665">
        <w:tab/>
        <w:t>Consolidated cash flow statement</w:t>
      </w:r>
    </w:p>
    <w:p w:rsidR="000B4A1E" w:rsidRPr="003E2DBE" w:rsidRDefault="000B4A1E" w:rsidP="00517E51">
      <w:pPr>
        <w:pStyle w:val="million"/>
      </w:pPr>
      <w:r w:rsidRPr="00D00665">
        <w:t>($</w:t>
      </w:r>
      <w:r>
        <w:t> million</w:t>
      </w:r>
      <w:r w:rsidRPr="00D00665">
        <w:t>)</w:t>
      </w:r>
      <w:bookmarkStart w:id="93" w:name="RANGE!B6:J42"/>
    </w:p>
    <w:tbl>
      <w:tblPr>
        <w:tblW w:w="9716" w:type="dxa"/>
        <w:tblInd w:w="29" w:type="dxa"/>
        <w:tblCellMar>
          <w:left w:w="43" w:type="dxa"/>
          <w:right w:w="43" w:type="dxa"/>
        </w:tblCellMar>
        <w:tblLook w:val="04A0" w:firstRow="1" w:lastRow="0" w:firstColumn="1" w:lastColumn="0" w:noHBand="0" w:noVBand="1"/>
      </w:tblPr>
      <w:tblGrid>
        <w:gridCol w:w="3524"/>
        <w:gridCol w:w="93"/>
        <w:gridCol w:w="107"/>
        <w:gridCol w:w="824"/>
        <w:gridCol w:w="931"/>
        <w:gridCol w:w="972"/>
        <w:gridCol w:w="839"/>
        <w:gridCol w:w="498"/>
        <w:gridCol w:w="107"/>
        <w:gridCol w:w="106"/>
        <w:gridCol w:w="158"/>
        <w:gridCol w:w="709"/>
        <w:gridCol w:w="741"/>
        <w:gridCol w:w="107"/>
      </w:tblGrid>
      <w:tr w:rsidR="000B4A1E" w:rsidRPr="003E2DBE" w:rsidTr="00517E51">
        <w:trPr>
          <w:divId w:val="268008857"/>
        </w:trPr>
        <w:tc>
          <w:tcPr>
            <w:tcW w:w="3524"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sz w:val="19"/>
                <w:szCs w:val="21"/>
                <w:lang w:eastAsia="en-AU"/>
              </w:rPr>
            </w:pPr>
            <w:r w:rsidRPr="003E2DBE">
              <w:rPr>
                <w:sz w:val="19"/>
                <w:szCs w:val="21"/>
                <w:lang w:eastAsia="en-AU"/>
              </w:rPr>
              <w:t xml:space="preserve"> </w:t>
            </w:r>
          </w:p>
        </w:tc>
        <w:tc>
          <w:tcPr>
            <w:tcW w:w="93"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Centred"/>
              <w:rPr>
                <w:sz w:val="19"/>
                <w:szCs w:val="21"/>
                <w:lang w:eastAsia="en-AU"/>
              </w:rPr>
            </w:pPr>
            <w:r w:rsidRPr="003E2DBE">
              <w:rPr>
                <w:sz w:val="19"/>
                <w:szCs w:val="21"/>
                <w:lang w:eastAsia="en-AU"/>
              </w:rPr>
              <w:t xml:space="preserve"> </w:t>
            </w:r>
          </w:p>
        </w:tc>
        <w:tc>
          <w:tcPr>
            <w:tcW w:w="107"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sz w:val="19"/>
                <w:szCs w:val="21"/>
                <w:lang w:eastAsia="en-AU"/>
              </w:rPr>
            </w:pPr>
            <w:r w:rsidRPr="003E2DBE">
              <w:rPr>
                <w:sz w:val="19"/>
                <w:szCs w:val="21"/>
                <w:lang w:eastAsia="en-AU"/>
              </w:rPr>
              <w:t xml:space="preserve"> </w:t>
            </w:r>
          </w:p>
        </w:tc>
        <w:tc>
          <w:tcPr>
            <w:tcW w:w="4064" w:type="dxa"/>
            <w:gridSpan w:val="5"/>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rFonts w:cs="Calibri"/>
                <w:iCs/>
                <w:sz w:val="19"/>
                <w:szCs w:val="21"/>
                <w:lang w:eastAsia="en-AU"/>
              </w:rPr>
            </w:pPr>
            <w:r w:rsidRPr="003E2DBE">
              <w:rPr>
                <w:sz w:val="19"/>
                <w:szCs w:val="21"/>
                <w:lang w:eastAsia="en-AU"/>
              </w:rPr>
              <w:t xml:space="preserve">General government sector  </w:t>
            </w:r>
          </w:p>
        </w:tc>
        <w:tc>
          <w:tcPr>
            <w:tcW w:w="107" w:type="dxa"/>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sz w:val="19"/>
                <w:szCs w:val="21"/>
                <w:lang w:eastAsia="en-AU"/>
              </w:rPr>
            </w:pPr>
            <w:r w:rsidRPr="003E2DBE">
              <w:rPr>
                <w:sz w:val="19"/>
                <w:szCs w:val="21"/>
                <w:lang w:eastAsia="en-AU"/>
              </w:rPr>
              <w:t xml:space="preserve"> </w:t>
            </w:r>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sz w:val="19"/>
                <w:szCs w:val="21"/>
                <w:lang w:eastAsia="en-AU"/>
              </w:rPr>
            </w:pPr>
            <w:r w:rsidRPr="003E2DBE">
              <w:rPr>
                <w:sz w:val="19"/>
                <w:szCs w:val="21"/>
                <w:lang w:eastAsia="en-AU"/>
              </w:rPr>
              <w:t xml:space="preserve"> </w:t>
            </w:r>
          </w:p>
        </w:tc>
        <w:tc>
          <w:tcPr>
            <w:tcW w:w="158" w:type="dxa"/>
            <w:tcBorders>
              <w:top w:val="single" w:sz="4" w:space="0" w:color="auto"/>
              <w:left w:val="nil"/>
              <w:bottom w:val="nil"/>
              <w:right w:val="nil"/>
            </w:tcBorders>
            <w:shd w:val="clear" w:color="auto" w:fill="000000"/>
            <w:hideMark/>
          </w:tcPr>
          <w:p w:rsidR="000B4A1E" w:rsidRPr="003E2DBE" w:rsidRDefault="000B4A1E" w:rsidP="00517E51">
            <w:pPr>
              <w:pStyle w:val="Tabletextheading"/>
              <w:rPr>
                <w:sz w:val="19"/>
                <w:szCs w:val="21"/>
                <w:lang w:eastAsia="en-AU"/>
              </w:rPr>
            </w:pPr>
            <w:r w:rsidRPr="003E2DBE">
              <w:rPr>
                <w:sz w:val="19"/>
                <w:szCs w:val="21"/>
                <w:lang w:eastAsia="en-AU"/>
              </w:rPr>
              <w:t xml:space="preserve"> </w:t>
            </w:r>
          </w:p>
        </w:tc>
        <w:tc>
          <w:tcPr>
            <w:tcW w:w="1450"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caps/>
                <w:sz w:val="19"/>
                <w:lang w:eastAsia="en-AU"/>
              </w:rPr>
            </w:pPr>
            <w:r w:rsidRPr="003E2DBE">
              <w:rPr>
                <w:sz w:val="19"/>
                <w:lang w:eastAsia="en-AU"/>
              </w:rPr>
              <w:t>Revised</w:t>
            </w:r>
          </w:p>
        </w:tc>
        <w:tc>
          <w:tcPr>
            <w:tcW w:w="107" w:type="dxa"/>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caps/>
                <w:sz w:val="19"/>
                <w:lang w:eastAsia="en-AU"/>
              </w:rPr>
            </w:pPr>
            <w:r w:rsidRPr="003E2DBE">
              <w:rPr>
                <w:sz w:val="19"/>
                <w:lang w:eastAsia="en-AU"/>
              </w:rPr>
              <w:t xml:space="preserve"> </w:t>
            </w:r>
          </w:p>
        </w:tc>
      </w:tr>
      <w:tr w:rsidR="000B4A1E" w:rsidRPr="003E2DBE" w:rsidTr="00517E51">
        <w:trPr>
          <w:divId w:val="268008857"/>
        </w:trPr>
        <w:tc>
          <w:tcPr>
            <w:tcW w:w="3524"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sz w:val="19"/>
                <w:szCs w:val="21"/>
                <w:lang w:eastAsia="en-AU"/>
              </w:rPr>
            </w:pPr>
            <w:r w:rsidRPr="003E2DBE">
              <w:rPr>
                <w:sz w:val="19"/>
                <w:szCs w:val="21"/>
                <w:lang w:eastAsia="en-AU"/>
              </w:rPr>
              <w:t xml:space="preserve"> </w:t>
            </w:r>
          </w:p>
        </w:tc>
        <w:tc>
          <w:tcPr>
            <w:tcW w:w="93" w:type="dxa"/>
            <w:tcBorders>
              <w:top w:val="nil"/>
              <w:left w:val="nil"/>
              <w:bottom w:val="single" w:sz="4" w:space="0" w:color="auto"/>
              <w:right w:val="nil"/>
            </w:tcBorders>
            <w:shd w:val="clear" w:color="auto" w:fill="000000"/>
            <w:vAlign w:val="bottom"/>
            <w:hideMark/>
          </w:tcPr>
          <w:p w:rsidR="000B4A1E" w:rsidRPr="003E2DBE" w:rsidRDefault="000B4A1E" w:rsidP="00517E51">
            <w:pPr>
              <w:pStyle w:val="TabletextheadingCentred"/>
              <w:rPr>
                <w:rFonts w:cs="Calibri"/>
                <w:iCs/>
                <w:sz w:val="19"/>
                <w:szCs w:val="22"/>
                <w:lang w:eastAsia="en-AU"/>
              </w:rPr>
            </w:pPr>
            <w:r w:rsidRPr="003E2DBE">
              <w:rPr>
                <w:rFonts w:cs="Calibri"/>
                <w:iCs/>
                <w:sz w:val="19"/>
                <w:szCs w:val="22"/>
                <w:lang w:eastAsia="en-AU"/>
              </w:rPr>
              <w:t xml:space="preserve"> </w:t>
            </w:r>
          </w:p>
        </w:tc>
        <w:tc>
          <w:tcPr>
            <w:tcW w:w="931" w:type="dxa"/>
            <w:gridSpan w:val="2"/>
            <w:tcBorders>
              <w:top w:val="nil"/>
              <w:left w:val="nil"/>
              <w:bottom w:val="single" w:sz="4" w:space="0" w:color="auto"/>
              <w:right w:val="nil"/>
            </w:tcBorders>
            <w:shd w:val="clear" w:color="auto" w:fill="000000"/>
            <w:vAlign w:val="bottom"/>
            <w:hideMark/>
          </w:tcPr>
          <w:p w:rsidR="000B4A1E" w:rsidRPr="003E2DBE" w:rsidRDefault="000B4A1E" w:rsidP="00517E51">
            <w:pPr>
              <w:pStyle w:val="Tabletextheading"/>
              <w:rPr>
                <w:sz w:val="19"/>
                <w:szCs w:val="21"/>
                <w:lang w:eastAsia="en-AU"/>
              </w:rPr>
            </w:pPr>
            <w:r w:rsidRPr="003E2DBE">
              <w:rPr>
                <w:sz w:val="19"/>
                <w:szCs w:val="21"/>
                <w:lang w:eastAsia="en-AU"/>
              </w:rPr>
              <w:t>Original budget</w:t>
            </w:r>
          </w:p>
        </w:tc>
        <w:tc>
          <w:tcPr>
            <w:tcW w:w="931" w:type="dxa"/>
            <w:tcBorders>
              <w:top w:val="nil"/>
              <w:left w:val="nil"/>
              <w:bottom w:val="single" w:sz="4" w:space="0" w:color="auto"/>
              <w:right w:val="nil"/>
            </w:tcBorders>
            <w:shd w:val="clear" w:color="auto" w:fill="000000"/>
            <w:vAlign w:val="bottom"/>
            <w:hideMark/>
          </w:tcPr>
          <w:p w:rsidR="000B4A1E" w:rsidRPr="003E2DBE" w:rsidRDefault="000B4A1E" w:rsidP="00517E51">
            <w:pPr>
              <w:pStyle w:val="Tabletextheading"/>
              <w:rPr>
                <w:sz w:val="19"/>
                <w:szCs w:val="21"/>
                <w:lang w:eastAsia="en-AU"/>
              </w:rPr>
            </w:pPr>
            <w:r w:rsidRPr="003E2DBE">
              <w:rPr>
                <w:sz w:val="19"/>
                <w:szCs w:val="21"/>
                <w:lang w:eastAsia="en-AU"/>
              </w:rPr>
              <w:t>Revised budget</w:t>
            </w:r>
          </w:p>
        </w:tc>
        <w:tc>
          <w:tcPr>
            <w:tcW w:w="972" w:type="dxa"/>
            <w:tcBorders>
              <w:top w:val="nil"/>
              <w:left w:val="nil"/>
              <w:bottom w:val="single" w:sz="4" w:space="0" w:color="auto"/>
              <w:right w:val="nil"/>
            </w:tcBorders>
            <w:shd w:val="clear" w:color="auto" w:fill="000000"/>
            <w:vAlign w:val="bottom"/>
            <w:hideMark/>
          </w:tcPr>
          <w:p w:rsidR="000B4A1E" w:rsidRPr="003E2DBE" w:rsidRDefault="000B4A1E" w:rsidP="00517E51">
            <w:pPr>
              <w:pStyle w:val="Tabletextheading"/>
              <w:rPr>
                <w:sz w:val="19"/>
                <w:szCs w:val="21"/>
                <w:lang w:eastAsia="en-AU"/>
              </w:rPr>
            </w:pPr>
            <w:r w:rsidRPr="003E2DBE">
              <w:rPr>
                <w:sz w:val="19"/>
                <w:szCs w:val="21"/>
                <w:lang w:eastAsia="en-AU"/>
              </w:rPr>
              <w:t>2013  Actual</w:t>
            </w:r>
          </w:p>
        </w:tc>
        <w:tc>
          <w:tcPr>
            <w:tcW w:w="839" w:type="dxa"/>
            <w:tcBorders>
              <w:top w:val="nil"/>
              <w:left w:val="nil"/>
              <w:bottom w:val="single" w:sz="4" w:space="0" w:color="auto"/>
              <w:right w:val="nil"/>
            </w:tcBorders>
            <w:shd w:val="clear" w:color="auto" w:fill="000000"/>
            <w:vAlign w:val="bottom"/>
            <w:hideMark/>
          </w:tcPr>
          <w:p w:rsidR="000B4A1E" w:rsidRPr="003E2DBE" w:rsidRDefault="000B4A1E" w:rsidP="00517E51">
            <w:pPr>
              <w:pStyle w:val="Tabletextheading"/>
              <w:rPr>
                <w:sz w:val="19"/>
                <w:szCs w:val="21"/>
                <w:lang w:eastAsia="en-AU"/>
              </w:rPr>
            </w:pPr>
            <w:r w:rsidRPr="003E2DBE">
              <w:rPr>
                <w:sz w:val="19"/>
                <w:szCs w:val="21"/>
                <w:lang w:eastAsia="en-AU"/>
              </w:rPr>
              <w:t>Budget variance</w:t>
            </w:r>
          </w:p>
        </w:tc>
        <w:tc>
          <w:tcPr>
            <w:tcW w:w="711" w:type="dxa"/>
            <w:gridSpan w:val="3"/>
            <w:tcBorders>
              <w:top w:val="nil"/>
              <w:left w:val="nil"/>
              <w:bottom w:val="single" w:sz="4" w:space="0" w:color="auto"/>
              <w:right w:val="nil"/>
            </w:tcBorders>
            <w:shd w:val="clear" w:color="auto" w:fill="000000"/>
            <w:vAlign w:val="bottom"/>
            <w:hideMark/>
          </w:tcPr>
          <w:p w:rsidR="000B4A1E" w:rsidRPr="003E2DBE" w:rsidRDefault="000B4A1E" w:rsidP="00517E51">
            <w:pPr>
              <w:pStyle w:val="Tabletextheading"/>
              <w:rPr>
                <w:sz w:val="19"/>
                <w:szCs w:val="21"/>
                <w:lang w:eastAsia="en-AU"/>
              </w:rPr>
            </w:pPr>
            <w:r w:rsidRPr="003E2DBE">
              <w:rPr>
                <w:sz w:val="19"/>
                <w:szCs w:val="21"/>
                <w:lang w:eastAsia="en-AU"/>
              </w:rPr>
              <w:br/>
              <w:t>%</w:t>
            </w:r>
          </w:p>
        </w:tc>
        <w:tc>
          <w:tcPr>
            <w:tcW w:w="867" w:type="dxa"/>
            <w:gridSpan w:val="2"/>
            <w:tcBorders>
              <w:top w:val="nil"/>
              <w:left w:val="nil"/>
              <w:bottom w:val="single" w:sz="4" w:space="0" w:color="auto"/>
              <w:right w:val="nil"/>
            </w:tcBorders>
            <w:shd w:val="clear" w:color="auto" w:fill="000000"/>
            <w:vAlign w:val="bottom"/>
            <w:hideMark/>
          </w:tcPr>
          <w:p w:rsidR="000B4A1E" w:rsidRPr="003E2DBE" w:rsidRDefault="000B4A1E" w:rsidP="00517E51">
            <w:pPr>
              <w:pStyle w:val="Tabletextheading"/>
              <w:rPr>
                <w:sz w:val="19"/>
                <w:szCs w:val="21"/>
                <w:lang w:eastAsia="en-AU"/>
              </w:rPr>
            </w:pPr>
            <w:r w:rsidRPr="003E2DBE">
              <w:rPr>
                <w:sz w:val="19"/>
                <w:szCs w:val="21"/>
                <w:lang w:eastAsia="en-AU"/>
              </w:rPr>
              <w:t>budget variance</w:t>
            </w:r>
          </w:p>
        </w:tc>
        <w:tc>
          <w:tcPr>
            <w:tcW w:w="848" w:type="dxa"/>
            <w:gridSpan w:val="2"/>
            <w:tcBorders>
              <w:top w:val="nil"/>
              <w:left w:val="nil"/>
              <w:bottom w:val="single" w:sz="4" w:space="0" w:color="auto"/>
              <w:right w:val="single" w:sz="4" w:space="0" w:color="auto"/>
            </w:tcBorders>
            <w:shd w:val="clear" w:color="auto" w:fill="000000"/>
            <w:vAlign w:val="bottom"/>
            <w:hideMark/>
          </w:tcPr>
          <w:p w:rsidR="000B4A1E" w:rsidRPr="003E2DBE" w:rsidRDefault="000B4A1E" w:rsidP="00517E51">
            <w:pPr>
              <w:pStyle w:val="Tabletextheading"/>
              <w:rPr>
                <w:sz w:val="19"/>
                <w:szCs w:val="21"/>
                <w:lang w:eastAsia="en-AU"/>
              </w:rPr>
            </w:pPr>
            <w:r w:rsidRPr="003E2DBE">
              <w:rPr>
                <w:sz w:val="19"/>
                <w:szCs w:val="21"/>
                <w:lang w:eastAsia="en-AU"/>
              </w:rPr>
              <w:br/>
              <w:t>%</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19"/>
                <w:szCs w:val="21"/>
                <w:lang w:eastAsia="en-AU"/>
              </w:rPr>
            </w:pPr>
            <w:r w:rsidRPr="003E2DBE">
              <w:rPr>
                <w:b/>
                <w:bCs/>
                <w:sz w:val="19"/>
                <w:szCs w:val="21"/>
                <w:lang w:eastAsia="en-AU"/>
              </w:rPr>
              <w:t>Cash flows from operating activities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jc w:val="right"/>
              <w:rPr>
                <w:sz w:val="19"/>
                <w:szCs w:val="21"/>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931" w:type="dxa"/>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19"/>
                <w:szCs w:val="21"/>
                <w:lang w:eastAsia="en-AU"/>
              </w:rPr>
            </w:pPr>
            <w:r w:rsidRPr="003E2DBE">
              <w:rPr>
                <w:b/>
                <w:bCs/>
                <w:sz w:val="19"/>
                <w:szCs w:val="21"/>
                <w:lang w:eastAsia="en-AU"/>
              </w:rPr>
              <w:t>Receipts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931" w:type="dxa"/>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Taxes received</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15 </w:t>
            </w:r>
            <w:r w:rsidRPr="003E2DBE">
              <w:rPr>
                <w:rFonts w:cs="Calibri"/>
                <w:sz w:val="19"/>
                <w:szCs w:val="21"/>
                <w:lang w:eastAsia="en-AU"/>
              </w:rPr>
              <w:t>840.3</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15 </w:t>
            </w:r>
            <w:r w:rsidRPr="003E2DBE">
              <w:rPr>
                <w:rFonts w:cs="Calibri"/>
                <w:sz w:val="19"/>
                <w:szCs w:val="21"/>
                <w:lang w:eastAsia="en-AU"/>
              </w:rPr>
              <w:t>678.5</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15 </w:t>
            </w:r>
            <w:r w:rsidRPr="003E2DBE">
              <w:rPr>
                <w:rFonts w:cs="Calibri"/>
                <w:sz w:val="19"/>
                <w:szCs w:val="21"/>
                <w:lang w:eastAsia="en-AU"/>
              </w:rPr>
              <w:t>231.9</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(608.3</w:t>
            </w:r>
            <w:r w:rsidRPr="003E2DBE">
              <w:rPr>
                <w:rFonts w:cs="Calibri"/>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3.8</w:t>
            </w:r>
            <w:r w:rsidRPr="003E2DBE">
              <w:rPr>
                <w:rFonts w:cs="Calibri"/>
                <w:sz w:val="19"/>
                <w:szCs w:val="22"/>
                <w:lang w:eastAsia="en-AU"/>
              </w:rPr>
              <w:t>)</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(446.5</w:t>
            </w:r>
            <w:r w:rsidRPr="003E2DBE">
              <w:rPr>
                <w:rFonts w:cs="Calibri"/>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2.8</w:t>
            </w:r>
            <w:r w:rsidRPr="003E2DBE">
              <w:rPr>
                <w:rFonts w:cs="Calibri"/>
                <w:sz w:val="19"/>
                <w:szCs w:val="22"/>
                <w:lang w:eastAsia="en-AU"/>
              </w:rPr>
              <w:t>)</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Grants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22 </w:t>
            </w:r>
            <w:r w:rsidRPr="003E2DBE">
              <w:rPr>
                <w:rFonts w:cs="Calibri"/>
                <w:sz w:val="19"/>
                <w:szCs w:val="21"/>
                <w:lang w:eastAsia="en-AU"/>
              </w:rPr>
              <w:t>220.0</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21 </w:t>
            </w:r>
            <w:r w:rsidRPr="003E2DBE">
              <w:rPr>
                <w:rFonts w:cs="Calibri"/>
                <w:sz w:val="19"/>
                <w:szCs w:val="21"/>
                <w:lang w:eastAsia="en-AU"/>
              </w:rPr>
              <w:t>662.8</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21 </w:t>
            </w:r>
            <w:r w:rsidRPr="003E2DBE">
              <w:rPr>
                <w:rFonts w:cs="Calibri"/>
                <w:sz w:val="19"/>
                <w:szCs w:val="21"/>
                <w:lang w:eastAsia="en-AU"/>
              </w:rPr>
              <w:t>991.9</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(228.1</w:t>
            </w:r>
            <w:r w:rsidRPr="003E2DBE">
              <w:rPr>
                <w:rFonts w:cs="Calibri"/>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1.0</w:t>
            </w:r>
            <w:r w:rsidRPr="003E2DBE">
              <w:rPr>
                <w:rFonts w:cs="Calibri"/>
                <w:sz w:val="19"/>
                <w:szCs w:val="22"/>
                <w:lang w:eastAsia="en-AU"/>
              </w:rPr>
              <w:t>)</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329.1</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1.5</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Sales of goods and services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7 </w:t>
            </w:r>
            <w:r w:rsidRPr="003E2DBE">
              <w:rPr>
                <w:rFonts w:cs="Calibri"/>
                <w:sz w:val="19"/>
                <w:szCs w:val="21"/>
                <w:lang w:eastAsia="en-AU"/>
              </w:rPr>
              <w:t>078.1</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7 </w:t>
            </w:r>
            <w:r w:rsidRPr="003E2DBE">
              <w:rPr>
                <w:rFonts w:cs="Calibri"/>
                <w:sz w:val="19"/>
                <w:szCs w:val="21"/>
                <w:lang w:eastAsia="en-AU"/>
              </w:rPr>
              <w:t>317.7</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7 </w:t>
            </w:r>
            <w:r w:rsidRPr="003E2DBE">
              <w:rPr>
                <w:rFonts w:cs="Calibri"/>
                <w:sz w:val="19"/>
                <w:szCs w:val="21"/>
                <w:lang w:eastAsia="en-AU"/>
              </w:rPr>
              <w:t>132.3</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54.2</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0.8</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(185.3</w:t>
            </w:r>
            <w:r w:rsidRPr="003E2DBE">
              <w:rPr>
                <w:rFonts w:cs="Calibri"/>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2.5</w:t>
            </w:r>
            <w:r w:rsidRPr="003E2DBE">
              <w:rPr>
                <w:rFonts w:cs="Calibri"/>
                <w:sz w:val="19"/>
                <w:szCs w:val="22"/>
                <w:lang w:eastAsia="en-AU"/>
              </w:rPr>
              <w:t>)</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Interest received</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653.7</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649.4</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674.8</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21.1</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3.2</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25.4</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3.9</w:t>
            </w:r>
          </w:p>
        </w:tc>
      </w:tr>
      <w:tr w:rsidR="000B4A1E" w:rsidRPr="003E2DBE" w:rsidTr="00517E51">
        <w:trPr>
          <w:divId w:val="268008857"/>
        </w:trPr>
        <w:tc>
          <w:tcPr>
            <w:tcW w:w="3524" w:type="dxa"/>
            <w:tcBorders>
              <w:top w:val="nil"/>
              <w:left w:val="nil"/>
              <w:bottom w:val="nil"/>
              <w:right w:val="nil"/>
            </w:tcBorders>
            <w:shd w:val="clear" w:color="auto" w:fill="auto"/>
            <w:vAlign w:val="bottom"/>
            <w:hideMark/>
          </w:tcPr>
          <w:p w:rsidR="000B4A1E" w:rsidRPr="003E2DBE" w:rsidRDefault="000B4A1E" w:rsidP="00517E51">
            <w:pPr>
              <w:pStyle w:val="Tabletext"/>
              <w:rPr>
                <w:sz w:val="19"/>
                <w:szCs w:val="21"/>
                <w:lang w:eastAsia="en-AU"/>
              </w:rPr>
            </w:pPr>
            <w:r w:rsidRPr="003E2DBE">
              <w:rPr>
                <w:sz w:val="19"/>
                <w:szCs w:val="21"/>
                <w:lang w:eastAsia="en-AU"/>
              </w:rPr>
              <w:t>Dividends and income tax equivalent and rate equivalent receipts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1 </w:t>
            </w:r>
            <w:r w:rsidRPr="003E2DBE">
              <w:rPr>
                <w:rFonts w:cs="Calibri"/>
                <w:sz w:val="19"/>
                <w:szCs w:val="21"/>
                <w:lang w:eastAsia="en-AU"/>
              </w:rPr>
              <w:t>023.0</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1 </w:t>
            </w:r>
            <w:r w:rsidRPr="003E2DBE">
              <w:rPr>
                <w:rFonts w:cs="Calibri"/>
                <w:sz w:val="19"/>
                <w:szCs w:val="21"/>
                <w:lang w:eastAsia="en-AU"/>
              </w:rPr>
              <w:t>262.4</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1 </w:t>
            </w:r>
            <w:r w:rsidRPr="003E2DBE">
              <w:rPr>
                <w:rFonts w:cs="Calibri"/>
                <w:sz w:val="19"/>
                <w:szCs w:val="21"/>
                <w:lang w:eastAsia="en-AU"/>
              </w:rPr>
              <w:t>198.9</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175.9</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17.2</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(63.6</w:t>
            </w:r>
            <w:r w:rsidRPr="003E2DBE">
              <w:rPr>
                <w:rFonts w:cs="Calibri"/>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5.0</w:t>
            </w:r>
            <w:r w:rsidRPr="003E2DBE">
              <w:rPr>
                <w:rFonts w:cs="Calibri"/>
                <w:sz w:val="19"/>
                <w:szCs w:val="22"/>
                <w:lang w:eastAsia="en-AU"/>
              </w:rPr>
              <w:t>)</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Other receipts</w:t>
            </w:r>
          </w:p>
        </w:tc>
        <w:tc>
          <w:tcPr>
            <w:tcW w:w="9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1 </w:t>
            </w:r>
            <w:r w:rsidRPr="003E2DBE">
              <w:rPr>
                <w:rFonts w:cs="Calibri"/>
                <w:sz w:val="19"/>
                <w:szCs w:val="21"/>
                <w:lang w:eastAsia="en-AU"/>
              </w:rPr>
              <w:t>573.6</w:t>
            </w:r>
          </w:p>
        </w:tc>
        <w:tc>
          <w:tcPr>
            <w:tcW w:w="931"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1 </w:t>
            </w:r>
            <w:r w:rsidRPr="003E2DBE">
              <w:rPr>
                <w:rFonts w:cs="Calibri"/>
                <w:sz w:val="19"/>
                <w:szCs w:val="21"/>
                <w:lang w:eastAsia="en-AU"/>
              </w:rPr>
              <w:t>735.2</w:t>
            </w:r>
          </w:p>
        </w:tc>
        <w:tc>
          <w:tcPr>
            <w:tcW w:w="972"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1 </w:t>
            </w:r>
            <w:r w:rsidRPr="003E2DBE">
              <w:rPr>
                <w:rFonts w:cs="Calibri"/>
                <w:sz w:val="19"/>
                <w:szCs w:val="21"/>
                <w:lang w:eastAsia="en-AU"/>
              </w:rPr>
              <w:t>728.8</w:t>
            </w:r>
          </w:p>
        </w:tc>
        <w:tc>
          <w:tcPr>
            <w:tcW w:w="839"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155.3</w:t>
            </w:r>
          </w:p>
        </w:tc>
        <w:tc>
          <w:tcPr>
            <w:tcW w:w="711" w:type="dxa"/>
            <w:gridSpan w:val="3"/>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9.9</w:t>
            </w:r>
          </w:p>
        </w:tc>
        <w:tc>
          <w:tcPr>
            <w:tcW w:w="867"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(6.4</w:t>
            </w:r>
            <w:r w:rsidRPr="003E2DBE">
              <w:rPr>
                <w:rFonts w:cs="Calibri"/>
                <w:sz w:val="19"/>
                <w:szCs w:val="21"/>
                <w:lang w:eastAsia="en-AU"/>
              </w:rPr>
              <w:t>)</w:t>
            </w:r>
          </w:p>
        </w:tc>
        <w:tc>
          <w:tcPr>
            <w:tcW w:w="848"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0.4</w:t>
            </w:r>
            <w:r w:rsidRPr="003E2DBE">
              <w:rPr>
                <w:rFonts w:cs="Calibri"/>
                <w:sz w:val="19"/>
                <w:szCs w:val="22"/>
                <w:lang w:eastAsia="en-AU"/>
              </w:rPr>
              <w:t>)</w:t>
            </w:r>
          </w:p>
        </w:tc>
      </w:tr>
      <w:tr w:rsidR="000B4A1E" w:rsidRPr="003E2DBE" w:rsidTr="00517E51">
        <w:trPr>
          <w:divId w:val="268008857"/>
        </w:trPr>
        <w:tc>
          <w:tcPr>
            <w:tcW w:w="3524"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text"/>
              <w:rPr>
                <w:b/>
                <w:bCs/>
                <w:sz w:val="19"/>
                <w:szCs w:val="21"/>
                <w:lang w:eastAsia="en-AU"/>
              </w:rPr>
            </w:pPr>
            <w:r w:rsidRPr="003E2DBE">
              <w:rPr>
                <w:b/>
                <w:bCs/>
                <w:sz w:val="19"/>
                <w:szCs w:val="21"/>
                <w:lang w:eastAsia="en-AU"/>
              </w:rPr>
              <w:t>Total receipts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48 </w:t>
            </w:r>
            <w:r w:rsidRPr="003E2DBE">
              <w:rPr>
                <w:rFonts w:cs="Calibri"/>
                <w:b/>
                <w:bCs/>
                <w:sz w:val="19"/>
                <w:szCs w:val="21"/>
                <w:lang w:eastAsia="en-AU"/>
              </w:rPr>
              <w:t>388.6</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48 </w:t>
            </w:r>
            <w:r w:rsidRPr="003E2DBE">
              <w:rPr>
                <w:rFonts w:cs="Calibri"/>
                <w:b/>
                <w:bCs/>
                <w:sz w:val="19"/>
                <w:szCs w:val="21"/>
                <w:lang w:eastAsia="en-AU"/>
              </w:rPr>
              <w:t>306.0</w:t>
            </w:r>
          </w:p>
        </w:tc>
        <w:tc>
          <w:tcPr>
            <w:tcW w:w="972"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47 </w:t>
            </w:r>
            <w:r w:rsidRPr="003E2DBE">
              <w:rPr>
                <w:rFonts w:cs="Calibri"/>
                <w:b/>
                <w:bCs/>
                <w:sz w:val="19"/>
                <w:szCs w:val="21"/>
                <w:lang w:eastAsia="en-AU"/>
              </w:rPr>
              <w:t>958.7</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(429.9</w:t>
            </w:r>
            <w:r w:rsidRPr="003E2DBE">
              <w:rPr>
                <w:rFonts w:cs="Calibri"/>
                <w:b/>
                <w:bCs/>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 xml:space="preserve">( </w:t>
            </w:r>
            <w:r w:rsidRPr="003E2DBE">
              <w:rPr>
                <w:rFonts w:cs="Calibri"/>
                <w:b/>
                <w:bCs/>
                <w:sz w:val="19"/>
                <w:szCs w:val="21"/>
                <w:lang w:eastAsia="en-AU"/>
              </w:rPr>
              <w:t>0.9</w:t>
            </w:r>
            <w:r w:rsidRPr="003E2DBE">
              <w:rPr>
                <w:rFonts w:cs="Calibri"/>
                <w:b/>
                <w:bCs/>
                <w:sz w:val="19"/>
                <w:szCs w:val="22"/>
                <w:lang w:eastAsia="en-AU"/>
              </w:rPr>
              <w:t>)</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(347.3</w:t>
            </w:r>
            <w:r w:rsidRPr="003E2DBE">
              <w:rPr>
                <w:rFonts w:cs="Calibri"/>
                <w:b/>
                <w:bCs/>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 xml:space="preserve">( </w:t>
            </w:r>
            <w:r w:rsidRPr="003E2DBE">
              <w:rPr>
                <w:rFonts w:cs="Calibri"/>
                <w:b/>
                <w:bCs/>
                <w:sz w:val="19"/>
                <w:szCs w:val="21"/>
                <w:lang w:eastAsia="en-AU"/>
              </w:rPr>
              <w:t>0.7</w:t>
            </w:r>
            <w:r w:rsidRPr="003E2DBE">
              <w:rPr>
                <w:rFonts w:cs="Calibri"/>
                <w:b/>
                <w:bCs/>
                <w:sz w:val="19"/>
                <w:szCs w:val="22"/>
                <w:lang w:eastAsia="en-AU"/>
              </w:rPr>
              <w:t>)</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19"/>
                <w:szCs w:val="21"/>
                <w:lang w:eastAsia="en-AU"/>
              </w:rPr>
            </w:pPr>
            <w:r w:rsidRPr="003E2DBE">
              <w:rPr>
                <w:b/>
                <w:bCs/>
                <w:sz w:val="19"/>
                <w:szCs w:val="21"/>
                <w:lang w:eastAsia="en-AU"/>
              </w:rPr>
              <w:t>Payments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b/>
                <w:bCs/>
                <w:sz w:val="19"/>
                <w:szCs w:val="22"/>
                <w:lang w:eastAsia="en-AU"/>
              </w:rPr>
            </w:pPr>
            <w:r w:rsidRPr="003E2DBE">
              <w:rPr>
                <w:b/>
                <w:bCs/>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Payments for employees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(17 078.2</w:t>
            </w:r>
            <w:r w:rsidRPr="003E2DBE">
              <w:rPr>
                <w:rFonts w:cs="Calibri"/>
                <w:sz w:val="19"/>
                <w:szCs w:val="22"/>
                <w:lang w:eastAsia="en-AU"/>
              </w:rPr>
              <w:t>)</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(17 370.7</w:t>
            </w:r>
            <w:r w:rsidRPr="003E2DBE">
              <w:rPr>
                <w:rFonts w:cs="Calibri"/>
                <w:sz w:val="19"/>
                <w:szCs w:val="22"/>
                <w:lang w:eastAsia="en-AU"/>
              </w:rPr>
              <w:t>)</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(17 563.6</w:t>
            </w:r>
            <w:r w:rsidRPr="003E2DBE">
              <w:rPr>
                <w:rFonts w:cs="Calibri"/>
                <w:sz w:val="19"/>
                <w:szCs w:val="22"/>
                <w:lang w:eastAsia="en-AU"/>
              </w:rPr>
              <w:t>)</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(485.4</w:t>
            </w:r>
            <w:r w:rsidRPr="003E2DBE">
              <w:rPr>
                <w:rFonts w:cs="Calibri"/>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2.8</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(192.9</w:t>
            </w:r>
            <w:r w:rsidRPr="003E2DBE">
              <w:rPr>
                <w:rFonts w:cs="Calibri"/>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1.1</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Superannuation</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(2 500.7</w:t>
            </w:r>
            <w:r w:rsidRPr="003E2DBE">
              <w:rPr>
                <w:rFonts w:cs="Calibri"/>
                <w:sz w:val="19"/>
                <w:szCs w:val="22"/>
                <w:lang w:eastAsia="en-AU"/>
              </w:rPr>
              <w:t>)</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(2 507.5</w:t>
            </w:r>
            <w:r w:rsidRPr="003E2DBE">
              <w:rPr>
                <w:rFonts w:cs="Calibri"/>
                <w:sz w:val="19"/>
                <w:szCs w:val="22"/>
                <w:lang w:eastAsia="en-AU"/>
              </w:rPr>
              <w:t>)</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(2 510.5</w:t>
            </w:r>
            <w:r w:rsidRPr="003E2DBE">
              <w:rPr>
                <w:rFonts w:cs="Calibri"/>
                <w:sz w:val="19"/>
                <w:szCs w:val="22"/>
                <w:lang w:eastAsia="en-AU"/>
              </w:rPr>
              <w:t>)</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(9.8</w:t>
            </w:r>
            <w:r w:rsidRPr="003E2DBE">
              <w:rPr>
                <w:rFonts w:cs="Calibri"/>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0.4</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(3.0</w:t>
            </w:r>
            <w:r w:rsidRPr="003E2DBE">
              <w:rPr>
                <w:rFonts w:cs="Calibri"/>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0.1</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 w:val="19"/>
                <w:szCs w:val="22"/>
                <w:lang w:eastAsia="en-AU"/>
              </w:rPr>
            </w:pPr>
            <w:r w:rsidRPr="003E2DBE">
              <w:rPr>
                <w:sz w:val="19"/>
                <w:szCs w:val="21"/>
                <w:lang w:eastAsia="en-AU"/>
              </w:rPr>
              <w:t xml:space="preserve">Interest </w:t>
            </w:r>
            <w:r w:rsidRPr="003E2DBE">
              <w:rPr>
                <w:rFonts w:cs="Calibri"/>
                <w:sz w:val="19"/>
                <w:szCs w:val="22"/>
                <w:lang w:eastAsia="en-AU"/>
              </w:rPr>
              <w:t>paid</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(1 677.3</w:t>
            </w:r>
            <w:r w:rsidRPr="003E2DBE">
              <w:rPr>
                <w:rFonts w:cs="Calibri"/>
                <w:sz w:val="19"/>
                <w:szCs w:val="22"/>
                <w:lang w:eastAsia="en-AU"/>
              </w:rPr>
              <w:t>)</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(1 702.8</w:t>
            </w:r>
            <w:r w:rsidRPr="003E2DBE">
              <w:rPr>
                <w:rFonts w:cs="Calibri"/>
                <w:sz w:val="19"/>
                <w:szCs w:val="22"/>
                <w:lang w:eastAsia="en-AU"/>
              </w:rPr>
              <w:t>)</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(1 702.6</w:t>
            </w:r>
            <w:r w:rsidRPr="003E2DBE">
              <w:rPr>
                <w:rFonts w:cs="Calibri"/>
                <w:sz w:val="19"/>
                <w:szCs w:val="22"/>
                <w:lang w:eastAsia="en-AU"/>
              </w:rPr>
              <w:t>)</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(25.3</w:t>
            </w:r>
            <w:r w:rsidRPr="003E2DBE">
              <w:rPr>
                <w:rFonts w:cs="Calibri"/>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1.5</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0.2</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Pr>
                <w:sz w:val="19"/>
                <w:szCs w:val="21"/>
                <w:lang w:eastAsia="en-AU"/>
              </w:rPr>
              <w:t>..</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Grants and subsidies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(8 491.4</w:t>
            </w:r>
            <w:r w:rsidRPr="003E2DBE">
              <w:rPr>
                <w:rFonts w:cs="Calibri"/>
                <w:sz w:val="19"/>
                <w:szCs w:val="22"/>
                <w:lang w:eastAsia="en-AU"/>
              </w:rPr>
              <w:t>)</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(7 908.3</w:t>
            </w:r>
            <w:r w:rsidRPr="003E2DBE">
              <w:rPr>
                <w:rFonts w:cs="Calibri"/>
                <w:sz w:val="19"/>
                <w:szCs w:val="22"/>
                <w:lang w:eastAsia="en-AU"/>
              </w:rPr>
              <w:t>)</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(8 196.5</w:t>
            </w:r>
            <w:r w:rsidRPr="003E2DBE">
              <w:rPr>
                <w:rFonts w:cs="Calibri"/>
                <w:sz w:val="19"/>
                <w:szCs w:val="22"/>
                <w:lang w:eastAsia="en-AU"/>
              </w:rPr>
              <w:t>)</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294.9</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3.5</w:t>
            </w:r>
            <w:r w:rsidRPr="003E2DBE">
              <w:rPr>
                <w:rFonts w:cs="Calibri"/>
                <w:sz w:val="19"/>
                <w:szCs w:val="22"/>
                <w:lang w:eastAsia="en-AU"/>
              </w:rPr>
              <w:t>)</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(288.2</w:t>
            </w:r>
            <w:r w:rsidRPr="003E2DBE">
              <w:rPr>
                <w:rFonts w:cs="Calibri"/>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3.6</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Goods and services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(16 039.3</w:t>
            </w:r>
            <w:r w:rsidRPr="003E2DBE">
              <w:rPr>
                <w:rFonts w:cs="Calibri"/>
                <w:sz w:val="19"/>
                <w:szCs w:val="22"/>
                <w:lang w:eastAsia="en-AU"/>
              </w:rPr>
              <w:t>)</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(16 495.1</w:t>
            </w:r>
            <w:r w:rsidRPr="003E2DBE">
              <w:rPr>
                <w:rFonts w:cs="Calibri"/>
                <w:sz w:val="19"/>
                <w:szCs w:val="22"/>
                <w:lang w:eastAsia="en-AU"/>
              </w:rPr>
              <w:t>)</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(15 692.1</w:t>
            </w:r>
            <w:r w:rsidRPr="003E2DBE">
              <w:rPr>
                <w:rFonts w:cs="Calibri"/>
                <w:sz w:val="19"/>
                <w:szCs w:val="22"/>
                <w:lang w:eastAsia="en-AU"/>
              </w:rPr>
              <w:t>)</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347.2</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2.2</w:t>
            </w:r>
            <w:r w:rsidRPr="003E2DBE">
              <w:rPr>
                <w:rFonts w:cs="Calibri"/>
                <w:sz w:val="19"/>
                <w:szCs w:val="22"/>
                <w:lang w:eastAsia="en-AU"/>
              </w:rPr>
              <w:t>)</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803.0</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4.9</w:t>
            </w:r>
            <w:r w:rsidRPr="003E2DBE">
              <w:rPr>
                <w:rFonts w:cs="Calibri"/>
                <w:sz w:val="19"/>
                <w:szCs w:val="22"/>
                <w:lang w:eastAsia="en-AU"/>
              </w:rPr>
              <w:t>)</w:t>
            </w:r>
          </w:p>
        </w:tc>
      </w:tr>
      <w:tr w:rsidR="000B4A1E" w:rsidRPr="003E2DBE" w:rsidTr="00517E51">
        <w:trPr>
          <w:divId w:val="268008857"/>
        </w:trPr>
        <w:tc>
          <w:tcPr>
            <w:tcW w:w="352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Other payments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sz w:val="19"/>
                <w:szCs w:val="22"/>
                <w:lang w:eastAsia="en-AU"/>
              </w:rPr>
            </w:pPr>
            <w:r w:rsidRPr="003E2DBE">
              <w:rPr>
                <w:sz w:val="19"/>
                <w:szCs w:val="21"/>
                <w:lang w:eastAsia="en-AU"/>
              </w:rPr>
              <w:t xml:space="preserve"> </w:t>
            </w:r>
          </w:p>
        </w:tc>
        <w:tc>
          <w:tcPr>
            <w:tcW w:w="931" w:type="dxa"/>
            <w:gridSpan w:val="2"/>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596.0)</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596.0)</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601.2)</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(5.2</w:t>
            </w:r>
            <w:r w:rsidRPr="003E2DBE">
              <w:rPr>
                <w:rFonts w:cs="Calibri"/>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0.9</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(5.2</w:t>
            </w:r>
            <w:r w:rsidRPr="003E2DBE">
              <w:rPr>
                <w:rFonts w:cs="Calibri"/>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0.9</w:t>
            </w:r>
          </w:p>
        </w:tc>
      </w:tr>
      <w:tr w:rsidR="000B4A1E" w:rsidRPr="003E2DBE" w:rsidTr="00517E51">
        <w:trPr>
          <w:divId w:val="268008857"/>
        </w:trPr>
        <w:tc>
          <w:tcPr>
            <w:tcW w:w="352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b/>
                <w:bCs/>
                <w:sz w:val="19"/>
                <w:szCs w:val="21"/>
                <w:lang w:eastAsia="en-AU"/>
              </w:rPr>
            </w:pPr>
            <w:r w:rsidRPr="003E2DBE">
              <w:rPr>
                <w:b/>
                <w:bCs/>
                <w:sz w:val="19"/>
                <w:szCs w:val="21"/>
                <w:lang w:eastAsia="en-AU"/>
              </w:rPr>
              <w:t>Total payments</w:t>
            </w:r>
          </w:p>
        </w:tc>
        <w:tc>
          <w:tcPr>
            <w:tcW w:w="93"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TextCentred"/>
              <w:rPr>
                <w:rFonts w:cs="Calibri"/>
                <w:sz w:val="19"/>
                <w:szCs w:val="22"/>
                <w:lang w:eastAsia="en-AU"/>
              </w:rPr>
            </w:pPr>
            <w:r w:rsidRPr="003E2DBE">
              <w:rPr>
                <w:sz w:val="19"/>
                <w:szCs w:val="21"/>
                <w:lang w:eastAsia="en-AU"/>
              </w:rPr>
              <w:t xml:space="preserve"> </w:t>
            </w:r>
          </w:p>
        </w:tc>
        <w:tc>
          <w:tcPr>
            <w:tcW w:w="931" w:type="dxa"/>
            <w:gridSpan w:val="2"/>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(46 382.8</w:t>
            </w:r>
            <w:r w:rsidRPr="003E2DBE">
              <w:rPr>
                <w:rFonts w:cs="Calibri"/>
                <w:b/>
                <w:bCs/>
                <w:sz w:val="19"/>
                <w:szCs w:val="22"/>
                <w:lang w:eastAsia="en-AU"/>
              </w:rPr>
              <w:t>)</w:t>
            </w:r>
          </w:p>
        </w:tc>
        <w:tc>
          <w:tcPr>
            <w:tcW w:w="931"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(46 580.4</w:t>
            </w:r>
            <w:r w:rsidRPr="003E2DBE">
              <w:rPr>
                <w:rFonts w:cs="Calibri"/>
                <w:b/>
                <w:bCs/>
                <w:sz w:val="19"/>
                <w:szCs w:val="22"/>
                <w:lang w:eastAsia="en-AU"/>
              </w:rPr>
              <w:t>)</w:t>
            </w:r>
          </w:p>
        </w:tc>
        <w:tc>
          <w:tcPr>
            <w:tcW w:w="972"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(46 266.4</w:t>
            </w:r>
            <w:r w:rsidRPr="003E2DBE">
              <w:rPr>
                <w:rFonts w:cs="Calibri"/>
                <w:b/>
                <w:bCs/>
                <w:sz w:val="19"/>
                <w:szCs w:val="22"/>
                <w:lang w:eastAsia="en-AU"/>
              </w:rPr>
              <w:t>)</w:t>
            </w:r>
          </w:p>
        </w:tc>
        <w:tc>
          <w:tcPr>
            <w:tcW w:w="839"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 116.4</w:t>
            </w:r>
          </w:p>
        </w:tc>
        <w:tc>
          <w:tcPr>
            <w:tcW w:w="711" w:type="dxa"/>
            <w:gridSpan w:val="3"/>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 xml:space="preserve">( </w:t>
            </w:r>
            <w:r w:rsidRPr="003E2DBE">
              <w:rPr>
                <w:rFonts w:cs="Calibri"/>
                <w:b/>
                <w:bCs/>
                <w:sz w:val="19"/>
                <w:szCs w:val="21"/>
                <w:lang w:eastAsia="en-AU"/>
              </w:rPr>
              <w:t>0.3</w:t>
            </w:r>
            <w:r w:rsidRPr="003E2DBE">
              <w:rPr>
                <w:rFonts w:cs="Calibri"/>
                <w:b/>
                <w:bCs/>
                <w:sz w:val="19"/>
                <w:szCs w:val="22"/>
                <w:lang w:eastAsia="en-AU"/>
              </w:rPr>
              <w:t>)</w:t>
            </w:r>
          </w:p>
        </w:tc>
        <w:tc>
          <w:tcPr>
            <w:tcW w:w="867" w:type="dxa"/>
            <w:gridSpan w:val="2"/>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 314.0</w:t>
            </w:r>
          </w:p>
        </w:tc>
        <w:tc>
          <w:tcPr>
            <w:tcW w:w="848" w:type="dxa"/>
            <w:gridSpan w:val="2"/>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 xml:space="preserve">( </w:t>
            </w:r>
            <w:r w:rsidRPr="003E2DBE">
              <w:rPr>
                <w:rFonts w:cs="Calibri"/>
                <w:b/>
                <w:bCs/>
                <w:sz w:val="19"/>
                <w:szCs w:val="21"/>
                <w:lang w:eastAsia="en-AU"/>
              </w:rPr>
              <w:t>0.7</w:t>
            </w:r>
            <w:r w:rsidRPr="003E2DBE">
              <w:rPr>
                <w:rFonts w:cs="Calibri"/>
                <w:b/>
                <w:bCs/>
                <w:sz w:val="19"/>
                <w:szCs w:val="22"/>
                <w:lang w:eastAsia="en-AU"/>
              </w:rPr>
              <w:t>)</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19"/>
                <w:szCs w:val="21"/>
                <w:lang w:eastAsia="en-AU"/>
              </w:rPr>
            </w:pPr>
            <w:r w:rsidRPr="003E2DBE">
              <w:rPr>
                <w:b/>
                <w:bCs/>
                <w:sz w:val="19"/>
                <w:szCs w:val="21"/>
                <w:lang w:eastAsia="en-AU"/>
              </w:rPr>
              <w:t>Net cash flows from operating activities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b/>
                <w:bCs/>
                <w:sz w:val="19"/>
                <w:szCs w:val="22"/>
                <w:lang w:eastAsia="en-AU"/>
              </w:rPr>
            </w:pPr>
            <w:r w:rsidRPr="003E2DBE">
              <w:rPr>
                <w:rFonts w:cs="Calibri"/>
                <w:bCs/>
                <w:sz w:val="19"/>
                <w:szCs w:val="22"/>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2 </w:t>
            </w:r>
            <w:r w:rsidRPr="003E2DBE">
              <w:rPr>
                <w:rFonts w:cs="Calibri"/>
                <w:b/>
                <w:bCs/>
                <w:sz w:val="19"/>
                <w:szCs w:val="21"/>
                <w:lang w:eastAsia="en-AU"/>
              </w:rPr>
              <w:t>005.8</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1 </w:t>
            </w:r>
            <w:r w:rsidRPr="003E2DBE">
              <w:rPr>
                <w:rFonts w:cs="Calibri"/>
                <w:b/>
                <w:bCs/>
                <w:sz w:val="19"/>
                <w:szCs w:val="21"/>
                <w:lang w:eastAsia="en-AU"/>
              </w:rPr>
              <w:t>725.6</w:t>
            </w:r>
          </w:p>
        </w:tc>
        <w:tc>
          <w:tcPr>
            <w:tcW w:w="972"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 xml:space="preserve">1 </w:t>
            </w:r>
            <w:r w:rsidRPr="003E2DBE">
              <w:rPr>
                <w:rFonts w:cs="Calibri"/>
                <w:b/>
                <w:bCs/>
                <w:sz w:val="19"/>
                <w:szCs w:val="21"/>
                <w:lang w:eastAsia="en-AU"/>
              </w:rPr>
              <w:t>692.3</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(313.5</w:t>
            </w:r>
            <w:r w:rsidRPr="003E2DBE">
              <w:rPr>
                <w:rFonts w:cs="Calibri"/>
                <w:b/>
                <w:bCs/>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 xml:space="preserve">( </w:t>
            </w:r>
            <w:r w:rsidRPr="003E2DBE">
              <w:rPr>
                <w:rFonts w:cs="Calibri"/>
                <w:b/>
                <w:bCs/>
                <w:sz w:val="19"/>
                <w:szCs w:val="21"/>
                <w:lang w:eastAsia="en-AU"/>
              </w:rPr>
              <w:t>15.6</w:t>
            </w:r>
            <w:r w:rsidRPr="003E2DBE">
              <w:rPr>
                <w:rFonts w:cs="Calibri"/>
                <w:b/>
                <w:bCs/>
                <w:sz w:val="19"/>
                <w:szCs w:val="22"/>
                <w:lang w:eastAsia="en-AU"/>
              </w:rPr>
              <w:t>)</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(33.3</w:t>
            </w:r>
            <w:r w:rsidRPr="003E2DBE">
              <w:rPr>
                <w:rFonts w:cs="Calibri"/>
                <w:b/>
                <w:bCs/>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 xml:space="preserve">( </w:t>
            </w:r>
            <w:r w:rsidRPr="003E2DBE">
              <w:rPr>
                <w:rFonts w:cs="Calibri"/>
                <w:b/>
                <w:bCs/>
                <w:sz w:val="19"/>
                <w:szCs w:val="21"/>
                <w:lang w:eastAsia="en-AU"/>
              </w:rPr>
              <w:t>1.9</w:t>
            </w:r>
            <w:r w:rsidRPr="003E2DBE">
              <w:rPr>
                <w:rFonts w:cs="Calibri"/>
                <w:b/>
                <w:bCs/>
                <w:sz w:val="19"/>
                <w:szCs w:val="22"/>
                <w:lang w:eastAsia="en-AU"/>
              </w:rPr>
              <w:t>)</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19"/>
                <w:szCs w:val="21"/>
                <w:lang w:eastAsia="en-AU"/>
              </w:rPr>
            </w:pPr>
            <w:r w:rsidRPr="003E2DBE">
              <w:rPr>
                <w:b/>
                <w:bCs/>
                <w:sz w:val="19"/>
                <w:szCs w:val="21"/>
                <w:lang w:eastAsia="en-AU"/>
              </w:rPr>
              <w:t>Cash flows from investing activities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jc w:val="right"/>
              <w:rPr>
                <w:sz w:val="19"/>
                <w:szCs w:val="21"/>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Purchases of non-financial assets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sz w:val="19"/>
                <w:szCs w:val="21"/>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(3 529.6</w:t>
            </w:r>
            <w:r w:rsidRPr="003E2DBE">
              <w:rPr>
                <w:rFonts w:cs="Calibri"/>
                <w:sz w:val="19"/>
                <w:szCs w:val="22"/>
                <w:lang w:eastAsia="en-AU"/>
              </w:rPr>
              <w:t>)</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(4 088.5</w:t>
            </w:r>
            <w:r w:rsidRPr="003E2DBE">
              <w:rPr>
                <w:rFonts w:cs="Calibri"/>
                <w:sz w:val="19"/>
                <w:szCs w:val="22"/>
                <w:lang w:eastAsia="en-AU"/>
              </w:rPr>
              <w:t>)</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(4 133.2</w:t>
            </w:r>
            <w:r w:rsidRPr="003E2DBE">
              <w:rPr>
                <w:rFonts w:cs="Calibri"/>
                <w:sz w:val="19"/>
                <w:szCs w:val="22"/>
                <w:lang w:eastAsia="en-AU"/>
              </w:rPr>
              <w:t>)</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(603.6</w:t>
            </w:r>
            <w:r w:rsidRPr="003E2DBE">
              <w:rPr>
                <w:rFonts w:cs="Calibri"/>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17.1</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(44.7</w:t>
            </w:r>
            <w:r w:rsidRPr="003E2DBE">
              <w:rPr>
                <w:rFonts w:cs="Calibri"/>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1.1</w:t>
            </w:r>
          </w:p>
        </w:tc>
      </w:tr>
      <w:tr w:rsidR="000B4A1E" w:rsidRPr="003E2DBE" w:rsidTr="00517E51">
        <w:trPr>
          <w:divId w:val="268008857"/>
        </w:trPr>
        <w:tc>
          <w:tcPr>
            <w:tcW w:w="352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Sales of non-financial assets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sz w:val="19"/>
                <w:szCs w:val="21"/>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552.5</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405.7</w:t>
            </w:r>
          </w:p>
        </w:tc>
        <w:tc>
          <w:tcPr>
            <w:tcW w:w="972"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248.0</w:t>
            </w:r>
          </w:p>
        </w:tc>
        <w:tc>
          <w:tcPr>
            <w:tcW w:w="839"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(304.5</w:t>
            </w:r>
            <w:r w:rsidRPr="003E2DBE">
              <w:rPr>
                <w:rFonts w:cs="Calibri"/>
                <w:sz w:val="19"/>
                <w:szCs w:val="21"/>
                <w:lang w:eastAsia="en-AU"/>
              </w:rPr>
              <w:t>)</w:t>
            </w:r>
          </w:p>
        </w:tc>
        <w:tc>
          <w:tcPr>
            <w:tcW w:w="711" w:type="dxa"/>
            <w:gridSpan w:val="3"/>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55.1</w:t>
            </w:r>
            <w:r w:rsidRPr="003E2DBE">
              <w:rPr>
                <w:rFonts w:cs="Calibri"/>
                <w:sz w:val="19"/>
                <w:szCs w:val="22"/>
                <w:lang w:eastAsia="en-AU"/>
              </w:rPr>
              <w:t>)</w:t>
            </w:r>
          </w:p>
        </w:tc>
        <w:tc>
          <w:tcPr>
            <w:tcW w:w="867"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(157.7</w:t>
            </w:r>
            <w:r w:rsidRPr="003E2DBE">
              <w:rPr>
                <w:rFonts w:cs="Calibri"/>
                <w:sz w:val="19"/>
                <w:szCs w:val="21"/>
                <w:lang w:eastAsia="en-AU"/>
              </w:rPr>
              <w:t>)</w:t>
            </w:r>
          </w:p>
        </w:tc>
        <w:tc>
          <w:tcPr>
            <w:tcW w:w="848"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38.9</w:t>
            </w:r>
            <w:r w:rsidRPr="003E2DBE">
              <w:rPr>
                <w:rFonts w:cs="Calibri"/>
                <w:sz w:val="19"/>
                <w:szCs w:val="22"/>
                <w:lang w:eastAsia="en-AU"/>
              </w:rPr>
              <w:t>)</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 w:val="19"/>
                <w:szCs w:val="22"/>
                <w:lang w:eastAsia="en-AU"/>
              </w:rPr>
            </w:pPr>
            <w:r w:rsidRPr="003E2DBE">
              <w:rPr>
                <w:sz w:val="19"/>
                <w:szCs w:val="21"/>
                <w:lang w:eastAsia="en-AU"/>
              </w:rPr>
              <w:t>Net Cas</w:t>
            </w:r>
            <w:r>
              <w:rPr>
                <w:sz w:val="19"/>
                <w:szCs w:val="21"/>
                <w:lang w:eastAsia="en-AU"/>
              </w:rPr>
              <w:t>h flows from investments in non</w:t>
            </w:r>
            <w:r>
              <w:rPr>
                <w:sz w:val="19"/>
                <w:szCs w:val="21"/>
                <w:lang w:eastAsia="en-AU"/>
              </w:rPr>
              <w:noBreakHyphen/>
            </w:r>
            <w:r w:rsidRPr="003E2DBE">
              <w:rPr>
                <w:sz w:val="19"/>
                <w:szCs w:val="21"/>
                <w:lang w:eastAsia="en-AU"/>
              </w:rPr>
              <w:t xml:space="preserve">financial </w:t>
            </w:r>
            <w:r w:rsidRPr="003E2DBE">
              <w:rPr>
                <w:rFonts w:cs="Calibri"/>
                <w:sz w:val="19"/>
                <w:szCs w:val="22"/>
                <w:lang w:eastAsia="en-AU"/>
              </w:rPr>
              <w:t>assets</w:t>
            </w:r>
          </w:p>
        </w:tc>
        <w:tc>
          <w:tcPr>
            <w:tcW w:w="93"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TextCentred"/>
              <w:rPr>
                <w:rFonts w:cs="Calibri"/>
                <w:sz w:val="19"/>
                <w:szCs w:val="22"/>
                <w:lang w:eastAsia="en-AU"/>
              </w:rPr>
            </w:pPr>
            <w:r w:rsidRPr="003E2DBE">
              <w:rPr>
                <w:sz w:val="19"/>
                <w:szCs w:val="21"/>
                <w:lang w:eastAsia="en-AU"/>
              </w:rPr>
              <w:t xml:space="preserve"> </w:t>
            </w:r>
          </w:p>
        </w:tc>
        <w:tc>
          <w:tcPr>
            <w:tcW w:w="931" w:type="dxa"/>
            <w:gridSpan w:val="2"/>
            <w:tcBorders>
              <w:top w:val="single" w:sz="4" w:space="0" w:color="auto"/>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(2 977.1</w:t>
            </w:r>
            <w:r w:rsidRPr="003E2DBE">
              <w:rPr>
                <w:rFonts w:cs="Calibri"/>
                <w:sz w:val="19"/>
                <w:szCs w:val="22"/>
                <w:lang w:eastAsia="en-AU"/>
              </w:rPr>
              <w:t>)</w:t>
            </w:r>
          </w:p>
        </w:tc>
        <w:tc>
          <w:tcPr>
            <w:tcW w:w="931" w:type="dxa"/>
            <w:tcBorders>
              <w:top w:val="single" w:sz="4" w:space="0" w:color="auto"/>
              <w:left w:val="nil"/>
              <w:bottom w:val="nil"/>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(3 682.8</w:t>
            </w:r>
            <w:r w:rsidRPr="003E2DBE">
              <w:rPr>
                <w:rFonts w:cs="Calibri"/>
                <w:sz w:val="19"/>
                <w:szCs w:val="22"/>
                <w:lang w:eastAsia="en-AU"/>
              </w:rPr>
              <w:t>)</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(3 885.2</w:t>
            </w:r>
            <w:r w:rsidRPr="003E2DBE">
              <w:rPr>
                <w:rFonts w:cs="Calibri"/>
                <w:sz w:val="19"/>
                <w:szCs w:val="22"/>
                <w:lang w:eastAsia="en-AU"/>
              </w:rPr>
              <w:t>)</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(908.1</w:t>
            </w:r>
            <w:r w:rsidRPr="003E2DBE">
              <w:rPr>
                <w:rFonts w:cs="Calibri"/>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30.5</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(202.4</w:t>
            </w:r>
            <w:r w:rsidRPr="003E2DBE">
              <w:rPr>
                <w:rFonts w:cs="Calibri"/>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5.5</w:t>
            </w:r>
          </w:p>
        </w:tc>
      </w:tr>
      <w:tr w:rsidR="000B4A1E" w:rsidRPr="003E2DBE" w:rsidTr="00517E51">
        <w:trPr>
          <w:divId w:val="268008857"/>
        </w:trPr>
        <w:tc>
          <w:tcPr>
            <w:tcW w:w="352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Net cash flows from investments in financial assets for policy purposes</w:t>
            </w:r>
          </w:p>
        </w:tc>
        <w:tc>
          <w:tcPr>
            <w:tcW w:w="9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Centred"/>
              <w:rPr>
                <w:rFonts w:cs="Calibri"/>
                <w:sz w:val="19"/>
                <w:szCs w:val="22"/>
                <w:lang w:eastAsia="en-AU"/>
              </w:rPr>
            </w:pPr>
            <w:r w:rsidRPr="003E2DBE">
              <w:rPr>
                <w:sz w:val="19"/>
                <w:szCs w:val="21"/>
                <w:lang w:eastAsia="en-AU"/>
              </w:rPr>
              <w:t xml:space="preserve"> </w:t>
            </w:r>
          </w:p>
        </w:tc>
        <w:tc>
          <w:tcPr>
            <w:tcW w:w="931" w:type="dxa"/>
            <w:gridSpan w:val="2"/>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(2 817.2</w:t>
            </w:r>
            <w:r w:rsidRPr="003E2DBE">
              <w:rPr>
                <w:rFonts w:cs="Calibri"/>
                <w:sz w:val="19"/>
                <w:szCs w:val="22"/>
                <w:lang w:eastAsia="en-AU"/>
              </w:rPr>
              <w:t>)</w:t>
            </w:r>
          </w:p>
        </w:tc>
        <w:tc>
          <w:tcPr>
            <w:tcW w:w="931"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(1 521.7</w:t>
            </w:r>
            <w:r w:rsidRPr="003E2DBE">
              <w:rPr>
                <w:rFonts w:cs="Calibri"/>
                <w:sz w:val="19"/>
                <w:szCs w:val="22"/>
                <w:lang w:eastAsia="en-AU"/>
              </w:rPr>
              <w:t>)</w:t>
            </w:r>
          </w:p>
        </w:tc>
        <w:tc>
          <w:tcPr>
            <w:tcW w:w="972"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(1 316.8</w:t>
            </w:r>
            <w:r w:rsidRPr="003E2DBE">
              <w:rPr>
                <w:rFonts w:cs="Calibri"/>
                <w:sz w:val="19"/>
                <w:szCs w:val="22"/>
                <w:lang w:eastAsia="en-AU"/>
              </w:rPr>
              <w:t>)</w:t>
            </w:r>
          </w:p>
        </w:tc>
        <w:tc>
          <w:tcPr>
            <w:tcW w:w="839"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1 500.4</w:t>
            </w:r>
          </w:p>
        </w:tc>
        <w:tc>
          <w:tcPr>
            <w:tcW w:w="711" w:type="dxa"/>
            <w:gridSpan w:val="3"/>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53.3</w:t>
            </w:r>
            <w:r w:rsidRPr="003E2DBE">
              <w:rPr>
                <w:rFonts w:cs="Calibri"/>
                <w:sz w:val="19"/>
                <w:szCs w:val="22"/>
                <w:lang w:eastAsia="en-AU"/>
              </w:rPr>
              <w:t>)</w:t>
            </w:r>
          </w:p>
        </w:tc>
        <w:tc>
          <w:tcPr>
            <w:tcW w:w="867"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204.9</w:t>
            </w:r>
          </w:p>
        </w:tc>
        <w:tc>
          <w:tcPr>
            <w:tcW w:w="848"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13.5</w:t>
            </w:r>
            <w:r w:rsidRPr="003E2DBE">
              <w:rPr>
                <w:rFonts w:cs="Calibri"/>
                <w:sz w:val="19"/>
                <w:szCs w:val="22"/>
                <w:lang w:eastAsia="en-AU"/>
              </w:rPr>
              <w:t>)</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19"/>
                <w:szCs w:val="21"/>
                <w:lang w:eastAsia="en-AU"/>
              </w:rPr>
            </w:pPr>
            <w:r w:rsidRPr="003E2DBE">
              <w:rPr>
                <w:b/>
                <w:bCs/>
                <w:sz w:val="19"/>
                <w:szCs w:val="21"/>
                <w:lang w:eastAsia="en-AU"/>
              </w:rPr>
              <w:t>Sub-total</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(5 794.3</w:t>
            </w:r>
            <w:r w:rsidRPr="003E2DBE">
              <w:rPr>
                <w:rFonts w:cs="Calibri"/>
                <w:b/>
                <w:bCs/>
                <w:sz w:val="19"/>
                <w:szCs w:val="22"/>
                <w:lang w:eastAsia="en-AU"/>
              </w:rPr>
              <w:t>)</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(5 204.5</w:t>
            </w:r>
            <w:r w:rsidRPr="003E2DBE">
              <w:rPr>
                <w:rFonts w:cs="Calibri"/>
                <w:b/>
                <w:bCs/>
                <w:sz w:val="19"/>
                <w:szCs w:val="22"/>
                <w:lang w:eastAsia="en-AU"/>
              </w:rPr>
              <w:t>)</w:t>
            </w:r>
          </w:p>
        </w:tc>
        <w:tc>
          <w:tcPr>
            <w:tcW w:w="972"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(5 202.0</w:t>
            </w:r>
            <w:r w:rsidRPr="003E2DBE">
              <w:rPr>
                <w:rFonts w:cs="Calibri"/>
                <w:b/>
                <w:bCs/>
                <w:sz w:val="19"/>
                <w:szCs w:val="22"/>
                <w:lang w:eastAsia="en-AU"/>
              </w:rPr>
              <w:t>)</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 592.3</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 xml:space="preserve">( </w:t>
            </w:r>
            <w:r w:rsidRPr="003E2DBE">
              <w:rPr>
                <w:rFonts w:cs="Calibri"/>
                <w:b/>
                <w:bCs/>
                <w:sz w:val="19"/>
                <w:szCs w:val="21"/>
                <w:lang w:eastAsia="en-AU"/>
              </w:rPr>
              <w:t>10.2</w:t>
            </w:r>
            <w:r w:rsidRPr="003E2DBE">
              <w:rPr>
                <w:rFonts w:cs="Calibri"/>
                <w:b/>
                <w:bCs/>
                <w:sz w:val="19"/>
                <w:szCs w:val="22"/>
                <w:lang w:eastAsia="en-AU"/>
              </w:rPr>
              <w:t>)</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 2.5</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Pr>
                <w:b/>
                <w:bCs/>
                <w:sz w:val="19"/>
                <w:szCs w:val="21"/>
                <w:lang w:eastAsia="en-AU"/>
              </w:rPr>
              <w:t>..</w:t>
            </w:r>
          </w:p>
        </w:tc>
      </w:tr>
      <w:tr w:rsidR="000B4A1E" w:rsidRPr="003E2DBE" w:rsidTr="00517E51">
        <w:trPr>
          <w:divId w:val="268008857"/>
        </w:trPr>
        <w:tc>
          <w:tcPr>
            <w:tcW w:w="352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Net cash flows from investments in financial assets for liquidity management purposes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115.7)</w:t>
            </w:r>
          </w:p>
        </w:tc>
        <w:tc>
          <w:tcPr>
            <w:tcW w:w="931"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19.9)</w:t>
            </w:r>
          </w:p>
        </w:tc>
        <w:tc>
          <w:tcPr>
            <w:tcW w:w="972"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w:t>
            </w:r>
            <w:r w:rsidRPr="003E2DBE">
              <w:rPr>
                <w:rFonts w:cs="Calibri"/>
                <w:sz w:val="19"/>
                <w:szCs w:val="21"/>
                <w:lang w:eastAsia="en-AU"/>
              </w:rPr>
              <w:t xml:space="preserve"> 174.0</w:t>
            </w:r>
            <w:r w:rsidRPr="003E2DBE">
              <w:rPr>
                <w:rFonts w:cs="Calibri"/>
                <w:sz w:val="19"/>
                <w:szCs w:val="22"/>
                <w:lang w:eastAsia="en-AU"/>
              </w:rPr>
              <w:t>)</w:t>
            </w:r>
          </w:p>
        </w:tc>
        <w:tc>
          <w:tcPr>
            <w:tcW w:w="839"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w:t>
            </w:r>
            <w:r w:rsidRPr="003E2DBE">
              <w:rPr>
                <w:rFonts w:cs="Calibri"/>
                <w:sz w:val="19"/>
                <w:szCs w:val="21"/>
                <w:lang w:eastAsia="en-AU"/>
              </w:rPr>
              <w:t xml:space="preserve"> </w:t>
            </w:r>
            <w:r w:rsidRPr="003E2DBE">
              <w:rPr>
                <w:rFonts w:cs="Calibri"/>
                <w:sz w:val="19"/>
                <w:szCs w:val="22"/>
                <w:lang w:eastAsia="en-AU"/>
              </w:rPr>
              <w:t>058.2)</w:t>
            </w:r>
          </w:p>
        </w:tc>
        <w:tc>
          <w:tcPr>
            <w:tcW w:w="711" w:type="dxa"/>
            <w:gridSpan w:val="3"/>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914.2</w:t>
            </w:r>
          </w:p>
        </w:tc>
        <w:tc>
          <w:tcPr>
            <w:tcW w:w="867"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(1</w:t>
            </w:r>
            <w:r w:rsidRPr="003E2DBE">
              <w:rPr>
                <w:rFonts w:cs="Calibri"/>
                <w:sz w:val="19"/>
                <w:szCs w:val="21"/>
                <w:lang w:eastAsia="en-AU"/>
              </w:rPr>
              <w:t xml:space="preserve"> </w:t>
            </w:r>
            <w:r w:rsidRPr="003E2DBE">
              <w:rPr>
                <w:rFonts w:cs="Calibri"/>
                <w:sz w:val="19"/>
                <w:szCs w:val="22"/>
                <w:lang w:eastAsia="en-AU"/>
              </w:rPr>
              <w:t>154.0)</w:t>
            </w:r>
          </w:p>
        </w:tc>
        <w:tc>
          <w:tcPr>
            <w:tcW w:w="848"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19"/>
                <w:szCs w:val="21"/>
                <w:lang w:eastAsia="en-AU"/>
              </w:rPr>
              <w:t>n.</w:t>
            </w:r>
            <w:r w:rsidRPr="003E2DBE">
              <w:rPr>
                <w:rFonts w:cs="Calibri"/>
                <w:sz w:val="19"/>
                <w:szCs w:val="21"/>
                <w:lang w:eastAsia="en-AU"/>
              </w:rPr>
              <w:t>a.</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19"/>
                <w:szCs w:val="21"/>
                <w:lang w:eastAsia="en-AU"/>
              </w:rPr>
            </w:pPr>
            <w:r w:rsidRPr="003E2DBE">
              <w:rPr>
                <w:b/>
                <w:bCs/>
                <w:sz w:val="19"/>
                <w:szCs w:val="21"/>
                <w:lang w:eastAsia="en-AU"/>
              </w:rPr>
              <w:t>Net cash flows from investing activities</w:t>
            </w:r>
          </w:p>
        </w:tc>
        <w:tc>
          <w:tcPr>
            <w:tcW w:w="93"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TextCentred"/>
              <w:rPr>
                <w:rFonts w:cs="Calibri"/>
                <w:b/>
                <w:bCs/>
                <w:sz w:val="19"/>
                <w:szCs w:val="22"/>
                <w:lang w:eastAsia="en-AU"/>
              </w:rPr>
            </w:pPr>
            <w:r w:rsidRPr="003E2DBE">
              <w:rPr>
                <w:bCs/>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(5 910.0</w:t>
            </w:r>
            <w:r w:rsidRPr="003E2DBE">
              <w:rPr>
                <w:rFonts w:cs="Calibri"/>
                <w:b/>
                <w:bCs/>
                <w:sz w:val="19"/>
                <w:szCs w:val="22"/>
                <w:lang w:eastAsia="en-AU"/>
              </w:rPr>
              <w:t>)</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(5 224.4</w:t>
            </w:r>
            <w:r w:rsidRPr="003E2DBE">
              <w:rPr>
                <w:rFonts w:cs="Calibri"/>
                <w:b/>
                <w:bCs/>
                <w:sz w:val="19"/>
                <w:szCs w:val="22"/>
                <w:lang w:eastAsia="en-AU"/>
              </w:rPr>
              <w:t>)</w:t>
            </w:r>
          </w:p>
        </w:tc>
        <w:tc>
          <w:tcPr>
            <w:tcW w:w="972"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(6 375.9</w:t>
            </w:r>
            <w:r w:rsidRPr="003E2DBE">
              <w:rPr>
                <w:rFonts w:cs="Calibri"/>
                <w:b/>
                <w:bCs/>
                <w:sz w:val="19"/>
                <w:szCs w:val="22"/>
                <w:lang w:eastAsia="en-AU"/>
              </w:rPr>
              <w:t>)</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(465.9</w:t>
            </w:r>
            <w:r w:rsidRPr="003E2DBE">
              <w:rPr>
                <w:rFonts w:cs="Calibri"/>
                <w:b/>
                <w:bCs/>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 7.9</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(1 151.5</w:t>
            </w:r>
            <w:r w:rsidRPr="003E2DBE">
              <w:rPr>
                <w:rFonts w:cs="Calibri"/>
                <w:b/>
                <w:bCs/>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 22.0</w:t>
            </w:r>
          </w:p>
        </w:tc>
      </w:tr>
      <w:tr w:rsidR="000B4A1E" w:rsidRPr="003E2DBE" w:rsidTr="00517E51">
        <w:trPr>
          <w:divId w:val="268008857"/>
        </w:trPr>
        <w:tc>
          <w:tcPr>
            <w:tcW w:w="3617" w:type="dxa"/>
            <w:gridSpan w:val="2"/>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19"/>
                <w:szCs w:val="21"/>
                <w:lang w:eastAsia="en-AU"/>
              </w:rPr>
            </w:pPr>
            <w:r w:rsidRPr="003E2DBE">
              <w:rPr>
                <w:b/>
                <w:bCs/>
                <w:sz w:val="19"/>
                <w:szCs w:val="21"/>
                <w:lang w:eastAsia="en-AU"/>
              </w:rPr>
              <w:t>Cash flows from financing activities</w:t>
            </w:r>
          </w:p>
        </w:tc>
        <w:tc>
          <w:tcPr>
            <w:tcW w:w="107" w:type="dxa"/>
            <w:tcBorders>
              <w:top w:val="nil"/>
              <w:left w:val="nil"/>
              <w:bottom w:val="nil"/>
              <w:right w:val="nil"/>
            </w:tcBorders>
            <w:shd w:val="clear" w:color="auto" w:fill="auto"/>
            <w:noWrap/>
            <w:vAlign w:val="bottom"/>
            <w:hideMark/>
          </w:tcPr>
          <w:p w:rsidR="000B4A1E" w:rsidRPr="003E2DBE" w:rsidRDefault="000B4A1E" w:rsidP="00517E51">
            <w:pPr>
              <w:pStyle w:val="TableTextCentred"/>
              <w:jc w:val="right"/>
              <w:rPr>
                <w:sz w:val="19"/>
                <w:szCs w:val="21"/>
                <w:lang w:eastAsia="en-AU"/>
              </w:rPr>
            </w:pPr>
            <w:r w:rsidRPr="003E2DBE">
              <w:rPr>
                <w:sz w:val="19"/>
                <w:szCs w:val="21"/>
                <w:lang w:eastAsia="en-AU"/>
              </w:rPr>
              <w:t xml:space="preserve"> </w:t>
            </w:r>
          </w:p>
        </w:tc>
        <w:tc>
          <w:tcPr>
            <w:tcW w:w="824" w:type="dxa"/>
            <w:tcBorders>
              <w:top w:val="nil"/>
              <w:left w:val="nil"/>
              <w:bottom w:val="nil"/>
              <w:right w:val="nil"/>
            </w:tcBorders>
            <w:shd w:val="clear" w:color="000000" w:fill="FFFFFF"/>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sz w:val="19"/>
                <w:szCs w:val="21"/>
                <w:lang w:eastAsia="en-AU"/>
              </w:rPr>
            </w:pPr>
            <w:r w:rsidRPr="003E2DBE">
              <w:rPr>
                <w:sz w:val="19"/>
                <w:szCs w:val="21"/>
                <w:lang w:eastAsia="en-AU"/>
              </w:rPr>
              <w:t xml:space="preserve">  </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Advances received (net)</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Pr>
                <w:sz w:val="19"/>
                <w:szCs w:val="21"/>
                <w:lang w:eastAsia="en-AU"/>
              </w:rPr>
              <w:t>..</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Pr>
                <w:sz w:val="19"/>
                <w:szCs w:val="21"/>
                <w:lang w:eastAsia="en-AU"/>
              </w:rPr>
              <w:t>..</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(0.2</w:t>
            </w:r>
            <w:r w:rsidRPr="003E2DBE">
              <w:rPr>
                <w:rFonts w:cs="Calibri"/>
                <w:sz w:val="19"/>
                <w:szCs w:val="21"/>
                <w:lang w:eastAsia="en-AU"/>
              </w:rPr>
              <w:t>)</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(0.2</w:t>
            </w:r>
            <w:r w:rsidRPr="003E2DBE">
              <w:rPr>
                <w:rFonts w:cs="Calibri"/>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n.</w:t>
            </w:r>
            <w:r w:rsidRPr="003E2DBE">
              <w:rPr>
                <w:rFonts w:cs="Calibri"/>
                <w:sz w:val="19"/>
                <w:szCs w:val="21"/>
                <w:lang w:eastAsia="en-AU"/>
              </w:rPr>
              <w:t>a.</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(0.2</w:t>
            </w:r>
            <w:r w:rsidRPr="003E2DBE">
              <w:rPr>
                <w:rFonts w:cs="Calibri"/>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8.3</w:t>
            </w:r>
            <w:r w:rsidRPr="003E2DBE">
              <w:rPr>
                <w:rFonts w:cs="Calibri"/>
                <w:sz w:val="19"/>
                <w:szCs w:val="22"/>
                <w:lang w:eastAsia="en-AU"/>
              </w:rPr>
              <w:t>)</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Net borrowings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4 </w:t>
            </w:r>
            <w:r w:rsidRPr="003E2DBE">
              <w:rPr>
                <w:rFonts w:cs="Calibri"/>
                <w:sz w:val="19"/>
                <w:szCs w:val="21"/>
                <w:lang w:eastAsia="en-AU"/>
              </w:rPr>
              <w:t>122.8</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3 </w:t>
            </w:r>
            <w:r w:rsidRPr="003E2DBE">
              <w:rPr>
                <w:rFonts w:cs="Calibri"/>
                <w:sz w:val="19"/>
                <w:szCs w:val="21"/>
                <w:lang w:eastAsia="en-AU"/>
              </w:rPr>
              <w:t>603.5</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3 </w:t>
            </w:r>
            <w:r w:rsidRPr="003E2DBE">
              <w:rPr>
                <w:rFonts w:cs="Calibri"/>
                <w:sz w:val="19"/>
                <w:szCs w:val="21"/>
                <w:lang w:eastAsia="en-AU"/>
              </w:rPr>
              <w:t>561.5</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(561.3</w:t>
            </w:r>
            <w:r w:rsidRPr="003E2DBE">
              <w:rPr>
                <w:rFonts w:cs="Calibri"/>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13.6</w:t>
            </w:r>
            <w:r w:rsidRPr="003E2DBE">
              <w:rPr>
                <w:rFonts w:cs="Calibri"/>
                <w:sz w:val="19"/>
                <w:szCs w:val="22"/>
                <w:lang w:eastAsia="en-AU"/>
              </w:rPr>
              <w:t>)</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(42.0</w:t>
            </w:r>
            <w:r w:rsidRPr="003E2DBE">
              <w:rPr>
                <w:rFonts w:cs="Calibri"/>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w:t>
            </w:r>
            <w:r w:rsidRPr="003E2DBE">
              <w:rPr>
                <w:rFonts w:cs="Calibri"/>
                <w:sz w:val="19"/>
                <w:szCs w:val="21"/>
                <w:lang w:eastAsia="en-AU"/>
              </w:rPr>
              <w:t>1.2</w:t>
            </w:r>
            <w:r w:rsidRPr="003E2DBE">
              <w:rPr>
                <w:rFonts w:cs="Calibri"/>
                <w:sz w:val="19"/>
                <w:szCs w:val="22"/>
                <w:lang w:eastAsia="en-AU"/>
              </w:rPr>
              <w:t>)</w:t>
            </w:r>
          </w:p>
        </w:tc>
      </w:tr>
      <w:tr w:rsidR="000B4A1E" w:rsidRPr="003E2DBE" w:rsidTr="00517E51">
        <w:trPr>
          <w:divId w:val="268008857"/>
        </w:trPr>
        <w:tc>
          <w:tcPr>
            <w:tcW w:w="352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19"/>
                <w:szCs w:val="21"/>
                <w:lang w:eastAsia="en-AU"/>
              </w:rPr>
            </w:pPr>
            <w:r w:rsidRPr="003E2DBE">
              <w:rPr>
                <w:sz w:val="19"/>
                <w:szCs w:val="21"/>
                <w:lang w:eastAsia="en-AU"/>
              </w:rPr>
              <w:t>Deposits received (net)</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4.1</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4.1</w:t>
            </w:r>
          </w:p>
        </w:tc>
        <w:tc>
          <w:tcPr>
            <w:tcW w:w="97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82.9</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78.8</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n.</w:t>
            </w:r>
            <w:r w:rsidRPr="003E2DBE">
              <w:rPr>
                <w:rFonts w:cs="Calibri"/>
                <w:sz w:val="19"/>
                <w:szCs w:val="21"/>
                <w:lang w:eastAsia="en-AU"/>
              </w:rPr>
              <w:t>a</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78.8</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19"/>
                <w:szCs w:val="21"/>
                <w:lang w:eastAsia="en-AU"/>
              </w:rPr>
              <w:t>n.</w:t>
            </w:r>
            <w:r w:rsidRPr="003E2DBE">
              <w:rPr>
                <w:rFonts w:cs="Calibri"/>
                <w:sz w:val="19"/>
                <w:szCs w:val="21"/>
                <w:lang w:eastAsia="en-AU"/>
              </w:rPr>
              <w:t>a.</w:t>
            </w:r>
          </w:p>
        </w:tc>
      </w:tr>
      <w:tr w:rsidR="000B4A1E" w:rsidRPr="003E2DBE" w:rsidTr="00517E51">
        <w:trPr>
          <w:divId w:val="268008857"/>
        </w:trPr>
        <w:tc>
          <w:tcPr>
            <w:tcW w:w="3524" w:type="dxa"/>
            <w:tcBorders>
              <w:top w:val="nil"/>
              <w:left w:val="nil"/>
              <w:bottom w:val="nil"/>
              <w:right w:val="nil"/>
            </w:tcBorders>
            <w:shd w:val="clear" w:color="000000" w:fill="FFFFFF"/>
            <w:noWrap/>
            <w:vAlign w:val="bottom"/>
            <w:hideMark/>
          </w:tcPr>
          <w:p w:rsidR="000B4A1E" w:rsidRPr="003E2DBE" w:rsidRDefault="000B4A1E" w:rsidP="00517E51">
            <w:pPr>
              <w:pStyle w:val="Tabletext"/>
              <w:rPr>
                <w:sz w:val="19"/>
                <w:szCs w:val="21"/>
                <w:lang w:eastAsia="en-AU"/>
              </w:rPr>
            </w:pPr>
            <w:r w:rsidRPr="003E2DBE">
              <w:rPr>
                <w:sz w:val="19"/>
                <w:szCs w:val="21"/>
                <w:lang w:eastAsia="en-AU"/>
              </w:rPr>
              <w:t>Other financing (net)</w:t>
            </w:r>
          </w:p>
        </w:tc>
        <w:tc>
          <w:tcPr>
            <w:tcW w:w="93" w:type="dxa"/>
            <w:tcBorders>
              <w:top w:val="nil"/>
              <w:left w:val="nil"/>
              <w:bottom w:val="nil"/>
              <w:right w:val="nil"/>
            </w:tcBorders>
            <w:shd w:val="clear" w:color="000000" w:fill="FFFFFF"/>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Pr>
                <w:sz w:val="19"/>
                <w:szCs w:val="21"/>
                <w:lang w:eastAsia="en-AU"/>
              </w:rPr>
              <w:t>..</w:t>
            </w:r>
          </w:p>
        </w:tc>
        <w:tc>
          <w:tcPr>
            <w:tcW w:w="972"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Pr>
                <w:sz w:val="19"/>
                <w:szCs w:val="21"/>
                <w:lang w:eastAsia="en-AU"/>
              </w:rPr>
              <w:t>..</w:t>
            </w:r>
          </w:p>
        </w:tc>
        <w:tc>
          <w:tcPr>
            <w:tcW w:w="839"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Pr>
                <w:sz w:val="19"/>
                <w:szCs w:val="21"/>
                <w:lang w:eastAsia="en-AU"/>
              </w:rPr>
              <w:t>..</w:t>
            </w:r>
          </w:p>
        </w:tc>
        <w:tc>
          <w:tcPr>
            <w:tcW w:w="711"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sz w:val="19"/>
                <w:szCs w:val="21"/>
                <w:lang w:eastAsia="en-AU"/>
              </w:rPr>
            </w:pPr>
            <w:r w:rsidRPr="003E2DBE">
              <w:rPr>
                <w:sz w:val="19"/>
                <w:szCs w:val="21"/>
                <w:lang w:eastAsia="en-AU"/>
              </w:rPr>
              <w:t>0.0</w:t>
            </w:r>
          </w:p>
        </w:tc>
        <w:tc>
          <w:tcPr>
            <w:tcW w:w="867"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 w:val="19"/>
                <w:szCs w:val="21"/>
                <w:lang w:eastAsia="en-AU"/>
              </w:rPr>
            </w:pPr>
            <w:r>
              <w:rPr>
                <w:sz w:val="19"/>
                <w:szCs w:val="21"/>
                <w:lang w:eastAsia="en-AU"/>
              </w:rPr>
              <w:t>..</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w:t>
            </w:r>
          </w:p>
        </w:tc>
      </w:tr>
      <w:tr w:rsidR="000B4A1E" w:rsidRPr="003E2DBE" w:rsidTr="00517E51">
        <w:trPr>
          <w:divId w:val="268008857"/>
        </w:trPr>
        <w:tc>
          <w:tcPr>
            <w:tcW w:w="3524"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text"/>
              <w:rPr>
                <w:b/>
                <w:bCs/>
                <w:sz w:val="19"/>
                <w:szCs w:val="21"/>
                <w:lang w:eastAsia="en-AU"/>
              </w:rPr>
            </w:pPr>
            <w:r w:rsidRPr="003E2DBE">
              <w:rPr>
                <w:b/>
                <w:bCs/>
                <w:sz w:val="19"/>
                <w:szCs w:val="21"/>
                <w:lang w:eastAsia="en-AU"/>
              </w:rPr>
              <w:t>Net cash flows from financing activities</w:t>
            </w:r>
          </w:p>
        </w:tc>
        <w:tc>
          <w:tcPr>
            <w:tcW w:w="93"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TextCentred"/>
              <w:rPr>
                <w:rFonts w:cs="Calibri"/>
                <w:b/>
                <w:bCs/>
                <w:sz w:val="19"/>
                <w:szCs w:val="22"/>
                <w:lang w:eastAsia="en-AU"/>
              </w:rPr>
            </w:pPr>
            <w:r w:rsidRPr="003E2DBE">
              <w:rPr>
                <w:b/>
                <w:bCs/>
                <w:sz w:val="19"/>
                <w:szCs w:val="21"/>
                <w:lang w:eastAsia="en-AU"/>
              </w:rPr>
              <w:t xml:space="preserve"> </w:t>
            </w:r>
          </w:p>
        </w:tc>
        <w:tc>
          <w:tcPr>
            <w:tcW w:w="931" w:type="dxa"/>
            <w:gridSpan w:val="2"/>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4 </w:t>
            </w:r>
            <w:r w:rsidRPr="003E2DBE">
              <w:rPr>
                <w:rFonts w:cs="Calibri"/>
                <w:b/>
                <w:bCs/>
                <w:sz w:val="19"/>
                <w:szCs w:val="21"/>
                <w:lang w:eastAsia="en-AU"/>
              </w:rPr>
              <w:t>126.9</w:t>
            </w:r>
          </w:p>
        </w:tc>
        <w:tc>
          <w:tcPr>
            <w:tcW w:w="931"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3 </w:t>
            </w:r>
            <w:r w:rsidRPr="003E2DBE">
              <w:rPr>
                <w:rFonts w:cs="Calibri"/>
                <w:b/>
                <w:bCs/>
                <w:sz w:val="19"/>
                <w:szCs w:val="21"/>
                <w:lang w:eastAsia="en-AU"/>
              </w:rPr>
              <w:t>607.6</w:t>
            </w:r>
          </w:p>
        </w:tc>
        <w:tc>
          <w:tcPr>
            <w:tcW w:w="972"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3 </w:t>
            </w:r>
            <w:r w:rsidRPr="003E2DBE">
              <w:rPr>
                <w:rFonts w:cs="Calibri"/>
                <w:b/>
                <w:bCs/>
                <w:sz w:val="19"/>
                <w:szCs w:val="21"/>
                <w:lang w:eastAsia="en-AU"/>
              </w:rPr>
              <w:t>644.2</w:t>
            </w:r>
          </w:p>
        </w:tc>
        <w:tc>
          <w:tcPr>
            <w:tcW w:w="839"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(482.6</w:t>
            </w:r>
            <w:r w:rsidRPr="003E2DBE">
              <w:rPr>
                <w:rFonts w:cs="Calibri"/>
                <w:b/>
                <w:bCs/>
                <w:sz w:val="19"/>
                <w:szCs w:val="21"/>
                <w:lang w:eastAsia="en-AU"/>
              </w:rPr>
              <w:t>)</w:t>
            </w:r>
          </w:p>
        </w:tc>
        <w:tc>
          <w:tcPr>
            <w:tcW w:w="711" w:type="dxa"/>
            <w:gridSpan w:val="3"/>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 xml:space="preserve">( </w:t>
            </w:r>
            <w:r w:rsidRPr="003E2DBE">
              <w:rPr>
                <w:rFonts w:cs="Calibri"/>
                <w:b/>
                <w:bCs/>
                <w:sz w:val="19"/>
                <w:szCs w:val="21"/>
                <w:lang w:eastAsia="en-AU"/>
              </w:rPr>
              <w:t>11.7</w:t>
            </w:r>
            <w:r w:rsidRPr="003E2DBE">
              <w:rPr>
                <w:rFonts w:cs="Calibri"/>
                <w:b/>
                <w:bCs/>
                <w:sz w:val="19"/>
                <w:szCs w:val="22"/>
                <w:lang w:eastAsia="en-AU"/>
              </w:rPr>
              <w:t>)</w:t>
            </w:r>
          </w:p>
        </w:tc>
        <w:tc>
          <w:tcPr>
            <w:tcW w:w="867" w:type="dxa"/>
            <w:gridSpan w:val="2"/>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 36.6</w:t>
            </w:r>
          </w:p>
        </w:tc>
        <w:tc>
          <w:tcPr>
            <w:tcW w:w="848" w:type="dxa"/>
            <w:gridSpan w:val="2"/>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 1.0</w:t>
            </w:r>
          </w:p>
        </w:tc>
      </w:tr>
      <w:tr w:rsidR="000B4A1E" w:rsidRPr="003E2DBE" w:rsidTr="00517E51">
        <w:trPr>
          <w:divId w:val="268008857"/>
        </w:trPr>
        <w:tc>
          <w:tcPr>
            <w:tcW w:w="3524" w:type="dxa"/>
            <w:tcBorders>
              <w:top w:val="nil"/>
              <w:left w:val="nil"/>
              <w:bottom w:val="nil"/>
              <w:right w:val="nil"/>
            </w:tcBorders>
            <w:shd w:val="clear" w:color="auto" w:fill="auto"/>
            <w:vAlign w:val="bottom"/>
            <w:hideMark/>
          </w:tcPr>
          <w:p w:rsidR="000B4A1E" w:rsidRPr="003E2DBE" w:rsidRDefault="000B4A1E" w:rsidP="00517E51">
            <w:pPr>
              <w:pStyle w:val="Tabletext"/>
              <w:rPr>
                <w:b/>
                <w:bCs/>
                <w:sz w:val="19"/>
                <w:szCs w:val="21"/>
                <w:lang w:eastAsia="en-AU"/>
              </w:rPr>
            </w:pPr>
            <w:r w:rsidRPr="003E2DBE">
              <w:rPr>
                <w:b/>
                <w:bCs/>
                <w:sz w:val="19"/>
                <w:szCs w:val="21"/>
                <w:lang w:eastAsia="en-AU"/>
              </w:rPr>
              <w:t>Net increase/(decrease) in cash and cash equivalents</w:t>
            </w:r>
          </w:p>
        </w:tc>
        <w:tc>
          <w:tcPr>
            <w:tcW w:w="93" w:type="dxa"/>
            <w:tcBorders>
              <w:top w:val="nil"/>
              <w:left w:val="nil"/>
              <w:bottom w:val="nil"/>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 222.7</w:t>
            </w:r>
          </w:p>
        </w:tc>
        <w:tc>
          <w:tcPr>
            <w:tcW w:w="93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 108.8</w:t>
            </w:r>
          </w:p>
        </w:tc>
        <w:tc>
          <w:tcPr>
            <w:tcW w:w="972"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(1 039.4</w:t>
            </w:r>
            <w:r w:rsidRPr="003E2DBE">
              <w:rPr>
                <w:rFonts w:cs="Calibri"/>
                <w:b/>
                <w:bCs/>
                <w:sz w:val="19"/>
                <w:szCs w:val="21"/>
                <w:lang w:eastAsia="en-AU"/>
              </w:rPr>
              <w:t>)</w:t>
            </w:r>
          </w:p>
        </w:tc>
        <w:tc>
          <w:tcPr>
            <w:tcW w:w="83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(1 262.0</w:t>
            </w:r>
            <w:r w:rsidRPr="003E2DBE">
              <w:rPr>
                <w:rFonts w:cs="Calibri"/>
                <w:b/>
                <w:bCs/>
                <w:sz w:val="19"/>
                <w:szCs w:val="21"/>
                <w:lang w:eastAsia="en-AU"/>
              </w:rPr>
              <w:t>)</w:t>
            </w:r>
          </w:p>
        </w:tc>
        <w:tc>
          <w:tcPr>
            <w:tcW w:w="71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n.</w:t>
            </w:r>
            <w:r w:rsidRPr="003E2DBE">
              <w:rPr>
                <w:rFonts w:cs="Calibri"/>
                <w:b/>
                <w:bCs/>
                <w:sz w:val="19"/>
                <w:szCs w:val="21"/>
                <w:lang w:eastAsia="en-AU"/>
              </w:rPr>
              <w:t>a</w:t>
            </w:r>
            <w:r w:rsidRPr="003E2DBE">
              <w:rPr>
                <w:rFonts w:cs="Calibri"/>
                <w:b/>
                <w:bCs/>
                <w:sz w:val="19"/>
                <w:szCs w:val="22"/>
                <w:lang w:eastAsia="en-AU"/>
              </w:rPr>
              <w:t>.</w:t>
            </w:r>
          </w:p>
        </w:tc>
        <w:tc>
          <w:tcPr>
            <w:tcW w:w="867"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(1</w:t>
            </w:r>
            <w:r w:rsidRPr="003E2DBE">
              <w:rPr>
                <w:rFonts w:cs="Calibri"/>
                <w:b/>
                <w:bCs/>
                <w:sz w:val="19"/>
                <w:szCs w:val="21"/>
                <w:lang w:eastAsia="en-AU"/>
              </w:rPr>
              <w:t xml:space="preserve"> </w:t>
            </w:r>
            <w:r w:rsidRPr="003E2DBE">
              <w:rPr>
                <w:rFonts w:cs="Calibri"/>
                <w:b/>
                <w:bCs/>
                <w:sz w:val="19"/>
                <w:szCs w:val="22"/>
                <w:lang w:eastAsia="en-AU"/>
              </w:rPr>
              <w:t>148.2)</w:t>
            </w:r>
          </w:p>
        </w:tc>
        <w:tc>
          <w:tcPr>
            <w:tcW w:w="848"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n.</w:t>
            </w:r>
            <w:r w:rsidRPr="003E2DBE">
              <w:rPr>
                <w:rFonts w:cs="Calibri"/>
                <w:b/>
                <w:bCs/>
                <w:sz w:val="19"/>
                <w:szCs w:val="21"/>
                <w:lang w:eastAsia="en-AU"/>
              </w:rPr>
              <w:t>a</w:t>
            </w:r>
            <w:r w:rsidRPr="003E2DBE">
              <w:rPr>
                <w:rFonts w:cs="Calibri"/>
                <w:b/>
                <w:bCs/>
                <w:sz w:val="19"/>
                <w:szCs w:val="22"/>
                <w:lang w:eastAsia="en-AU"/>
              </w:rPr>
              <w:t>.</w:t>
            </w:r>
          </w:p>
        </w:tc>
      </w:tr>
      <w:tr w:rsidR="000B4A1E" w:rsidRPr="003E2DBE" w:rsidTr="00517E51">
        <w:trPr>
          <w:divId w:val="268008857"/>
        </w:trPr>
        <w:tc>
          <w:tcPr>
            <w:tcW w:w="3524" w:type="dxa"/>
            <w:tcBorders>
              <w:top w:val="nil"/>
              <w:left w:val="nil"/>
              <w:bottom w:val="single" w:sz="4" w:space="0" w:color="auto"/>
              <w:right w:val="nil"/>
            </w:tcBorders>
            <w:shd w:val="clear" w:color="auto" w:fill="auto"/>
            <w:vAlign w:val="bottom"/>
            <w:hideMark/>
          </w:tcPr>
          <w:p w:rsidR="000B4A1E" w:rsidRPr="003E2DBE" w:rsidRDefault="000B4A1E" w:rsidP="00517E51">
            <w:pPr>
              <w:pStyle w:val="Tabletext"/>
              <w:rPr>
                <w:sz w:val="19"/>
                <w:szCs w:val="21"/>
                <w:lang w:eastAsia="en-AU"/>
              </w:rPr>
            </w:pPr>
            <w:r w:rsidRPr="003E2DBE">
              <w:rPr>
                <w:sz w:val="19"/>
                <w:szCs w:val="21"/>
                <w:lang w:eastAsia="en-AU"/>
              </w:rPr>
              <w:t>Cash and cash equivalents at beginning of reporting period</w:t>
            </w:r>
          </w:p>
        </w:tc>
        <w:tc>
          <w:tcPr>
            <w:tcW w:w="9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Centred"/>
              <w:rPr>
                <w:rFonts w:cs="Calibri"/>
                <w:i/>
                <w:iCs/>
                <w:sz w:val="19"/>
                <w:szCs w:val="22"/>
                <w:lang w:eastAsia="en-AU"/>
              </w:rPr>
            </w:pPr>
            <w:r w:rsidRPr="003E2DBE">
              <w:rPr>
                <w:sz w:val="19"/>
                <w:szCs w:val="21"/>
                <w:lang w:eastAsia="en-AU"/>
              </w:rPr>
              <w:t xml:space="preserve"> </w:t>
            </w:r>
          </w:p>
        </w:tc>
        <w:tc>
          <w:tcPr>
            <w:tcW w:w="931" w:type="dxa"/>
            <w:gridSpan w:val="2"/>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4 </w:t>
            </w:r>
            <w:r w:rsidRPr="003E2DBE">
              <w:rPr>
                <w:rFonts w:cs="Calibri"/>
                <w:sz w:val="19"/>
                <w:szCs w:val="21"/>
                <w:lang w:eastAsia="en-AU"/>
              </w:rPr>
              <w:t>146.4</w:t>
            </w:r>
          </w:p>
        </w:tc>
        <w:tc>
          <w:tcPr>
            <w:tcW w:w="931"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4 </w:t>
            </w:r>
            <w:r w:rsidRPr="003E2DBE">
              <w:rPr>
                <w:rFonts w:cs="Calibri"/>
                <w:sz w:val="19"/>
                <w:szCs w:val="21"/>
                <w:lang w:eastAsia="en-AU"/>
              </w:rPr>
              <w:t>600.5</w:t>
            </w:r>
          </w:p>
        </w:tc>
        <w:tc>
          <w:tcPr>
            <w:tcW w:w="972"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5 </w:t>
            </w:r>
            <w:r w:rsidRPr="003E2DBE">
              <w:rPr>
                <w:rFonts w:cs="Calibri"/>
                <w:sz w:val="19"/>
                <w:szCs w:val="21"/>
                <w:lang w:eastAsia="en-AU"/>
              </w:rPr>
              <w:t>001.3</w:t>
            </w:r>
          </w:p>
        </w:tc>
        <w:tc>
          <w:tcPr>
            <w:tcW w:w="839"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855.0</w:t>
            </w:r>
          </w:p>
        </w:tc>
        <w:tc>
          <w:tcPr>
            <w:tcW w:w="711" w:type="dxa"/>
            <w:gridSpan w:val="3"/>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20.6</w:t>
            </w:r>
          </w:p>
        </w:tc>
        <w:tc>
          <w:tcPr>
            <w:tcW w:w="867"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1"/>
                <w:lang w:eastAsia="en-AU"/>
              </w:rPr>
            </w:pPr>
            <w:r w:rsidRPr="003E2DBE">
              <w:rPr>
                <w:sz w:val="19"/>
                <w:szCs w:val="21"/>
                <w:lang w:eastAsia="en-AU"/>
              </w:rPr>
              <w:t xml:space="preserve"> 400.8</w:t>
            </w:r>
          </w:p>
        </w:tc>
        <w:tc>
          <w:tcPr>
            <w:tcW w:w="848"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19"/>
                <w:szCs w:val="22"/>
                <w:lang w:eastAsia="en-AU"/>
              </w:rPr>
            </w:pPr>
            <w:r w:rsidRPr="003E2DBE">
              <w:rPr>
                <w:sz w:val="19"/>
                <w:szCs w:val="21"/>
                <w:lang w:eastAsia="en-AU"/>
              </w:rPr>
              <w:t xml:space="preserve"> 8.7</w:t>
            </w:r>
          </w:p>
        </w:tc>
      </w:tr>
      <w:tr w:rsidR="000B4A1E" w:rsidRPr="003E2DBE" w:rsidTr="00517E51">
        <w:trPr>
          <w:divId w:val="268008857"/>
        </w:trPr>
        <w:tc>
          <w:tcPr>
            <w:tcW w:w="352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sz w:val="19"/>
                <w:szCs w:val="21"/>
                <w:lang w:eastAsia="en-AU"/>
              </w:rPr>
            </w:pPr>
            <w:r w:rsidRPr="003E2DBE">
              <w:rPr>
                <w:b/>
                <w:bCs/>
                <w:sz w:val="19"/>
                <w:szCs w:val="21"/>
                <w:lang w:eastAsia="en-AU"/>
              </w:rPr>
              <w:t>Cash and cash equivalents at end of reporting period</w:t>
            </w:r>
          </w:p>
        </w:tc>
        <w:tc>
          <w:tcPr>
            <w:tcW w:w="9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Centred"/>
              <w:rPr>
                <w:rFonts w:cs="Calibri"/>
                <w:b/>
                <w:bCs/>
                <w:i/>
                <w:iCs/>
                <w:sz w:val="19"/>
                <w:szCs w:val="22"/>
                <w:lang w:eastAsia="en-AU"/>
              </w:rPr>
            </w:pPr>
            <w:r w:rsidRPr="003E2DBE">
              <w:rPr>
                <w:b/>
                <w:bCs/>
                <w:sz w:val="19"/>
                <w:szCs w:val="21"/>
                <w:lang w:eastAsia="en-AU"/>
              </w:rPr>
              <w:t xml:space="preserve"> </w:t>
            </w:r>
          </w:p>
        </w:tc>
        <w:tc>
          <w:tcPr>
            <w:tcW w:w="931" w:type="dxa"/>
            <w:gridSpan w:val="2"/>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4 </w:t>
            </w:r>
            <w:r w:rsidRPr="003E2DBE">
              <w:rPr>
                <w:rFonts w:cs="Calibri"/>
                <w:b/>
                <w:bCs/>
                <w:sz w:val="19"/>
                <w:szCs w:val="21"/>
                <w:lang w:eastAsia="en-AU"/>
              </w:rPr>
              <w:t>369.0</w:t>
            </w:r>
          </w:p>
        </w:tc>
        <w:tc>
          <w:tcPr>
            <w:tcW w:w="931"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 xml:space="preserve">4 </w:t>
            </w:r>
            <w:r w:rsidRPr="003E2DBE">
              <w:rPr>
                <w:rFonts w:cs="Calibri"/>
                <w:b/>
                <w:bCs/>
                <w:sz w:val="19"/>
                <w:szCs w:val="21"/>
                <w:lang w:eastAsia="en-AU"/>
              </w:rPr>
              <w:t>709.3</w:t>
            </w:r>
          </w:p>
        </w:tc>
        <w:tc>
          <w:tcPr>
            <w:tcW w:w="972"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 w:val="19"/>
                <w:szCs w:val="21"/>
                <w:lang w:eastAsia="en-AU"/>
              </w:rPr>
            </w:pPr>
            <w:r w:rsidRPr="003E2DBE">
              <w:rPr>
                <w:b/>
                <w:bCs/>
                <w:sz w:val="19"/>
                <w:szCs w:val="21"/>
                <w:lang w:eastAsia="en-AU"/>
              </w:rPr>
              <w:t xml:space="preserve">3 </w:t>
            </w:r>
            <w:r w:rsidRPr="003E2DBE">
              <w:rPr>
                <w:rFonts w:cs="Calibri"/>
                <w:b/>
                <w:bCs/>
                <w:sz w:val="19"/>
                <w:szCs w:val="21"/>
                <w:lang w:eastAsia="en-AU"/>
              </w:rPr>
              <w:t>962.0</w:t>
            </w:r>
          </w:p>
        </w:tc>
        <w:tc>
          <w:tcPr>
            <w:tcW w:w="839"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(407.0</w:t>
            </w:r>
            <w:r w:rsidRPr="003E2DBE">
              <w:rPr>
                <w:rFonts w:cs="Calibri"/>
                <w:b/>
                <w:bCs/>
                <w:sz w:val="19"/>
                <w:szCs w:val="21"/>
                <w:lang w:eastAsia="en-AU"/>
              </w:rPr>
              <w:t>)</w:t>
            </w:r>
          </w:p>
        </w:tc>
        <w:tc>
          <w:tcPr>
            <w:tcW w:w="711" w:type="dxa"/>
            <w:gridSpan w:val="3"/>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 xml:space="preserve">( </w:t>
            </w:r>
            <w:r w:rsidRPr="003E2DBE">
              <w:rPr>
                <w:rFonts w:cs="Calibri"/>
                <w:b/>
                <w:bCs/>
                <w:sz w:val="19"/>
                <w:szCs w:val="21"/>
                <w:lang w:eastAsia="en-AU"/>
              </w:rPr>
              <w:t>9.3</w:t>
            </w:r>
            <w:r w:rsidRPr="003E2DBE">
              <w:rPr>
                <w:rFonts w:cs="Calibri"/>
                <w:b/>
                <w:bCs/>
                <w:sz w:val="19"/>
                <w:szCs w:val="22"/>
                <w:lang w:eastAsia="en-AU"/>
              </w:rPr>
              <w:t>)</w:t>
            </w:r>
          </w:p>
        </w:tc>
        <w:tc>
          <w:tcPr>
            <w:tcW w:w="867"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(747.3</w:t>
            </w:r>
            <w:r w:rsidRPr="003E2DBE">
              <w:rPr>
                <w:rFonts w:cs="Calibri"/>
                <w:b/>
                <w:bCs/>
                <w:sz w:val="19"/>
                <w:szCs w:val="21"/>
                <w:lang w:eastAsia="en-AU"/>
              </w:rPr>
              <w:t>)</w:t>
            </w:r>
          </w:p>
        </w:tc>
        <w:tc>
          <w:tcPr>
            <w:tcW w:w="848"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19"/>
                <w:szCs w:val="22"/>
                <w:lang w:eastAsia="en-AU"/>
              </w:rPr>
            </w:pPr>
            <w:r w:rsidRPr="003E2DBE">
              <w:rPr>
                <w:b/>
                <w:bCs/>
                <w:sz w:val="19"/>
                <w:szCs w:val="21"/>
                <w:lang w:eastAsia="en-AU"/>
              </w:rPr>
              <w:t xml:space="preserve">( </w:t>
            </w:r>
            <w:r w:rsidRPr="003E2DBE">
              <w:rPr>
                <w:rFonts w:cs="Calibri"/>
                <w:b/>
                <w:bCs/>
                <w:sz w:val="19"/>
                <w:szCs w:val="21"/>
                <w:lang w:eastAsia="en-AU"/>
              </w:rPr>
              <w:t>15.9</w:t>
            </w:r>
            <w:r w:rsidRPr="003E2DBE">
              <w:rPr>
                <w:rFonts w:cs="Calibri"/>
                <w:b/>
                <w:bCs/>
                <w:sz w:val="19"/>
                <w:szCs w:val="22"/>
                <w:lang w:eastAsia="en-AU"/>
              </w:rPr>
              <w:t>)</w:t>
            </w:r>
          </w:p>
        </w:tc>
      </w:tr>
    </w:tbl>
    <w:bookmarkEnd w:id="93"/>
    <w:p w:rsidR="000B4A1E" w:rsidRPr="0051380F" w:rsidRDefault="000B4A1E" w:rsidP="00517E51">
      <w:pPr>
        <w:pStyle w:val="Heading2Notes"/>
        <w:rPr>
          <w:i/>
        </w:rPr>
      </w:pPr>
      <w:r w:rsidRPr="00D00665">
        <w:lastRenderedPageBreak/>
        <w:t>Note 31:</w:t>
      </w:r>
      <w:r w:rsidRPr="00D00665">
        <w:tab/>
        <w:t>Explanations of material variances between budget and actual outcomes</w:t>
      </w:r>
      <w:r>
        <w:t xml:space="preserve"> </w:t>
      </w:r>
      <w:r>
        <w:rPr>
          <w:i/>
        </w:rPr>
        <w:t>(continued)</w:t>
      </w:r>
    </w:p>
    <w:p w:rsidR="000B4A1E" w:rsidRPr="00D00665" w:rsidRDefault="000B4A1E" w:rsidP="00517E51">
      <w:pPr>
        <w:pStyle w:val="Heading5"/>
      </w:pPr>
      <w:r w:rsidRPr="00D00665">
        <w:t>Net cash flows from operating activities</w:t>
      </w:r>
    </w:p>
    <w:p w:rsidR="000B4A1E" w:rsidRPr="00D00665" w:rsidRDefault="000B4A1E" w:rsidP="00517E51">
      <w:r w:rsidRPr="00D00665">
        <w:t>The major variations between the actual outcomes and the original published budget for net cash flows from operations are largely consistent with the drivers of the movements in the operating statement. A reconciliation of the net result to net cash from operating activities is provided at Note 29(b).</w:t>
      </w:r>
    </w:p>
    <w:p w:rsidR="000B4A1E" w:rsidRPr="00D00665" w:rsidRDefault="000B4A1E" w:rsidP="00517E51">
      <w:pPr>
        <w:rPr>
          <w:rFonts w:ascii="Calibri" w:hAnsi="Calibri"/>
          <w:b/>
        </w:rPr>
      </w:pPr>
      <w:r w:rsidRPr="00D00665">
        <w:t>However, in summary cash flows from operating activities were $314</w:t>
      </w:r>
      <w:r>
        <w:t> million</w:t>
      </w:r>
      <w:r w:rsidRPr="00D00665">
        <w:t xml:space="preserve"> lower than the original published budget. This was driven by lower than budgeted total receipts of $430</w:t>
      </w:r>
      <w:r>
        <w:t> million</w:t>
      </w:r>
      <w:r w:rsidRPr="00D00665">
        <w:t xml:space="preserve"> primarily reflecting a decrease in taxes received and grants. This was partially offset by an increase in total payments of $116</w:t>
      </w:r>
      <w:r>
        <w:t> million</w:t>
      </w:r>
      <w:r w:rsidRPr="00D00665">
        <w:t>, largely related to grants and subsidies and goods and services, as outlined in the operating statement movement explanations.</w:t>
      </w:r>
    </w:p>
    <w:p w:rsidR="000B4A1E" w:rsidRPr="00D00665" w:rsidRDefault="000B4A1E" w:rsidP="00517E51">
      <w:pPr>
        <w:pStyle w:val="Heading5"/>
      </w:pPr>
      <w:r w:rsidRPr="00D00665">
        <w:t>Net cash flows from investing activities</w:t>
      </w:r>
    </w:p>
    <w:p w:rsidR="000B4A1E" w:rsidRDefault="000B4A1E" w:rsidP="00517E51">
      <w:r w:rsidRPr="00D00665">
        <w:t>Total net investment activities in fixed assets and investments in other sectors was $592</w:t>
      </w:r>
      <w:r>
        <w:t> million</w:t>
      </w:r>
      <w:r w:rsidRPr="00D00665">
        <w:t xml:space="preserve"> lower than the original budget. </w:t>
      </w:r>
      <w:r>
        <w:t xml:space="preserve">This primarily reflects the change in the way public transport infrastructure is funded and acquired following the establishment of the Public Transport Development Authority (Public Transport Victoria) in April 2012. As a result, the classification of most cash flows between the authority and the transport portfolio entities have changed between ‘cash flows from investments in non-financial assets’ and ‘net cash flows from investments in financial assets for policy purposes’. </w:t>
      </w:r>
    </w:p>
    <w:p w:rsidR="000B4A1E" w:rsidRPr="00F872C9" w:rsidRDefault="000B4A1E" w:rsidP="00517E51">
      <w:pPr>
        <w:pStyle w:val="Heading2NotesContd"/>
        <w:rPr>
          <w:i/>
        </w:rPr>
      </w:pPr>
      <w:r w:rsidRPr="00D00665">
        <w:br w:type="page"/>
      </w:r>
      <w:r w:rsidRPr="00D00665">
        <w:lastRenderedPageBreak/>
        <w:t>Note 31:</w:t>
      </w:r>
      <w:r w:rsidRPr="00D00665">
        <w:tab/>
        <w:t>Explanations of material variances between budget and actual outcomes</w:t>
      </w:r>
      <w:r>
        <w:t xml:space="preserve"> </w:t>
      </w:r>
      <w:r>
        <w:rPr>
          <w:i/>
        </w:rPr>
        <w:t>(continued)</w:t>
      </w:r>
    </w:p>
    <w:p w:rsidR="000B4A1E" w:rsidRPr="00D00665" w:rsidRDefault="000B4A1E" w:rsidP="00517E51">
      <w:pPr>
        <w:pStyle w:val="Heading5"/>
      </w:pPr>
      <w:r w:rsidRPr="00D00665">
        <w:t>(d)</w:t>
      </w:r>
      <w:r w:rsidRPr="00D00665">
        <w:tab/>
        <w:t>Consolidated statement of changes in equity</w:t>
      </w:r>
    </w:p>
    <w:p w:rsidR="000B4A1E" w:rsidRPr="003E2DBE" w:rsidRDefault="000B4A1E" w:rsidP="00517E51">
      <w:pPr>
        <w:pStyle w:val="million"/>
      </w:pPr>
      <w:r w:rsidRPr="00D00665">
        <w:t>($</w:t>
      </w:r>
      <w:r>
        <w:t> million</w:t>
      </w:r>
      <w:r w:rsidRPr="00D00665">
        <w:t>)</w:t>
      </w:r>
    </w:p>
    <w:tbl>
      <w:tblPr>
        <w:tblW w:w="9676" w:type="dxa"/>
        <w:tblInd w:w="29" w:type="dxa"/>
        <w:tblLayout w:type="fixed"/>
        <w:tblCellMar>
          <w:left w:w="43" w:type="dxa"/>
          <w:right w:w="43" w:type="dxa"/>
        </w:tblCellMar>
        <w:tblLook w:val="0000" w:firstRow="0" w:lastRow="0" w:firstColumn="0" w:lastColumn="0" w:noHBand="0" w:noVBand="0"/>
      </w:tblPr>
      <w:tblGrid>
        <w:gridCol w:w="7597"/>
        <w:gridCol w:w="2079"/>
      </w:tblGrid>
      <w:tr w:rsidR="000B4A1E" w:rsidRPr="003E2DBE" w:rsidTr="00517E51">
        <w:tc>
          <w:tcPr>
            <w:tcW w:w="5947" w:type="dxa"/>
            <w:tcBorders>
              <w:top w:val="single" w:sz="4" w:space="0" w:color="auto"/>
              <w:left w:val="single" w:sz="4" w:space="0" w:color="auto"/>
              <w:bottom w:val="single" w:sz="4" w:space="0" w:color="auto"/>
              <w:right w:val="nil"/>
            </w:tcBorders>
            <w:shd w:val="clear" w:color="auto" w:fill="000000"/>
          </w:tcPr>
          <w:p w:rsidR="000B4A1E" w:rsidRPr="003E2DBE" w:rsidRDefault="000B4A1E" w:rsidP="00517E51">
            <w:pPr>
              <w:pStyle w:val="TabletextheadingLeft"/>
              <w:rPr>
                <w:lang w:eastAsia="en-AU"/>
              </w:rPr>
            </w:pPr>
          </w:p>
          <w:p w:rsidR="000B4A1E" w:rsidRPr="003E2DBE" w:rsidRDefault="000B4A1E" w:rsidP="00517E51">
            <w:pPr>
              <w:pStyle w:val="TabletextheadingLeft"/>
              <w:rPr>
                <w:lang w:eastAsia="en-AU"/>
              </w:rPr>
            </w:pPr>
          </w:p>
          <w:p w:rsidR="000B4A1E" w:rsidRPr="003E2DBE" w:rsidRDefault="000B4A1E" w:rsidP="00517E51">
            <w:pPr>
              <w:pStyle w:val="TabletextheadingLeft"/>
              <w:rPr>
                <w:lang w:eastAsia="en-AU"/>
              </w:rPr>
            </w:pPr>
            <w:r w:rsidRPr="003E2DBE">
              <w:rPr>
                <w:lang w:eastAsia="en-AU"/>
              </w:rPr>
              <w:t>General government sector</w:t>
            </w:r>
          </w:p>
        </w:tc>
        <w:tc>
          <w:tcPr>
            <w:tcW w:w="1627" w:type="dxa"/>
            <w:tcBorders>
              <w:top w:val="single" w:sz="4" w:space="0" w:color="auto"/>
              <w:left w:val="nil"/>
              <w:bottom w:val="single" w:sz="4" w:space="0" w:color="auto"/>
              <w:right w:val="single" w:sz="4" w:space="0" w:color="auto"/>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r w:rsidRPr="003E2DBE">
              <w:rPr>
                <w:lang w:eastAsia="en-AU"/>
              </w:rPr>
              <w:t>Accumulated surplus/(deficit)</w:t>
            </w:r>
          </w:p>
        </w:tc>
      </w:tr>
      <w:tr w:rsidR="000B4A1E" w:rsidRPr="003E2DBE" w:rsidTr="00517E51">
        <w:tc>
          <w:tcPr>
            <w:tcW w:w="5947" w:type="dxa"/>
            <w:tcBorders>
              <w:top w:val="single" w:sz="4" w:space="0" w:color="auto"/>
              <w:left w:val="nil"/>
              <w:bottom w:val="nil"/>
              <w:right w:val="nil"/>
            </w:tcBorders>
          </w:tcPr>
          <w:p w:rsidR="000B4A1E" w:rsidRPr="003E2DBE" w:rsidRDefault="000B4A1E" w:rsidP="00517E51">
            <w:pPr>
              <w:pStyle w:val="Tabletext"/>
              <w:rPr>
                <w:b/>
                <w:bCs/>
                <w:lang w:eastAsia="en-AU"/>
              </w:rPr>
            </w:pPr>
            <w:r w:rsidRPr="003E2DBE">
              <w:rPr>
                <w:b/>
                <w:bCs/>
                <w:lang w:eastAsia="en-AU"/>
              </w:rPr>
              <w:t>2012-13 original budget</w:t>
            </w:r>
          </w:p>
        </w:tc>
        <w:tc>
          <w:tcPr>
            <w:tcW w:w="1627" w:type="dxa"/>
            <w:tcBorders>
              <w:top w:val="single" w:sz="4" w:space="0" w:color="auto"/>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Balance at 1 July 2012</w:t>
            </w:r>
          </w:p>
        </w:tc>
        <w:tc>
          <w:tcPr>
            <w:tcW w:w="162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38 </w:t>
            </w:r>
            <w:r w:rsidRPr="003E2DBE">
              <w:rPr>
                <w:rFonts w:eastAsiaTheme="minorEastAsia" w:cs="Calibri"/>
                <w:szCs w:val="22"/>
                <w:lang w:eastAsia="en-AU"/>
              </w:rPr>
              <w:t>029.0</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Net result for the year</w:t>
            </w:r>
          </w:p>
        </w:tc>
        <w:tc>
          <w:tcPr>
            <w:tcW w:w="162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92.4</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Other comprehensive income for the year</w:t>
            </w:r>
          </w:p>
        </w:tc>
        <w:tc>
          <w:tcPr>
            <w:tcW w:w="162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(20.0</w:t>
            </w:r>
            <w:r w:rsidRPr="003E2DBE">
              <w:rPr>
                <w:rFonts w:eastAsiaTheme="minorEastAsia" w:cs="Calibri"/>
                <w:szCs w:val="22"/>
                <w:lang w:eastAsia="en-AU"/>
              </w:rPr>
              <w:t>)</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Transactions with owners in their capacity as owners</w:t>
            </w:r>
          </w:p>
        </w:tc>
        <w:tc>
          <w:tcPr>
            <w:tcW w:w="162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47" w:type="dxa"/>
            <w:tcBorders>
              <w:top w:val="single" w:sz="6" w:space="0" w:color="auto"/>
              <w:left w:val="nil"/>
              <w:bottom w:val="single" w:sz="12" w:space="0" w:color="auto"/>
              <w:right w:val="nil"/>
            </w:tcBorders>
          </w:tcPr>
          <w:p w:rsidR="000B4A1E" w:rsidRPr="003E2DBE" w:rsidRDefault="000B4A1E" w:rsidP="00517E51">
            <w:pPr>
              <w:pStyle w:val="Tabletext"/>
              <w:rPr>
                <w:b/>
                <w:bCs/>
                <w:lang w:eastAsia="en-AU"/>
              </w:rPr>
            </w:pPr>
            <w:r w:rsidRPr="003E2DBE">
              <w:rPr>
                <w:b/>
                <w:bCs/>
                <w:lang w:eastAsia="en-AU"/>
              </w:rPr>
              <w:t>Total equity as at 30 June 2013</w:t>
            </w:r>
          </w:p>
        </w:tc>
        <w:tc>
          <w:tcPr>
            <w:tcW w:w="1627"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38 </w:t>
            </w:r>
            <w:r w:rsidRPr="003E2DBE">
              <w:rPr>
                <w:rFonts w:eastAsiaTheme="minorEastAsia" w:cs="Calibri"/>
                <w:b/>
                <w:bCs/>
                <w:szCs w:val="22"/>
                <w:lang w:eastAsia="en-AU"/>
              </w:rPr>
              <w:t>101.4</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b/>
                <w:bCs/>
                <w:lang w:eastAsia="en-AU"/>
              </w:rPr>
            </w:pPr>
            <w:r w:rsidRPr="003E2DBE">
              <w:rPr>
                <w:b/>
                <w:bCs/>
                <w:lang w:eastAsia="en-AU"/>
              </w:rPr>
              <w:t>2012-13 actual</w:t>
            </w:r>
          </w:p>
        </w:tc>
        <w:tc>
          <w:tcPr>
            <w:tcW w:w="1627"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c>
          <w:tcPr>
            <w:tcW w:w="5947" w:type="dxa"/>
            <w:tcBorders>
              <w:top w:val="nil"/>
              <w:left w:val="nil"/>
              <w:bottom w:val="nil"/>
              <w:right w:val="nil"/>
            </w:tcBorders>
            <w:shd w:val="solid" w:color="FFFFFF" w:fill="auto"/>
          </w:tcPr>
          <w:p w:rsidR="000B4A1E" w:rsidRPr="003E2DBE" w:rsidRDefault="000B4A1E" w:rsidP="00517E51">
            <w:pPr>
              <w:pStyle w:val="Tabletext"/>
              <w:rPr>
                <w:lang w:eastAsia="en-AU"/>
              </w:rPr>
            </w:pPr>
            <w:r w:rsidRPr="003E2DBE">
              <w:rPr>
                <w:lang w:eastAsia="en-AU"/>
              </w:rPr>
              <w:t>Balance at 1 July 2012</w:t>
            </w:r>
          </w:p>
        </w:tc>
        <w:tc>
          <w:tcPr>
            <w:tcW w:w="1627"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 xml:space="preserve">34 </w:t>
            </w:r>
            <w:r w:rsidRPr="003E2DBE">
              <w:rPr>
                <w:rFonts w:eastAsiaTheme="minorEastAsia" w:cs="Calibri"/>
                <w:szCs w:val="22"/>
                <w:lang w:eastAsia="en-AU"/>
              </w:rPr>
              <w:t>808.2</w:t>
            </w:r>
          </w:p>
        </w:tc>
      </w:tr>
      <w:tr w:rsidR="000B4A1E" w:rsidRPr="003E2DBE" w:rsidTr="00517E51">
        <w:tc>
          <w:tcPr>
            <w:tcW w:w="5947" w:type="dxa"/>
            <w:tcBorders>
              <w:top w:val="nil"/>
              <w:left w:val="nil"/>
              <w:bottom w:val="nil"/>
              <w:right w:val="nil"/>
            </w:tcBorders>
            <w:shd w:val="solid" w:color="FFFFFF" w:fill="auto"/>
          </w:tcPr>
          <w:p w:rsidR="000B4A1E" w:rsidRPr="003E2DBE" w:rsidRDefault="000B4A1E" w:rsidP="00517E51">
            <w:pPr>
              <w:pStyle w:val="Tabletext"/>
              <w:rPr>
                <w:lang w:eastAsia="en-AU"/>
              </w:rPr>
            </w:pPr>
            <w:r w:rsidRPr="003E2DBE">
              <w:rPr>
                <w:lang w:eastAsia="en-AU"/>
              </w:rPr>
              <w:t>Net result for the year</w:t>
            </w:r>
          </w:p>
        </w:tc>
        <w:tc>
          <w:tcPr>
            <w:tcW w:w="1627"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 xml:space="preserve">7 </w:t>
            </w:r>
            <w:r w:rsidRPr="003E2DBE">
              <w:rPr>
                <w:rFonts w:eastAsiaTheme="minorEastAsia" w:cs="Calibri"/>
                <w:szCs w:val="22"/>
                <w:lang w:eastAsia="en-AU"/>
              </w:rPr>
              <w:t>413.8</w:t>
            </w:r>
          </w:p>
        </w:tc>
      </w:tr>
      <w:tr w:rsidR="000B4A1E" w:rsidRPr="003E2DBE" w:rsidTr="00517E51">
        <w:tc>
          <w:tcPr>
            <w:tcW w:w="5947" w:type="dxa"/>
            <w:tcBorders>
              <w:top w:val="nil"/>
              <w:left w:val="nil"/>
              <w:bottom w:val="nil"/>
              <w:right w:val="nil"/>
            </w:tcBorders>
            <w:shd w:val="solid" w:color="FFFFFF" w:fill="auto"/>
          </w:tcPr>
          <w:p w:rsidR="000B4A1E" w:rsidRPr="003E2DBE" w:rsidRDefault="000B4A1E" w:rsidP="00517E51">
            <w:pPr>
              <w:pStyle w:val="Tabletext"/>
              <w:rPr>
                <w:lang w:eastAsia="en-AU"/>
              </w:rPr>
            </w:pPr>
            <w:r w:rsidRPr="003E2DBE">
              <w:rPr>
                <w:lang w:eastAsia="en-AU"/>
              </w:rPr>
              <w:t>Other comprehensive income for the year</w:t>
            </w:r>
          </w:p>
        </w:tc>
        <w:tc>
          <w:tcPr>
            <w:tcW w:w="1627"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 xml:space="preserve"> 952.6</w:t>
            </w:r>
          </w:p>
        </w:tc>
      </w:tr>
      <w:tr w:rsidR="000B4A1E" w:rsidRPr="003E2DBE" w:rsidTr="00517E51">
        <w:tc>
          <w:tcPr>
            <w:tcW w:w="5947" w:type="dxa"/>
            <w:tcBorders>
              <w:top w:val="nil"/>
              <w:left w:val="nil"/>
              <w:bottom w:val="single" w:sz="6" w:space="0" w:color="auto"/>
              <w:right w:val="nil"/>
            </w:tcBorders>
            <w:shd w:val="solid" w:color="FFFFFF" w:fill="auto"/>
          </w:tcPr>
          <w:p w:rsidR="000B4A1E" w:rsidRPr="003E2DBE" w:rsidRDefault="000B4A1E" w:rsidP="00517E51">
            <w:pPr>
              <w:pStyle w:val="Tabletext"/>
              <w:rPr>
                <w:lang w:eastAsia="en-AU"/>
              </w:rPr>
            </w:pPr>
            <w:r w:rsidRPr="003E2DBE">
              <w:rPr>
                <w:lang w:eastAsia="en-AU"/>
              </w:rPr>
              <w:t>Transactions with owners in their capacity as owners</w:t>
            </w:r>
          </w:p>
        </w:tc>
        <w:tc>
          <w:tcPr>
            <w:tcW w:w="1627"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47" w:type="dxa"/>
            <w:tcBorders>
              <w:top w:val="single" w:sz="6" w:space="0" w:color="auto"/>
              <w:left w:val="nil"/>
              <w:bottom w:val="single" w:sz="12" w:space="0" w:color="auto"/>
              <w:right w:val="nil"/>
            </w:tcBorders>
          </w:tcPr>
          <w:p w:rsidR="000B4A1E" w:rsidRPr="003E2DBE" w:rsidRDefault="000B4A1E" w:rsidP="00517E51">
            <w:pPr>
              <w:pStyle w:val="Tabletext"/>
              <w:rPr>
                <w:b/>
                <w:bCs/>
                <w:lang w:eastAsia="en-AU"/>
              </w:rPr>
            </w:pPr>
            <w:r w:rsidRPr="003E2DBE">
              <w:rPr>
                <w:b/>
                <w:bCs/>
                <w:lang w:eastAsia="en-AU"/>
              </w:rPr>
              <w:t>Total equity as at 30 June 2013</w:t>
            </w:r>
          </w:p>
        </w:tc>
        <w:tc>
          <w:tcPr>
            <w:tcW w:w="1627"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43 </w:t>
            </w:r>
            <w:r w:rsidRPr="003E2DBE">
              <w:rPr>
                <w:rFonts w:eastAsiaTheme="minorEastAsia" w:cs="Calibri"/>
                <w:b/>
                <w:bCs/>
                <w:szCs w:val="22"/>
                <w:lang w:eastAsia="en-AU"/>
              </w:rPr>
              <w:t>174.7</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b/>
                <w:bCs/>
                <w:lang w:eastAsia="en-AU"/>
              </w:rPr>
            </w:pPr>
            <w:r w:rsidRPr="003E2DBE">
              <w:rPr>
                <w:b/>
                <w:bCs/>
                <w:lang w:eastAsia="en-AU"/>
              </w:rPr>
              <w:t>Variance to original budget</w:t>
            </w:r>
          </w:p>
        </w:tc>
        <w:tc>
          <w:tcPr>
            <w:tcW w:w="1627"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Balance at 1 July 2012</w:t>
            </w:r>
          </w:p>
        </w:tc>
        <w:tc>
          <w:tcPr>
            <w:tcW w:w="162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(3</w:t>
            </w:r>
            <w:r w:rsidRPr="003E2DBE">
              <w:rPr>
                <w:rFonts w:eastAsiaTheme="minorEastAsia" w:cs="Calibri"/>
                <w:szCs w:val="22"/>
                <w:lang w:eastAsia="en-AU"/>
              </w:rPr>
              <w:t xml:space="preserve"> 220.8)</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Net result for the year</w:t>
            </w:r>
          </w:p>
        </w:tc>
        <w:tc>
          <w:tcPr>
            <w:tcW w:w="162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7 </w:t>
            </w:r>
            <w:r w:rsidRPr="003E2DBE">
              <w:rPr>
                <w:rFonts w:eastAsiaTheme="minorEastAsia" w:cs="Calibri"/>
                <w:szCs w:val="22"/>
                <w:lang w:eastAsia="en-AU"/>
              </w:rPr>
              <w:t>321.5</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Other comprehensive income for the year</w:t>
            </w:r>
          </w:p>
        </w:tc>
        <w:tc>
          <w:tcPr>
            <w:tcW w:w="162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972.6</w:t>
            </w:r>
          </w:p>
        </w:tc>
      </w:tr>
      <w:tr w:rsidR="000B4A1E" w:rsidRPr="003E2DBE" w:rsidTr="00517E51">
        <w:tc>
          <w:tcPr>
            <w:tcW w:w="5947"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Transactions with owners in their capacity as owners</w:t>
            </w:r>
          </w:p>
        </w:tc>
        <w:tc>
          <w:tcPr>
            <w:tcW w:w="1627"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47" w:type="dxa"/>
            <w:tcBorders>
              <w:top w:val="single" w:sz="6" w:space="0" w:color="auto"/>
              <w:left w:val="nil"/>
              <w:bottom w:val="single" w:sz="12" w:space="0" w:color="auto"/>
              <w:right w:val="nil"/>
            </w:tcBorders>
          </w:tcPr>
          <w:p w:rsidR="000B4A1E" w:rsidRPr="003E2DBE" w:rsidRDefault="000B4A1E" w:rsidP="00517E51">
            <w:pPr>
              <w:pStyle w:val="Tabletext"/>
              <w:rPr>
                <w:b/>
                <w:bCs/>
                <w:lang w:eastAsia="en-AU"/>
              </w:rPr>
            </w:pPr>
            <w:r w:rsidRPr="003E2DBE">
              <w:rPr>
                <w:b/>
                <w:bCs/>
                <w:lang w:eastAsia="en-AU"/>
              </w:rPr>
              <w:t>Total equity at end of the year</w:t>
            </w:r>
          </w:p>
        </w:tc>
        <w:tc>
          <w:tcPr>
            <w:tcW w:w="1627"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5 </w:t>
            </w:r>
            <w:r w:rsidRPr="003E2DBE">
              <w:rPr>
                <w:rFonts w:eastAsiaTheme="minorEastAsia" w:cs="Calibri"/>
                <w:b/>
                <w:bCs/>
                <w:szCs w:val="22"/>
                <w:lang w:eastAsia="en-AU"/>
              </w:rPr>
              <w:t>073.3</w:t>
            </w:r>
          </w:p>
        </w:tc>
      </w:tr>
    </w:tbl>
    <w:p w:rsidR="000B4A1E" w:rsidRPr="00D00665" w:rsidRDefault="000B4A1E" w:rsidP="00517E51">
      <w:pPr>
        <w:pStyle w:val="Notes"/>
      </w:pPr>
    </w:p>
    <w:p w:rsidR="000B4A1E" w:rsidRPr="00D00665" w:rsidRDefault="000B4A1E" w:rsidP="00517E51"/>
    <w:p w:rsidR="000B4A1E" w:rsidRPr="00D00665" w:rsidRDefault="000B4A1E" w:rsidP="00517E51">
      <w:r w:rsidRPr="00D00665">
        <w:t>The major variations between actual outcomes and the original published budget for the statement of changes in equity are largely addressed in the explanations provided previously.</w:t>
      </w:r>
    </w:p>
    <w:p w:rsidR="000B4A1E" w:rsidRPr="00D00665" w:rsidRDefault="000B4A1E" w:rsidP="00517E51">
      <w:pPr>
        <w:pStyle w:val="Heading2NotesContd"/>
      </w:pPr>
      <w:r w:rsidRPr="00D00665">
        <w:br w:type="page"/>
      </w:r>
    </w:p>
    <w:p w:rsidR="000B4A1E" w:rsidRPr="00D00665" w:rsidRDefault="000B4A1E" w:rsidP="00517E51">
      <w:pPr>
        <w:pStyle w:val="Heading5"/>
      </w:pPr>
      <w:r w:rsidRPr="00D00665">
        <w:lastRenderedPageBreak/>
        <w:br/>
      </w:r>
    </w:p>
    <w:p w:rsidR="000B4A1E" w:rsidRPr="00D00665" w:rsidRDefault="000B4A1E" w:rsidP="00517E51">
      <w:pPr>
        <w:spacing w:before="280"/>
      </w:pPr>
    </w:p>
    <w:p w:rsidR="000B4A1E" w:rsidRPr="003E2DBE" w:rsidRDefault="000B4A1E" w:rsidP="00517E51">
      <w:pPr>
        <w:pStyle w:val="million"/>
        <w:rPr>
          <w:rFonts w:ascii="Times New Roman" w:hAnsi="Times New Roman"/>
          <w:i w:val="0"/>
          <w:szCs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1994"/>
        <w:gridCol w:w="2340"/>
        <w:gridCol w:w="2340"/>
        <w:gridCol w:w="1620"/>
        <w:gridCol w:w="1382"/>
      </w:tblGrid>
      <w:tr w:rsidR="000B4A1E" w:rsidRPr="003E2DBE" w:rsidTr="00517E51">
        <w:tc>
          <w:tcPr>
            <w:tcW w:w="1994" w:type="dxa"/>
            <w:tcBorders>
              <w:top w:val="single" w:sz="4" w:space="0" w:color="auto"/>
              <w:left w:val="single" w:sz="4" w:space="0" w:color="auto"/>
              <w:bottom w:val="single" w:sz="4" w:space="0" w:color="auto"/>
              <w:right w:val="nil"/>
            </w:tcBorders>
            <w:shd w:val="clear" w:color="auto" w:fill="000000"/>
          </w:tcPr>
          <w:p w:rsidR="000B4A1E" w:rsidRPr="003E2DBE" w:rsidRDefault="000B4A1E" w:rsidP="00517E51">
            <w:pPr>
              <w:pStyle w:val="Tabletextheading"/>
              <w:rPr>
                <w:rFonts w:eastAsiaTheme="minorEastAsia"/>
              </w:rPr>
            </w:pPr>
          </w:p>
          <w:p w:rsidR="000B4A1E" w:rsidRPr="003E2DBE" w:rsidRDefault="000B4A1E" w:rsidP="00517E51">
            <w:pPr>
              <w:pStyle w:val="Tabletextheading"/>
              <w:rPr>
                <w:rFonts w:eastAsiaTheme="minorEastAsia"/>
              </w:rPr>
            </w:pPr>
            <w:r w:rsidRPr="003E2DBE">
              <w:rPr>
                <w:rFonts w:eastAsiaTheme="minorEastAsia"/>
              </w:rPr>
              <w:t>Non-controlling Interest</w:t>
            </w:r>
          </w:p>
        </w:tc>
        <w:tc>
          <w:tcPr>
            <w:tcW w:w="2340"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 xml:space="preserve">Property, plant </w:t>
            </w:r>
          </w:p>
          <w:p w:rsidR="000B4A1E" w:rsidRPr="003E2DBE" w:rsidRDefault="000B4A1E" w:rsidP="00517E51">
            <w:pPr>
              <w:pStyle w:val="Tabletextheading"/>
              <w:rPr>
                <w:lang w:eastAsia="en-AU"/>
              </w:rPr>
            </w:pPr>
            <w:r w:rsidRPr="003E2DBE">
              <w:rPr>
                <w:lang w:eastAsia="en-AU"/>
              </w:rPr>
              <w:t xml:space="preserve">and equipment </w:t>
            </w:r>
          </w:p>
          <w:p w:rsidR="000B4A1E" w:rsidRPr="003E2DBE" w:rsidRDefault="000B4A1E" w:rsidP="00517E51">
            <w:pPr>
              <w:pStyle w:val="Tabletextheading"/>
              <w:rPr>
                <w:lang w:eastAsia="en-AU"/>
              </w:rPr>
            </w:pPr>
            <w:r w:rsidRPr="003E2DBE">
              <w:rPr>
                <w:lang w:eastAsia="en-AU"/>
              </w:rPr>
              <w:t>revaluation surplus</w:t>
            </w:r>
          </w:p>
        </w:tc>
        <w:tc>
          <w:tcPr>
            <w:tcW w:w="2340"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 xml:space="preserve">Investment in other </w:t>
            </w:r>
          </w:p>
          <w:p w:rsidR="000B4A1E" w:rsidRPr="003E2DBE" w:rsidRDefault="000B4A1E" w:rsidP="00517E51">
            <w:pPr>
              <w:pStyle w:val="Tabletextheading"/>
              <w:rPr>
                <w:lang w:eastAsia="en-AU"/>
              </w:rPr>
            </w:pPr>
            <w:r w:rsidRPr="003E2DBE">
              <w:rPr>
                <w:lang w:eastAsia="en-AU"/>
              </w:rPr>
              <w:t xml:space="preserve">sector entities </w:t>
            </w:r>
          </w:p>
          <w:p w:rsidR="000B4A1E" w:rsidRPr="003E2DBE" w:rsidRDefault="000B4A1E" w:rsidP="00517E51">
            <w:pPr>
              <w:pStyle w:val="Tabletextheading"/>
              <w:rPr>
                <w:lang w:eastAsia="en-AU"/>
              </w:rPr>
            </w:pPr>
            <w:r w:rsidRPr="003E2DBE">
              <w:rPr>
                <w:lang w:eastAsia="en-AU"/>
              </w:rPr>
              <w:t>revaluation surplus</w:t>
            </w:r>
          </w:p>
        </w:tc>
        <w:tc>
          <w:tcPr>
            <w:tcW w:w="1620" w:type="dxa"/>
            <w:tcBorders>
              <w:top w:val="single" w:sz="4" w:space="0" w:color="auto"/>
              <w:left w:val="nil"/>
              <w:bottom w:val="single" w:sz="4" w:space="0" w:color="auto"/>
              <w:right w:val="nil"/>
            </w:tcBorders>
            <w:shd w:val="clear" w:color="auto" w:fill="000000"/>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r w:rsidRPr="003E2DBE">
              <w:rPr>
                <w:lang w:eastAsia="en-AU"/>
              </w:rPr>
              <w:t>Other reserves</w:t>
            </w:r>
          </w:p>
        </w:tc>
        <w:tc>
          <w:tcPr>
            <w:tcW w:w="1382" w:type="dxa"/>
            <w:tcBorders>
              <w:top w:val="single" w:sz="4" w:space="0" w:color="auto"/>
              <w:left w:val="nil"/>
              <w:bottom w:val="single" w:sz="4" w:space="0" w:color="auto"/>
              <w:right w:val="single" w:sz="4" w:space="0" w:color="auto"/>
            </w:tcBorders>
            <w:shd w:val="clear" w:color="auto" w:fill="000000"/>
          </w:tcPr>
          <w:p w:rsidR="000B4A1E" w:rsidRPr="003E2DBE" w:rsidRDefault="000B4A1E" w:rsidP="00517E51">
            <w:pPr>
              <w:pStyle w:val="Tabletextheading"/>
              <w:rPr>
                <w:rFonts w:cs="Calibri"/>
                <w:iCs/>
                <w:szCs w:val="22"/>
                <w:lang w:eastAsia="en-AU"/>
              </w:rPr>
            </w:pPr>
          </w:p>
          <w:p w:rsidR="000B4A1E" w:rsidRPr="003E2DBE" w:rsidRDefault="000B4A1E" w:rsidP="00517E51">
            <w:pPr>
              <w:pStyle w:val="Tabletextheading"/>
              <w:rPr>
                <w:rFonts w:cs="Calibri"/>
                <w:iCs/>
                <w:szCs w:val="22"/>
                <w:lang w:eastAsia="en-AU"/>
              </w:rPr>
            </w:pPr>
          </w:p>
          <w:p w:rsidR="000B4A1E" w:rsidRPr="003E2DBE" w:rsidRDefault="000B4A1E" w:rsidP="00517E51">
            <w:pPr>
              <w:pStyle w:val="Tabletextheading"/>
              <w:rPr>
                <w:rFonts w:cs="Calibri"/>
                <w:iCs/>
                <w:szCs w:val="22"/>
                <w:lang w:eastAsia="en-AU"/>
              </w:rPr>
            </w:pPr>
            <w:r w:rsidRPr="003E2DBE">
              <w:rPr>
                <w:rFonts w:cs="Calibri"/>
                <w:iCs/>
                <w:szCs w:val="22"/>
                <w:lang w:eastAsia="en-AU"/>
              </w:rPr>
              <w:t>Total</w:t>
            </w:r>
          </w:p>
        </w:tc>
      </w:tr>
      <w:tr w:rsidR="000B4A1E" w:rsidRPr="003E2DBE" w:rsidTr="00517E51">
        <w:tc>
          <w:tcPr>
            <w:tcW w:w="1994" w:type="dxa"/>
            <w:tcBorders>
              <w:top w:val="single" w:sz="4" w:space="0" w:color="auto"/>
              <w:left w:val="nil"/>
              <w:bottom w:val="nil"/>
              <w:right w:val="nil"/>
            </w:tcBorders>
          </w:tcPr>
          <w:p w:rsidR="000B4A1E" w:rsidRPr="003E2DBE" w:rsidRDefault="000B4A1E" w:rsidP="00517E51">
            <w:pPr>
              <w:pStyle w:val="TableofFigures"/>
              <w:rPr>
                <w:rFonts w:eastAsiaTheme="minorEastAsia"/>
              </w:rPr>
            </w:pPr>
            <w:r w:rsidRPr="003E2DBE">
              <w:rPr>
                <w:rFonts w:eastAsiaTheme="minorEastAsia"/>
              </w:rPr>
              <w:t xml:space="preserve">   </w:t>
            </w:r>
          </w:p>
        </w:tc>
        <w:tc>
          <w:tcPr>
            <w:tcW w:w="2340" w:type="dxa"/>
            <w:tcBorders>
              <w:top w:val="single" w:sz="4" w:space="0" w:color="auto"/>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2340" w:type="dxa"/>
            <w:tcBorders>
              <w:top w:val="single" w:sz="4" w:space="0" w:color="auto"/>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20" w:type="dxa"/>
            <w:tcBorders>
              <w:top w:val="single" w:sz="4" w:space="0" w:color="auto"/>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382" w:type="dxa"/>
            <w:tcBorders>
              <w:top w:val="single" w:sz="4" w:space="0" w:color="auto"/>
              <w:left w:val="nil"/>
              <w:bottom w:val="nil"/>
              <w:right w:val="nil"/>
            </w:tcBorders>
          </w:tcPr>
          <w:p w:rsidR="000B4A1E" w:rsidRPr="003E2DBE" w:rsidRDefault="000B4A1E" w:rsidP="00517E51">
            <w:pPr>
              <w:autoSpaceDE w:val="0"/>
              <w:autoSpaceDN w:val="0"/>
              <w:adjustRightInd w:val="0"/>
              <w:spacing w:after="0"/>
              <w:jc w:val="right"/>
              <w:rPr>
                <w:rFonts w:ascii="Calibri" w:hAnsi="Calibri" w:cs="Calibri"/>
                <w:sz w:val="22"/>
                <w:szCs w:val="22"/>
                <w:lang w:eastAsia="en-AU"/>
              </w:rPr>
            </w:pPr>
            <w:r w:rsidRPr="003E2DBE">
              <w:rPr>
                <w:rFonts w:ascii="Calibri" w:hAnsi="Calibri" w:cs="Calibri"/>
                <w:sz w:val="22"/>
                <w:szCs w:val="22"/>
                <w:lang w:eastAsia="en-AU"/>
              </w:rPr>
              <w:t xml:space="preserve"> </w:t>
            </w:r>
          </w:p>
        </w:tc>
      </w:tr>
      <w:tr w:rsidR="000B4A1E" w:rsidRPr="003E2DBE" w:rsidTr="00517E51">
        <w:tc>
          <w:tcPr>
            <w:tcW w:w="199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rPr>
              <w:t xml:space="preserve"> 48.5</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38 </w:t>
            </w:r>
            <w:r w:rsidRPr="003E2DBE">
              <w:rPr>
                <w:rFonts w:eastAsiaTheme="minorEastAsia" w:cs="Calibri"/>
                <w:szCs w:val="22"/>
                <w:lang w:eastAsia="en-AU"/>
              </w:rPr>
              <w:t>655.5</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38 </w:t>
            </w:r>
            <w:r w:rsidRPr="003E2DBE">
              <w:rPr>
                <w:rFonts w:eastAsiaTheme="minorEastAsia" w:cs="Calibri"/>
                <w:szCs w:val="22"/>
                <w:lang w:eastAsia="en-AU"/>
              </w:rPr>
              <w:t>675.2</w:t>
            </w:r>
          </w:p>
        </w:tc>
        <w:tc>
          <w:tcPr>
            <w:tcW w:w="162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028.2</w:t>
            </w:r>
          </w:p>
        </w:tc>
        <w:tc>
          <w:tcPr>
            <w:tcW w:w="1382"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116 </w:t>
            </w:r>
            <w:r w:rsidRPr="003E2DBE">
              <w:rPr>
                <w:rFonts w:ascii="Calibri" w:eastAsiaTheme="minorEastAsia" w:hAnsi="Calibri" w:cs="Calibri"/>
                <w:sz w:val="22"/>
                <w:szCs w:val="22"/>
                <w:lang w:eastAsia="en-AU"/>
              </w:rPr>
              <w:t>436.4</w:t>
            </w:r>
          </w:p>
        </w:tc>
      </w:tr>
      <w:tr w:rsidR="000B4A1E" w:rsidRPr="003E2DBE" w:rsidTr="00517E51">
        <w:tc>
          <w:tcPr>
            <w:tcW w:w="199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rPr>
              <w:t>..</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2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82"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92.4</w:t>
            </w:r>
          </w:p>
        </w:tc>
      </w:tr>
      <w:tr w:rsidR="000B4A1E" w:rsidRPr="003E2DBE" w:rsidTr="00517E51">
        <w:tc>
          <w:tcPr>
            <w:tcW w:w="199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rPr>
              <w:t>..</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526.2</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(746.6</w:t>
            </w:r>
            <w:r w:rsidRPr="003E2DBE">
              <w:rPr>
                <w:rFonts w:eastAsiaTheme="minorEastAsia" w:cs="Calibri"/>
                <w:szCs w:val="22"/>
                <w:lang w:eastAsia="en-AU"/>
              </w:rPr>
              <w:t>)</w:t>
            </w:r>
          </w:p>
        </w:tc>
        <w:tc>
          <w:tcPr>
            <w:tcW w:w="162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19.0</w:t>
            </w:r>
          </w:p>
        </w:tc>
        <w:tc>
          <w:tcPr>
            <w:tcW w:w="1382"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(221.3</w:t>
            </w:r>
            <w:r w:rsidRPr="003E2DBE">
              <w:rPr>
                <w:rFonts w:ascii="Calibri" w:eastAsiaTheme="minorEastAsia" w:hAnsi="Calibri" w:cs="Calibri"/>
                <w:sz w:val="22"/>
                <w:szCs w:val="22"/>
                <w:lang w:eastAsia="en-AU"/>
              </w:rPr>
              <w:t>)</w:t>
            </w:r>
          </w:p>
        </w:tc>
      </w:tr>
      <w:tr w:rsidR="000B4A1E" w:rsidRPr="003E2DBE" w:rsidTr="00517E51">
        <w:tc>
          <w:tcPr>
            <w:tcW w:w="199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rPr>
              <w:t>..</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2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82"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w:t>
            </w:r>
          </w:p>
        </w:tc>
      </w:tr>
      <w:tr w:rsidR="000B4A1E" w:rsidRPr="003E2DBE" w:rsidTr="00517E51">
        <w:tc>
          <w:tcPr>
            <w:tcW w:w="1994"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rPr>
              <w:t xml:space="preserve"> 48.5</w:t>
            </w:r>
          </w:p>
        </w:tc>
        <w:tc>
          <w:tcPr>
            <w:tcW w:w="234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39 </w:t>
            </w:r>
            <w:r w:rsidRPr="003E2DBE">
              <w:rPr>
                <w:rFonts w:eastAsiaTheme="minorEastAsia" w:cs="Calibri"/>
                <w:b/>
                <w:bCs/>
                <w:szCs w:val="22"/>
                <w:lang w:eastAsia="en-AU"/>
              </w:rPr>
              <w:t>181.7</w:t>
            </w:r>
          </w:p>
        </w:tc>
        <w:tc>
          <w:tcPr>
            <w:tcW w:w="234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37 </w:t>
            </w:r>
            <w:r w:rsidRPr="003E2DBE">
              <w:rPr>
                <w:rFonts w:eastAsiaTheme="minorEastAsia" w:cs="Calibri"/>
                <w:b/>
                <w:bCs/>
                <w:szCs w:val="22"/>
                <w:lang w:eastAsia="en-AU"/>
              </w:rPr>
              <w:t>928.6</w:t>
            </w:r>
          </w:p>
        </w:tc>
        <w:tc>
          <w:tcPr>
            <w:tcW w:w="162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1 </w:t>
            </w:r>
            <w:r w:rsidRPr="003E2DBE">
              <w:rPr>
                <w:rFonts w:eastAsiaTheme="minorEastAsia" w:cs="Calibri"/>
                <w:b/>
                <w:bCs/>
                <w:szCs w:val="22"/>
                <w:lang w:eastAsia="en-AU"/>
              </w:rPr>
              <w:t>047.2</w:t>
            </w:r>
          </w:p>
        </w:tc>
        <w:tc>
          <w:tcPr>
            <w:tcW w:w="1382"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cs="Calibri"/>
                <w:b/>
                <w:bCs/>
                <w:szCs w:val="22"/>
                <w:lang w:eastAsia="en-AU"/>
              </w:rPr>
              <w:t xml:space="preserve">116 </w:t>
            </w:r>
            <w:r w:rsidRPr="003E2DBE">
              <w:rPr>
                <w:rFonts w:eastAsiaTheme="minorEastAsia" w:cs="Calibri"/>
                <w:b/>
                <w:bCs/>
                <w:szCs w:val="22"/>
                <w:lang w:eastAsia="en-AU"/>
              </w:rPr>
              <w:t>307.4</w:t>
            </w:r>
          </w:p>
        </w:tc>
      </w:tr>
      <w:tr w:rsidR="000B4A1E" w:rsidRPr="003E2DBE" w:rsidTr="00517E51">
        <w:tc>
          <w:tcPr>
            <w:tcW w:w="1994" w:type="dxa"/>
            <w:tcBorders>
              <w:top w:val="nil"/>
              <w:left w:val="nil"/>
              <w:bottom w:val="nil"/>
              <w:right w:val="nil"/>
            </w:tcBorders>
          </w:tcPr>
          <w:p w:rsidR="000B4A1E" w:rsidRPr="003E2DBE" w:rsidRDefault="000B4A1E" w:rsidP="00517E51">
            <w:pPr>
              <w:pStyle w:val="TableofFigures"/>
              <w:rPr>
                <w:rFonts w:eastAsiaTheme="minorEastAsia"/>
              </w:rPr>
            </w:pPr>
            <w:r w:rsidRPr="003E2DBE">
              <w:rPr>
                <w:rFonts w:eastAsiaTheme="minorEastAsia"/>
              </w:rPr>
              <w:t xml:space="preserve">  </w:t>
            </w:r>
          </w:p>
        </w:tc>
        <w:tc>
          <w:tcPr>
            <w:tcW w:w="234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234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62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382"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hAnsi="Calibri" w:cs="Calibri"/>
                <w:b/>
                <w:bCs/>
                <w:sz w:val="22"/>
                <w:szCs w:val="22"/>
                <w:lang w:eastAsia="en-AU"/>
              </w:rPr>
            </w:pPr>
            <w:r w:rsidRPr="003E2DBE">
              <w:rPr>
                <w:rFonts w:ascii="Calibri" w:hAnsi="Calibri" w:cs="Calibri"/>
                <w:b/>
                <w:bCs/>
                <w:sz w:val="22"/>
                <w:szCs w:val="22"/>
                <w:lang w:eastAsia="en-AU"/>
              </w:rPr>
              <w:t xml:space="preserve">  </w:t>
            </w:r>
          </w:p>
        </w:tc>
      </w:tr>
      <w:tr w:rsidR="000B4A1E" w:rsidRPr="003E2DBE" w:rsidTr="00517E51">
        <w:tc>
          <w:tcPr>
            <w:tcW w:w="199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rPr>
              <w:t xml:space="preserve"> 50.0</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 xml:space="preserve">36 </w:t>
            </w:r>
            <w:r w:rsidRPr="003E2DBE">
              <w:rPr>
                <w:rFonts w:eastAsiaTheme="minorEastAsia" w:cs="Calibri"/>
                <w:szCs w:val="22"/>
                <w:lang w:eastAsia="en-AU"/>
              </w:rPr>
              <w:t>962.6</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 xml:space="preserve">38 </w:t>
            </w:r>
            <w:r w:rsidRPr="003E2DBE">
              <w:rPr>
                <w:rFonts w:eastAsiaTheme="minorEastAsia" w:cs="Calibri"/>
                <w:szCs w:val="22"/>
                <w:lang w:eastAsia="en-AU"/>
              </w:rPr>
              <w:t>958.4</w:t>
            </w:r>
          </w:p>
        </w:tc>
        <w:tc>
          <w:tcPr>
            <w:tcW w:w="162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 xml:space="preserve"> 984.5</w:t>
            </w:r>
          </w:p>
        </w:tc>
        <w:tc>
          <w:tcPr>
            <w:tcW w:w="1382" w:type="dxa"/>
            <w:tcBorders>
              <w:top w:val="nil"/>
              <w:left w:val="nil"/>
              <w:bottom w:val="nil"/>
              <w:right w:val="nil"/>
            </w:tcBorders>
            <w:shd w:val="solid" w:color="FFFFFF" w:fill="auto"/>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111 </w:t>
            </w:r>
            <w:r w:rsidRPr="003E2DBE">
              <w:rPr>
                <w:rFonts w:ascii="Calibri" w:eastAsiaTheme="minorEastAsia" w:hAnsi="Calibri" w:cs="Calibri"/>
                <w:sz w:val="22"/>
                <w:szCs w:val="22"/>
                <w:lang w:eastAsia="en-AU"/>
              </w:rPr>
              <w:t>763.7</w:t>
            </w:r>
          </w:p>
        </w:tc>
      </w:tr>
      <w:tr w:rsidR="000B4A1E" w:rsidRPr="003E2DBE" w:rsidTr="00517E51">
        <w:tc>
          <w:tcPr>
            <w:tcW w:w="199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2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82" w:type="dxa"/>
            <w:tcBorders>
              <w:top w:val="nil"/>
              <w:left w:val="nil"/>
              <w:bottom w:val="nil"/>
              <w:right w:val="nil"/>
            </w:tcBorders>
            <w:shd w:val="solid" w:color="FFFFFF" w:fill="auto"/>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7 </w:t>
            </w:r>
            <w:r w:rsidRPr="003E2DBE">
              <w:rPr>
                <w:rFonts w:ascii="Calibri" w:eastAsiaTheme="minorEastAsia" w:hAnsi="Calibri" w:cs="Calibri"/>
                <w:sz w:val="22"/>
                <w:szCs w:val="22"/>
                <w:lang w:eastAsia="en-AU"/>
              </w:rPr>
              <w:t>413.8</w:t>
            </w:r>
          </w:p>
        </w:tc>
      </w:tr>
      <w:tr w:rsidR="000B4A1E" w:rsidRPr="003E2DBE" w:rsidTr="00517E51">
        <w:tc>
          <w:tcPr>
            <w:tcW w:w="199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 xml:space="preserve"> 700.5</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(810.3</w:t>
            </w:r>
            <w:r w:rsidRPr="003E2DBE">
              <w:rPr>
                <w:rFonts w:eastAsiaTheme="minorEastAsia" w:cs="Calibri"/>
                <w:szCs w:val="22"/>
                <w:lang w:eastAsia="en-AU"/>
              </w:rPr>
              <w:t>)</w:t>
            </w:r>
          </w:p>
        </w:tc>
        <w:tc>
          <w:tcPr>
            <w:tcW w:w="162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(63.1</w:t>
            </w:r>
            <w:r w:rsidRPr="003E2DBE">
              <w:rPr>
                <w:rFonts w:eastAsiaTheme="minorEastAsia" w:cs="Calibri"/>
                <w:szCs w:val="22"/>
                <w:lang w:eastAsia="en-AU"/>
              </w:rPr>
              <w:t>)</w:t>
            </w:r>
          </w:p>
        </w:tc>
        <w:tc>
          <w:tcPr>
            <w:tcW w:w="1382" w:type="dxa"/>
            <w:tcBorders>
              <w:top w:val="nil"/>
              <w:left w:val="nil"/>
              <w:bottom w:val="nil"/>
              <w:right w:val="nil"/>
            </w:tcBorders>
            <w:shd w:val="solid" w:color="FFFFFF" w:fill="auto"/>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779.7</w:t>
            </w:r>
          </w:p>
        </w:tc>
      </w:tr>
      <w:tr w:rsidR="000B4A1E" w:rsidRPr="003E2DBE" w:rsidTr="00517E51">
        <w:tc>
          <w:tcPr>
            <w:tcW w:w="199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2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Pr>
                <w:lang w:eastAsia="en-AU"/>
              </w:rPr>
              <w:t>..</w:t>
            </w:r>
          </w:p>
        </w:tc>
        <w:tc>
          <w:tcPr>
            <w:tcW w:w="1382" w:type="dxa"/>
            <w:tcBorders>
              <w:top w:val="nil"/>
              <w:left w:val="nil"/>
              <w:bottom w:val="nil"/>
              <w:right w:val="nil"/>
            </w:tcBorders>
            <w:shd w:val="solid" w:color="FFFFFF" w:fill="auto"/>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Pr>
                <w:rFonts w:ascii="Calibri" w:hAnsi="Calibri" w:cs="Calibri"/>
                <w:sz w:val="22"/>
                <w:szCs w:val="22"/>
                <w:lang w:eastAsia="en-AU"/>
              </w:rPr>
              <w:t>..</w:t>
            </w:r>
          </w:p>
        </w:tc>
      </w:tr>
      <w:tr w:rsidR="000B4A1E" w:rsidRPr="003E2DBE" w:rsidTr="00517E51">
        <w:tc>
          <w:tcPr>
            <w:tcW w:w="1994"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rPr>
              <w:t xml:space="preserve"> 50.0</w:t>
            </w:r>
          </w:p>
        </w:tc>
        <w:tc>
          <w:tcPr>
            <w:tcW w:w="234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37 </w:t>
            </w:r>
            <w:r w:rsidRPr="003E2DBE">
              <w:rPr>
                <w:rFonts w:eastAsiaTheme="minorEastAsia" w:cs="Calibri"/>
                <w:b/>
                <w:bCs/>
                <w:szCs w:val="22"/>
                <w:lang w:eastAsia="en-AU"/>
              </w:rPr>
              <w:t>663.1</w:t>
            </w:r>
          </w:p>
        </w:tc>
        <w:tc>
          <w:tcPr>
            <w:tcW w:w="234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b/>
                <w:lang w:eastAsia="en-AU"/>
              </w:rPr>
              <w:t xml:space="preserve">38 </w:t>
            </w:r>
            <w:r w:rsidRPr="003E2DBE">
              <w:rPr>
                <w:rFonts w:eastAsiaTheme="minorEastAsia"/>
                <w:b/>
              </w:rPr>
              <w:t>148.1</w:t>
            </w:r>
          </w:p>
        </w:tc>
        <w:tc>
          <w:tcPr>
            <w:tcW w:w="162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921.3</w:t>
            </w:r>
          </w:p>
        </w:tc>
        <w:tc>
          <w:tcPr>
            <w:tcW w:w="1382"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b/>
                <w:lang w:eastAsia="en-AU"/>
              </w:rPr>
              <w:t xml:space="preserve">119 </w:t>
            </w:r>
            <w:r w:rsidRPr="003E2DBE">
              <w:rPr>
                <w:rFonts w:eastAsiaTheme="minorEastAsia"/>
                <w:b/>
                <w:lang w:eastAsia="en-AU"/>
              </w:rPr>
              <w:t>957.2</w:t>
            </w:r>
          </w:p>
        </w:tc>
      </w:tr>
      <w:tr w:rsidR="000B4A1E" w:rsidRPr="003E2DBE" w:rsidTr="00517E51">
        <w:tc>
          <w:tcPr>
            <w:tcW w:w="1994" w:type="dxa"/>
            <w:tcBorders>
              <w:top w:val="nil"/>
              <w:left w:val="nil"/>
              <w:bottom w:val="nil"/>
              <w:right w:val="nil"/>
            </w:tcBorders>
          </w:tcPr>
          <w:p w:rsidR="000B4A1E" w:rsidRPr="003E2DBE" w:rsidRDefault="000B4A1E" w:rsidP="00517E51">
            <w:pPr>
              <w:pStyle w:val="TableofFigures"/>
              <w:rPr>
                <w:rFonts w:eastAsiaTheme="minorEastAsia"/>
              </w:rPr>
            </w:pPr>
            <w:r w:rsidRPr="003E2DBE">
              <w:rPr>
                <w:rFonts w:eastAsiaTheme="minorEastAsia"/>
              </w:rPr>
              <w:t xml:space="preserve">  </w:t>
            </w:r>
          </w:p>
        </w:tc>
        <w:tc>
          <w:tcPr>
            <w:tcW w:w="234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234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620" w:type="dxa"/>
            <w:tcBorders>
              <w:top w:val="nil"/>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382"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hAnsi="Calibri" w:cs="Calibri"/>
                <w:b/>
                <w:bCs/>
                <w:sz w:val="22"/>
                <w:szCs w:val="22"/>
                <w:lang w:eastAsia="en-AU"/>
              </w:rPr>
            </w:pPr>
            <w:r w:rsidRPr="003E2DBE">
              <w:rPr>
                <w:rFonts w:ascii="Calibri" w:hAnsi="Calibri" w:cs="Calibri"/>
                <w:b/>
                <w:bCs/>
                <w:sz w:val="22"/>
                <w:szCs w:val="22"/>
                <w:lang w:eastAsia="en-AU"/>
              </w:rPr>
              <w:t xml:space="preserve">  </w:t>
            </w:r>
          </w:p>
        </w:tc>
      </w:tr>
      <w:tr w:rsidR="000B4A1E" w:rsidRPr="003E2DBE" w:rsidTr="00517E51">
        <w:tc>
          <w:tcPr>
            <w:tcW w:w="199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rPr>
              <w:t xml:space="preserve"> 1.5</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(1 692.9</w:t>
            </w:r>
            <w:r w:rsidRPr="003E2DBE">
              <w:rPr>
                <w:rFonts w:eastAsiaTheme="minorEastAsia" w:cs="Calibri"/>
                <w:szCs w:val="22"/>
                <w:lang w:eastAsia="en-AU"/>
              </w:rPr>
              <w:t>)</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283.2</w:t>
            </w:r>
          </w:p>
        </w:tc>
        <w:tc>
          <w:tcPr>
            <w:tcW w:w="162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(43.7</w:t>
            </w:r>
            <w:r w:rsidRPr="003E2DBE">
              <w:rPr>
                <w:rFonts w:eastAsiaTheme="minorEastAsia" w:cs="Calibri"/>
                <w:szCs w:val="22"/>
                <w:lang w:eastAsia="en-AU"/>
              </w:rPr>
              <w:t>)</w:t>
            </w:r>
          </w:p>
        </w:tc>
        <w:tc>
          <w:tcPr>
            <w:tcW w:w="1382"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hAnsi="Calibri" w:cs="Calibri"/>
                <w:sz w:val="22"/>
                <w:szCs w:val="22"/>
                <w:lang w:eastAsia="en-AU"/>
              </w:rPr>
            </w:pPr>
            <w:r w:rsidRPr="003E2DBE">
              <w:rPr>
                <w:rFonts w:ascii="Calibri" w:hAnsi="Calibri" w:cs="Calibri"/>
                <w:sz w:val="22"/>
                <w:szCs w:val="22"/>
                <w:lang w:eastAsia="en-AU"/>
              </w:rPr>
              <w:t>(4 672.7)</w:t>
            </w:r>
          </w:p>
        </w:tc>
      </w:tr>
      <w:tr w:rsidR="000B4A1E" w:rsidRPr="003E2DBE" w:rsidTr="00517E51">
        <w:tc>
          <w:tcPr>
            <w:tcW w:w="199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rPr>
              <w:t>..</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2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382"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7 </w:t>
            </w:r>
            <w:r w:rsidRPr="003E2DBE">
              <w:rPr>
                <w:rFonts w:ascii="Calibri" w:eastAsiaTheme="minorEastAsia" w:hAnsi="Calibri" w:cs="Calibri"/>
                <w:sz w:val="22"/>
                <w:szCs w:val="22"/>
                <w:lang w:eastAsia="en-AU"/>
              </w:rPr>
              <w:t>321.5</w:t>
            </w:r>
          </w:p>
        </w:tc>
      </w:tr>
      <w:tr w:rsidR="000B4A1E" w:rsidRPr="003E2DBE" w:rsidTr="00517E51">
        <w:tc>
          <w:tcPr>
            <w:tcW w:w="199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rPr>
              <w:t>..</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174.2</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(63.7</w:t>
            </w:r>
            <w:r w:rsidRPr="003E2DBE">
              <w:rPr>
                <w:rFonts w:eastAsiaTheme="minorEastAsia" w:cs="Calibri"/>
                <w:szCs w:val="22"/>
                <w:lang w:eastAsia="en-AU"/>
              </w:rPr>
              <w:t>)</w:t>
            </w:r>
          </w:p>
        </w:tc>
        <w:tc>
          <w:tcPr>
            <w:tcW w:w="162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(82.2</w:t>
            </w:r>
            <w:r w:rsidRPr="003E2DBE">
              <w:rPr>
                <w:rFonts w:eastAsiaTheme="minorEastAsia" w:cs="Calibri"/>
                <w:szCs w:val="22"/>
                <w:lang w:eastAsia="en-AU"/>
              </w:rPr>
              <w:t>)</w:t>
            </w:r>
          </w:p>
        </w:tc>
        <w:tc>
          <w:tcPr>
            <w:tcW w:w="1382"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 </w:t>
            </w:r>
            <w:r w:rsidRPr="003E2DBE">
              <w:rPr>
                <w:rFonts w:ascii="Calibri" w:eastAsiaTheme="minorEastAsia" w:hAnsi="Calibri" w:cs="Calibri"/>
                <w:sz w:val="22"/>
                <w:szCs w:val="22"/>
                <w:lang w:eastAsia="en-AU"/>
              </w:rPr>
              <w:t>001.0</w:t>
            </w:r>
          </w:p>
        </w:tc>
      </w:tr>
      <w:tr w:rsidR="000B4A1E" w:rsidRPr="003E2DBE" w:rsidTr="00517E51">
        <w:tc>
          <w:tcPr>
            <w:tcW w:w="199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rPr>
              <w:t>..</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23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2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Pr>
                <w:lang w:eastAsia="en-AU"/>
              </w:rPr>
              <w:t>..</w:t>
            </w:r>
          </w:p>
        </w:tc>
        <w:tc>
          <w:tcPr>
            <w:tcW w:w="1382"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Pr>
                <w:rFonts w:ascii="Calibri" w:hAnsi="Calibri" w:cs="Calibri"/>
                <w:sz w:val="22"/>
                <w:szCs w:val="22"/>
                <w:lang w:eastAsia="en-AU"/>
              </w:rPr>
              <w:t>..</w:t>
            </w:r>
          </w:p>
        </w:tc>
      </w:tr>
      <w:tr w:rsidR="000B4A1E" w:rsidRPr="003E2DBE" w:rsidTr="00517E51">
        <w:tc>
          <w:tcPr>
            <w:tcW w:w="1994"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rPr>
              <w:t xml:space="preserve"> 1.5</w:t>
            </w:r>
          </w:p>
        </w:tc>
        <w:tc>
          <w:tcPr>
            <w:tcW w:w="234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(1 518.7</w:t>
            </w:r>
            <w:r w:rsidRPr="003E2DBE">
              <w:rPr>
                <w:rFonts w:eastAsiaTheme="minorEastAsia" w:cs="Calibri"/>
                <w:b/>
                <w:bCs/>
                <w:szCs w:val="22"/>
                <w:lang w:eastAsia="en-AU"/>
              </w:rPr>
              <w:t>)</w:t>
            </w:r>
          </w:p>
        </w:tc>
        <w:tc>
          <w:tcPr>
            <w:tcW w:w="234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219.5</w:t>
            </w:r>
          </w:p>
        </w:tc>
        <w:tc>
          <w:tcPr>
            <w:tcW w:w="162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(125.8</w:t>
            </w:r>
            <w:r w:rsidRPr="003E2DBE">
              <w:rPr>
                <w:rFonts w:eastAsiaTheme="minorEastAsia" w:cs="Calibri"/>
                <w:b/>
                <w:bCs/>
                <w:szCs w:val="22"/>
                <w:lang w:eastAsia="en-AU"/>
              </w:rPr>
              <w:t>)</w:t>
            </w:r>
          </w:p>
        </w:tc>
        <w:tc>
          <w:tcPr>
            <w:tcW w:w="1382"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 xml:space="preserve">3 </w:t>
            </w:r>
            <w:r w:rsidRPr="003E2DBE">
              <w:rPr>
                <w:rFonts w:ascii="Calibri" w:eastAsiaTheme="minorEastAsia" w:hAnsi="Calibri" w:cs="Calibri"/>
                <w:b/>
                <w:bCs/>
                <w:sz w:val="22"/>
                <w:szCs w:val="22"/>
                <w:lang w:eastAsia="en-AU"/>
              </w:rPr>
              <w:t>649.8</w:t>
            </w:r>
          </w:p>
        </w:tc>
      </w:tr>
    </w:tbl>
    <w:p w:rsidR="000B4A1E" w:rsidRPr="00D00665" w:rsidRDefault="000B4A1E" w:rsidP="00517E51">
      <w:pPr>
        <w:pStyle w:val="Notes"/>
      </w:pPr>
    </w:p>
    <w:p w:rsidR="000B4A1E" w:rsidRPr="00D00665" w:rsidRDefault="000B4A1E" w:rsidP="00517E51"/>
    <w:p w:rsidR="000B4A1E" w:rsidRPr="00D00665" w:rsidRDefault="000B4A1E" w:rsidP="00517E51">
      <w:pPr>
        <w:pStyle w:val="Heading2Notes"/>
      </w:pPr>
      <w:r w:rsidRPr="00D00665">
        <w:br w:type="page"/>
      </w:r>
      <w:bookmarkStart w:id="94" w:name="_Toc367947891"/>
      <w:r w:rsidRPr="00D00665">
        <w:lastRenderedPageBreak/>
        <w:t>Note 32:</w:t>
      </w:r>
      <w:r w:rsidRPr="00D00665">
        <w:tab/>
        <w:t>Financial instruments</w:t>
      </w:r>
      <w:bookmarkEnd w:id="94"/>
    </w:p>
    <w:p w:rsidR="000B4A1E" w:rsidRPr="00D00665" w:rsidRDefault="000B4A1E" w:rsidP="00517E51">
      <w:pPr>
        <w:pStyle w:val="Tableheading"/>
      </w:pPr>
      <w:r w:rsidRPr="00D00665">
        <w:t>Financial risk management objectives and policies</w:t>
      </w:r>
    </w:p>
    <w:p w:rsidR="000B4A1E" w:rsidRPr="00D00665" w:rsidRDefault="000B4A1E" w:rsidP="00517E51">
      <w:r w:rsidRPr="00D00665">
        <w:t>The State</w:t>
      </w:r>
      <w:r>
        <w:t>’</w:t>
      </w:r>
      <w:r w:rsidRPr="00D00665">
        <w:t>s principal financial instruments comprise of:</w:t>
      </w:r>
    </w:p>
    <w:p w:rsidR="000B4A1E" w:rsidRPr="00D00665" w:rsidRDefault="000B4A1E" w:rsidP="00517E51">
      <w:pPr>
        <w:pStyle w:val="BulletText"/>
      </w:pPr>
      <w:r w:rsidRPr="00D00665">
        <w:t>cash assets;</w:t>
      </w:r>
    </w:p>
    <w:p w:rsidR="000B4A1E" w:rsidRPr="00D00665" w:rsidRDefault="000B4A1E" w:rsidP="00517E51">
      <w:pPr>
        <w:pStyle w:val="BulletText"/>
      </w:pPr>
      <w:r w:rsidRPr="00D00665">
        <w:t>receivables (excluding statutory receivables);</w:t>
      </w:r>
    </w:p>
    <w:p w:rsidR="000B4A1E" w:rsidRPr="00D00665" w:rsidRDefault="000B4A1E" w:rsidP="00517E51">
      <w:pPr>
        <w:pStyle w:val="BulletText"/>
      </w:pPr>
      <w:r w:rsidRPr="00D00665">
        <w:t>term deposits;</w:t>
      </w:r>
    </w:p>
    <w:p w:rsidR="000B4A1E" w:rsidRPr="00D00665" w:rsidRDefault="000B4A1E" w:rsidP="00517E51">
      <w:pPr>
        <w:pStyle w:val="BulletText"/>
      </w:pPr>
      <w:r w:rsidRPr="00D00665">
        <w:t>investments in equities and managed investment schemes;</w:t>
      </w:r>
    </w:p>
    <w:p w:rsidR="000B4A1E" w:rsidRPr="00D00665" w:rsidRDefault="000B4A1E" w:rsidP="00517E51">
      <w:pPr>
        <w:pStyle w:val="BulletText"/>
      </w:pPr>
      <w:r w:rsidRPr="00D00665">
        <w:t>debt securities;</w:t>
      </w:r>
    </w:p>
    <w:p w:rsidR="000B4A1E" w:rsidRPr="00D00665" w:rsidRDefault="000B4A1E" w:rsidP="00517E51">
      <w:pPr>
        <w:pStyle w:val="BulletText"/>
      </w:pPr>
      <w:r w:rsidRPr="00D00665">
        <w:t>payables (excluding statutory payables);</w:t>
      </w:r>
    </w:p>
    <w:p w:rsidR="000B4A1E" w:rsidRPr="00D00665" w:rsidRDefault="000B4A1E" w:rsidP="00517E51">
      <w:pPr>
        <w:pStyle w:val="BulletText"/>
      </w:pPr>
      <w:r w:rsidRPr="00D00665">
        <w:t>borrowings;</w:t>
      </w:r>
    </w:p>
    <w:p w:rsidR="000B4A1E" w:rsidRPr="00D00665" w:rsidRDefault="000B4A1E" w:rsidP="00517E51">
      <w:pPr>
        <w:pStyle w:val="BulletText"/>
      </w:pPr>
      <w:r w:rsidRPr="00D00665">
        <w:t>finance lease payables; and</w:t>
      </w:r>
    </w:p>
    <w:p w:rsidR="000B4A1E" w:rsidRPr="00D00665" w:rsidRDefault="000B4A1E" w:rsidP="00517E51">
      <w:pPr>
        <w:pStyle w:val="BulletText"/>
      </w:pPr>
      <w:r w:rsidRPr="00D00665">
        <w:t>derivatives.</w:t>
      </w:r>
    </w:p>
    <w:p w:rsidR="000B4A1E" w:rsidRPr="00D00665" w:rsidRDefault="000B4A1E" w:rsidP="00517E51">
      <w:r w:rsidRPr="00D00665">
        <w:t>The main purposes for the State to hold financial instruments are:</w:t>
      </w:r>
    </w:p>
    <w:p w:rsidR="000B4A1E" w:rsidRPr="00D00665" w:rsidRDefault="000B4A1E" w:rsidP="00517E51">
      <w:pPr>
        <w:pStyle w:val="BulletText"/>
      </w:pPr>
      <w:r w:rsidRPr="00D00665">
        <w:t>to fund the State</w:t>
      </w:r>
      <w:r>
        <w:t>’</w:t>
      </w:r>
      <w:r w:rsidRPr="00D00665">
        <w:t>s capital expenditure program;</w:t>
      </w:r>
    </w:p>
    <w:p w:rsidR="000B4A1E" w:rsidRPr="00D00665" w:rsidRDefault="000B4A1E" w:rsidP="00517E51">
      <w:pPr>
        <w:pStyle w:val="BulletText"/>
      </w:pPr>
      <w:r w:rsidRPr="00D00665">
        <w:t>to meet long term insurance and superannuation liabilities;</w:t>
      </w:r>
    </w:p>
    <w:p w:rsidR="000B4A1E" w:rsidRPr="00D00665" w:rsidRDefault="000B4A1E" w:rsidP="00517E51">
      <w:pPr>
        <w:pStyle w:val="BulletText"/>
      </w:pPr>
      <w:r w:rsidRPr="00D00665">
        <w:t>to manage financial risk; and</w:t>
      </w:r>
    </w:p>
    <w:p w:rsidR="000B4A1E" w:rsidRPr="00D00665" w:rsidRDefault="000B4A1E" w:rsidP="00517E51">
      <w:pPr>
        <w:pStyle w:val="BulletText"/>
      </w:pPr>
      <w:r w:rsidRPr="00D00665">
        <w:t>for liquidity management purposes.</w:t>
      </w:r>
    </w:p>
    <w:p w:rsidR="000B4A1E" w:rsidRPr="00D00665" w:rsidRDefault="000B4A1E" w:rsidP="00517E51">
      <w:pPr>
        <w:pStyle w:val="Heading2NotesContd"/>
        <w:rPr>
          <w:i/>
        </w:rPr>
      </w:pPr>
      <w:r w:rsidRPr="00D00665">
        <w:br w:type="page"/>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D00665" w:rsidRDefault="000B4A1E" w:rsidP="00517E51">
      <w:pPr>
        <w:pStyle w:val="Heading5"/>
      </w:pPr>
      <w:r w:rsidRPr="00D00665">
        <w:t>(a)</w:t>
      </w:r>
      <w:r w:rsidRPr="00D00665">
        <w:tab/>
        <w:t>Carrying amounts of financial instruments by category</w:t>
      </w:r>
    </w:p>
    <w:p w:rsidR="000B4A1E" w:rsidRPr="003E2DBE" w:rsidRDefault="000B4A1E" w:rsidP="00517E51">
      <w:pPr>
        <w:pStyle w:val="million"/>
      </w:pPr>
      <w:r w:rsidRPr="00D00665">
        <w:t>($</w:t>
      </w:r>
      <w:r>
        <w:t> million</w:t>
      </w:r>
      <w:r w:rsidRPr="00D00665">
        <w:t>)</w:t>
      </w:r>
      <w:bookmarkStart w:id="95" w:name="RANGE!C9:G29"/>
    </w:p>
    <w:tbl>
      <w:tblPr>
        <w:tblW w:w="9649" w:type="dxa"/>
        <w:tblInd w:w="29" w:type="dxa"/>
        <w:tblCellMar>
          <w:left w:w="43" w:type="dxa"/>
          <w:right w:w="43" w:type="dxa"/>
        </w:tblCellMar>
        <w:tblLook w:val="04A0" w:firstRow="1" w:lastRow="0" w:firstColumn="1" w:lastColumn="0" w:noHBand="0" w:noVBand="1"/>
      </w:tblPr>
      <w:tblGrid>
        <w:gridCol w:w="5182"/>
        <w:gridCol w:w="142"/>
        <w:gridCol w:w="947"/>
        <w:gridCol w:w="1089"/>
        <w:gridCol w:w="124"/>
        <w:gridCol w:w="965"/>
        <w:gridCol w:w="1200"/>
      </w:tblGrid>
      <w:tr w:rsidR="000B4A1E" w:rsidRPr="003E2DBE" w:rsidTr="00517E51">
        <w:trPr>
          <w:divId w:val="819271648"/>
        </w:trPr>
        <w:tc>
          <w:tcPr>
            <w:tcW w:w="5182"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42" w:type="dxa"/>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 </w:t>
            </w:r>
          </w:p>
        </w:tc>
        <w:tc>
          <w:tcPr>
            <w:tcW w:w="2036"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24" w:type="dxa"/>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 </w:t>
            </w:r>
          </w:p>
        </w:tc>
        <w:tc>
          <w:tcPr>
            <w:tcW w:w="2165"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819271648"/>
        </w:trPr>
        <w:tc>
          <w:tcPr>
            <w:tcW w:w="5182"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089" w:type="dxa"/>
            <w:gridSpan w:val="2"/>
            <w:tcBorders>
              <w:top w:val="nil"/>
              <w:left w:val="nil"/>
              <w:bottom w:val="single" w:sz="4" w:space="0" w:color="auto"/>
              <w:right w:val="nil"/>
            </w:tcBorders>
            <w:shd w:val="clear" w:color="auto" w:fill="000000"/>
            <w:hideMark/>
          </w:tcPr>
          <w:p w:rsidR="000B4A1E" w:rsidRPr="003E2DBE" w:rsidRDefault="000B4A1E" w:rsidP="00517E51">
            <w:pPr>
              <w:pStyle w:val="Tabletextheading"/>
              <w:rPr>
                <w:iCs/>
                <w:lang w:eastAsia="en-AU"/>
              </w:rPr>
            </w:pPr>
            <w:r w:rsidRPr="003E2DBE">
              <w:rPr>
                <w:iCs/>
                <w:lang w:eastAsia="en-AU"/>
              </w:rPr>
              <w:t>2013</w:t>
            </w:r>
          </w:p>
        </w:tc>
        <w:tc>
          <w:tcPr>
            <w:tcW w:w="1089"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2012</w:t>
            </w:r>
          </w:p>
        </w:tc>
        <w:tc>
          <w:tcPr>
            <w:tcW w:w="1089" w:type="dxa"/>
            <w:gridSpan w:val="2"/>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2013</w:t>
            </w:r>
          </w:p>
        </w:tc>
        <w:tc>
          <w:tcPr>
            <w:tcW w:w="1200" w:type="dxa"/>
            <w:tcBorders>
              <w:top w:val="nil"/>
              <w:left w:val="nil"/>
              <w:bottom w:val="single" w:sz="4" w:space="0" w:color="auto"/>
              <w:right w:val="single" w:sz="4" w:space="0" w:color="auto"/>
            </w:tcBorders>
            <w:shd w:val="clear" w:color="auto" w:fill="000000"/>
            <w:hideMark/>
          </w:tcPr>
          <w:p w:rsidR="000B4A1E" w:rsidRPr="003E2DBE" w:rsidRDefault="000B4A1E" w:rsidP="00517E51">
            <w:pPr>
              <w:pStyle w:val="Tabletextheading"/>
              <w:rPr>
                <w:vertAlign w:val="superscript"/>
                <w:lang w:eastAsia="en-AU"/>
              </w:rPr>
            </w:pPr>
            <w:r w:rsidRPr="003E2DBE">
              <w:rPr>
                <w:lang w:eastAsia="en-AU"/>
              </w:rPr>
              <w:t>2012</w:t>
            </w:r>
          </w:p>
        </w:tc>
      </w:tr>
      <w:tr w:rsidR="000B4A1E" w:rsidRPr="003E2DBE" w:rsidTr="00517E51">
        <w:trPr>
          <w:divId w:val="819271648"/>
        </w:trPr>
        <w:tc>
          <w:tcPr>
            <w:tcW w:w="5182"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b/>
                <w:bCs/>
                <w:szCs w:val="22"/>
                <w:lang w:eastAsia="en-AU"/>
              </w:rPr>
            </w:pPr>
            <w:r w:rsidRPr="003E2DBE">
              <w:rPr>
                <w:b/>
                <w:lang w:eastAsia="en-AU"/>
              </w:rPr>
              <w:t>Financial</w:t>
            </w:r>
            <w:r w:rsidRPr="003E2DBE">
              <w:rPr>
                <w:rFonts w:cs="Calibri"/>
                <w:b/>
                <w:bCs/>
                <w:szCs w:val="22"/>
                <w:lang w:eastAsia="en-AU"/>
              </w:rPr>
              <w:t xml:space="preserve"> assets</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089" w:type="dxa"/>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 xml:space="preserve">  </w:t>
            </w:r>
          </w:p>
        </w:tc>
        <w:tc>
          <w:tcPr>
            <w:tcW w:w="1089" w:type="dxa"/>
            <w:gridSpan w:val="2"/>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 xml:space="preserve">  </w:t>
            </w:r>
          </w:p>
        </w:tc>
        <w:tc>
          <w:tcPr>
            <w:tcW w:w="1200" w:type="dxa"/>
            <w:tcBorders>
              <w:top w:val="nil"/>
              <w:left w:val="nil"/>
              <w:bottom w:val="nil"/>
              <w:right w:val="nil"/>
            </w:tcBorders>
            <w:shd w:val="clear" w:color="auto" w:fill="auto"/>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819271648"/>
        </w:trPr>
        <w:tc>
          <w:tcPr>
            <w:tcW w:w="5182"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Cash and deposits</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6 </w:t>
            </w:r>
            <w:r w:rsidRPr="003E2DBE">
              <w:rPr>
                <w:rFonts w:cs="Calibri"/>
                <w:szCs w:val="22"/>
                <w:lang w:eastAsia="en-AU"/>
              </w:rPr>
              <w:t>252.9</w:t>
            </w:r>
          </w:p>
        </w:tc>
        <w:tc>
          <w:tcPr>
            <w:tcW w:w="108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6 </w:t>
            </w:r>
            <w:r w:rsidRPr="003E2DBE">
              <w:rPr>
                <w:rFonts w:cs="Calibri"/>
                <w:szCs w:val="22"/>
                <w:lang w:eastAsia="en-AU"/>
              </w:rPr>
              <w:t>055.6</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962.0</w:t>
            </w:r>
          </w:p>
        </w:tc>
        <w:tc>
          <w:tcPr>
            <w:tcW w:w="120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001.3</w:t>
            </w:r>
          </w:p>
        </w:tc>
      </w:tr>
      <w:tr w:rsidR="000B4A1E" w:rsidRPr="003E2DBE" w:rsidTr="00517E51">
        <w:trPr>
          <w:divId w:val="819271648"/>
        </w:trPr>
        <w:tc>
          <w:tcPr>
            <w:tcW w:w="518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Designated at fair value through the operating statement</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23 </w:t>
            </w:r>
            <w:r w:rsidRPr="003E2DBE">
              <w:rPr>
                <w:rFonts w:cs="Calibri"/>
                <w:szCs w:val="22"/>
                <w:lang w:eastAsia="en-AU"/>
              </w:rPr>
              <w:t>824.6</w:t>
            </w:r>
          </w:p>
        </w:tc>
        <w:tc>
          <w:tcPr>
            <w:tcW w:w="108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22 </w:t>
            </w:r>
            <w:r w:rsidRPr="003E2DBE">
              <w:rPr>
                <w:rFonts w:cs="Calibri"/>
                <w:szCs w:val="22"/>
                <w:lang w:eastAsia="en-AU"/>
              </w:rPr>
              <w:t>269.1</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609.8</w:t>
            </w:r>
          </w:p>
        </w:tc>
        <w:tc>
          <w:tcPr>
            <w:tcW w:w="120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468.6</w:t>
            </w:r>
          </w:p>
        </w:tc>
      </w:tr>
      <w:tr w:rsidR="000B4A1E" w:rsidRPr="003E2DBE" w:rsidTr="00517E51">
        <w:trPr>
          <w:divId w:val="819271648"/>
        </w:trPr>
        <w:tc>
          <w:tcPr>
            <w:tcW w:w="518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Held-for-trading at fair value through the operating statement</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713.8</w:t>
            </w:r>
          </w:p>
        </w:tc>
        <w:tc>
          <w:tcPr>
            <w:tcW w:w="108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654.7</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0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819271648"/>
        </w:trPr>
        <w:tc>
          <w:tcPr>
            <w:tcW w:w="518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 xml:space="preserve">Loans and receivables </w:t>
            </w:r>
            <w:r w:rsidRPr="003E2DBE">
              <w:rPr>
                <w:rFonts w:cs="Calibri"/>
                <w:b/>
                <w:bCs/>
                <w:szCs w:val="22"/>
                <w:vertAlign w:val="superscript"/>
                <w:lang w:eastAsia="en-AU"/>
              </w:rPr>
              <w:t>(a)</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512.2</w:t>
            </w:r>
          </w:p>
        </w:tc>
        <w:tc>
          <w:tcPr>
            <w:tcW w:w="108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623.9</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8 </w:t>
            </w:r>
            <w:r w:rsidRPr="003E2DBE">
              <w:rPr>
                <w:rFonts w:cs="Calibri"/>
                <w:szCs w:val="22"/>
                <w:lang w:eastAsia="en-AU"/>
              </w:rPr>
              <w:t>123.6</w:t>
            </w:r>
          </w:p>
        </w:tc>
        <w:tc>
          <w:tcPr>
            <w:tcW w:w="120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798.7</w:t>
            </w:r>
          </w:p>
        </w:tc>
      </w:tr>
      <w:tr w:rsidR="000B4A1E" w:rsidRPr="003E2DBE" w:rsidTr="00517E51">
        <w:trPr>
          <w:divId w:val="819271648"/>
        </w:trPr>
        <w:tc>
          <w:tcPr>
            <w:tcW w:w="5182"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Available-for-sale</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315.4</w:t>
            </w:r>
          </w:p>
        </w:tc>
        <w:tc>
          <w:tcPr>
            <w:tcW w:w="108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12.1</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93.8</w:t>
            </w:r>
          </w:p>
        </w:tc>
        <w:tc>
          <w:tcPr>
            <w:tcW w:w="120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12.1</w:t>
            </w:r>
          </w:p>
        </w:tc>
      </w:tr>
      <w:tr w:rsidR="000B4A1E" w:rsidRPr="003E2DBE" w:rsidTr="00517E51">
        <w:trPr>
          <w:divId w:val="819271648"/>
        </w:trPr>
        <w:tc>
          <w:tcPr>
            <w:tcW w:w="5182"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Held-to-maturity</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761.1</w:t>
            </w:r>
          </w:p>
        </w:tc>
        <w:tc>
          <w:tcPr>
            <w:tcW w:w="108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572.4</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111.9</w:t>
            </w:r>
          </w:p>
        </w:tc>
        <w:tc>
          <w:tcPr>
            <w:tcW w:w="120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033.3</w:t>
            </w:r>
          </w:p>
        </w:tc>
      </w:tr>
      <w:tr w:rsidR="000B4A1E" w:rsidRPr="003E2DBE" w:rsidTr="00517E51">
        <w:trPr>
          <w:divId w:val="819271648"/>
        </w:trPr>
        <w:tc>
          <w:tcPr>
            <w:tcW w:w="5182"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rFonts w:cs="Calibri"/>
                <w:b/>
                <w:bCs/>
                <w:szCs w:val="22"/>
                <w:lang w:eastAsia="en-AU"/>
              </w:rPr>
            </w:pPr>
            <w:r w:rsidRPr="003E2DBE">
              <w:rPr>
                <w:rFonts w:cs="Calibri"/>
                <w:b/>
                <w:bCs/>
                <w:szCs w:val="22"/>
                <w:lang w:eastAsia="en-AU"/>
              </w:rPr>
              <w:t xml:space="preserve">Total financial assets </w:t>
            </w:r>
            <w:r w:rsidRPr="003E2DBE">
              <w:rPr>
                <w:rFonts w:cs="Calibri"/>
                <w:b/>
                <w:bCs/>
                <w:szCs w:val="22"/>
                <w:vertAlign w:val="superscript"/>
                <w:lang w:eastAsia="en-AU"/>
              </w:rPr>
              <w:t>(b)</w:t>
            </w:r>
          </w:p>
        </w:tc>
        <w:tc>
          <w:tcPr>
            <w:tcW w:w="1089" w:type="dxa"/>
            <w:gridSpan w:val="2"/>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37 </w:t>
            </w:r>
            <w:r w:rsidRPr="003E2DBE">
              <w:rPr>
                <w:rFonts w:cs="Calibri"/>
                <w:b/>
                <w:bCs/>
                <w:szCs w:val="22"/>
                <w:lang w:eastAsia="en-AU"/>
              </w:rPr>
              <w:t>380.0</w:t>
            </w:r>
          </w:p>
        </w:tc>
        <w:tc>
          <w:tcPr>
            <w:tcW w:w="1089"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35 </w:t>
            </w:r>
            <w:r w:rsidRPr="003E2DBE">
              <w:rPr>
                <w:rFonts w:cs="Calibri"/>
                <w:b/>
                <w:bCs/>
                <w:szCs w:val="22"/>
                <w:lang w:eastAsia="en-AU"/>
              </w:rPr>
              <w:t>187.8</w:t>
            </w:r>
          </w:p>
        </w:tc>
        <w:tc>
          <w:tcPr>
            <w:tcW w:w="1089" w:type="dxa"/>
            <w:gridSpan w:val="2"/>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13 </w:t>
            </w:r>
            <w:r w:rsidRPr="003E2DBE">
              <w:rPr>
                <w:rFonts w:cs="Calibri"/>
                <w:b/>
                <w:bCs/>
                <w:szCs w:val="22"/>
                <w:lang w:eastAsia="en-AU"/>
              </w:rPr>
              <w:t>901.0</w:t>
            </w:r>
          </w:p>
        </w:tc>
        <w:tc>
          <w:tcPr>
            <w:tcW w:w="1200"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9 </w:t>
            </w:r>
            <w:r w:rsidRPr="003E2DBE">
              <w:rPr>
                <w:rFonts w:cs="Calibri"/>
                <w:b/>
                <w:bCs/>
                <w:szCs w:val="22"/>
                <w:lang w:eastAsia="en-AU"/>
              </w:rPr>
              <w:t>314.1</w:t>
            </w:r>
          </w:p>
        </w:tc>
      </w:tr>
      <w:tr w:rsidR="000B4A1E" w:rsidRPr="003E2DBE" w:rsidTr="00517E51">
        <w:trPr>
          <w:divId w:val="819271648"/>
        </w:trPr>
        <w:tc>
          <w:tcPr>
            <w:tcW w:w="5182"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b/>
                <w:bCs/>
                <w:szCs w:val="22"/>
                <w:lang w:eastAsia="en-AU"/>
              </w:rPr>
            </w:pPr>
            <w:r w:rsidRPr="003E2DBE">
              <w:rPr>
                <w:rFonts w:cs="Calibri"/>
                <w:b/>
                <w:bCs/>
                <w:szCs w:val="22"/>
                <w:lang w:eastAsia="en-AU"/>
              </w:rPr>
              <w:t xml:space="preserve">Financial liabilities </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089" w:type="dxa"/>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200" w:type="dxa"/>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819271648"/>
        </w:trPr>
        <w:tc>
          <w:tcPr>
            <w:tcW w:w="5182"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 xml:space="preserve">Designated </w:t>
            </w:r>
            <w:r w:rsidRPr="003E2DBE">
              <w:rPr>
                <w:rFonts w:cs="Calibri"/>
                <w:szCs w:val="22"/>
                <w:lang w:eastAsia="en-AU"/>
              </w:rPr>
              <w:t>at fair value through the operating statement</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38 </w:t>
            </w:r>
            <w:r w:rsidRPr="003E2DBE">
              <w:rPr>
                <w:rFonts w:cs="Calibri"/>
                <w:szCs w:val="22"/>
                <w:lang w:eastAsia="en-AU"/>
              </w:rPr>
              <w:t>952.1</w:t>
            </w:r>
          </w:p>
        </w:tc>
        <w:tc>
          <w:tcPr>
            <w:tcW w:w="108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36 </w:t>
            </w:r>
            <w:r w:rsidRPr="003E2DBE">
              <w:rPr>
                <w:rFonts w:cs="Calibri"/>
                <w:szCs w:val="22"/>
                <w:lang w:eastAsia="en-AU"/>
              </w:rPr>
              <w:t>023.6</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549.4</w:t>
            </w:r>
          </w:p>
        </w:tc>
        <w:tc>
          <w:tcPr>
            <w:tcW w:w="120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443.1</w:t>
            </w:r>
          </w:p>
        </w:tc>
      </w:tr>
      <w:tr w:rsidR="000B4A1E" w:rsidRPr="003E2DBE" w:rsidTr="00517E51">
        <w:trPr>
          <w:divId w:val="819271648"/>
        </w:trPr>
        <w:tc>
          <w:tcPr>
            <w:tcW w:w="5182"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 xml:space="preserve">Held-for-trading </w:t>
            </w:r>
            <w:r w:rsidRPr="003E2DBE">
              <w:rPr>
                <w:rFonts w:cs="Calibri"/>
                <w:szCs w:val="22"/>
                <w:lang w:eastAsia="en-AU"/>
              </w:rPr>
              <w:t>at fair value through the operating statement</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049.0</w:t>
            </w:r>
          </w:p>
        </w:tc>
        <w:tc>
          <w:tcPr>
            <w:tcW w:w="1089"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631.3</w:t>
            </w:r>
          </w:p>
        </w:tc>
        <w:tc>
          <w:tcPr>
            <w:tcW w:w="1089"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9.0</w:t>
            </w:r>
          </w:p>
        </w:tc>
        <w:tc>
          <w:tcPr>
            <w:tcW w:w="120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36.0</w:t>
            </w:r>
          </w:p>
        </w:tc>
      </w:tr>
      <w:tr w:rsidR="000B4A1E" w:rsidRPr="003E2DBE" w:rsidTr="00517E51">
        <w:trPr>
          <w:divId w:val="819271648"/>
        </w:trPr>
        <w:tc>
          <w:tcPr>
            <w:tcW w:w="5182"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 xml:space="preserve">At </w:t>
            </w:r>
            <w:r w:rsidRPr="003E2DBE">
              <w:rPr>
                <w:rFonts w:cs="Calibri"/>
                <w:szCs w:val="22"/>
                <w:lang w:eastAsia="en-AU"/>
              </w:rPr>
              <w:t>amortised cost</w:t>
            </w:r>
          </w:p>
        </w:tc>
        <w:tc>
          <w:tcPr>
            <w:tcW w:w="1089"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14 </w:t>
            </w:r>
            <w:r w:rsidRPr="003E2DBE">
              <w:rPr>
                <w:rFonts w:cs="Calibri"/>
                <w:szCs w:val="22"/>
                <w:lang w:eastAsia="en-AU"/>
              </w:rPr>
              <w:t>412.3</w:t>
            </w:r>
          </w:p>
        </w:tc>
        <w:tc>
          <w:tcPr>
            <w:tcW w:w="1089"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6 </w:t>
            </w:r>
            <w:r w:rsidRPr="003E2DBE">
              <w:rPr>
                <w:rFonts w:cs="Calibri"/>
                <w:szCs w:val="22"/>
                <w:lang w:eastAsia="en-AU"/>
              </w:rPr>
              <w:t>979.7</w:t>
            </w:r>
          </w:p>
        </w:tc>
        <w:tc>
          <w:tcPr>
            <w:tcW w:w="1089"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34 </w:t>
            </w:r>
            <w:r w:rsidRPr="003E2DBE">
              <w:rPr>
                <w:rFonts w:cs="Calibri"/>
                <w:szCs w:val="22"/>
                <w:lang w:eastAsia="en-AU"/>
              </w:rPr>
              <w:t>848.9</w:t>
            </w:r>
          </w:p>
        </w:tc>
        <w:tc>
          <w:tcPr>
            <w:tcW w:w="120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25 </w:t>
            </w:r>
            <w:r w:rsidRPr="003E2DBE">
              <w:rPr>
                <w:rFonts w:cs="Calibri"/>
                <w:szCs w:val="22"/>
                <w:lang w:eastAsia="en-AU"/>
              </w:rPr>
              <w:t>062.5</w:t>
            </w:r>
          </w:p>
        </w:tc>
      </w:tr>
      <w:tr w:rsidR="000B4A1E" w:rsidRPr="003E2DBE" w:rsidTr="00517E51">
        <w:trPr>
          <w:divId w:val="819271648"/>
        </w:trPr>
        <w:tc>
          <w:tcPr>
            <w:tcW w:w="5182"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rFonts w:cs="Calibri"/>
                <w:b/>
                <w:bCs/>
                <w:szCs w:val="22"/>
                <w:lang w:eastAsia="en-AU"/>
              </w:rPr>
            </w:pPr>
            <w:r w:rsidRPr="003E2DBE">
              <w:rPr>
                <w:b/>
                <w:lang w:eastAsia="en-AU"/>
              </w:rPr>
              <w:t xml:space="preserve">Total </w:t>
            </w:r>
            <w:r w:rsidRPr="003E2DBE">
              <w:rPr>
                <w:rFonts w:cs="Calibri"/>
                <w:b/>
                <w:bCs/>
                <w:szCs w:val="22"/>
                <w:lang w:eastAsia="en-AU"/>
              </w:rPr>
              <w:t xml:space="preserve">financial liabilities </w:t>
            </w:r>
            <w:r w:rsidRPr="003E2DBE">
              <w:rPr>
                <w:rFonts w:cs="Calibri"/>
                <w:b/>
                <w:bCs/>
                <w:szCs w:val="22"/>
                <w:vertAlign w:val="superscript"/>
                <w:lang w:eastAsia="en-AU"/>
              </w:rPr>
              <w:t>(c)</w:t>
            </w:r>
          </w:p>
        </w:tc>
        <w:tc>
          <w:tcPr>
            <w:tcW w:w="1089"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54 </w:t>
            </w:r>
            <w:r w:rsidRPr="003E2DBE">
              <w:rPr>
                <w:rFonts w:cs="Calibri"/>
                <w:b/>
                <w:bCs/>
                <w:szCs w:val="22"/>
                <w:lang w:eastAsia="en-AU"/>
              </w:rPr>
              <w:t>413.4</w:t>
            </w:r>
          </w:p>
        </w:tc>
        <w:tc>
          <w:tcPr>
            <w:tcW w:w="1089"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44 </w:t>
            </w:r>
            <w:r w:rsidRPr="003E2DBE">
              <w:rPr>
                <w:rFonts w:cs="Calibri"/>
                <w:b/>
                <w:bCs/>
                <w:szCs w:val="22"/>
                <w:lang w:eastAsia="en-AU"/>
              </w:rPr>
              <w:t>634.6</w:t>
            </w:r>
          </w:p>
        </w:tc>
        <w:tc>
          <w:tcPr>
            <w:tcW w:w="1089"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35 </w:t>
            </w:r>
            <w:r w:rsidRPr="003E2DBE">
              <w:rPr>
                <w:rFonts w:cs="Calibri"/>
                <w:b/>
                <w:bCs/>
                <w:szCs w:val="22"/>
                <w:lang w:eastAsia="en-AU"/>
              </w:rPr>
              <w:t>407.3</w:t>
            </w:r>
          </w:p>
        </w:tc>
        <w:tc>
          <w:tcPr>
            <w:tcW w:w="120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25 </w:t>
            </w:r>
            <w:r w:rsidRPr="003E2DBE">
              <w:rPr>
                <w:rFonts w:cs="Calibri"/>
                <w:b/>
                <w:bCs/>
                <w:szCs w:val="22"/>
                <w:lang w:eastAsia="en-AU"/>
              </w:rPr>
              <w:t>541.6</w:t>
            </w:r>
          </w:p>
        </w:tc>
      </w:tr>
    </w:tbl>
    <w:bookmarkEnd w:id="95"/>
    <w:p w:rsidR="000B4A1E" w:rsidRPr="00D00665" w:rsidRDefault="000B4A1E" w:rsidP="00517E51">
      <w:pPr>
        <w:pStyle w:val="Notes"/>
      </w:pPr>
      <w:r w:rsidRPr="00D00665">
        <w:t>Notes:</w:t>
      </w:r>
    </w:p>
    <w:p w:rsidR="000B4A1E" w:rsidRPr="00D00665" w:rsidRDefault="000B4A1E" w:rsidP="00517E51">
      <w:pPr>
        <w:pStyle w:val="Notes"/>
      </w:pPr>
      <w:r w:rsidRPr="00D00665">
        <w:t>(a)</w:t>
      </w:r>
      <w:r w:rsidRPr="00D00665">
        <w:tab/>
        <w:t>The 2012 figures differ from that presented in the 2011</w:t>
      </w:r>
      <w:r w:rsidRPr="00D00665">
        <w:noBreakHyphen/>
        <w:t>12 Financial Report to more correctly reflect clarification of contractual statutory receivables. Restated balances at 30 June 2012. Refer to Note 36 of the financial statements.</w:t>
      </w:r>
    </w:p>
    <w:p w:rsidR="000B4A1E" w:rsidRPr="00D00665" w:rsidRDefault="000B4A1E" w:rsidP="00517E51">
      <w:pPr>
        <w:pStyle w:val="Notes"/>
      </w:pPr>
      <w:r w:rsidRPr="00D00665">
        <w:t>(b)</w:t>
      </w:r>
      <w:r w:rsidRPr="00D00665">
        <w:tab/>
        <w:t>The State</w:t>
      </w:r>
      <w:r>
        <w:t>’</w:t>
      </w:r>
      <w:r w:rsidRPr="00D00665">
        <w:t>s total financial assets in this table exclude statutory receivables of $4 440.5</w:t>
      </w:r>
      <w:r>
        <w:t> million</w:t>
      </w:r>
      <w:r w:rsidRPr="00D00665">
        <w:t xml:space="preserve"> (2012: $3 275.4</w:t>
      </w:r>
      <w:r>
        <w:t> million</w:t>
      </w:r>
      <w:r w:rsidRPr="00D00665">
        <w:t>).</w:t>
      </w:r>
    </w:p>
    <w:p w:rsidR="000B4A1E" w:rsidRDefault="000B4A1E" w:rsidP="00517E51">
      <w:pPr>
        <w:pStyle w:val="Notes"/>
      </w:pPr>
      <w:r w:rsidRPr="00D00665">
        <w:t>(c)</w:t>
      </w:r>
      <w:r w:rsidRPr="00D00665">
        <w:tab/>
        <w:t>The State</w:t>
      </w:r>
      <w:r>
        <w:t>’</w:t>
      </w:r>
      <w:r w:rsidRPr="00D00665">
        <w:t>s total financial liabilities in this table exclude statutory taxes payable of $85.9</w:t>
      </w:r>
      <w:r>
        <w:t> million</w:t>
      </w:r>
      <w:r w:rsidRPr="00D00665">
        <w:t xml:space="preserve"> (2012: $98.5</w:t>
      </w:r>
      <w:r>
        <w:t> million</w:t>
      </w:r>
      <w:r w:rsidRPr="00D00665">
        <w:t>).</w:t>
      </w:r>
    </w:p>
    <w:p w:rsidR="000B4A1E" w:rsidRPr="00D00665" w:rsidRDefault="000B4A1E" w:rsidP="00517E51">
      <w:pPr>
        <w:pStyle w:val="Notes"/>
      </w:pPr>
    </w:p>
    <w:p w:rsidR="000B4A1E" w:rsidRPr="00D00665" w:rsidRDefault="000B4A1E" w:rsidP="00517E51">
      <w:r w:rsidRPr="00D00665">
        <w:t>As part of its normal operations, the State is exposed to a number of financial risks including market risk (e.g. interest rate risk, foreign currency risk, and equity price risk), credit risk and liquidity risk through transactions involving its financial instruments. As a whole, the State</w:t>
      </w:r>
      <w:r>
        <w:t>’</w:t>
      </w:r>
      <w:r w:rsidRPr="00D00665">
        <w:t>s financial risk management program seeks to manage these risks and the associated volatility on its financial performance.</w:t>
      </w:r>
    </w:p>
    <w:p w:rsidR="000B4A1E" w:rsidRPr="00D00665" w:rsidRDefault="000B4A1E" w:rsidP="00517E51">
      <w:r w:rsidRPr="00D00665">
        <w:t>Responsible and prudent financial risk management is carried out individually by the State</w:t>
      </w:r>
      <w:r>
        <w:t>’</w:t>
      </w:r>
      <w:r w:rsidRPr="00D00665">
        <w:t>s entities, in accordance with the State</w:t>
      </w:r>
      <w:r>
        <w:t>’</w:t>
      </w:r>
      <w:r w:rsidRPr="00D00665">
        <w:t>s risk management framework, developed by the Department of Treasury and Finance (DTF) and established by the Treasurer. The State</w:t>
      </w:r>
      <w:r>
        <w:t>’</w:t>
      </w:r>
      <w:r w:rsidRPr="00D00665">
        <w:t>s risk management framework comprises the following key components:</w:t>
      </w:r>
    </w:p>
    <w:p w:rsidR="000B4A1E" w:rsidRPr="00D00665" w:rsidRDefault="000B4A1E" w:rsidP="00517E51">
      <w:pPr>
        <w:pStyle w:val="BulletText"/>
      </w:pPr>
      <w:r w:rsidRPr="00D00665">
        <w:t>the Treasurer is responsible for approving and establishing the prudential framework containing policies and guidelines on financial risk management;</w:t>
      </w:r>
    </w:p>
    <w:p w:rsidR="000B4A1E" w:rsidRPr="00D00665" w:rsidRDefault="000B4A1E" w:rsidP="00517E51">
      <w:pPr>
        <w:pStyle w:val="BulletText"/>
      </w:pPr>
      <w:r w:rsidRPr="00D00665">
        <w:t>the Senior Executive Group of DTF is responsible for advising the Government on the management of the State</w:t>
      </w:r>
      <w:r>
        <w:t>’</w:t>
      </w:r>
      <w:r w:rsidRPr="00D00665">
        <w:t>s financial risks;</w:t>
      </w:r>
    </w:p>
    <w:p w:rsidR="000B4A1E" w:rsidRPr="00D00665" w:rsidRDefault="000B4A1E" w:rsidP="00517E51">
      <w:pPr>
        <w:pStyle w:val="BulletText"/>
      </w:pPr>
      <w:r w:rsidRPr="00D00665">
        <w:t>DTF</w:t>
      </w:r>
      <w:r>
        <w:t>’</w:t>
      </w:r>
      <w:r w:rsidRPr="00D00665">
        <w:t>s Risk Governance Committee is responsible for monitoring the balance sheet and risk management frameworks of the State</w:t>
      </w:r>
      <w:r>
        <w:t>’</w:t>
      </w:r>
      <w:r w:rsidRPr="00D00665">
        <w:t>s financial and non</w:t>
      </w:r>
      <w:r w:rsidRPr="00D00665">
        <w:noBreakHyphen/>
        <w:t>financial risks, and advising or making recommendations to the Senior Executive Group;</w:t>
      </w:r>
    </w:p>
    <w:p w:rsidR="000B4A1E" w:rsidRPr="00D00665" w:rsidRDefault="000B4A1E" w:rsidP="00517E51">
      <w:pPr>
        <w:pStyle w:val="BulletText"/>
      </w:pPr>
      <w:r w:rsidRPr="00D00665">
        <w:t>the Treasury Corporation of Victoria (TCV) is the State</w:t>
      </w:r>
      <w:r>
        <w:t>’</w:t>
      </w:r>
      <w:r w:rsidRPr="00D00665">
        <w:t>s central borrowing authority and financing advisor. An independent prudential supervisor is appointed by the Treasurer to monitor TCV</w:t>
      </w:r>
      <w:r>
        <w:t>’</w:t>
      </w:r>
      <w:r w:rsidRPr="00D00665">
        <w:t>s compliance with its prudential framework;</w:t>
      </w:r>
    </w:p>
    <w:p w:rsidR="000B4A1E" w:rsidRPr="00D00665" w:rsidRDefault="000B4A1E" w:rsidP="00517E51">
      <w:pPr>
        <w:pStyle w:val="BulletText"/>
      </w:pPr>
      <w:r w:rsidRPr="00D00665">
        <w:t>the Victorian Funds Management Corporation (VFMC) acts as the State</w:t>
      </w:r>
      <w:r>
        <w:t>’</w:t>
      </w:r>
      <w:r w:rsidRPr="00D00665">
        <w:t>s central investment fund manager providing expertise in developing investment strategy and delivering funds management services in accordance with each entity</w:t>
      </w:r>
      <w:r>
        <w:t>’</w:t>
      </w:r>
      <w:r w:rsidRPr="00D00665">
        <w:t xml:space="preserve">s investment objectives; and </w:t>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D00665" w:rsidRDefault="000B4A1E" w:rsidP="00517E51">
      <w:pPr>
        <w:pStyle w:val="BulletText"/>
      </w:pPr>
      <w:r w:rsidRPr="00D00665">
        <w:t>the State</w:t>
      </w:r>
      <w:r>
        <w:t>’</w:t>
      </w:r>
      <w:r w:rsidRPr="00D00665">
        <w:t>s entities with gross debt or investments equal to or greater than $20</w:t>
      </w:r>
      <w:r>
        <w:t> million</w:t>
      </w:r>
      <w:r w:rsidRPr="00D00665">
        <w:t>, are responsible for setting their own financial risk policy and objectives in accordance with the Treasurer</w:t>
      </w:r>
      <w:r>
        <w:t>’</w:t>
      </w:r>
      <w:r w:rsidRPr="00D00665">
        <w:t>s prudential framework. All entities are responsible for the day to day operational management of their financial instruments and associated risks in accordance with the Treasury Management Guidelines.</w:t>
      </w:r>
    </w:p>
    <w:p w:rsidR="000B4A1E" w:rsidRPr="00D00665" w:rsidRDefault="000B4A1E" w:rsidP="00517E51">
      <w:r w:rsidRPr="00D00665">
        <w:t>The prudential framework covers areas such as financial management objectives, responsibility structure and delegation, and policies and guidance on market risk, credit risk, liquidity risk and operational risk. The CEOs and executives of the State</w:t>
      </w:r>
      <w:r>
        <w:t>’</w:t>
      </w:r>
      <w:r w:rsidRPr="00D00665">
        <w:t>s entities are responsible for advising their boards, who in turn notify DTF and other stakeholders of any breach by the entities of the prudential standards set by the Treasurer or policies set by their respective boards, including the strategy to remediate the breach.</w:t>
      </w:r>
    </w:p>
    <w:p w:rsidR="000B4A1E" w:rsidRPr="00D00665" w:rsidRDefault="000B4A1E" w:rsidP="00517E51">
      <w:r w:rsidRPr="00D00665">
        <w:t>A number of the State</w:t>
      </w:r>
      <w:r>
        <w:t>’</w:t>
      </w:r>
      <w:r w:rsidRPr="00D00665">
        <w:t>s entities enter into derivative financial instruments in accordance with the Treasurer</w:t>
      </w:r>
      <w:r>
        <w:t>’</w:t>
      </w:r>
      <w:r w:rsidRPr="00D00665">
        <w:t>s prudential and financial management framework, in order to manage their exposure to movements in interest rates, foreign currency exchange rates, and commodity related exposures.</w:t>
      </w:r>
    </w:p>
    <w:p w:rsidR="000B4A1E" w:rsidRPr="00D00665" w:rsidRDefault="000B4A1E" w:rsidP="00517E51">
      <w:r w:rsidRPr="00D00665">
        <w:t>These derivative financial instruments, which include interest rate swaps and futures and forward foreign exchange contracts, are used to manage the risks inherent in either borrowings, financial asset investments or cash flow denominated in foreign currency. Derivative financial instruments are not used to add leverage to the State</w:t>
      </w:r>
      <w:r>
        <w:t>’</w:t>
      </w:r>
      <w:r w:rsidRPr="00D00665">
        <w:t>s financial position.</w:t>
      </w:r>
    </w:p>
    <w:p w:rsidR="000B4A1E" w:rsidRPr="00D00665" w:rsidRDefault="000B4A1E" w:rsidP="00517E51">
      <w:pPr>
        <w:pStyle w:val="Heading5"/>
      </w:pPr>
      <w:r w:rsidRPr="00D00665">
        <w:t>(b)</w:t>
      </w:r>
      <w:r w:rsidRPr="00D00665">
        <w:tab/>
        <w:t>Breakdown of interest revenue</w:t>
      </w:r>
    </w:p>
    <w:p w:rsidR="000B4A1E" w:rsidRPr="003E2DBE" w:rsidRDefault="000B4A1E" w:rsidP="00517E51">
      <w:pPr>
        <w:pStyle w:val="million"/>
      </w:pPr>
      <w:r w:rsidRPr="00D00665">
        <w:t>($</w:t>
      </w:r>
      <w:r>
        <w:t> million</w:t>
      </w:r>
      <w:r w:rsidRPr="00D00665">
        <w:t>)</w:t>
      </w:r>
      <w:bookmarkStart w:id="96" w:name="RANGE!C61:G66"/>
      <w:bookmarkStart w:id="97" w:name="RANGE!C53:G58"/>
      <w:bookmarkStart w:id="98" w:name="RANGE!C51:G56"/>
      <w:bookmarkStart w:id="99" w:name="RANGE!C47:G52"/>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68831089"/>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bookmarkEnd w:id="96"/>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68831089"/>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hideMark/>
          </w:tcPr>
          <w:p w:rsidR="000B4A1E" w:rsidRPr="003E2DBE" w:rsidRDefault="000B4A1E" w:rsidP="00517E51">
            <w:pPr>
              <w:pStyle w:val="Tabletextheading"/>
              <w:rPr>
                <w:iCs/>
                <w:lang w:eastAsia="en-AU"/>
              </w:rPr>
            </w:pPr>
            <w:r w:rsidRPr="003E2DBE">
              <w:rPr>
                <w:iCs/>
                <w:lang w:eastAsia="en-AU"/>
              </w:rPr>
              <w:t>2013</w:t>
            </w:r>
          </w:p>
        </w:tc>
        <w:tc>
          <w:tcPr>
            <w:tcW w:w="1123"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68831089"/>
        </w:trPr>
        <w:tc>
          <w:tcPr>
            <w:tcW w:w="5156" w:type="dxa"/>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Interest revenue from financial assets not at fair value through the operating statement</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806.0</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879.6</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697.6</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412.6</w:t>
            </w:r>
          </w:p>
        </w:tc>
      </w:tr>
      <w:tr w:rsidR="000B4A1E" w:rsidRPr="003E2DBE" w:rsidTr="00517E51">
        <w:trPr>
          <w:divId w:val="168831089"/>
        </w:trPr>
        <w:tc>
          <w:tcPr>
            <w:tcW w:w="5156" w:type="dxa"/>
            <w:tcBorders>
              <w:top w:val="nil"/>
              <w:left w:val="nil"/>
              <w:bottom w:val="nil"/>
              <w:right w:val="nil"/>
            </w:tcBorders>
            <w:shd w:val="clear" w:color="auto" w:fill="auto"/>
            <w:vAlign w:val="bottom"/>
            <w:hideMark/>
          </w:tcPr>
          <w:p w:rsidR="000B4A1E" w:rsidRPr="003E2DBE" w:rsidRDefault="000B4A1E" w:rsidP="00517E51">
            <w:pPr>
              <w:pStyle w:val="Tabletext"/>
              <w:rPr>
                <w:lang w:eastAsia="en-AU"/>
              </w:rPr>
            </w:pPr>
            <w:r w:rsidRPr="003E2DBE">
              <w:rPr>
                <w:lang w:eastAsia="en-AU"/>
              </w:rPr>
              <w:t>Interest revenue from financial assets at fair value through the operating statement</w:t>
            </w:r>
          </w:p>
        </w:tc>
        <w:tc>
          <w:tcPr>
            <w:tcW w:w="1123"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164.2</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336.3</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3.1</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68831089"/>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Interest revenue from impaired financial assets</w:t>
            </w:r>
          </w:p>
        </w:tc>
        <w:tc>
          <w:tcPr>
            <w:tcW w:w="1123"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0.2</w:t>
            </w:r>
          </w:p>
        </w:tc>
        <w:tc>
          <w:tcPr>
            <w:tcW w:w="1123"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68831089"/>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lang w:eastAsia="en-AU"/>
              </w:rPr>
            </w:pPr>
            <w:r w:rsidRPr="003E2DBE">
              <w:rPr>
                <w:b/>
                <w:lang w:eastAsia="en-AU"/>
              </w:rPr>
              <w:t>Total</w:t>
            </w:r>
          </w:p>
        </w:tc>
        <w:tc>
          <w:tcPr>
            <w:tcW w:w="1123"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970.4</w:t>
            </w:r>
          </w:p>
        </w:tc>
        <w:tc>
          <w:tcPr>
            <w:tcW w:w="1123"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215.9</w:t>
            </w:r>
          </w:p>
        </w:tc>
        <w:tc>
          <w:tcPr>
            <w:tcW w:w="1123"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700.7</w:t>
            </w:r>
          </w:p>
        </w:tc>
        <w:tc>
          <w:tcPr>
            <w:tcW w:w="1123"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412.6</w:t>
            </w:r>
          </w:p>
        </w:tc>
      </w:tr>
      <w:bookmarkEnd w:id="97"/>
      <w:bookmarkEnd w:id="98"/>
      <w:bookmarkEnd w:id="99"/>
    </w:tbl>
    <w:p w:rsidR="000B4A1E" w:rsidRPr="00D00665" w:rsidRDefault="000B4A1E" w:rsidP="00517E51"/>
    <w:p w:rsidR="000B4A1E" w:rsidRPr="00D00665" w:rsidRDefault="000B4A1E" w:rsidP="00517E51">
      <w:pPr>
        <w:pStyle w:val="Heading5"/>
        <w:rPr>
          <w:vertAlign w:val="superscript"/>
        </w:rPr>
      </w:pPr>
      <w:r w:rsidRPr="00D00665">
        <w:t>(c)</w:t>
      </w:r>
      <w:r w:rsidRPr="00D00665">
        <w:tab/>
        <w:t>Breakdown of interest and fee expense items</w:t>
      </w:r>
      <w:r w:rsidRPr="00D00665">
        <w:rPr>
          <w:vertAlign w:val="superscript"/>
        </w:rPr>
        <w:t>(a)</w:t>
      </w:r>
    </w:p>
    <w:p w:rsidR="000B4A1E" w:rsidRPr="003C02F9" w:rsidRDefault="000B4A1E" w:rsidP="00517E51">
      <w:pPr>
        <w:pStyle w:val="million"/>
      </w:pPr>
      <w:r w:rsidRPr="00D00665">
        <w:t>($</w:t>
      </w:r>
      <w:r>
        <w:t> million</w:t>
      </w:r>
      <w:r w:rsidRPr="00D00665">
        <w:t>)</w:t>
      </w:r>
      <w:bookmarkStart w:id="100" w:name="RANGE!C72:G78"/>
      <w:bookmarkStart w:id="101" w:name="RANGE!C64:G70"/>
      <w:bookmarkStart w:id="102" w:name="RANGE!C62:G68"/>
      <w:bookmarkStart w:id="103" w:name="RANGE!C58:G64"/>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C02F9" w:rsidTr="00517E51">
        <w:trPr>
          <w:divId w:val="1764300645"/>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C02F9" w:rsidRDefault="000B4A1E" w:rsidP="00517E51">
            <w:pPr>
              <w:pStyle w:val="Tabletext"/>
              <w:rPr>
                <w:lang w:eastAsia="en-AU"/>
              </w:rPr>
            </w:pPr>
            <w:r w:rsidRPr="003C02F9">
              <w:rPr>
                <w:lang w:eastAsia="en-AU"/>
              </w:rPr>
              <w:t xml:space="preserve"> </w:t>
            </w:r>
          </w:p>
        </w:tc>
        <w:tc>
          <w:tcPr>
            <w:tcW w:w="106" w:type="dxa"/>
            <w:tcBorders>
              <w:top w:val="single" w:sz="4" w:space="0" w:color="auto"/>
              <w:left w:val="nil"/>
              <w:bottom w:val="nil"/>
              <w:right w:val="nil"/>
            </w:tcBorders>
            <w:shd w:val="clear" w:color="auto" w:fill="000000"/>
            <w:noWrap/>
            <w:hideMark/>
          </w:tcPr>
          <w:p w:rsidR="000B4A1E" w:rsidRPr="003C02F9" w:rsidRDefault="000B4A1E" w:rsidP="00517E51">
            <w:pPr>
              <w:pStyle w:val="TabletextheadingCentred"/>
              <w:rPr>
                <w:lang w:eastAsia="en-AU"/>
              </w:rPr>
            </w:pPr>
            <w:r w:rsidRPr="003C02F9">
              <w:rPr>
                <w:lang w:eastAsia="en-AU"/>
              </w:rPr>
              <w:t xml:space="preserve"> </w:t>
            </w:r>
          </w:p>
        </w:tc>
        <w:tc>
          <w:tcPr>
            <w:tcW w:w="2140" w:type="dxa"/>
            <w:gridSpan w:val="2"/>
            <w:tcBorders>
              <w:top w:val="single" w:sz="4" w:space="0" w:color="auto"/>
              <w:left w:val="nil"/>
              <w:bottom w:val="nil"/>
              <w:right w:val="nil"/>
            </w:tcBorders>
            <w:shd w:val="clear" w:color="auto" w:fill="000000"/>
            <w:hideMark/>
          </w:tcPr>
          <w:p w:rsidR="000B4A1E" w:rsidRPr="003C02F9" w:rsidRDefault="000B4A1E" w:rsidP="00517E51">
            <w:pPr>
              <w:pStyle w:val="TabletextheadingCentred"/>
              <w:rPr>
                <w:lang w:eastAsia="en-AU"/>
              </w:rPr>
            </w:pPr>
            <w:r w:rsidRPr="003C02F9">
              <w:rPr>
                <w:lang w:eastAsia="en-AU"/>
              </w:rPr>
              <w:br/>
              <w:t>State of Victoria</w:t>
            </w:r>
          </w:p>
        </w:tc>
        <w:tc>
          <w:tcPr>
            <w:tcW w:w="106" w:type="dxa"/>
            <w:tcBorders>
              <w:top w:val="single" w:sz="4" w:space="0" w:color="auto"/>
              <w:left w:val="nil"/>
              <w:bottom w:val="nil"/>
              <w:right w:val="nil"/>
            </w:tcBorders>
            <w:shd w:val="clear" w:color="auto" w:fill="000000"/>
            <w:noWrap/>
            <w:hideMark/>
          </w:tcPr>
          <w:p w:rsidR="000B4A1E" w:rsidRPr="003C02F9" w:rsidRDefault="000B4A1E" w:rsidP="00517E51">
            <w:pPr>
              <w:pStyle w:val="TabletextheadingCentred"/>
              <w:rPr>
                <w:lang w:eastAsia="en-AU"/>
              </w:rPr>
            </w:pPr>
            <w:r w:rsidRPr="003C02F9">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3C02F9" w:rsidRDefault="000B4A1E" w:rsidP="00517E51">
            <w:pPr>
              <w:pStyle w:val="TabletextheadingCentred"/>
              <w:rPr>
                <w:lang w:eastAsia="en-AU"/>
              </w:rPr>
            </w:pPr>
            <w:r w:rsidRPr="003C02F9">
              <w:rPr>
                <w:lang w:eastAsia="en-AU"/>
              </w:rPr>
              <w:t xml:space="preserve">General </w:t>
            </w:r>
            <w:r w:rsidRPr="003C02F9">
              <w:rPr>
                <w:lang w:eastAsia="en-AU"/>
              </w:rPr>
              <w:br/>
              <w:t>government sector</w:t>
            </w:r>
          </w:p>
        </w:tc>
      </w:tr>
      <w:tr w:rsidR="000B4A1E" w:rsidRPr="003C02F9" w:rsidTr="00517E51">
        <w:trPr>
          <w:divId w:val="1764300645"/>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C02F9" w:rsidRDefault="000B4A1E" w:rsidP="00517E51">
            <w:pPr>
              <w:pStyle w:val="Tabletext"/>
              <w:rPr>
                <w:lang w:eastAsia="en-AU"/>
              </w:rPr>
            </w:pPr>
            <w:r w:rsidRPr="003C02F9">
              <w:rPr>
                <w:lang w:eastAsia="en-AU"/>
              </w:rPr>
              <w:t xml:space="preserve"> </w:t>
            </w:r>
          </w:p>
        </w:tc>
        <w:tc>
          <w:tcPr>
            <w:tcW w:w="1123" w:type="dxa"/>
            <w:gridSpan w:val="2"/>
            <w:tcBorders>
              <w:top w:val="nil"/>
              <w:left w:val="nil"/>
              <w:bottom w:val="single" w:sz="4" w:space="0" w:color="auto"/>
              <w:right w:val="nil"/>
            </w:tcBorders>
            <w:shd w:val="clear" w:color="auto" w:fill="000000"/>
            <w:hideMark/>
          </w:tcPr>
          <w:p w:rsidR="000B4A1E" w:rsidRPr="003C02F9" w:rsidRDefault="000B4A1E" w:rsidP="00517E51">
            <w:pPr>
              <w:pStyle w:val="Tabletextheading"/>
              <w:rPr>
                <w:iCs/>
                <w:lang w:eastAsia="en-AU"/>
              </w:rPr>
            </w:pPr>
            <w:r w:rsidRPr="003C02F9">
              <w:rPr>
                <w:iCs/>
                <w:lang w:eastAsia="en-AU"/>
              </w:rPr>
              <w:t>2013</w:t>
            </w:r>
          </w:p>
        </w:tc>
        <w:tc>
          <w:tcPr>
            <w:tcW w:w="1123" w:type="dxa"/>
            <w:tcBorders>
              <w:top w:val="nil"/>
              <w:left w:val="nil"/>
              <w:bottom w:val="single" w:sz="4" w:space="0" w:color="auto"/>
              <w:right w:val="nil"/>
            </w:tcBorders>
            <w:shd w:val="clear" w:color="auto" w:fill="000000"/>
            <w:hideMark/>
          </w:tcPr>
          <w:p w:rsidR="000B4A1E" w:rsidRPr="003C02F9" w:rsidRDefault="000B4A1E" w:rsidP="00517E51">
            <w:pPr>
              <w:pStyle w:val="Tabletextheading"/>
              <w:rPr>
                <w:lang w:eastAsia="en-AU"/>
              </w:rPr>
            </w:pPr>
            <w:r w:rsidRPr="003C02F9">
              <w:rPr>
                <w:lang w:eastAsia="en-AU"/>
              </w:rPr>
              <w:t>2012</w:t>
            </w:r>
          </w:p>
        </w:tc>
        <w:tc>
          <w:tcPr>
            <w:tcW w:w="1123" w:type="dxa"/>
            <w:gridSpan w:val="2"/>
            <w:tcBorders>
              <w:top w:val="nil"/>
              <w:left w:val="nil"/>
              <w:bottom w:val="single" w:sz="4" w:space="0" w:color="auto"/>
              <w:right w:val="nil"/>
            </w:tcBorders>
            <w:shd w:val="clear" w:color="auto" w:fill="000000"/>
            <w:hideMark/>
          </w:tcPr>
          <w:p w:rsidR="000B4A1E" w:rsidRPr="003C02F9" w:rsidRDefault="000B4A1E" w:rsidP="00517E51">
            <w:pPr>
              <w:pStyle w:val="Tabletextheading"/>
              <w:rPr>
                <w:lang w:eastAsia="en-AU"/>
              </w:rPr>
            </w:pPr>
            <w:r w:rsidRPr="003C02F9">
              <w:rPr>
                <w:lang w:eastAsia="en-AU"/>
              </w:rPr>
              <w:t>2013</w:t>
            </w:r>
          </w:p>
        </w:tc>
        <w:tc>
          <w:tcPr>
            <w:tcW w:w="1123" w:type="dxa"/>
            <w:tcBorders>
              <w:top w:val="nil"/>
              <w:left w:val="nil"/>
              <w:bottom w:val="single" w:sz="4" w:space="0" w:color="auto"/>
              <w:right w:val="single" w:sz="4" w:space="0" w:color="auto"/>
            </w:tcBorders>
            <w:shd w:val="clear" w:color="auto" w:fill="000000"/>
            <w:hideMark/>
          </w:tcPr>
          <w:p w:rsidR="000B4A1E" w:rsidRPr="003C02F9" w:rsidRDefault="000B4A1E" w:rsidP="00517E51">
            <w:pPr>
              <w:pStyle w:val="Tabletextheading"/>
              <w:rPr>
                <w:lang w:eastAsia="en-AU"/>
              </w:rPr>
            </w:pPr>
            <w:r w:rsidRPr="003C02F9">
              <w:rPr>
                <w:lang w:eastAsia="en-AU"/>
              </w:rPr>
              <w:t>2012</w:t>
            </w:r>
          </w:p>
        </w:tc>
      </w:tr>
      <w:tr w:rsidR="000B4A1E" w:rsidRPr="003C02F9" w:rsidTr="00517E51">
        <w:trPr>
          <w:divId w:val="1764300645"/>
        </w:trPr>
        <w:tc>
          <w:tcPr>
            <w:tcW w:w="5156" w:type="dxa"/>
            <w:tcBorders>
              <w:top w:val="nil"/>
              <w:left w:val="nil"/>
              <w:bottom w:val="nil"/>
              <w:right w:val="nil"/>
            </w:tcBorders>
            <w:shd w:val="clear" w:color="auto" w:fill="auto"/>
            <w:vAlign w:val="bottom"/>
            <w:hideMark/>
          </w:tcPr>
          <w:p w:rsidR="000B4A1E" w:rsidRPr="003C02F9" w:rsidRDefault="000B4A1E" w:rsidP="00517E51">
            <w:pPr>
              <w:pStyle w:val="Tabletext"/>
              <w:rPr>
                <w:rFonts w:cs="Calibri"/>
                <w:szCs w:val="22"/>
                <w:lang w:eastAsia="en-AU"/>
              </w:rPr>
            </w:pPr>
            <w:r w:rsidRPr="003C02F9">
              <w:rPr>
                <w:lang w:eastAsia="en-AU"/>
              </w:rPr>
              <w:t xml:space="preserve">Interest expense from financial liabilities not at fair value through the operating statement </w:t>
            </w:r>
            <w:r w:rsidRPr="003C02F9">
              <w:rPr>
                <w:rFonts w:cs="Calibri"/>
                <w:szCs w:val="22"/>
                <w:vertAlign w:val="superscript"/>
                <w:lang w:eastAsia="en-AU"/>
              </w:rPr>
              <w:t>(b)</w:t>
            </w:r>
          </w:p>
        </w:tc>
        <w:tc>
          <w:tcPr>
            <w:tcW w:w="1123" w:type="dxa"/>
            <w:gridSpan w:val="2"/>
            <w:tcBorders>
              <w:top w:val="nil"/>
              <w:left w:val="nil"/>
              <w:bottom w:val="nil"/>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 xml:space="preserve"> 669.0</w:t>
            </w:r>
          </w:p>
        </w:tc>
        <w:tc>
          <w:tcPr>
            <w:tcW w:w="1123" w:type="dxa"/>
            <w:tcBorders>
              <w:top w:val="nil"/>
              <w:left w:val="nil"/>
              <w:bottom w:val="nil"/>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 xml:space="preserve"> 355.6</w:t>
            </w:r>
          </w:p>
        </w:tc>
        <w:tc>
          <w:tcPr>
            <w:tcW w:w="1123" w:type="dxa"/>
            <w:gridSpan w:val="2"/>
            <w:tcBorders>
              <w:top w:val="nil"/>
              <w:left w:val="nil"/>
              <w:bottom w:val="nil"/>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 xml:space="preserve">1 </w:t>
            </w:r>
            <w:r w:rsidRPr="003C02F9">
              <w:rPr>
                <w:rFonts w:cs="Calibri"/>
                <w:szCs w:val="22"/>
                <w:lang w:eastAsia="en-AU"/>
              </w:rPr>
              <w:t>730.2</w:t>
            </w:r>
          </w:p>
        </w:tc>
        <w:tc>
          <w:tcPr>
            <w:tcW w:w="1123" w:type="dxa"/>
            <w:tcBorders>
              <w:top w:val="nil"/>
              <w:left w:val="nil"/>
              <w:bottom w:val="nil"/>
              <w:right w:val="nil"/>
            </w:tcBorders>
            <w:shd w:val="clear" w:color="auto" w:fill="auto"/>
            <w:noWrap/>
            <w:hideMark/>
          </w:tcPr>
          <w:p w:rsidR="000B4A1E" w:rsidRPr="003C02F9" w:rsidRDefault="000B4A1E" w:rsidP="00517E51">
            <w:pPr>
              <w:pStyle w:val="TableofFigures"/>
              <w:rPr>
                <w:rFonts w:cs="Calibri"/>
                <w:color w:val="0000FF"/>
                <w:szCs w:val="22"/>
                <w:lang w:eastAsia="en-AU"/>
              </w:rPr>
            </w:pPr>
            <w:r w:rsidRPr="003C02F9">
              <w:rPr>
                <w:lang w:eastAsia="en-AU"/>
              </w:rPr>
              <w:t xml:space="preserve">1 </w:t>
            </w:r>
            <w:r w:rsidRPr="003C02F9">
              <w:rPr>
                <w:rFonts w:cs="Calibri"/>
                <w:szCs w:val="22"/>
                <w:lang w:eastAsia="en-AU"/>
              </w:rPr>
              <w:t>191.9</w:t>
            </w:r>
          </w:p>
        </w:tc>
      </w:tr>
      <w:tr w:rsidR="000B4A1E" w:rsidRPr="003C02F9" w:rsidTr="00517E51">
        <w:trPr>
          <w:divId w:val="1764300645"/>
        </w:trPr>
        <w:tc>
          <w:tcPr>
            <w:tcW w:w="5156" w:type="dxa"/>
            <w:tcBorders>
              <w:top w:val="nil"/>
              <w:left w:val="nil"/>
              <w:bottom w:val="nil"/>
              <w:right w:val="nil"/>
            </w:tcBorders>
            <w:shd w:val="clear" w:color="auto" w:fill="auto"/>
            <w:vAlign w:val="bottom"/>
            <w:hideMark/>
          </w:tcPr>
          <w:p w:rsidR="000B4A1E" w:rsidRPr="003C02F9" w:rsidRDefault="000B4A1E" w:rsidP="00517E51">
            <w:pPr>
              <w:pStyle w:val="Tabletext"/>
              <w:rPr>
                <w:lang w:eastAsia="en-AU"/>
              </w:rPr>
            </w:pPr>
            <w:r w:rsidRPr="003C02F9">
              <w:rPr>
                <w:lang w:eastAsia="en-AU"/>
              </w:rPr>
              <w:t>Interest expense from financial liabilities at fair value through the operating statement</w:t>
            </w:r>
          </w:p>
        </w:tc>
        <w:tc>
          <w:tcPr>
            <w:tcW w:w="1123" w:type="dxa"/>
            <w:gridSpan w:val="2"/>
            <w:tcBorders>
              <w:top w:val="nil"/>
              <w:left w:val="nil"/>
              <w:bottom w:val="nil"/>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 xml:space="preserve">1 </w:t>
            </w:r>
            <w:r w:rsidRPr="003C02F9">
              <w:rPr>
                <w:rFonts w:cs="Calibri"/>
                <w:szCs w:val="22"/>
                <w:lang w:eastAsia="en-AU"/>
              </w:rPr>
              <w:t>811.3</w:t>
            </w:r>
          </w:p>
        </w:tc>
        <w:tc>
          <w:tcPr>
            <w:tcW w:w="1123" w:type="dxa"/>
            <w:tcBorders>
              <w:top w:val="nil"/>
              <w:left w:val="nil"/>
              <w:bottom w:val="nil"/>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 xml:space="preserve">1 </w:t>
            </w:r>
            <w:r w:rsidRPr="003C02F9">
              <w:rPr>
                <w:rFonts w:cs="Calibri"/>
                <w:szCs w:val="22"/>
                <w:lang w:eastAsia="en-AU"/>
              </w:rPr>
              <w:t>665.6</w:t>
            </w:r>
          </w:p>
        </w:tc>
        <w:tc>
          <w:tcPr>
            <w:tcW w:w="1123" w:type="dxa"/>
            <w:gridSpan w:val="2"/>
            <w:tcBorders>
              <w:top w:val="nil"/>
              <w:left w:val="nil"/>
              <w:bottom w:val="nil"/>
              <w:right w:val="nil"/>
            </w:tcBorders>
            <w:shd w:val="clear" w:color="auto" w:fill="auto"/>
            <w:noWrap/>
            <w:hideMark/>
          </w:tcPr>
          <w:p w:rsidR="000B4A1E" w:rsidRPr="003C02F9" w:rsidRDefault="000B4A1E" w:rsidP="00517E51">
            <w:pPr>
              <w:pStyle w:val="TableofFigures"/>
              <w:rPr>
                <w:rFonts w:cs="Calibri"/>
                <w:szCs w:val="22"/>
                <w:lang w:eastAsia="en-AU"/>
              </w:rPr>
            </w:pPr>
            <w:r>
              <w:rPr>
                <w:lang w:eastAsia="en-AU"/>
              </w:rPr>
              <w:t>..</w:t>
            </w:r>
          </w:p>
        </w:tc>
        <w:tc>
          <w:tcPr>
            <w:tcW w:w="1123" w:type="dxa"/>
            <w:tcBorders>
              <w:top w:val="nil"/>
              <w:left w:val="nil"/>
              <w:bottom w:val="nil"/>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w:t>
            </w:r>
          </w:p>
        </w:tc>
      </w:tr>
      <w:tr w:rsidR="000B4A1E" w:rsidRPr="003C02F9" w:rsidTr="00517E51">
        <w:trPr>
          <w:divId w:val="1764300645"/>
        </w:trPr>
        <w:tc>
          <w:tcPr>
            <w:tcW w:w="5156" w:type="dxa"/>
            <w:tcBorders>
              <w:top w:val="nil"/>
              <w:left w:val="nil"/>
              <w:bottom w:val="nil"/>
              <w:right w:val="nil"/>
            </w:tcBorders>
            <w:shd w:val="clear" w:color="auto" w:fill="auto"/>
            <w:vAlign w:val="bottom"/>
            <w:hideMark/>
          </w:tcPr>
          <w:p w:rsidR="000B4A1E" w:rsidRPr="003C02F9" w:rsidRDefault="000B4A1E" w:rsidP="00517E51">
            <w:pPr>
              <w:pStyle w:val="Tabletext"/>
              <w:rPr>
                <w:lang w:eastAsia="en-AU"/>
              </w:rPr>
            </w:pPr>
            <w:r w:rsidRPr="003C02F9">
              <w:rPr>
                <w:lang w:eastAsia="en-AU"/>
              </w:rPr>
              <w:t>Fee expenses from financial liabilities not at fair value through the operating statement</w:t>
            </w:r>
          </w:p>
        </w:tc>
        <w:tc>
          <w:tcPr>
            <w:tcW w:w="1123" w:type="dxa"/>
            <w:gridSpan w:val="2"/>
            <w:tcBorders>
              <w:top w:val="nil"/>
              <w:left w:val="nil"/>
              <w:bottom w:val="nil"/>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 xml:space="preserve"> 27.4</w:t>
            </w:r>
          </w:p>
        </w:tc>
        <w:tc>
          <w:tcPr>
            <w:tcW w:w="1123" w:type="dxa"/>
            <w:tcBorders>
              <w:top w:val="nil"/>
              <w:left w:val="nil"/>
              <w:bottom w:val="nil"/>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 xml:space="preserve"> 33.2</w:t>
            </w:r>
          </w:p>
        </w:tc>
        <w:tc>
          <w:tcPr>
            <w:tcW w:w="1123" w:type="dxa"/>
            <w:gridSpan w:val="2"/>
            <w:tcBorders>
              <w:top w:val="nil"/>
              <w:left w:val="nil"/>
              <w:bottom w:val="nil"/>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 xml:space="preserve"> 22.1</w:t>
            </w:r>
          </w:p>
        </w:tc>
        <w:tc>
          <w:tcPr>
            <w:tcW w:w="1123" w:type="dxa"/>
            <w:tcBorders>
              <w:top w:val="nil"/>
              <w:left w:val="nil"/>
              <w:bottom w:val="nil"/>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 xml:space="preserve"> 11.4</w:t>
            </w:r>
          </w:p>
        </w:tc>
      </w:tr>
      <w:tr w:rsidR="000B4A1E" w:rsidRPr="003C02F9" w:rsidTr="00517E51">
        <w:trPr>
          <w:divId w:val="1764300645"/>
        </w:trPr>
        <w:tc>
          <w:tcPr>
            <w:tcW w:w="5156" w:type="dxa"/>
            <w:tcBorders>
              <w:top w:val="nil"/>
              <w:left w:val="nil"/>
              <w:bottom w:val="single" w:sz="4" w:space="0" w:color="auto"/>
              <w:right w:val="nil"/>
            </w:tcBorders>
            <w:shd w:val="clear" w:color="auto" w:fill="auto"/>
            <w:vAlign w:val="bottom"/>
            <w:hideMark/>
          </w:tcPr>
          <w:p w:rsidR="000B4A1E" w:rsidRPr="003C02F9" w:rsidRDefault="000B4A1E" w:rsidP="00517E51">
            <w:pPr>
              <w:pStyle w:val="Tabletext"/>
              <w:rPr>
                <w:lang w:eastAsia="en-AU"/>
              </w:rPr>
            </w:pPr>
            <w:r w:rsidRPr="003C02F9">
              <w:rPr>
                <w:lang w:eastAsia="en-AU"/>
              </w:rPr>
              <w:t>Fee expenses from financial liabilities at fair value through the operating statement</w:t>
            </w:r>
          </w:p>
        </w:tc>
        <w:tc>
          <w:tcPr>
            <w:tcW w:w="1123" w:type="dxa"/>
            <w:gridSpan w:val="2"/>
            <w:tcBorders>
              <w:top w:val="nil"/>
              <w:left w:val="nil"/>
              <w:bottom w:val="single" w:sz="4" w:space="0" w:color="auto"/>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 xml:space="preserve"> 412.2</w:t>
            </w:r>
          </w:p>
        </w:tc>
        <w:tc>
          <w:tcPr>
            <w:tcW w:w="1123" w:type="dxa"/>
            <w:tcBorders>
              <w:top w:val="nil"/>
              <w:left w:val="nil"/>
              <w:bottom w:val="single" w:sz="4" w:space="0" w:color="auto"/>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 xml:space="preserve"> 355.8</w:t>
            </w:r>
          </w:p>
        </w:tc>
        <w:tc>
          <w:tcPr>
            <w:tcW w:w="1123" w:type="dxa"/>
            <w:gridSpan w:val="2"/>
            <w:tcBorders>
              <w:top w:val="nil"/>
              <w:left w:val="nil"/>
              <w:bottom w:val="single" w:sz="4" w:space="0" w:color="auto"/>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w:t>
            </w:r>
          </w:p>
        </w:tc>
        <w:tc>
          <w:tcPr>
            <w:tcW w:w="1123" w:type="dxa"/>
            <w:tcBorders>
              <w:top w:val="nil"/>
              <w:left w:val="nil"/>
              <w:bottom w:val="single" w:sz="4" w:space="0" w:color="auto"/>
              <w:right w:val="nil"/>
            </w:tcBorders>
            <w:shd w:val="clear" w:color="auto" w:fill="auto"/>
            <w:noWrap/>
            <w:hideMark/>
          </w:tcPr>
          <w:p w:rsidR="000B4A1E" w:rsidRPr="003C02F9" w:rsidRDefault="000B4A1E" w:rsidP="00517E51">
            <w:pPr>
              <w:pStyle w:val="TableofFigures"/>
              <w:rPr>
                <w:rFonts w:cs="Calibri"/>
                <w:szCs w:val="22"/>
                <w:lang w:eastAsia="en-AU"/>
              </w:rPr>
            </w:pPr>
            <w:r w:rsidRPr="003C02F9">
              <w:rPr>
                <w:lang w:eastAsia="en-AU"/>
              </w:rPr>
              <w:t>..</w:t>
            </w:r>
          </w:p>
        </w:tc>
      </w:tr>
      <w:tr w:rsidR="000B4A1E" w:rsidRPr="003C02F9" w:rsidTr="00517E51">
        <w:trPr>
          <w:divId w:val="1764300645"/>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C02F9" w:rsidRDefault="000B4A1E" w:rsidP="00517E51">
            <w:pPr>
              <w:pStyle w:val="Tabletext"/>
              <w:rPr>
                <w:b/>
                <w:lang w:eastAsia="en-AU"/>
              </w:rPr>
            </w:pPr>
            <w:r w:rsidRPr="003C02F9">
              <w:rPr>
                <w:b/>
                <w:lang w:eastAsia="en-AU"/>
              </w:rPr>
              <w:t>Total</w:t>
            </w:r>
          </w:p>
        </w:tc>
        <w:tc>
          <w:tcPr>
            <w:tcW w:w="1123" w:type="dxa"/>
            <w:gridSpan w:val="2"/>
            <w:tcBorders>
              <w:top w:val="single" w:sz="4" w:space="0" w:color="auto"/>
              <w:left w:val="nil"/>
              <w:bottom w:val="single" w:sz="12" w:space="0" w:color="auto"/>
              <w:right w:val="nil"/>
            </w:tcBorders>
            <w:shd w:val="clear" w:color="auto" w:fill="auto"/>
            <w:noWrap/>
            <w:hideMark/>
          </w:tcPr>
          <w:p w:rsidR="000B4A1E" w:rsidRPr="003C02F9" w:rsidRDefault="000B4A1E" w:rsidP="00517E51">
            <w:pPr>
              <w:pStyle w:val="TableofFigures"/>
              <w:rPr>
                <w:rFonts w:cs="Calibri"/>
                <w:b/>
                <w:bCs/>
                <w:szCs w:val="22"/>
                <w:lang w:eastAsia="en-AU"/>
              </w:rPr>
            </w:pPr>
            <w:r w:rsidRPr="003C02F9">
              <w:rPr>
                <w:b/>
                <w:bCs/>
                <w:lang w:eastAsia="en-AU"/>
              </w:rPr>
              <w:t xml:space="preserve">2 </w:t>
            </w:r>
            <w:r w:rsidRPr="003C02F9">
              <w:rPr>
                <w:rFonts w:cs="Calibri"/>
                <w:b/>
                <w:bCs/>
                <w:szCs w:val="22"/>
                <w:lang w:eastAsia="en-AU"/>
              </w:rPr>
              <w:t>919.9</w:t>
            </w:r>
          </w:p>
        </w:tc>
        <w:tc>
          <w:tcPr>
            <w:tcW w:w="1123" w:type="dxa"/>
            <w:tcBorders>
              <w:top w:val="single" w:sz="4" w:space="0" w:color="auto"/>
              <w:left w:val="nil"/>
              <w:bottom w:val="single" w:sz="12" w:space="0" w:color="auto"/>
              <w:right w:val="nil"/>
            </w:tcBorders>
            <w:shd w:val="clear" w:color="auto" w:fill="auto"/>
            <w:noWrap/>
            <w:hideMark/>
          </w:tcPr>
          <w:p w:rsidR="000B4A1E" w:rsidRPr="003C02F9" w:rsidRDefault="000B4A1E" w:rsidP="00517E51">
            <w:pPr>
              <w:pStyle w:val="TableofFigures"/>
              <w:rPr>
                <w:rFonts w:cs="Calibri"/>
                <w:b/>
                <w:bCs/>
                <w:szCs w:val="22"/>
                <w:lang w:eastAsia="en-AU"/>
              </w:rPr>
            </w:pPr>
            <w:r w:rsidRPr="003C02F9">
              <w:rPr>
                <w:b/>
                <w:bCs/>
                <w:lang w:eastAsia="en-AU"/>
              </w:rPr>
              <w:t xml:space="preserve">2 </w:t>
            </w:r>
            <w:r w:rsidRPr="003C02F9">
              <w:rPr>
                <w:rFonts w:cs="Calibri"/>
                <w:b/>
                <w:bCs/>
                <w:szCs w:val="22"/>
                <w:lang w:eastAsia="en-AU"/>
              </w:rPr>
              <w:t>410.3</w:t>
            </w:r>
          </w:p>
        </w:tc>
        <w:tc>
          <w:tcPr>
            <w:tcW w:w="1123" w:type="dxa"/>
            <w:gridSpan w:val="2"/>
            <w:tcBorders>
              <w:top w:val="single" w:sz="4" w:space="0" w:color="auto"/>
              <w:left w:val="nil"/>
              <w:bottom w:val="single" w:sz="12" w:space="0" w:color="auto"/>
              <w:right w:val="nil"/>
            </w:tcBorders>
            <w:shd w:val="clear" w:color="auto" w:fill="auto"/>
            <w:noWrap/>
            <w:hideMark/>
          </w:tcPr>
          <w:p w:rsidR="000B4A1E" w:rsidRPr="003C02F9" w:rsidRDefault="000B4A1E" w:rsidP="00517E51">
            <w:pPr>
              <w:pStyle w:val="TableofFigures"/>
              <w:rPr>
                <w:rFonts w:cs="Calibri"/>
                <w:b/>
                <w:bCs/>
                <w:szCs w:val="22"/>
                <w:lang w:eastAsia="en-AU"/>
              </w:rPr>
            </w:pPr>
            <w:r w:rsidRPr="003C02F9">
              <w:rPr>
                <w:b/>
                <w:bCs/>
                <w:lang w:eastAsia="en-AU"/>
              </w:rPr>
              <w:t xml:space="preserve">1 </w:t>
            </w:r>
            <w:r w:rsidRPr="003C02F9">
              <w:rPr>
                <w:rFonts w:cs="Calibri"/>
                <w:b/>
                <w:bCs/>
                <w:szCs w:val="22"/>
                <w:lang w:eastAsia="en-AU"/>
              </w:rPr>
              <w:t>752.3</w:t>
            </w:r>
          </w:p>
        </w:tc>
        <w:tc>
          <w:tcPr>
            <w:tcW w:w="1123" w:type="dxa"/>
            <w:tcBorders>
              <w:top w:val="single" w:sz="4" w:space="0" w:color="auto"/>
              <w:left w:val="nil"/>
              <w:bottom w:val="single" w:sz="12" w:space="0" w:color="auto"/>
              <w:right w:val="nil"/>
            </w:tcBorders>
            <w:shd w:val="clear" w:color="auto" w:fill="auto"/>
            <w:noWrap/>
            <w:hideMark/>
          </w:tcPr>
          <w:p w:rsidR="000B4A1E" w:rsidRPr="003C02F9" w:rsidRDefault="000B4A1E" w:rsidP="00517E51">
            <w:pPr>
              <w:pStyle w:val="TableofFigures"/>
              <w:rPr>
                <w:rFonts w:cs="Calibri"/>
                <w:b/>
                <w:bCs/>
                <w:color w:val="0000FF"/>
                <w:szCs w:val="22"/>
                <w:lang w:eastAsia="en-AU"/>
              </w:rPr>
            </w:pPr>
            <w:r w:rsidRPr="003C02F9">
              <w:rPr>
                <w:b/>
                <w:bCs/>
                <w:lang w:eastAsia="en-AU"/>
              </w:rPr>
              <w:t xml:space="preserve">1 </w:t>
            </w:r>
            <w:r w:rsidRPr="003C02F9">
              <w:rPr>
                <w:rFonts w:cs="Calibri"/>
                <w:b/>
                <w:bCs/>
                <w:szCs w:val="22"/>
                <w:lang w:eastAsia="en-AU"/>
              </w:rPr>
              <w:t>203.3</w:t>
            </w:r>
          </w:p>
        </w:tc>
      </w:tr>
    </w:tbl>
    <w:bookmarkEnd w:id="100"/>
    <w:bookmarkEnd w:id="101"/>
    <w:bookmarkEnd w:id="102"/>
    <w:bookmarkEnd w:id="103"/>
    <w:p w:rsidR="000B4A1E" w:rsidRPr="00D00665" w:rsidRDefault="000B4A1E" w:rsidP="00517E51">
      <w:pPr>
        <w:pStyle w:val="Notes"/>
      </w:pPr>
      <w:r w:rsidRPr="00D00665">
        <w:t>Note</w:t>
      </w:r>
      <w:r>
        <w:t>s</w:t>
      </w:r>
      <w:r w:rsidRPr="00D00665">
        <w:t>:</w:t>
      </w:r>
    </w:p>
    <w:p w:rsidR="000B4A1E" w:rsidRDefault="000B4A1E" w:rsidP="00517E51">
      <w:pPr>
        <w:pStyle w:val="Notes"/>
      </w:pPr>
      <w:r w:rsidRPr="00D00665">
        <w:t xml:space="preserve">(a) </w:t>
      </w:r>
      <w:r w:rsidRPr="00D00665">
        <w:tab/>
        <w:t>These items do not include amounts that relate to discount interest on non</w:t>
      </w:r>
      <w:r w:rsidRPr="00D00665">
        <w:noBreakHyphen/>
        <w:t>financial assets. Therefore, figures in this table cannot be reconciled to the primary statements.</w:t>
      </w:r>
    </w:p>
    <w:p w:rsidR="000B4A1E" w:rsidRPr="00D00665" w:rsidRDefault="000B4A1E" w:rsidP="00517E51">
      <w:pPr>
        <w:pStyle w:val="Notes"/>
      </w:pPr>
      <w:r>
        <w:t>(b)</w:t>
      </w:r>
      <w:r>
        <w:tab/>
      </w:r>
      <w:r w:rsidRPr="003C02F9">
        <w:t>The 2012 figure differs from that presented in the 2011-12 Financial Report to more correctly reflect interest expense from financial liabilities not at fair value through the operating statement.</w:t>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D00665" w:rsidRDefault="000B4A1E" w:rsidP="00517E51">
      <w:pPr>
        <w:pStyle w:val="Heading5"/>
      </w:pPr>
      <w:r w:rsidRPr="00D00665">
        <w:t>(d)</w:t>
      </w:r>
      <w:r w:rsidRPr="00D00665">
        <w:tab/>
        <w:t>Net gain or loss by category of financial instruments</w:t>
      </w:r>
    </w:p>
    <w:p w:rsidR="000B4A1E" w:rsidRPr="00D00665" w:rsidRDefault="000B4A1E" w:rsidP="00517E51">
      <w:r w:rsidRPr="00D00665">
        <w:t>The net gains or losses on financial assets and liabilities held at 30 June 2013 are determined as follows:</w:t>
      </w:r>
    </w:p>
    <w:p w:rsidR="000B4A1E" w:rsidRPr="00D00665" w:rsidRDefault="000B4A1E" w:rsidP="00517E51">
      <w:pPr>
        <w:pStyle w:val="BulletText"/>
      </w:pPr>
      <w:r w:rsidRPr="00D00665">
        <w:t>for loans and receivables and available for sale investments, the net gain or loss is calculated by taking the interest revenue, plus or minus foreign exchange gains or losses arising from revaluation of the financial assets, and minus any impairment recognised in the net result;</w:t>
      </w:r>
    </w:p>
    <w:p w:rsidR="000B4A1E" w:rsidRPr="00D00665" w:rsidRDefault="000B4A1E" w:rsidP="00517E51">
      <w:pPr>
        <w:pStyle w:val="BulletText"/>
      </w:pPr>
      <w:r w:rsidRPr="00D00665">
        <w:t>for financial liabilities measured at amortised cost, the net gain or loss is calculated by taking the interest expense, plus or minus foreign exchange gains or losses arising from the revaluation of financial liabilities measured at amortised cost; and</w:t>
      </w:r>
    </w:p>
    <w:p w:rsidR="000B4A1E" w:rsidRPr="00D00665" w:rsidRDefault="000B4A1E" w:rsidP="00517E51">
      <w:pPr>
        <w:pStyle w:val="BulletText"/>
      </w:pPr>
      <w:r w:rsidRPr="00D00665">
        <w:t>for financial assets and liabilities that are held for trading or designated at fair value through profit or loss, the net gain or loss is calculated by taking the movement in the fair value of the financial asset or liability.</w:t>
      </w:r>
    </w:p>
    <w:p w:rsidR="000B4A1E" w:rsidRPr="003E2DBE" w:rsidRDefault="000B4A1E" w:rsidP="00517E51">
      <w:pPr>
        <w:pStyle w:val="million"/>
      </w:pPr>
      <w:r w:rsidRPr="00D00665">
        <w:t xml:space="preserve"> ($</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865"/>
        <w:gridCol w:w="1123"/>
        <w:gridCol w:w="262"/>
        <w:gridCol w:w="861"/>
        <w:gridCol w:w="1123"/>
      </w:tblGrid>
      <w:tr w:rsidR="000B4A1E" w:rsidRPr="003E2DBE" w:rsidTr="00517E51">
        <w:tc>
          <w:tcPr>
            <w:tcW w:w="5156"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258"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1988"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lang w:eastAsia="en-AU"/>
              </w:rPr>
            </w:pPr>
          </w:p>
          <w:p w:rsidR="000B4A1E" w:rsidRPr="003E2DBE" w:rsidRDefault="000B4A1E" w:rsidP="00517E51">
            <w:pPr>
              <w:pStyle w:val="TabletextheadingCentred"/>
              <w:rPr>
                <w:lang w:eastAsia="en-AU"/>
              </w:rPr>
            </w:pPr>
            <w:r w:rsidRPr="003E2DBE">
              <w:rPr>
                <w:lang w:eastAsia="en-AU"/>
              </w:rPr>
              <w:t>State of Victoria</w:t>
            </w:r>
          </w:p>
        </w:tc>
        <w:tc>
          <w:tcPr>
            <w:tcW w:w="26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1984"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lang w:eastAsia="en-AU"/>
              </w:rPr>
            </w:pPr>
            <w:r w:rsidRPr="003E2DBE">
              <w:rPr>
                <w:lang w:eastAsia="en-AU"/>
              </w:rPr>
              <w:t xml:space="preserve">General </w:t>
            </w:r>
          </w:p>
          <w:p w:rsidR="000B4A1E" w:rsidRPr="003E2DBE" w:rsidRDefault="000B4A1E" w:rsidP="00517E51">
            <w:pPr>
              <w:pStyle w:val="TabletextheadingCentred"/>
              <w:rPr>
                <w:lang w:eastAsia="en-AU"/>
              </w:rPr>
            </w:pPr>
            <w:r w:rsidRPr="003E2DBE">
              <w:rPr>
                <w:lang w:eastAsia="en-AU"/>
              </w:rPr>
              <w:t>government sector</w:t>
            </w:r>
          </w:p>
        </w:tc>
      </w:tr>
      <w:tr w:rsidR="000B4A1E" w:rsidRPr="003E2DBE" w:rsidTr="00517E51">
        <w:tc>
          <w:tcPr>
            <w:tcW w:w="5156"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iCs/>
                <w:lang w:eastAsia="en-AU"/>
              </w:rPr>
            </w:pPr>
            <w:r w:rsidRPr="003E2DBE">
              <w:rPr>
                <w:iCs/>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cs="Calibri"/>
                <w:iCs/>
                <w:szCs w:val="22"/>
                <w:vertAlign w:val="superscript"/>
                <w:lang w:eastAsia="en-AU"/>
              </w:rPr>
            </w:pPr>
            <w:r w:rsidRPr="003E2DBE">
              <w:rPr>
                <w:lang w:eastAsia="en-AU"/>
              </w:rPr>
              <w:t xml:space="preserve">2012 </w:t>
            </w:r>
            <w:r w:rsidRPr="003E2DBE">
              <w:rPr>
                <w:rFonts w:eastAsiaTheme="minorEastAsia" w:cs="Calibri"/>
                <w:iCs/>
                <w:szCs w:val="22"/>
                <w:vertAlign w:val="superscript"/>
                <w:lang w:eastAsia="en-AU"/>
              </w:rPr>
              <w:t>(a)</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cs="Calibri"/>
                <w:iCs/>
                <w:szCs w:val="22"/>
                <w:vertAlign w:val="superscript"/>
                <w:lang w:eastAsia="en-AU"/>
              </w:rPr>
            </w:pPr>
            <w:r w:rsidRPr="003E2DBE">
              <w:rPr>
                <w:lang w:eastAsia="en-AU"/>
              </w:rPr>
              <w:t xml:space="preserve">2012 </w:t>
            </w:r>
            <w:r w:rsidRPr="003E2DBE">
              <w:rPr>
                <w:rFonts w:eastAsiaTheme="minorEastAsia" w:cs="Calibri"/>
                <w:iCs/>
                <w:szCs w:val="22"/>
                <w:vertAlign w:val="superscript"/>
                <w:lang w:eastAsia="en-AU"/>
              </w:rPr>
              <w:t>(a)</w:t>
            </w:r>
          </w:p>
        </w:tc>
      </w:tr>
      <w:tr w:rsidR="000B4A1E" w:rsidRPr="003E2DBE" w:rsidTr="00517E51">
        <w:tc>
          <w:tcPr>
            <w:tcW w:w="5156" w:type="dxa"/>
            <w:tcBorders>
              <w:top w:val="single" w:sz="4" w:space="0" w:color="auto"/>
              <w:left w:val="nil"/>
              <w:bottom w:val="nil"/>
              <w:right w:val="nil"/>
            </w:tcBorders>
          </w:tcPr>
          <w:p w:rsidR="000B4A1E" w:rsidRPr="003E2DBE" w:rsidRDefault="000B4A1E" w:rsidP="00517E51">
            <w:pPr>
              <w:pStyle w:val="Tabletext"/>
              <w:rPr>
                <w:b/>
                <w:lang w:eastAsia="en-AU"/>
              </w:rPr>
            </w:pPr>
            <w:r w:rsidRPr="003E2DBE">
              <w:rPr>
                <w:b/>
                <w:lang w:eastAsia="en-AU"/>
              </w:rPr>
              <w:t>Financial assets</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Cash and deposits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432.9</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834.4</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330.1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357.6</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Designated</w:t>
            </w:r>
            <w:r w:rsidRPr="003E2DBE">
              <w:rPr>
                <w:rFonts w:eastAsiaTheme="minorEastAsia" w:cs="Calibri"/>
                <w:szCs w:val="22"/>
                <w:lang w:eastAsia="en-AU"/>
              </w:rPr>
              <w:t xml:space="preserve"> at fair value through the operating statement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334.7</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88.1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19.2</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r w:rsidRPr="003E2DBE">
              <w:rPr>
                <w:rFonts w:eastAsiaTheme="minorEastAsia" w:cs="Calibri"/>
                <w:szCs w:val="22"/>
                <w:lang w:eastAsia="en-AU"/>
              </w:rPr>
              <w:t xml:space="preserve"> 5.0)</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Held-for-trading</w:t>
            </w:r>
            <w:r w:rsidRPr="003E2DBE">
              <w:rPr>
                <w:rFonts w:eastAsiaTheme="minorEastAsia" w:cs="Calibri"/>
                <w:szCs w:val="22"/>
                <w:lang w:eastAsia="en-AU"/>
              </w:rPr>
              <w:t xml:space="preserve"> at fair value through the operating statement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904.4</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r w:rsidRPr="003E2DBE">
              <w:rPr>
                <w:rFonts w:eastAsiaTheme="minorEastAsia" w:cs="Calibri"/>
                <w:szCs w:val="22"/>
                <w:lang w:eastAsia="en-AU"/>
              </w:rPr>
              <w:t xml:space="preserve"> 683.3)</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1.3)</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r w:rsidRPr="003E2DBE">
              <w:rPr>
                <w:rFonts w:eastAsiaTheme="minorEastAsia" w:cs="Calibri"/>
                <w:szCs w:val="22"/>
                <w:lang w:eastAsia="en-AU"/>
              </w:rPr>
              <w:t xml:space="preserve"> 0.4)</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Loans</w:t>
            </w:r>
            <w:r w:rsidRPr="003E2DBE">
              <w:rPr>
                <w:rFonts w:eastAsiaTheme="minorEastAsia" w:cs="Calibri"/>
                <w:szCs w:val="22"/>
                <w:lang w:eastAsia="en-AU"/>
              </w:rPr>
              <w:t xml:space="preserve"> and receivables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108.2</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r w:rsidRPr="003E2DBE">
              <w:rPr>
                <w:rFonts w:eastAsiaTheme="minorEastAsia" w:cs="Calibri"/>
                <w:szCs w:val="22"/>
                <w:lang w:eastAsia="en-AU"/>
              </w:rPr>
              <w:t xml:space="preserve"> 189.0)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309.6</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21.3</w:t>
            </w:r>
          </w:p>
        </w:tc>
      </w:tr>
      <w:tr w:rsidR="000B4A1E" w:rsidRPr="003E2DBE" w:rsidTr="00517E51">
        <w:tc>
          <w:tcPr>
            <w:tcW w:w="5156" w:type="dxa"/>
            <w:tcBorders>
              <w:top w:val="nil"/>
              <w:left w:val="nil"/>
              <w:bottom w:val="single" w:sz="6" w:space="0" w:color="auto"/>
              <w:right w:val="nil"/>
            </w:tcBorders>
          </w:tcPr>
          <w:p w:rsidR="000B4A1E" w:rsidRPr="003E2DBE" w:rsidRDefault="000B4A1E" w:rsidP="00517E51">
            <w:pPr>
              <w:pStyle w:val="Tabletext"/>
              <w:rPr>
                <w:lang w:eastAsia="en-AU"/>
              </w:rPr>
            </w:pPr>
            <w:r w:rsidRPr="003E2DBE">
              <w:rPr>
                <w:lang w:eastAsia="en-AU"/>
              </w:rPr>
              <w:t>Available-for-sale</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0.8</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0.8</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156" w:type="dxa"/>
            <w:tcBorders>
              <w:top w:val="single" w:sz="6" w:space="0" w:color="auto"/>
              <w:left w:val="nil"/>
              <w:bottom w:val="single" w:sz="6" w:space="0" w:color="auto"/>
              <w:right w:val="nil"/>
            </w:tcBorders>
          </w:tcPr>
          <w:p w:rsidR="000B4A1E" w:rsidRPr="00F82232" w:rsidRDefault="000B4A1E" w:rsidP="00517E51">
            <w:pPr>
              <w:pStyle w:val="Tabletext"/>
              <w:rPr>
                <w:b/>
                <w:lang w:eastAsia="en-AU"/>
              </w:rPr>
            </w:pPr>
            <w:r w:rsidRPr="00F82232">
              <w:rPr>
                <w:b/>
                <w:lang w:eastAsia="en-AU"/>
              </w:rPr>
              <w:t>Total</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2 </w:t>
            </w:r>
            <w:r w:rsidRPr="003E2DBE">
              <w:rPr>
                <w:rFonts w:eastAsiaTheme="minorEastAsia" w:cs="Calibri"/>
                <w:b/>
                <w:bCs/>
                <w:szCs w:val="22"/>
                <w:lang w:eastAsia="en-AU"/>
              </w:rPr>
              <w:t>781.1</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50.2</w:t>
            </w:r>
          </w:p>
        </w:tc>
        <w:tc>
          <w:tcPr>
            <w:tcW w:w="1123"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658.4</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373.3</w:t>
            </w:r>
          </w:p>
        </w:tc>
      </w:tr>
      <w:tr w:rsidR="000B4A1E" w:rsidRPr="003E2DBE" w:rsidTr="00517E51">
        <w:tc>
          <w:tcPr>
            <w:tcW w:w="5156" w:type="dxa"/>
            <w:tcBorders>
              <w:top w:val="single" w:sz="6" w:space="0" w:color="auto"/>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b/>
                <w:lang w:eastAsia="en-AU"/>
              </w:rPr>
              <w:t>Financial</w:t>
            </w:r>
            <w:r w:rsidRPr="003E2DBE">
              <w:rPr>
                <w:rFonts w:eastAsiaTheme="minorEastAsia" w:cs="Calibri"/>
                <w:b/>
                <w:bCs/>
                <w:szCs w:val="22"/>
                <w:lang w:eastAsia="en-AU"/>
              </w:rPr>
              <w:t xml:space="preserve"> liabilities</w:t>
            </w:r>
          </w:p>
        </w:tc>
        <w:tc>
          <w:tcPr>
            <w:tcW w:w="1123" w:type="dxa"/>
            <w:gridSpan w:val="2"/>
            <w:tcBorders>
              <w:top w:val="single" w:sz="6" w:space="0" w:color="auto"/>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single" w:sz="6" w:space="0" w:color="auto"/>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123" w:type="dxa"/>
            <w:gridSpan w:val="2"/>
            <w:tcBorders>
              <w:top w:val="single" w:sz="6" w:space="0" w:color="auto"/>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c>
          <w:tcPr>
            <w:tcW w:w="1123" w:type="dxa"/>
            <w:tcBorders>
              <w:top w:val="single" w:sz="6" w:space="0" w:color="auto"/>
              <w:left w:val="nil"/>
              <w:bottom w:val="nil"/>
              <w:right w:val="nil"/>
            </w:tcBorders>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Designated</w:t>
            </w:r>
            <w:r w:rsidRPr="003E2DBE">
              <w:rPr>
                <w:rFonts w:eastAsiaTheme="minorEastAsia" w:cs="Calibri"/>
                <w:szCs w:val="22"/>
                <w:lang w:eastAsia="en-AU"/>
              </w:rPr>
              <w:t xml:space="preserve"> at fair value through the operating statement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854.4</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(2</w:t>
            </w:r>
            <w:r w:rsidRPr="003E2DBE">
              <w:rPr>
                <w:rFonts w:eastAsiaTheme="minorEastAsia" w:cs="Calibri"/>
                <w:szCs w:val="22"/>
                <w:lang w:eastAsia="en-AU"/>
              </w:rPr>
              <w:t xml:space="preserve"> 720.9)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Held-for-trading at fair value through the operating statement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70.6</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61.6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At</w:t>
            </w:r>
            <w:r w:rsidRPr="003E2DBE">
              <w:rPr>
                <w:rFonts w:eastAsiaTheme="minorEastAsia" w:cs="Calibri"/>
                <w:szCs w:val="22"/>
                <w:lang w:eastAsia="en-AU"/>
              </w:rPr>
              <w:t xml:space="preserve"> amortised cost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b/>
                <w:lang w:eastAsia="en-AU"/>
              </w:rPr>
            </w:pPr>
            <w:r w:rsidRPr="003E2DBE">
              <w:rPr>
                <w:b/>
                <w:lang w:eastAsia="en-AU"/>
              </w:rPr>
              <w:t>Total</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925.0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(2</w:t>
            </w:r>
            <w:r w:rsidRPr="003E2DBE">
              <w:rPr>
                <w:rFonts w:eastAsiaTheme="minorEastAsia" w:cs="Calibri"/>
                <w:b/>
                <w:bCs/>
                <w:szCs w:val="22"/>
                <w:lang w:eastAsia="en-AU"/>
              </w:rPr>
              <w:t xml:space="preserve"> 659.3)</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w:t>
            </w:r>
          </w:p>
        </w:tc>
      </w:tr>
    </w:tbl>
    <w:p w:rsidR="000B4A1E" w:rsidRPr="00D00665" w:rsidRDefault="000B4A1E" w:rsidP="00517E51">
      <w:pPr>
        <w:pStyle w:val="Source"/>
      </w:pPr>
    </w:p>
    <w:p w:rsidR="000B4A1E" w:rsidRPr="00D00665" w:rsidRDefault="000B4A1E" w:rsidP="00517E51">
      <w:pPr>
        <w:pStyle w:val="Heading5"/>
      </w:pPr>
      <w:r w:rsidRPr="00D00665">
        <w:t>(e)</w:t>
      </w:r>
      <w:r w:rsidRPr="00D00665">
        <w:tab/>
        <w:t>Interest rate risk</w:t>
      </w:r>
    </w:p>
    <w:p w:rsidR="000B4A1E" w:rsidRPr="00D00665" w:rsidRDefault="000B4A1E" w:rsidP="00517E51">
      <w:pPr>
        <w:pStyle w:val="Heading5a"/>
      </w:pPr>
      <w:r w:rsidRPr="00D00665">
        <w:t>Interest risk management</w:t>
      </w:r>
    </w:p>
    <w:p w:rsidR="000B4A1E" w:rsidRPr="00D00665" w:rsidRDefault="000B4A1E" w:rsidP="00517E51">
      <w:r w:rsidRPr="00D00665">
        <w:t>The State is exposed to interest rate risk through borrowings and investments in interest bearing financial assets, such as deposits and debt securities.</w:t>
      </w:r>
    </w:p>
    <w:p w:rsidR="000B4A1E" w:rsidRPr="00D00665" w:rsidRDefault="000B4A1E" w:rsidP="00517E51">
      <w:r w:rsidRPr="00D00665">
        <w:t>Fair value interest rate risk is the risk that the value of a financial instrument will fluctuate because of changes in market interest rates. The majority of the exposure to interest rate risk on the whole of state balance sheet arises from fair value interest rate risk. Exposure to such risk relates primarily to the State</w:t>
      </w:r>
      <w:r>
        <w:t>’</w:t>
      </w:r>
      <w:r w:rsidRPr="00D00665">
        <w:t>s long term debt obligations with fixed interest rates, which are measured at fair value. This exposure is partially offset by fixed interest investments held to fund the State</w:t>
      </w:r>
      <w:r>
        <w:t>’</w:t>
      </w:r>
      <w:r w:rsidRPr="00D00665">
        <w:t>s insurance and superannuation liabilities.</w:t>
      </w:r>
    </w:p>
    <w:p w:rsidR="000B4A1E" w:rsidRPr="00D00665" w:rsidRDefault="000B4A1E" w:rsidP="00517E51">
      <w:r w:rsidRPr="00D00665">
        <w:t>Cash flow interest rate risk is the risk that the future cash flows of a financial instrument will fluctuate because of changes in market interest rates. Only a small portion of the State</w:t>
      </w:r>
      <w:r>
        <w:t>’</w:t>
      </w:r>
      <w:r w:rsidRPr="00D00665">
        <w:t>s financial instruments are exposed to cash flow interest rate risk. Exposure to such risk arises from financial assets and financial liabilities with floating interest rates, which are measured at amortised cost.</w:t>
      </w:r>
    </w:p>
    <w:p w:rsidR="000B4A1E" w:rsidRPr="00D00665" w:rsidRDefault="000B4A1E">
      <w:pPr>
        <w:spacing w:after="0"/>
      </w:pPr>
      <w:r w:rsidRPr="00D00665">
        <w:br w:type="page"/>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D00665" w:rsidRDefault="000B4A1E" w:rsidP="00517E51">
      <w:r w:rsidRPr="00D00665">
        <w:t>The State</w:t>
      </w:r>
      <w:r>
        <w:t>’</w:t>
      </w:r>
      <w:r w:rsidRPr="00D00665">
        <w:t>s policy for managing interest rate risk on borrowings is to achieve relative certainty of interest cost while seeking to minimise net borrowing cost within portfolio risk management guidelines. Generally, this is achieved by undertaking fixed rate borrowings across a range of maturity profiles.</w:t>
      </w:r>
    </w:p>
    <w:p w:rsidR="000B4A1E" w:rsidRPr="00D00665" w:rsidRDefault="000B4A1E" w:rsidP="00517E51">
      <w:r w:rsidRPr="00D00665">
        <w:t>TCV manages the State</w:t>
      </w:r>
      <w:r>
        <w:t>’</w:t>
      </w:r>
      <w:r w:rsidRPr="00D00665">
        <w:t>s interest risk exposure from borrowings through daily quantification of the risk which assesses the potential loss that the State might incur under various market scenarios. Interest rate risk is managed within an approved limit structure in accordance with TCV</w:t>
      </w:r>
      <w:r>
        <w:t>’</w:t>
      </w:r>
      <w:r w:rsidRPr="00D00665">
        <w:t>s prudential policy and risk management framework, which requires consistency with the Australian Prudential Regulatory Authority prudential statements for banks.</w:t>
      </w:r>
    </w:p>
    <w:p w:rsidR="000B4A1E" w:rsidRPr="00D00665" w:rsidRDefault="000B4A1E" w:rsidP="00517E51">
      <w:r w:rsidRPr="00D00665">
        <w:t>Derivative instruments such as interest rate swaps and futures contracts are used to either change the interest rate between fixed and floating rates of interest or between different floating rates of interest. Disclosed is the notional amounts and periods of expiry for the State</w:t>
      </w:r>
      <w:r>
        <w:t>’</w:t>
      </w:r>
      <w:r w:rsidRPr="00D00665">
        <w:t>s interest rate derivatives.</w:t>
      </w:r>
    </w:p>
    <w:p w:rsidR="000B4A1E" w:rsidRPr="00D00665" w:rsidRDefault="000B4A1E" w:rsidP="00517E51">
      <w:pPr>
        <w:pStyle w:val="Heading5a"/>
      </w:pPr>
      <w:r w:rsidRPr="00D00665">
        <w:t>Interest rate derivative financial instruments</w:t>
      </w:r>
    </w:p>
    <w:p w:rsidR="000B4A1E" w:rsidRPr="003E2DBE" w:rsidRDefault="000B4A1E" w:rsidP="00517E51">
      <w:pPr>
        <w:pStyle w:val="million"/>
      </w:pPr>
      <w:r w:rsidRPr="00D00665">
        <w:t>($</w:t>
      </w:r>
      <w:r>
        <w:t> million</w:t>
      </w:r>
      <w:r w:rsidRPr="00D00665">
        <w:t>)</w:t>
      </w:r>
      <w:bookmarkStart w:id="104" w:name="RANGE!C128:H155"/>
      <w:bookmarkStart w:id="105" w:name="RANGE!C120:H147"/>
      <w:bookmarkStart w:id="106" w:name="RANGE!C118:H145"/>
      <w:bookmarkStart w:id="107" w:name="RANGE!C114:H141"/>
      <w:bookmarkStart w:id="108" w:name="RANGE!C111:H138"/>
      <w:bookmarkStart w:id="109" w:name="RANGE!C113:H140"/>
    </w:p>
    <w:tbl>
      <w:tblPr>
        <w:tblW w:w="9648" w:type="dxa"/>
        <w:tblInd w:w="29" w:type="dxa"/>
        <w:tblCellMar>
          <w:left w:w="43" w:type="dxa"/>
          <w:right w:w="43" w:type="dxa"/>
        </w:tblCellMar>
        <w:tblLook w:val="04A0" w:firstRow="1" w:lastRow="0" w:firstColumn="1" w:lastColumn="0" w:noHBand="0" w:noVBand="1"/>
      </w:tblPr>
      <w:tblGrid>
        <w:gridCol w:w="3704"/>
        <w:gridCol w:w="106"/>
        <w:gridCol w:w="106"/>
        <w:gridCol w:w="688"/>
        <w:gridCol w:w="1260"/>
        <w:gridCol w:w="990"/>
        <w:gridCol w:w="1170"/>
        <w:gridCol w:w="180"/>
        <w:gridCol w:w="1444"/>
      </w:tblGrid>
      <w:tr w:rsidR="000B4A1E" w:rsidRPr="003E2DBE" w:rsidTr="00517E51">
        <w:trPr>
          <w:divId w:val="1222517468"/>
        </w:trPr>
        <w:tc>
          <w:tcPr>
            <w:tcW w:w="3704"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2013</w:t>
            </w:r>
            <w:bookmarkEnd w:id="104"/>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4108" w:type="dxa"/>
            <w:gridSpan w:val="4"/>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Interest rate swaps</w:t>
            </w:r>
          </w:p>
        </w:tc>
        <w:tc>
          <w:tcPr>
            <w:tcW w:w="180"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1444" w:type="dxa"/>
            <w:tcBorders>
              <w:top w:val="single" w:sz="4" w:space="0" w:color="auto"/>
              <w:left w:val="nil"/>
              <w:bottom w:val="nil"/>
              <w:right w:val="single" w:sz="4"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Exchange </w:t>
            </w:r>
          </w:p>
        </w:tc>
      </w:tr>
      <w:tr w:rsidR="000B4A1E" w:rsidRPr="003E2DBE" w:rsidTr="00517E51">
        <w:trPr>
          <w:divId w:val="1222517468"/>
        </w:trPr>
        <w:tc>
          <w:tcPr>
            <w:tcW w:w="3704"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State of Victoria</w:t>
            </w:r>
          </w:p>
        </w:tc>
        <w:tc>
          <w:tcPr>
            <w:tcW w:w="900" w:type="dxa"/>
            <w:gridSpan w:val="3"/>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iCs/>
                <w:lang w:eastAsia="en-AU"/>
              </w:rPr>
            </w:pPr>
            <w:r w:rsidRPr="003E2DBE">
              <w:rPr>
                <w:iCs/>
                <w:lang w:eastAsia="en-AU"/>
              </w:rPr>
              <w:t xml:space="preserve"> </w:t>
            </w:r>
          </w:p>
        </w:tc>
        <w:tc>
          <w:tcPr>
            <w:tcW w:w="1260"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iCs/>
                <w:lang w:eastAsia="en-AU"/>
              </w:rPr>
            </w:pPr>
            <w:r w:rsidRPr="003E2DBE">
              <w:rPr>
                <w:iCs/>
                <w:lang w:eastAsia="en-AU"/>
              </w:rPr>
              <w:t>Floating-</w:t>
            </w:r>
          </w:p>
        </w:tc>
        <w:tc>
          <w:tcPr>
            <w:tcW w:w="990"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1350"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1444" w:type="dxa"/>
            <w:tcBorders>
              <w:top w:val="nil"/>
              <w:left w:val="nil"/>
              <w:bottom w:val="single" w:sz="4" w:space="0" w:color="auto"/>
              <w:right w:val="single" w:sz="4"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traded futures </w:t>
            </w:r>
          </w:p>
        </w:tc>
      </w:tr>
      <w:tr w:rsidR="000B4A1E" w:rsidRPr="003E2DBE" w:rsidTr="00517E51">
        <w:trPr>
          <w:divId w:val="1222517468"/>
        </w:trPr>
        <w:tc>
          <w:tcPr>
            <w:tcW w:w="3704" w:type="dxa"/>
            <w:tcBorders>
              <w:top w:val="single" w:sz="4" w:space="0" w:color="auto"/>
              <w:left w:val="single" w:sz="4" w:space="0" w:color="auto"/>
              <w:bottom w:val="single" w:sz="4" w:space="0" w:color="auto"/>
              <w:right w:val="nil"/>
            </w:tcBorders>
            <w:shd w:val="clear" w:color="000000" w:fill="000000"/>
            <w:noWrap/>
            <w:vAlign w:val="bottom"/>
            <w:hideMark/>
          </w:tcPr>
          <w:p w:rsidR="000B4A1E" w:rsidRPr="003E2DBE" w:rsidRDefault="000B4A1E" w:rsidP="00517E51">
            <w:pPr>
              <w:pStyle w:val="TabletextheadingLeft"/>
              <w:rPr>
                <w:lang w:eastAsia="en-AU"/>
              </w:rPr>
            </w:pPr>
            <w:r w:rsidRPr="003E2DBE">
              <w:rPr>
                <w:lang w:eastAsia="en-AU"/>
              </w:rPr>
              <w:t>Maturities</w:t>
            </w:r>
          </w:p>
        </w:tc>
        <w:tc>
          <w:tcPr>
            <w:tcW w:w="900" w:type="dxa"/>
            <w:gridSpan w:val="3"/>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iCs/>
                <w:lang w:eastAsia="en-AU"/>
              </w:rPr>
            </w:pPr>
            <w:r w:rsidRPr="003E2DBE">
              <w:rPr>
                <w:iCs/>
                <w:lang w:eastAsia="en-AU"/>
              </w:rPr>
              <w:t>Indexed</w:t>
            </w:r>
          </w:p>
        </w:tc>
        <w:tc>
          <w:tcPr>
            <w:tcW w:w="1260" w:type="dxa"/>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iCs/>
                <w:lang w:eastAsia="en-AU"/>
              </w:rPr>
            </w:pPr>
            <w:r w:rsidRPr="003E2DBE">
              <w:rPr>
                <w:iCs/>
                <w:lang w:eastAsia="en-AU"/>
              </w:rPr>
              <w:t>for-floating</w:t>
            </w:r>
          </w:p>
        </w:tc>
        <w:tc>
          <w:tcPr>
            <w:tcW w:w="990" w:type="dxa"/>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lang w:eastAsia="en-AU"/>
              </w:rPr>
            </w:pPr>
            <w:r w:rsidRPr="003E2DBE">
              <w:rPr>
                <w:lang w:eastAsia="en-AU"/>
              </w:rPr>
              <w:t>Pay fixed</w:t>
            </w:r>
          </w:p>
        </w:tc>
        <w:tc>
          <w:tcPr>
            <w:tcW w:w="1350" w:type="dxa"/>
            <w:gridSpan w:val="2"/>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lang w:eastAsia="en-AU"/>
              </w:rPr>
            </w:pPr>
            <w:r w:rsidRPr="003E2DBE">
              <w:rPr>
                <w:lang w:eastAsia="en-AU"/>
              </w:rPr>
              <w:t>Receive fixed</w:t>
            </w:r>
          </w:p>
        </w:tc>
        <w:tc>
          <w:tcPr>
            <w:tcW w:w="1444" w:type="dxa"/>
            <w:tcBorders>
              <w:top w:val="single" w:sz="4" w:space="0" w:color="auto"/>
              <w:left w:val="nil"/>
              <w:bottom w:val="single" w:sz="4" w:space="0" w:color="auto"/>
              <w:right w:val="single" w:sz="4" w:space="0" w:color="auto"/>
            </w:tcBorders>
            <w:shd w:val="clear" w:color="000000" w:fill="000000"/>
            <w:noWrap/>
            <w:vAlign w:val="bottom"/>
            <w:hideMark/>
          </w:tcPr>
          <w:p w:rsidR="000B4A1E" w:rsidRPr="003E2DBE" w:rsidRDefault="000B4A1E" w:rsidP="00517E51">
            <w:pPr>
              <w:pStyle w:val="Tabletextheading"/>
              <w:rPr>
                <w:lang w:eastAsia="en-AU"/>
              </w:rPr>
            </w:pPr>
            <w:r w:rsidRPr="003E2DBE">
              <w:rPr>
                <w:lang w:eastAsia="en-AU"/>
              </w:rPr>
              <w:t>contracts</w:t>
            </w:r>
          </w:p>
        </w:tc>
      </w:tr>
      <w:tr w:rsidR="000B4A1E" w:rsidRPr="003E2DBE" w:rsidTr="00517E51">
        <w:trPr>
          <w:divId w:val="1222517468"/>
        </w:trPr>
        <w:tc>
          <w:tcPr>
            <w:tcW w:w="3704"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Less than 1 year</w:t>
            </w:r>
          </w:p>
        </w:tc>
        <w:tc>
          <w:tcPr>
            <w:tcW w:w="900" w:type="dxa"/>
            <w:gridSpan w:val="3"/>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1.8</w:t>
            </w:r>
          </w:p>
        </w:tc>
        <w:tc>
          <w:tcPr>
            <w:tcW w:w="990" w:type="dxa"/>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545.0</w:t>
            </w:r>
          </w:p>
        </w:tc>
        <w:tc>
          <w:tcPr>
            <w:tcW w:w="1350" w:type="dxa"/>
            <w:gridSpan w:val="2"/>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95.0</w:t>
            </w:r>
          </w:p>
        </w:tc>
        <w:tc>
          <w:tcPr>
            <w:tcW w:w="1444"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825.7</w:t>
            </w:r>
          </w:p>
        </w:tc>
      </w:tr>
      <w:tr w:rsidR="000B4A1E" w:rsidRPr="003E2DBE" w:rsidTr="00517E51">
        <w:trPr>
          <w:divId w:val="1222517468"/>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1</w:t>
            </w:r>
            <w:r w:rsidRPr="003E2DBE">
              <w:rPr>
                <w:rFonts w:cs="Calibri"/>
                <w:szCs w:val="22"/>
                <w:lang w:eastAsia="en-AU"/>
              </w:rPr>
              <w:t xml:space="preserve"> year but less than 2 years</w:t>
            </w:r>
          </w:p>
        </w:tc>
        <w:tc>
          <w:tcPr>
            <w:tcW w:w="90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40.0)</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909.0</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645.0</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222517468"/>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2</w:t>
            </w:r>
            <w:r w:rsidRPr="003E2DBE">
              <w:rPr>
                <w:rFonts w:cs="Calibri"/>
                <w:szCs w:val="22"/>
                <w:lang w:eastAsia="en-AU"/>
              </w:rPr>
              <w:t xml:space="preserve"> years but less than 3 years</w:t>
            </w:r>
          </w:p>
        </w:tc>
        <w:tc>
          <w:tcPr>
            <w:tcW w:w="90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99.1</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90.0</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222517468"/>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 xml:space="preserve">3 </w:t>
            </w:r>
            <w:r w:rsidRPr="003E2DBE">
              <w:rPr>
                <w:rFonts w:cs="Calibri"/>
                <w:szCs w:val="22"/>
                <w:lang w:eastAsia="en-AU"/>
              </w:rPr>
              <w:t>years but less than 4 years</w:t>
            </w:r>
          </w:p>
        </w:tc>
        <w:tc>
          <w:tcPr>
            <w:tcW w:w="90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10.4</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280.2</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220.0</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222517468"/>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4 years but less than 5 years</w:t>
            </w:r>
          </w:p>
        </w:tc>
        <w:tc>
          <w:tcPr>
            <w:tcW w:w="90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20.0</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222517468"/>
        </w:trPr>
        <w:tc>
          <w:tcPr>
            <w:tcW w:w="370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5</w:t>
            </w:r>
            <w:r w:rsidRPr="003E2DBE">
              <w:rPr>
                <w:rFonts w:cs="Calibri"/>
                <w:szCs w:val="22"/>
                <w:lang w:eastAsia="en-AU"/>
              </w:rPr>
              <w:t xml:space="preserve"> years or more</w:t>
            </w:r>
          </w:p>
        </w:tc>
        <w:tc>
          <w:tcPr>
            <w:tcW w:w="900" w:type="dxa"/>
            <w:gridSpan w:val="3"/>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200.4)</w:t>
            </w:r>
          </w:p>
        </w:tc>
        <w:tc>
          <w:tcPr>
            <w:tcW w:w="126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781.9</w:t>
            </w:r>
          </w:p>
        </w:tc>
        <w:tc>
          <w:tcPr>
            <w:tcW w:w="1350"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291.8</w:t>
            </w:r>
          </w:p>
        </w:tc>
        <w:tc>
          <w:tcPr>
            <w:tcW w:w="144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222517468"/>
        </w:trPr>
        <w:tc>
          <w:tcPr>
            <w:tcW w:w="370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rFonts w:cs="Calibri"/>
                <w:b/>
                <w:bCs/>
                <w:szCs w:val="22"/>
                <w:lang w:eastAsia="en-AU"/>
              </w:rPr>
            </w:pPr>
            <w:r w:rsidRPr="003E2DBE">
              <w:rPr>
                <w:b/>
                <w:bCs/>
                <w:lang w:eastAsia="en-AU"/>
              </w:rPr>
              <w:t>Total</w:t>
            </w:r>
          </w:p>
        </w:tc>
        <w:tc>
          <w:tcPr>
            <w:tcW w:w="900" w:type="dxa"/>
            <w:gridSpan w:val="3"/>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w:t>
            </w:r>
            <w:r w:rsidRPr="003E2DBE">
              <w:rPr>
                <w:rFonts w:cs="Calibri"/>
                <w:b/>
                <w:bCs/>
                <w:szCs w:val="22"/>
                <w:lang w:eastAsia="en-AU"/>
              </w:rPr>
              <w:t>190.0)</w:t>
            </w:r>
          </w:p>
        </w:tc>
        <w:tc>
          <w:tcPr>
            <w:tcW w:w="126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w:t>
            </w:r>
            <w:r w:rsidRPr="003E2DBE">
              <w:rPr>
                <w:rFonts w:cs="Calibri"/>
                <w:b/>
                <w:bCs/>
                <w:szCs w:val="22"/>
                <w:lang w:eastAsia="en-AU"/>
              </w:rPr>
              <w:t>38.2)</w:t>
            </w:r>
          </w:p>
        </w:tc>
        <w:tc>
          <w:tcPr>
            <w:tcW w:w="99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615.2</w:t>
            </w:r>
          </w:p>
        </w:tc>
        <w:tc>
          <w:tcPr>
            <w:tcW w:w="1350"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361.8</w:t>
            </w:r>
          </w:p>
        </w:tc>
        <w:tc>
          <w:tcPr>
            <w:tcW w:w="144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825.7</w:t>
            </w:r>
          </w:p>
        </w:tc>
      </w:tr>
      <w:bookmarkEnd w:id="105"/>
      <w:bookmarkEnd w:id="106"/>
      <w:bookmarkEnd w:id="107"/>
      <w:bookmarkEnd w:id="108"/>
      <w:bookmarkEnd w:id="109"/>
    </w:tbl>
    <w:p w:rsidR="000B4A1E" w:rsidRDefault="000B4A1E" w:rsidP="00517E51">
      <w:pPr>
        <w:pStyle w:val="Notes"/>
      </w:pPr>
    </w:p>
    <w:p w:rsidR="000B4A1E" w:rsidRPr="00D00665" w:rsidRDefault="000B4A1E" w:rsidP="00517E51">
      <w:pPr>
        <w:pStyle w:val="Notes"/>
      </w:pPr>
    </w:p>
    <w:p w:rsidR="000B4A1E" w:rsidRPr="003E2DBE" w:rsidRDefault="000B4A1E" w:rsidP="00517E51">
      <w:pPr>
        <w:pStyle w:val="million"/>
      </w:pPr>
      <w:r w:rsidRPr="00D00665">
        <w:t>($</w:t>
      </w:r>
      <w:r>
        <w:t> million</w:t>
      </w:r>
      <w:r w:rsidRPr="00D00665">
        <w:t>)</w:t>
      </w:r>
      <w:bookmarkStart w:id="110" w:name="RANGE!C158:H167"/>
      <w:bookmarkStart w:id="111" w:name="RANGE!C150:H159"/>
      <w:bookmarkStart w:id="112" w:name="RANGE!C148:H157"/>
      <w:bookmarkStart w:id="113" w:name="RANGE!C144:H153"/>
      <w:bookmarkStart w:id="114" w:name="RANGE!C141:H150"/>
      <w:bookmarkStart w:id="115" w:name="RANGE!C143:H152"/>
    </w:p>
    <w:tbl>
      <w:tblPr>
        <w:tblW w:w="9648" w:type="dxa"/>
        <w:tblInd w:w="29" w:type="dxa"/>
        <w:tblCellMar>
          <w:left w:w="43" w:type="dxa"/>
          <w:right w:w="43" w:type="dxa"/>
        </w:tblCellMar>
        <w:tblLook w:val="04A0" w:firstRow="1" w:lastRow="0" w:firstColumn="1" w:lastColumn="0" w:noHBand="0" w:noVBand="1"/>
      </w:tblPr>
      <w:tblGrid>
        <w:gridCol w:w="3704"/>
        <w:gridCol w:w="106"/>
        <w:gridCol w:w="106"/>
        <w:gridCol w:w="688"/>
        <w:gridCol w:w="1260"/>
        <w:gridCol w:w="990"/>
        <w:gridCol w:w="1170"/>
        <w:gridCol w:w="180"/>
        <w:gridCol w:w="1444"/>
      </w:tblGrid>
      <w:tr w:rsidR="000B4A1E" w:rsidRPr="003E2DBE" w:rsidTr="00517E51">
        <w:trPr>
          <w:divId w:val="1569025894"/>
        </w:trPr>
        <w:tc>
          <w:tcPr>
            <w:tcW w:w="3704"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2012</w:t>
            </w:r>
            <w:bookmarkEnd w:id="110"/>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4108" w:type="dxa"/>
            <w:gridSpan w:val="4"/>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Interest rate swaps</w:t>
            </w:r>
          </w:p>
        </w:tc>
        <w:tc>
          <w:tcPr>
            <w:tcW w:w="180"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1444" w:type="dxa"/>
            <w:tcBorders>
              <w:top w:val="single" w:sz="4" w:space="0" w:color="auto"/>
              <w:left w:val="nil"/>
              <w:bottom w:val="nil"/>
              <w:right w:val="single" w:sz="4"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Exchange </w:t>
            </w:r>
          </w:p>
        </w:tc>
      </w:tr>
      <w:tr w:rsidR="000B4A1E" w:rsidRPr="003E2DBE" w:rsidTr="00517E51">
        <w:trPr>
          <w:divId w:val="1569025894"/>
        </w:trPr>
        <w:tc>
          <w:tcPr>
            <w:tcW w:w="3704"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State of Victoria</w:t>
            </w:r>
          </w:p>
        </w:tc>
        <w:tc>
          <w:tcPr>
            <w:tcW w:w="900" w:type="dxa"/>
            <w:gridSpan w:val="3"/>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iCs/>
                <w:lang w:eastAsia="en-AU"/>
              </w:rPr>
            </w:pPr>
            <w:r w:rsidRPr="003E2DBE">
              <w:rPr>
                <w:iCs/>
                <w:lang w:eastAsia="en-AU"/>
              </w:rPr>
              <w:t xml:space="preserve"> </w:t>
            </w:r>
          </w:p>
        </w:tc>
        <w:tc>
          <w:tcPr>
            <w:tcW w:w="1260"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iCs/>
                <w:lang w:eastAsia="en-AU"/>
              </w:rPr>
            </w:pPr>
            <w:r w:rsidRPr="003E2DBE">
              <w:rPr>
                <w:iCs/>
                <w:lang w:eastAsia="en-AU"/>
              </w:rPr>
              <w:t>Floating-</w:t>
            </w:r>
          </w:p>
        </w:tc>
        <w:tc>
          <w:tcPr>
            <w:tcW w:w="990"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1350"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1444" w:type="dxa"/>
            <w:tcBorders>
              <w:top w:val="nil"/>
              <w:left w:val="nil"/>
              <w:bottom w:val="single" w:sz="4" w:space="0" w:color="auto"/>
              <w:right w:val="single" w:sz="4"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traded futures </w:t>
            </w:r>
          </w:p>
        </w:tc>
      </w:tr>
      <w:tr w:rsidR="000B4A1E" w:rsidRPr="003E2DBE" w:rsidTr="00517E51">
        <w:trPr>
          <w:divId w:val="1569025894"/>
        </w:trPr>
        <w:tc>
          <w:tcPr>
            <w:tcW w:w="3704" w:type="dxa"/>
            <w:tcBorders>
              <w:top w:val="single" w:sz="4" w:space="0" w:color="auto"/>
              <w:left w:val="single" w:sz="4" w:space="0" w:color="auto"/>
              <w:bottom w:val="single" w:sz="4" w:space="0" w:color="auto"/>
              <w:right w:val="nil"/>
            </w:tcBorders>
            <w:shd w:val="clear" w:color="000000" w:fill="000000"/>
            <w:noWrap/>
            <w:vAlign w:val="bottom"/>
            <w:hideMark/>
          </w:tcPr>
          <w:p w:rsidR="000B4A1E" w:rsidRPr="003E2DBE" w:rsidRDefault="000B4A1E" w:rsidP="00517E51">
            <w:pPr>
              <w:pStyle w:val="TabletextheadingLeft"/>
              <w:rPr>
                <w:lang w:eastAsia="en-AU"/>
              </w:rPr>
            </w:pPr>
            <w:r w:rsidRPr="003E2DBE">
              <w:rPr>
                <w:lang w:eastAsia="en-AU"/>
              </w:rPr>
              <w:t>Maturities</w:t>
            </w:r>
          </w:p>
        </w:tc>
        <w:tc>
          <w:tcPr>
            <w:tcW w:w="900" w:type="dxa"/>
            <w:gridSpan w:val="3"/>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iCs/>
                <w:lang w:eastAsia="en-AU"/>
              </w:rPr>
            </w:pPr>
            <w:r w:rsidRPr="003E2DBE">
              <w:rPr>
                <w:iCs/>
                <w:lang w:eastAsia="en-AU"/>
              </w:rPr>
              <w:t>Indexed</w:t>
            </w:r>
          </w:p>
        </w:tc>
        <w:tc>
          <w:tcPr>
            <w:tcW w:w="1260" w:type="dxa"/>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iCs/>
                <w:lang w:eastAsia="en-AU"/>
              </w:rPr>
            </w:pPr>
            <w:r w:rsidRPr="003E2DBE">
              <w:rPr>
                <w:iCs/>
                <w:lang w:eastAsia="en-AU"/>
              </w:rPr>
              <w:t>for-floating</w:t>
            </w:r>
          </w:p>
        </w:tc>
        <w:tc>
          <w:tcPr>
            <w:tcW w:w="990" w:type="dxa"/>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lang w:eastAsia="en-AU"/>
              </w:rPr>
            </w:pPr>
            <w:r w:rsidRPr="003E2DBE">
              <w:rPr>
                <w:lang w:eastAsia="en-AU"/>
              </w:rPr>
              <w:t>Pay fixed</w:t>
            </w:r>
          </w:p>
        </w:tc>
        <w:tc>
          <w:tcPr>
            <w:tcW w:w="1350" w:type="dxa"/>
            <w:gridSpan w:val="2"/>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lang w:eastAsia="en-AU"/>
              </w:rPr>
            </w:pPr>
            <w:r w:rsidRPr="003E2DBE">
              <w:rPr>
                <w:lang w:eastAsia="en-AU"/>
              </w:rPr>
              <w:t>Receive fixed</w:t>
            </w:r>
          </w:p>
        </w:tc>
        <w:tc>
          <w:tcPr>
            <w:tcW w:w="1444" w:type="dxa"/>
            <w:tcBorders>
              <w:top w:val="single" w:sz="4" w:space="0" w:color="auto"/>
              <w:left w:val="nil"/>
              <w:bottom w:val="single" w:sz="4" w:space="0" w:color="auto"/>
              <w:right w:val="single" w:sz="4" w:space="0" w:color="auto"/>
            </w:tcBorders>
            <w:shd w:val="clear" w:color="000000" w:fill="000000"/>
            <w:noWrap/>
            <w:vAlign w:val="bottom"/>
            <w:hideMark/>
          </w:tcPr>
          <w:p w:rsidR="000B4A1E" w:rsidRPr="003E2DBE" w:rsidRDefault="000B4A1E" w:rsidP="00517E51">
            <w:pPr>
              <w:pStyle w:val="Tabletextheading"/>
              <w:rPr>
                <w:lang w:eastAsia="en-AU"/>
              </w:rPr>
            </w:pPr>
            <w:r w:rsidRPr="003E2DBE">
              <w:rPr>
                <w:lang w:eastAsia="en-AU"/>
              </w:rPr>
              <w:t>contracts</w:t>
            </w:r>
          </w:p>
        </w:tc>
      </w:tr>
      <w:tr w:rsidR="000B4A1E" w:rsidRPr="003E2DBE" w:rsidTr="00517E51">
        <w:trPr>
          <w:divId w:val="1569025894"/>
        </w:trPr>
        <w:tc>
          <w:tcPr>
            <w:tcW w:w="3704"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Less than 1 year</w:t>
            </w:r>
          </w:p>
        </w:tc>
        <w:tc>
          <w:tcPr>
            <w:tcW w:w="900" w:type="dxa"/>
            <w:gridSpan w:val="3"/>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913.5</w:t>
            </w:r>
          </w:p>
        </w:tc>
        <w:tc>
          <w:tcPr>
            <w:tcW w:w="1350" w:type="dxa"/>
            <w:gridSpan w:val="2"/>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128.0</w:t>
            </w:r>
          </w:p>
        </w:tc>
        <w:tc>
          <w:tcPr>
            <w:tcW w:w="1444"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388.5</w:t>
            </w:r>
          </w:p>
        </w:tc>
      </w:tr>
      <w:tr w:rsidR="000B4A1E" w:rsidRPr="003E2DBE" w:rsidTr="00517E51">
        <w:trPr>
          <w:divId w:val="1569025894"/>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1 year but less than 2 years</w:t>
            </w:r>
          </w:p>
        </w:tc>
        <w:tc>
          <w:tcPr>
            <w:tcW w:w="90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40.0)</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585.0</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95.0</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569025894"/>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2 year but less than 3 years</w:t>
            </w:r>
          </w:p>
        </w:tc>
        <w:tc>
          <w:tcPr>
            <w:tcW w:w="90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499.9</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455.0</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569025894"/>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3 years but less than 4 years</w:t>
            </w:r>
          </w:p>
        </w:tc>
        <w:tc>
          <w:tcPr>
            <w:tcW w:w="90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90.0</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90.0</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569025894"/>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4 years but less than 5 years</w:t>
            </w:r>
          </w:p>
        </w:tc>
        <w:tc>
          <w:tcPr>
            <w:tcW w:w="90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12.8</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167.4</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100.0</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569025894"/>
        </w:trPr>
        <w:tc>
          <w:tcPr>
            <w:tcW w:w="370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5 years or more</w:t>
            </w:r>
          </w:p>
        </w:tc>
        <w:tc>
          <w:tcPr>
            <w:tcW w:w="900" w:type="dxa"/>
            <w:gridSpan w:val="3"/>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182.6)</w:t>
            </w:r>
          </w:p>
        </w:tc>
        <w:tc>
          <w:tcPr>
            <w:tcW w:w="126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910.1</w:t>
            </w:r>
          </w:p>
        </w:tc>
        <w:tc>
          <w:tcPr>
            <w:tcW w:w="1350"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584.6</w:t>
            </w:r>
          </w:p>
        </w:tc>
        <w:tc>
          <w:tcPr>
            <w:tcW w:w="144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569025894"/>
        </w:trPr>
        <w:tc>
          <w:tcPr>
            <w:tcW w:w="370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w:t>
            </w:r>
          </w:p>
        </w:tc>
        <w:tc>
          <w:tcPr>
            <w:tcW w:w="900" w:type="dxa"/>
            <w:gridSpan w:val="3"/>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w:t>
            </w:r>
            <w:r w:rsidRPr="003E2DBE">
              <w:rPr>
                <w:rFonts w:cs="Calibri"/>
                <w:b/>
                <w:bCs/>
                <w:szCs w:val="22"/>
                <w:lang w:eastAsia="en-AU"/>
              </w:rPr>
              <w:t>169.8)</w:t>
            </w:r>
          </w:p>
        </w:tc>
        <w:tc>
          <w:tcPr>
            <w:tcW w:w="126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w:t>
            </w:r>
            <w:r w:rsidRPr="003E2DBE">
              <w:rPr>
                <w:rFonts w:cs="Calibri"/>
                <w:b/>
                <w:bCs/>
                <w:szCs w:val="22"/>
                <w:lang w:eastAsia="en-AU"/>
              </w:rPr>
              <w:t>40.0)</w:t>
            </w:r>
          </w:p>
        </w:tc>
        <w:tc>
          <w:tcPr>
            <w:tcW w:w="99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165.9</w:t>
            </w:r>
          </w:p>
        </w:tc>
        <w:tc>
          <w:tcPr>
            <w:tcW w:w="1350"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452.6</w:t>
            </w:r>
          </w:p>
        </w:tc>
        <w:tc>
          <w:tcPr>
            <w:tcW w:w="144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388.5</w:t>
            </w:r>
          </w:p>
        </w:tc>
      </w:tr>
      <w:bookmarkEnd w:id="111"/>
      <w:bookmarkEnd w:id="112"/>
      <w:bookmarkEnd w:id="113"/>
      <w:bookmarkEnd w:id="114"/>
      <w:bookmarkEnd w:id="115"/>
    </w:tbl>
    <w:p w:rsidR="000B4A1E" w:rsidRPr="00D00665" w:rsidRDefault="000B4A1E" w:rsidP="00517E51">
      <w:pPr>
        <w:pStyle w:val="Notes"/>
      </w:pPr>
    </w:p>
    <w:p w:rsidR="000B4A1E" w:rsidRPr="00D00665" w:rsidRDefault="000B4A1E" w:rsidP="00517E51"/>
    <w:p w:rsidR="000B4A1E" w:rsidRPr="00D00665" w:rsidRDefault="000B4A1E" w:rsidP="00517E51">
      <w:pPr>
        <w:pStyle w:val="Heading2NotesContd"/>
      </w:pPr>
      <w:r w:rsidRPr="00D00665">
        <w:br w:type="page"/>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3E2DBE" w:rsidRDefault="000B4A1E" w:rsidP="00517E51">
      <w:pPr>
        <w:pStyle w:val="million"/>
      </w:pPr>
      <w:r w:rsidRPr="00D00665">
        <w:t>($</w:t>
      </w:r>
      <w:r>
        <w:t> million</w:t>
      </w:r>
      <w:r w:rsidRPr="00D00665">
        <w:t>)</w:t>
      </w:r>
      <w:bookmarkStart w:id="116" w:name="RANGE!C170:H197"/>
      <w:bookmarkStart w:id="117" w:name="RANGE!C162:H189"/>
      <w:bookmarkStart w:id="118" w:name="RANGE!C160:H187"/>
      <w:bookmarkStart w:id="119" w:name="RANGE!C156:H183"/>
      <w:bookmarkStart w:id="120" w:name="RANGE!C153:H180"/>
      <w:bookmarkStart w:id="121" w:name="RANGE!C155:H182"/>
    </w:p>
    <w:tbl>
      <w:tblPr>
        <w:tblW w:w="9648" w:type="dxa"/>
        <w:tblInd w:w="29" w:type="dxa"/>
        <w:tblCellMar>
          <w:left w:w="43" w:type="dxa"/>
          <w:right w:w="43" w:type="dxa"/>
        </w:tblCellMar>
        <w:tblLook w:val="04A0" w:firstRow="1" w:lastRow="0" w:firstColumn="1" w:lastColumn="0" w:noHBand="0" w:noVBand="1"/>
      </w:tblPr>
      <w:tblGrid>
        <w:gridCol w:w="3704"/>
        <w:gridCol w:w="106"/>
        <w:gridCol w:w="106"/>
        <w:gridCol w:w="688"/>
        <w:gridCol w:w="1260"/>
        <w:gridCol w:w="990"/>
        <w:gridCol w:w="1170"/>
        <w:gridCol w:w="180"/>
        <w:gridCol w:w="1444"/>
      </w:tblGrid>
      <w:tr w:rsidR="000B4A1E" w:rsidRPr="003E2DBE" w:rsidTr="00517E51">
        <w:trPr>
          <w:divId w:val="1824662874"/>
        </w:trPr>
        <w:tc>
          <w:tcPr>
            <w:tcW w:w="3704"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2013</w:t>
            </w:r>
            <w:bookmarkEnd w:id="116"/>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4108" w:type="dxa"/>
            <w:gridSpan w:val="4"/>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Interest rate swaps</w:t>
            </w:r>
          </w:p>
        </w:tc>
        <w:tc>
          <w:tcPr>
            <w:tcW w:w="180"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1444" w:type="dxa"/>
            <w:tcBorders>
              <w:top w:val="single" w:sz="4" w:space="0" w:color="auto"/>
              <w:left w:val="nil"/>
              <w:bottom w:val="nil"/>
              <w:right w:val="single" w:sz="4"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Exchange </w:t>
            </w:r>
          </w:p>
        </w:tc>
      </w:tr>
      <w:tr w:rsidR="000B4A1E" w:rsidRPr="003E2DBE" w:rsidTr="00517E51">
        <w:trPr>
          <w:divId w:val="1824662874"/>
        </w:trPr>
        <w:tc>
          <w:tcPr>
            <w:tcW w:w="3704" w:type="dxa"/>
            <w:tcBorders>
              <w:top w:val="nil"/>
              <w:left w:val="single" w:sz="4" w:space="0" w:color="auto"/>
              <w:bottom w:val="single" w:sz="4" w:space="0" w:color="auto"/>
              <w:right w:val="nil"/>
            </w:tcBorders>
            <w:shd w:val="clear" w:color="auto" w:fill="000000"/>
            <w:noWrap/>
            <w:hideMark/>
          </w:tcPr>
          <w:p w:rsidR="000B4A1E" w:rsidRPr="003E2DBE" w:rsidRDefault="000B4A1E" w:rsidP="00517E51">
            <w:pPr>
              <w:pStyle w:val="TabletextheadingLeft"/>
              <w:rPr>
                <w:lang w:eastAsia="en-AU"/>
              </w:rPr>
            </w:pPr>
            <w:r w:rsidRPr="003E2DBE">
              <w:rPr>
                <w:lang w:eastAsia="en-AU"/>
              </w:rPr>
              <w:t>General government sector</w:t>
            </w:r>
          </w:p>
        </w:tc>
        <w:tc>
          <w:tcPr>
            <w:tcW w:w="900" w:type="dxa"/>
            <w:gridSpan w:val="3"/>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iCs/>
                <w:lang w:eastAsia="en-AU"/>
              </w:rPr>
            </w:pPr>
            <w:r w:rsidRPr="003E2DBE">
              <w:rPr>
                <w:iCs/>
                <w:lang w:eastAsia="en-AU"/>
              </w:rPr>
              <w:t xml:space="preserve"> </w:t>
            </w:r>
          </w:p>
        </w:tc>
        <w:tc>
          <w:tcPr>
            <w:tcW w:w="1260"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iCs/>
                <w:lang w:eastAsia="en-AU"/>
              </w:rPr>
            </w:pPr>
            <w:r w:rsidRPr="003E2DBE">
              <w:rPr>
                <w:iCs/>
                <w:lang w:eastAsia="en-AU"/>
              </w:rPr>
              <w:t>Floating-</w:t>
            </w:r>
          </w:p>
        </w:tc>
        <w:tc>
          <w:tcPr>
            <w:tcW w:w="990"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1350"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1444" w:type="dxa"/>
            <w:tcBorders>
              <w:top w:val="nil"/>
              <w:left w:val="nil"/>
              <w:bottom w:val="single" w:sz="4" w:space="0" w:color="auto"/>
              <w:right w:val="single" w:sz="4"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traded futures </w:t>
            </w:r>
          </w:p>
        </w:tc>
      </w:tr>
      <w:tr w:rsidR="000B4A1E" w:rsidRPr="003E2DBE" w:rsidTr="00517E51">
        <w:trPr>
          <w:divId w:val="1824662874"/>
        </w:trPr>
        <w:tc>
          <w:tcPr>
            <w:tcW w:w="3704" w:type="dxa"/>
            <w:tcBorders>
              <w:top w:val="single" w:sz="4" w:space="0" w:color="auto"/>
              <w:left w:val="single" w:sz="4" w:space="0" w:color="auto"/>
              <w:bottom w:val="single" w:sz="4" w:space="0" w:color="auto"/>
              <w:right w:val="nil"/>
            </w:tcBorders>
            <w:shd w:val="clear" w:color="000000" w:fill="000000"/>
            <w:noWrap/>
            <w:vAlign w:val="bottom"/>
            <w:hideMark/>
          </w:tcPr>
          <w:p w:rsidR="000B4A1E" w:rsidRPr="003E2DBE" w:rsidRDefault="000B4A1E" w:rsidP="00517E51">
            <w:pPr>
              <w:pStyle w:val="TabletextheadingLeft"/>
              <w:rPr>
                <w:lang w:eastAsia="en-AU"/>
              </w:rPr>
            </w:pPr>
            <w:r w:rsidRPr="003E2DBE">
              <w:rPr>
                <w:lang w:eastAsia="en-AU"/>
              </w:rPr>
              <w:t>Maturities</w:t>
            </w:r>
          </w:p>
        </w:tc>
        <w:tc>
          <w:tcPr>
            <w:tcW w:w="900" w:type="dxa"/>
            <w:gridSpan w:val="3"/>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iCs/>
                <w:lang w:eastAsia="en-AU"/>
              </w:rPr>
            </w:pPr>
            <w:r w:rsidRPr="003E2DBE">
              <w:rPr>
                <w:iCs/>
                <w:lang w:eastAsia="en-AU"/>
              </w:rPr>
              <w:t>Indexed</w:t>
            </w:r>
          </w:p>
        </w:tc>
        <w:tc>
          <w:tcPr>
            <w:tcW w:w="1260" w:type="dxa"/>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iCs/>
                <w:lang w:eastAsia="en-AU"/>
              </w:rPr>
            </w:pPr>
            <w:r w:rsidRPr="003E2DBE">
              <w:rPr>
                <w:iCs/>
                <w:lang w:eastAsia="en-AU"/>
              </w:rPr>
              <w:t>for-floating</w:t>
            </w:r>
          </w:p>
        </w:tc>
        <w:tc>
          <w:tcPr>
            <w:tcW w:w="990" w:type="dxa"/>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lang w:eastAsia="en-AU"/>
              </w:rPr>
            </w:pPr>
            <w:r w:rsidRPr="003E2DBE">
              <w:rPr>
                <w:lang w:eastAsia="en-AU"/>
              </w:rPr>
              <w:t>Pay fixed</w:t>
            </w:r>
          </w:p>
        </w:tc>
        <w:tc>
          <w:tcPr>
            <w:tcW w:w="1350" w:type="dxa"/>
            <w:gridSpan w:val="2"/>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lang w:eastAsia="en-AU"/>
              </w:rPr>
            </w:pPr>
            <w:r w:rsidRPr="003E2DBE">
              <w:rPr>
                <w:lang w:eastAsia="en-AU"/>
              </w:rPr>
              <w:t>Receive fixed</w:t>
            </w:r>
          </w:p>
        </w:tc>
        <w:tc>
          <w:tcPr>
            <w:tcW w:w="1444" w:type="dxa"/>
            <w:tcBorders>
              <w:top w:val="single" w:sz="4" w:space="0" w:color="auto"/>
              <w:left w:val="nil"/>
              <w:bottom w:val="single" w:sz="4" w:space="0" w:color="auto"/>
              <w:right w:val="single" w:sz="4" w:space="0" w:color="auto"/>
            </w:tcBorders>
            <w:shd w:val="clear" w:color="000000" w:fill="000000"/>
            <w:noWrap/>
            <w:vAlign w:val="bottom"/>
            <w:hideMark/>
          </w:tcPr>
          <w:p w:rsidR="000B4A1E" w:rsidRPr="003E2DBE" w:rsidRDefault="000B4A1E" w:rsidP="00517E51">
            <w:pPr>
              <w:pStyle w:val="Tabletextheading"/>
              <w:rPr>
                <w:lang w:eastAsia="en-AU"/>
              </w:rPr>
            </w:pPr>
            <w:r w:rsidRPr="003E2DBE">
              <w:rPr>
                <w:lang w:eastAsia="en-AU"/>
              </w:rPr>
              <w:t>contracts</w:t>
            </w:r>
          </w:p>
        </w:tc>
      </w:tr>
      <w:tr w:rsidR="000B4A1E" w:rsidRPr="003E2DBE" w:rsidTr="00517E51">
        <w:trPr>
          <w:divId w:val="1824662874"/>
        </w:trPr>
        <w:tc>
          <w:tcPr>
            <w:tcW w:w="3704"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Less than 1 year</w:t>
            </w:r>
          </w:p>
        </w:tc>
        <w:tc>
          <w:tcPr>
            <w:tcW w:w="900" w:type="dxa"/>
            <w:gridSpan w:val="3"/>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260" w:type="dxa"/>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990" w:type="dxa"/>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350" w:type="dxa"/>
            <w:gridSpan w:val="2"/>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444"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r>
      <w:tr w:rsidR="000B4A1E" w:rsidRPr="003E2DBE" w:rsidTr="00517E51">
        <w:trPr>
          <w:divId w:val="1824662874"/>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1</w:t>
            </w:r>
            <w:r w:rsidRPr="003E2DBE">
              <w:rPr>
                <w:rFonts w:cs="Calibri"/>
                <w:szCs w:val="22"/>
                <w:lang w:eastAsia="en-AU"/>
              </w:rPr>
              <w:t xml:space="preserve"> year but less than 2 years</w:t>
            </w:r>
          </w:p>
        </w:tc>
        <w:tc>
          <w:tcPr>
            <w:tcW w:w="90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r>
      <w:tr w:rsidR="000B4A1E" w:rsidRPr="003E2DBE" w:rsidTr="00517E51">
        <w:trPr>
          <w:divId w:val="1824662874"/>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 xml:space="preserve">2 </w:t>
            </w:r>
            <w:r w:rsidRPr="003E2DBE">
              <w:rPr>
                <w:rFonts w:cs="Calibri"/>
                <w:szCs w:val="22"/>
                <w:lang w:eastAsia="en-AU"/>
              </w:rPr>
              <w:t>years but less than 3 years</w:t>
            </w:r>
          </w:p>
        </w:tc>
        <w:tc>
          <w:tcPr>
            <w:tcW w:w="90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r>
      <w:tr w:rsidR="000B4A1E" w:rsidRPr="003E2DBE" w:rsidTr="00517E51">
        <w:trPr>
          <w:divId w:val="1824662874"/>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 xml:space="preserve">3 </w:t>
            </w:r>
            <w:r w:rsidRPr="003E2DBE">
              <w:rPr>
                <w:rFonts w:cs="Calibri"/>
                <w:szCs w:val="22"/>
                <w:lang w:eastAsia="en-AU"/>
              </w:rPr>
              <w:t>years but less than 4 years</w:t>
            </w:r>
          </w:p>
        </w:tc>
        <w:tc>
          <w:tcPr>
            <w:tcW w:w="90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r>
      <w:tr w:rsidR="000B4A1E" w:rsidRPr="003E2DBE" w:rsidTr="00517E51">
        <w:trPr>
          <w:divId w:val="1824662874"/>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4 years but less than 5 years</w:t>
            </w:r>
          </w:p>
        </w:tc>
        <w:tc>
          <w:tcPr>
            <w:tcW w:w="90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r>
      <w:tr w:rsidR="000B4A1E" w:rsidRPr="003E2DBE" w:rsidTr="00517E51">
        <w:trPr>
          <w:divId w:val="1824662874"/>
        </w:trPr>
        <w:tc>
          <w:tcPr>
            <w:tcW w:w="370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5</w:t>
            </w:r>
            <w:r w:rsidRPr="003E2DBE">
              <w:rPr>
                <w:rFonts w:cs="Calibri"/>
                <w:szCs w:val="22"/>
                <w:lang w:eastAsia="en-AU"/>
              </w:rPr>
              <w:t xml:space="preserve"> years or more</w:t>
            </w:r>
          </w:p>
        </w:tc>
        <w:tc>
          <w:tcPr>
            <w:tcW w:w="900" w:type="dxa"/>
            <w:gridSpan w:val="3"/>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26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99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350"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44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r>
      <w:tr w:rsidR="000B4A1E" w:rsidRPr="003E2DBE" w:rsidTr="00517E51">
        <w:trPr>
          <w:divId w:val="1824662874"/>
        </w:trPr>
        <w:tc>
          <w:tcPr>
            <w:tcW w:w="370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w:t>
            </w:r>
          </w:p>
        </w:tc>
        <w:tc>
          <w:tcPr>
            <w:tcW w:w="900" w:type="dxa"/>
            <w:gridSpan w:val="3"/>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w:t>
            </w:r>
          </w:p>
        </w:tc>
        <w:tc>
          <w:tcPr>
            <w:tcW w:w="126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w:t>
            </w:r>
          </w:p>
        </w:tc>
        <w:tc>
          <w:tcPr>
            <w:tcW w:w="99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w:t>
            </w:r>
          </w:p>
        </w:tc>
        <w:tc>
          <w:tcPr>
            <w:tcW w:w="1350"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w:t>
            </w:r>
          </w:p>
        </w:tc>
        <w:tc>
          <w:tcPr>
            <w:tcW w:w="144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w:t>
            </w:r>
          </w:p>
        </w:tc>
      </w:tr>
      <w:bookmarkEnd w:id="117"/>
      <w:bookmarkEnd w:id="118"/>
      <w:bookmarkEnd w:id="119"/>
      <w:bookmarkEnd w:id="120"/>
      <w:bookmarkEnd w:id="121"/>
    </w:tbl>
    <w:p w:rsidR="000B4A1E" w:rsidRPr="00D00665" w:rsidRDefault="000B4A1E" w:rsidP="00517E51"/>
    <w:p w:rsidR="000B4A1E" w:rsidRPr="003E2DBE" w:rsidRDefault="000B4A1E" w:rsidP="00517E51">
      <w:pPr>
        <w:pStyle w:val="million"/>
      </w:pPr>
      <w:r w:rsidRPr="00D00665">
        <w:t>($</w:t>
      </w:r>
      <w:r>
        <w:t> million</w:t>
      </w:r>
      <w:r w:rsidRPr="00D00665">
        <w:t>)</w:t>
      </w:r>
      <w:bookmarkStart w:id="122" w:name="RANGE!C200:H209"/>
      <w:bookmarkStart w:id="123" w:name="RANGE!C192:H201"/>
      <w:bookmarkStart w:id="124" w:name="RANGE!C190:H199"/>
      <w:bookmarkStart w:id="125" w:name="RANGE!C186:H195"/>
      <w:bookmarkStart w:id="126" w:name="RANGE!C183:H192"/>
      <w:bookmarkStart w:id="127" w:name="RANGE!C185:H194"/>
    </w:p>
    <w:tbl>
      <w:tblPr>
        <w:tblW w:w="9648" w:type="dxa"/>
        <w:tblInd w:w="29" w:type="dxa"/>
        <w:tblCellMar>
          <w:left w:w="43" w:type="dxa"/>
          <w:right w:w="43" w:type="dxa"/>
        </w:tblCellMar>
        <w:tblLook w:val="04A0" w:firstRow="1" w:lastRow="0" w:firstColumn="1" w:lastColumn="0" w:noHBand="0" w:noVBand="1"/>
      </w:tblPr>
      <w:tblGrid>
        <w:gridCol w:w="3704"/>
        <w:gridCol w:w="106"/>
        <w:gridCol w:w="106"/>
        <w:gridCol w:w="688"/>
        <w:gridCol w:w="1260"/>
        <w:gridCol w:w="990"/>
        <w:gridCol w:w="1170"/>
        <w:gridCol w:w="180"/>
        <w:gridCol w:w="1444"/>
      </w:tblGrid>
      <w:tr w:rsidR="000B4A1E" w:rsidRPr="003E2DBE" w:rsidTr="00517E51">
        <w:trPr>
          <w:divId w:val="2093116042"/>
        </w:trPr>
        <w:tc>
          <w:tcPr>
            <w:tcW w:w="3704"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2012</w:t>
            </w:r>
            <w:bookmarkEnd w:id="122"/>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4108" w:type="dxa"/>
            <w:gridSpan w:val="4"/>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Interest rate swaps</w:t>
            </w:r>
          </w:p>
        </w:tc>
        <w:tc>
          <w:tcPr>
            <w:tcW w:w="180"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1444" w:type="dxa"/>
            <w:tcBorders>
              <w:top w:val="single" w:sz="4" w:space="0" w:color="auto"/>
              <w:left w:val="nil"/>
              <w:bottom w:val="nil"/>
              <w:right w:val="single" w:sz="4"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Exchange </w:t>
            </w:r>
          </w:p>
        </w:tc>
      </w:tr>
      <w:tr w:rsidR="000B4A1E" w:rsidRPr="003E2DBE" w:rsidTr="00517E51">
        <w:trPr>
          <w:divId w:val="2093116042"/>
        </w:trPr>
        <w:tc>
          <w:tcPr>
            <w:tcW w:w="3704" w:type="dxa"/>
            <w:tcBorders>
              <w:top w:val="single" w:sz="4" w:space="0" w:color="auto"/>
              <w:left w:val="single" w:sz="4" w:space="0" w:color="auto"/>
              <w:bottom w:val="single" w:sz="4" w:space="0" w:color="auto"/>
              <w:right w:val="nil"/>
            </w:tcBorders>
            <w:shd w:val="clear" w:color="auto" w:fill="000000"/>
            <w:noWrap/>
            <w:hideMark/>
          </w:tcPr>
          <w:p w:rsidR="000B4A1E" w:rsidRPr="003E2DBE" w:rsidRDefault="000B4A1E" w:rsidP="00517E51">
            <w:pPr>
              <w:pStyle w:val="TabletextheadingLeft"/>
              <w:rPr>
                <w:lang w:eastAsia="en-AU"/>
              </w:rPr>
            </w:pPr>
            <w:r w:rsidRPr="003E2DBE">
              <w:rPr>
                <w:lang w:eastAsia="en-AU"/>
              </w:rPr>
              <w:t>General government sector</w:t>
            </w:r>
          </w:p>
        </w:tc>
        <w:tc>
          <w:tcPr>
            <w:tcW w:w="900" w:type="dxa"/>
            <w:gridSpan w:val="3"/>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iCs/>
                <w:lang w:eastAsia="en-AU"/>
              </w:rPr>
            </w:pPr>
            <w:r w:rsidRPr="003E2DBE">
              <w:rPr>
                <w:iCs/>
                <w:lang w:eastAsia="en-AU"/>
              </w:rPr>
              <w:t xml:space="preserve"> </w:t>
            </w:r>
          </w:p>
        </w:tc>
        <w:tc>
          <w:tcPr>
            <w:tcW w:w="1260"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iCs/>
                <w:lang w:eastAsia="en-AU"/>
              </w:rPr>
            </w:pPr>
            <w:r w:rsidRPr="003E2DBE">
              <w:rPr>
                <w:iCs/>
                <w:lang w:eastAsia="en-AU"/>
              </w:rPr>
              <w:t>Floating-</w:t>
            </w:r>
          </w:p>
        </w:tc>
        <w:tc>
          <w:tcPr>
            <w:tcW w:w="990" w:type="dxa"/>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1350" w:type="dxa"/>
            <w:gridSpan w:val="2"/>
            <w:tcBorders>
              <w:top w:val="nil"/>
              <w:left w:val="nil"/>
              <w:bottom w:val="single" w:sz="4"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1444" w:type="dxa"/>
            <w:tcBorders>
              <w:top w:val="nil"/>
              <w:left w:val="nil"/>
              <w:bottom w:val="single" w:sz="4" w:space="0" w:color="auto"/>
              <w:right w:val="single" w:sz="4"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 xml:space="preserve">traded futures </w:t>
            </w:r>
          </w:p>
        </w:tc>
      </w:tr>
      <w:tr w:rsidR="000B4A1E" w:rsidRPr="003E2DBE" w:rsidTr="00517E51">
        <w:trPr>
          <w:divId w:val="2093116042"/>
        </w:trPr>
        <w:tc>
          <w:tcPr>
            <w:tcW w:w="3704" w:type="dxa"/>
            <w:tcBorders>
              <w:top w:val="single" w:sz="4" w:space="0" w:color="auto"/>
              <w:left w:val="single" w:sz="4" w:space="0" w:color="auto"/>
              <w:bottom w:val="single" w:sz="4" w:space="0" w:color="auto"/>
              <w:right w:val="nil"/>
            </w:tcBorders>
            <w:shd w:val="clear" w:color="000000" w:fill="000000"/>
            <w:noWrap/>
            <w:vAlign w:val="bottom"/>
            <w:hideMark/>
          </w:tcPr>
          <w:p w:rsidR="000B4A1E" w:rsidRPr="003E2DBE" w:rsidRDefault="000B4A1E" w:rsidP="00517E51">
            <w:pPr>
              <w:pStyle w:val="TabletextheadingLeft"/>
              <w:rPr>
                <w:lang w:eastAsia="en-AU"/>
              </w:rPr>
            </w:pPr>
            <w:r w:rsidRPr="003E2DBE">
              <w:rPr>
                <w:lang w:eastAsia="en-AU"/>
              </w:rPr>
              <w:t>Maturities</w:t>
            </w:r>
          </w:p>
        </w:tc>
        <w:tc>
          <w:tcPr>
            <w:tcW w:w="900" w:type="dxa"/>
            <w:gridSpan w:val="3"/>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iCs/>
                <w:lang w:eastAsia="en-AU"/>
              </w:rPr>
            </w:pPr>
            <w:r w:rsidRPr="003E2DBE">
              <w:rPr>
                <w:iCs/>
                <w:lang w:eastAsia="en-AU"/>
              </w:rPr>
              <w:t>Indexed</w:t>
            </w:r>
          </w:p>
        </w:tc>
        <w:tc>
          <w:tcPr>
            <w:tcW w:w="1260" w:type="dxa"/>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iCs/>
                <w:lang w:eastAsia="en-AU"/>
              </w:rPr>
            </w:pPr>
            <w:r w:rsidRPr="003E2DBE">
              <w:rPr>
                <w:iCs/>
                <w:lang w:eastAsia="en-AU"/>
              </w:rPr>
              <w:t>for-floating</w:t>
            </w:r>
          </w:p>
        </w:tc>
        <w:tc>
          <w:tcPr>
            <w:tcW w:w="990" w:type="dxa"/>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lang w:eastAsia="en-AU"/>
              </w:rPr>
            </w:pPr>
            <w:r w:rsidRPr="003E2DBE">
              <w:rPr>
                <w:lang w:eastAsia="en-AU"/>
              </w:rPr>
              <w:t>Pay fixed</w:t>
            </w:r>
          </w:p>
        </w:tc>
        <w:tc>
          <w:tcPr>
            <w:tcW w:w="1350" w:type="dxa"/>
            <w:gridSpan w:val="2"/>
            <w:tcBorders>
              <w:top w:val="single" w:sz="4" w:space="0" w:color="auto"/>
              <w:left w:val="nil"/>
              <w:bottom w:val="single" w:sz="4" w:space="0" w:color="auto"/>
              <w:right w:val="nil"/>
            </w:tcBorders>
            <w:shd w:val="clear" w:color="000000" w:fill="000000"/>
            <w:noWrap/>
            <w:hideMark/>
          </w:tcPr>
          <w:p w:rsidR="000B4A1E" w:rsidRPr="003E2DBE" w:rsidRDefault="000B4A1E" w:rsidP="00517E51">
            <w:pPr>
              <w:pStyle w:val="Tabletextheading"/>
              <w:rPr>
                <w:lang w:eastAsia="en-AU"/>
              </w:rPr>
            </w:pPr>
            <w:r w:rsidRPr="003E2DBE">
              <w:rPr>
                <w:lang w:eastAsia="en-AU"/>
              </w:rPr>
              <w:t>Receive fixed</w:t>
            </w:r>
          </w:p>
        </w:tc>
        <w:tc>
          <w:tcPr>
            <w:tcW w:w="1444" w:type="dxa"/>
            <w:tcBorders>
              <w:top w:val="single" w:sz="4" w:space="0" w:color="auto"/>
              <w:left w:val="nil"/>
              <w:bottom w:val="single" w:sz="4" w:space="0" w:color="auto"/>
              <w:right w:val="single" w:sz="4" w:space="0" w:color="auto"/>
            </w:tcBorders>
            <w:shd w:val="clear" w:color="000000" w:fill="000000"/>
            <w:noWrap/>
            <w:vAlign w:val="bottom"/>
            <w:hideMark/>
          </w:tcPr>
          <w:p w:rsidR="000B4A1E" w:rsidRPr="003E2DBE" w:rsidRDefault="000B4A1E" w:rsidP="00517E51">
            <w:pPr>
              <w:pStyle w:val="Tabletextheading"/>
              <w:rPr>
                <w:lang w:eastAsia="en-AU"/>
              </w:rPr>
            </w:pPr>
            <w:r w:rsidRPr="003E2DBE">
              <w:rPr>
                <w:lang w:eastAsia="en-AU"/>
              </w:rPr>
              <w:t>contracts</w:t>
            </w:r>
          </w:p>
        </w:tc>
      </w:tr>
      <w:tr w:rsidR="000B4A1E" w:rsidRPr="003E2DBE" w:rsidTr="00517E51">
        <w:trPr>
          <w:divId w:val="2093116042"/>
        </w:trPr>
        <w:tc>
          <w:tcPr>
            <w:tcW w:w="3704"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Less than 1 year</w:t>
            </w:r>
          </w:p>
        </w:tc>
        <w:tc>
          <w:tcPr>
            <w:tcW w:w="900" w:type="dxa"/>
            <w:gridSpan w:val="3"/>
            <w:tcBorders>
              <w:top w:val="single" w:sz="4" w:space="0" w:color="auto"/>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single" w:sz="4" w:space="0" w:color="auto"/>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350" w:type="dxa"/>
            <w:gridSpan w:val="2"/>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444"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2093116042"/>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1 year but less than 2 years</w:t>
            </w:r>
          </w:p>
        </w:tc>
        <w:tc>
          <w:tcPr>
            <w:tcW w:w="90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2093116042"/>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2 year but less than 3 years</w:t>
            </w:r>
          </w:p>
        </w:tc>
        <w:tc>
          <w:tcPr>
            <w:tcW w:w="90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2093116042"/>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3 years but less than 4 years</w:t>
            </w:r>
          </w:p>
        </w:tc>
        <w:tc>
          <w:tcPr>
            <w:tcW w:w="90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2093116042"/>
        </w:trPr>
        <w:tc>
          <w:tcPr>
            <w:tcW w:w="370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4 years but less than 5 years</w:t>
            </w:r>
          </w:p>
        </w:tc>
        <w:tc>
          <w:tcPr>
            <w:tcW w:w="90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35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44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2093116042"/>
        </w:trPr>
        <w:tc>
          <w:tcPr>
            <w:tcW w:w="370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5 years or more</w:t>
            </w:r>
          </w:p>
        </w:tc>
        <w:tc>
          <w:tcPr>
            <w:tcW w:w="900" w:type="dxa"/>
            <w:gridSpan w:val="3"/>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260"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99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350"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44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2093116042"/>
        </w:trPr>
        <w:tc>
          <w:tcPr>
            <w:tcW w:w="370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w:t>
            </w:r>
          </w:p>
        </w:tc>
        <w:tc>
          <w:tcPr>
            <w:tcW w:w="900" w:type="dxa"/>
            <w:gridSpan w:val="3"/>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w:t>
            </w:r>
          </w:p>
        </w:tc>
        <w:tc>
          <w:tcPr>
            <w:tcW w:w="126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w:t>
            </w:r>
          </w:p>
        </w:tc>
        <w:tc>
          <w:tcPr>
            <w:tcW w:w="99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w:t>
            </w:r>
          </w:p>
        </w:tc>
        <w:tc>
          <w:tcPr>
            <w:tcW w:w="1350"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w:t>
            </w:r>
          </w:p>
        </w:tc>
        <w:tc>
          <w:tcPr>
            <w:tcW w:w="144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w:t>
            </w:r>
          </w:p>
        </w:tc>
      </w:tr>
      <w:bookmarkEnd w:id="123"/>
      <w:bookmarkEnd w:id="124"/>
      <w:bookmarkEnd w:id="125"/>
      <w:bookmarkEnd w:id="126"/>
      <w:bookmarkEnd w:id="127"/>
    </w:tbl>
    <w:p w:rsidR="000B4A1E" w:rsidRPr="00D00665" w:rsidRDefault="000B4A1E" w:rsidP="00517E51"/>
    <w:p w:rsidR="000B4A1E" w:rsidRPr="00D00665" w:rsidRDefault="000B4A1E" w:rsidP="00517E51">
      <w:r w:rsidRPr="00D00665">
        <w:t>At 30 June 2013, approximately 98</w:t>
      </w:r>
      <w:r>
        <w:t> per cent</w:t>
      </w:r>
      <w:r w:rsidRPr="00D00665">
        <w:t xml:space="preserve"> of the State</w:t>
      </w:r>
      <w:r>
        <w:t>’</w:t>
      </w:r>
      <w:r w:rsidRPr="00D00665">
        <w:t>s borrowings are at fixed rates of interest. There has been no change in the State</w:t>
      </w:r>
      <w:r>
        <w:t>’</w:t>
      </w:r>
      <w:r w:rsidRPr="00D00665">
        <w:t>s exposure to interest rate risk or the manner in which it manages and measures the risk from the previous reporting period.</w:t>
      </w:r>
    </w:p>
    <w:p w:rsidR="000B4A1E" w:rsidRPr="00D00665" w:rsidRDefault="000B4A1E" w:rsidP="00517E51">
      <w:pPr>
        <w:pStyle w:val="Heading5a"/>
      </w:pPr>
      <w:r w:rsidRPr="00D00665">
        <w:t>Interest rate exposure</w:t>
      </w:r>
    </w:p>
    <w:p w:rsidR="000B4A1E" w:rsidRPr="00D00665" w:rsidRDefault="000B4A1E" w:rsidP="00517E51">
      <w:r w:rsidRPr="00D00665">
        <w:t>Disclosed is the State</w:t>
      </w:r>
      <w:r>
        <w:t>’</w:t>
      </w:r>
      <w:r w:rsidRPr="00D00665">
        <w:t>s exposure to interest rate risk on classes of financial assets and financial liabilities.</w:t>
      </w:r>
    </w:p>
    <w:p w:rsidR="000B4A1E" w:rsidRPr="00D00665" w:rsidRDefault="000B4A1E" w:rsidP="00517E51">
      <w:pPr>
        <w:pStyle w:val="Heading5a"/>
      </w:pPr>
      <w:r w:rsidRPr="00D00665">
        <w:t>Interest rate sensitivity analysis</w:t>
      </w:r>
    </w:p>
    <w:p w:rsidR="000B4A1E" w:rsidRPr="00D00665" w:rsidRDefault="000B4A1E" w:rsidP="00517E51">
      <w:r w:rsidRPr="00D00665">
        <w:t>The State has analysed the possible effects of feasible changes in interest rates on its financial position and result using the following assumptions:</w:t>
      </w:r>
    </w:p>
    <w:p w:rsidR="000B4A1E" w:rsidRPr="00D00665" w:rsidRDefault="000B4A1E" w:rsidP="00517E51">
      <w:pPr>
        <w:pStyle w:val="BulletText"/>
      </w:pPr>
      <w:r w:rsidRPr="00D00665">
        <w:t>the exposure to interest rates for both derivative and non</w:t>
      </w:r>
      <w:r w:rsidRPr="00D00665">
        <w:noBreakHyphen/>
        <w:t xml:space="preserve">derivative instruments at the reporting date, </w:t>
      </w:r>
      <w:r w:rsidRPr="00342569">
        <w:t>and</w:t>
      </w:r>
      <w:r w:rsidRPr="00D00665">
        <w:t xml:space="preserve"> the stipulated change taking place at the beginning of the financial year, are held constant throughout the reporting period; and</w:t>
      </w:r>
    </w:p>
    <w:p w:rsidR="000B4A1E" w:rsidRPr="00D00665" w:rsidRDefault="000B4A1E" w:rsidP="00517E51">
      <w:pPr>
        <w:pStyle w:val="BulletText"/>
      </w:pPr>
      <w:r w:rsidRPr="00D00665">
        <w:t>based on historic movements, and in particular, management</w:t>
      </w:r>
      <w:r>
        <w:t>’</w:t>
      </w:r>
      <w:r w:rsidRPr="00D00665">
        <w:t>s knowledge and experience of the recent volatility in global financial markets, the State has assessed that it may be exposed to a reasonably possible increase or decrease of 100 basis points in interest rates (2012: 100 basis points).</w:t>
      </w:r>
    </w:p>
    <w:p w:rsidR="000B4A1E" w:rsidRPr="00D00665" w:rsidRDefault="000B4A1E" w:rsidP="00517E51">
      <w:r w:rsidRPr="00D00665">
        <w:t xml:space="preserve">With all other variables held constant, the impact of a 100 basis point </w:t>
      </w:r>
      <w:r>
        <w:t>increase or decrease on the net </w:t>
      </w:r>
      <w:r w:rsidRPr="00D00665">
        <w:t>result and net assets at 30 June 2013 is a $1 681.3</w:t>
      </w:r>
      <w:r>
        <w:t> million</w:t>
      </w:r>
      <w:r w:rsidRPr="00D00665">
        <w:t xml:space="preserve"> increase/$1 844.8</w:t>
      </w:r>
      <w:r>
        <w:t> million decrease (2012: </w:t>
      </w:r>
      <w:r w:rsidRPr="00D00665">
        <w:t>$1 550.2</w:t>
      </w:r>
      <w:r>
        <w:t> million</w:t>
      </w:r>
      <w:r w:rsidRPr="00D00665">
        <w:t xml:space="preserve"> increase/$1 739.7</w:t>
      </w:r>
      <w:r>
        <w:t> million</w:t>
      </w:r>
      <w:r w:rsidRPr="00D00665">
        <w:t xml:space="preserve"> decrease). </w:t>
      </w:r>
    </w:p>
    <w:p w:rsidR="000B4A1E" w:rsidRPr="00D00665" w:rsidRDefault="000B4A1E" w:rsidP="00517E51">
      <w:pPr>
        <w:pStyle w:val="Heading2NotesContd"/>
      </w:pPr>
      <w:r w:rsidRPr="00D00665">
        <w:br w:type="page"/>
      </w:r>
      <w:r w:rsidRPr="00D00665">
        <w:lastRenderedPageBreak/>
        <w:t>Note 32:</w:t>
      </w:r>
      <w:r w:rsidRPr="00D00665">
        <w:tab/>
        <w:t xml:space="preserve">Financial instruments </w:t>
      </w:r>
      <w:r w:rsidRPr="00D00665">
        <w:rPr>
          <w:i/>
        </w:rPr>
        <w:t>(continued)</w:t>
      </w:r>
    </w:p>
    <w:p w:rsidR="000B4A1E" w:rsidRPr="00D00665" w:rsidRDefault="000B4A1E" w:rsidP="00517E51">
      <w:r w:rsidRPr="00D00665">
        <w:t>The State</w:t>
      </w:r>
      <w:r>
        <w:t>’</w:t>
      </w:r>
      <w:r w:rsidRPr="00D00665">
        <w:t>s sensitivity to interest rates is mainly attributable to the revaluation of fixed interest borrowings at fair value and the revaluation of the insurance and superannuation liabilities, however this does not impact on the net result from transactions.</w:t>
      </w:r>
    </w:p>
    <w:p w:rsidR="000B4A1E" w:rsidRPr="00D00665" w:rsidRDefault="000B4A1E" w:rsidP="00517E51">
      <w:pPr>
        <w:pStyle w:val="Heading5"/>
      </w:pPr>
      <w:r w:rsidRPr="00D00665">
        <w:t>(f)</w:t>
      </w:r>
      <w:r w:rsidRPr="00D00665">
        <w:tab/>
        <w:t>Interest rate exposure</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864"/>
        <w:gridCol w:w="1261"/>
        <w:gridCol w:w="1261"/>
        <w:gridCol w:w="1262"/>
      </w:tblGrid>
      <w:tr w:rsidR="000B4A1E" w:rsidRPr="003E2DBE" w:rsidTr="00517E51">
        <w:tc>
          <w:tcPr>
            <w:tcW w:w="586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headingLeft"/>
              <w:rPr>
                <w:rFonts w:eastAsiaTheme="minorEastAsia"/>
                <w:lang w:eastAsia="en-AU"/>
              </w:rPr>
            </w:pPr>
            <w:r w:rsidRPr="003E2DBE">
              <w:rPr>
                <w:rFonts w:eastAsiaTheme="minorEastAsia"/>
                <w:lang w:eastAsia="en-AU"/>
              </w:rPr>
              <w:t xml:space="preserve"> </w:t>
            </w:r>
          </w:p>
        </w:tc>
        <w:tc>
          <w:tcPr>
            <w:tcW w:w="1261"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1261"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1262"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r>
      <w:tr w:rsidR="000B4A1E" w:rsidRPr="003E2DBE" w:rsidTr="00517E51">
        <w:tc>
          <w:tcPr>
            <w:tcW w:w="5864" w:type="dxa"/>
            <w:tcBorders>
              <w:left w:val="single" w:sz="4" w:space="0" w:color="auto"/>
              <w:right w:val="nil"/>
            </w:tcBorders>
            <w:shd w:val="clear" w:color="auto" w:fill="000000"/>
          </w:tcPr>
          <w:p w:rsidR="000B4A1E" w:rsidRPr="003E2DBE" w:rsidRDefault="000B4A1E" w:rsidP="00517E51">
            <w:pPr>
              <w:pStyle w:val="TabletextheadingLeft"/>
              <w:rPr>
                <w:rFonts w:eastAsiaTheme="minorEastAsia"/>
                <w:lang w:eastAsia="en-AU"/>
              </w:rPr>
            </w:pPr>
            <w:r w:rsidRPr="003E2DBE">
              <w:rPr>
                <w:rFonts w:eastAsiaTheme="minorEastAsia"/>
                <w:lang w:eastAsia="en-AU"/>
              </w:rPr>
              <w:t xml:space="preserve"> </w:t>
            </w:r>
          </w:p>
        </w:tc>
        <w:tc>
          <w:tcPr>
            <w:tcW w:w="1261" w:type="dxa"/>
            <w:tcBorders>
              <w:left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1261" w:type="dxa"/>
            <w:tcBorders>
              <w:left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1262" w:type="dxa"/>
            <w:tcBorders>
              <w:left w:val="nil"/>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1 year </w:t>
            </w:r>
          </w:p>
        </w:tc>
      </w:tr>
      <w:tr w:rsidR="000B4A1E" w:rsidRPr="003E2DBE" w:rsidTr="00517E51">
        <w:tc>
          <w:tcPr>
            <w:tcW w:w="5864" w:type="dxa"/>
            <w:tcBorders>
              <w:left w:val="single" w:sz="4" w:space="0" w:color="auto"/>
              <w:bottom w:val="single" w:sz="4" w:space="0" w:color="auto"/>
              <w:right w:val="nil"/>
            </w:tcBorders>
            <w:shd w:val="solid" w:color="000000" w:fill="auto"/>
          </w:tcPr>
          <w:p w:rsidR="000B4A1E" w:rsidRPr="003E2DBE" w:rsidRDefault="000B4A1E" w:rsidP="00517E51">
            <w:pPr>
              <w:pStyle w:val="TabletextheadingLeft"/>
              <w:rPr>
                <w:rFonts w:eastAsiaTheme="minorEastAsia"/>
                <w:lang w:eastAsia="en-AU"/>
              </w:rPr>
            </w:pPr>
            <w:r w:rsidRPr="003E2DBE">
              <w:rPr>
                <w:rFonts w:eastAsiaTheme="minorEastAsia"/>
                <w:lang w:eastAsia="en-AU"/>
              </w:rPr>
              <w:t>State of Victoria</w:t>
            </w:r>
          </w:p>
          <w:p w:rsidR="000B4A1E" w:rsidRPr="003E2DBE" w:rsidRDefault="000B4A1E" w:rsidP="00517E51">
            <w:pPr>
              <w:pStyle w:val="TabletextheadingLeft"/>
              <w:rPr>
                <w:rFonts w:eastAsiaTheme="minorEastAsia"/>
                <w:lang w:eastAsia="en-AU"/>
              </w:rPr>
            </w:pPr>
            <w:r w:rsidRPr="003E2DBE">
              <w:rPr>
                <w:rFonts w:eastAsiaTheme="minorEastAsia"/>
                <w:lang w:eastAsia="en-AU"/>
              </w:rPr>
              <w:t>2013</w:t>
            </w:r>
          </w:p>
        </w:tc>
        <w:tc>
          <w:tcPr>
            <w:tcW w:w="1261" w:type="dxa"/>
            <w:tcBorders>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p>
          <w:p w:rsidR="000B4A1E" w:rsidRPr="003E2DBE" w:rsidRDefault="000B4A1E" w:rsidP="00517E51">
            <w:pPr>
              <w:pStyle w:val="Tabletextheading"/>
              <w:rPr>
                <w:rFonts w:eastAsiaTheme="minorEastAsia"/>
                <w:lang w:eastAsia="en-AU"/>
              </w:rPr>
            </w:pPr>
            <w:r w:rsidRPr="003E2DBE">
              <w:rPr>
                <w:rFonts w:eastAsiaTheme="minorEastAsia"/>
                <w:lang w:eastAsia="en-AU"/>
              </w:rPr>
              <w:t>Floating</w:t>
            </w:r>
          </w:p>
        </w:tc>
        <w:tc>
          <w:tcPr>
            <w:tcW w:w="1261" w:type="dxa"/>
            <w:tcBorders>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Less than </w:t>
            </w:r>
          </w:p>
          <w:p w:rsidR="000B4A1E" w:rsidRPr="003E2DBE" w:rsidRDefault="000B4A1E" w:rsidP="00517E51">
            <w:pPr>
              <w:pStyle w:val="Tabletextheading"/>
              <w:rPr>
                <w:rFonts w:eastAsiaTheme="minorEastAsia"/>
                <w:lang w:eastAsia="en-AU"/>
              </w:rPr>
            </w:pPr>
            <w:r w:rsidRPr="003E2DBE">
              <w:rPr>
                <w:rFonts w:eastAsiaTheme="minorEastAsia"/>
                <w:lang w:eastAsia="en-AU"/>
              </w:rPr>
              <w:t>1 year</w:t>
            </w:r>
          </w:p>
        </w:tc>
        <w:tc>
          <w:tcPr>
            <w:tcW w:w="1262" w:type="dxa"/>
            <w:tcBorders>
              <w:left w:val="nil"/>
              <w:bottom w:val="single" w:sz="4" w:space="0" w:color="auto"/>
              <w:right w:val="single" w:sz="4" w:space="0" w:color="auto"/>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but less </w:t>
            </w:r>
          </w:p>
          <w:p w:rsidR="000B4A1E" w:rsidRPr="003E2DBE" w:rsidRDefault="000B4A1E" w:rsidP="00517E51">
            <w:pPr>
              <w:pStyle w:val="Tabletextheading"/>
              <w:rPr>
                <w:rFonts w:eastAsiaTheme="minorEastAsia"/>
                <w:lang w:eastAsia="en-AU"/>
              </w:rPr>
            </w:pPr>
            <w:r w:rsidRPr="003E2DBE">
              <w:rPr>
                <w:rFonts w:eastAsiaTheme="minorEastAsia"/>
                <w:lang w:eastAsia="en-AU"/>
              </w:rPr>
              <w:t>than 2 years</w:t>
            </w:r>
          </w:p>
        </w:tc>
      </w:tr>
      <w:tr w:rsidR="000B4A1E" w:rsidRPr="003E2DBE" w:rsidTr="00517E51">
        <w:tc>
          <w:tcPr>
            <w:tcW w:w="5864" w:type="dxa"/>
            <w:tcBorders>
              <w:top w:val="single" w:sz="4" w:space="0" w:color="auto"/>
              <w:left w:val="nil"/>
              <w:bottom w:val="nil"/>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Financial assets</w:t>
            </w:r>
          </w:p>
        </w:tc>
        <w:tc>
          <w:tcPr>
            <w:tcW w:w="1261" w:type="dxa"/>
            <w:tcBorders>
              <w:top w:val="single" w:sz="4" w:space="0" w:color="auto"/>
              <w:left w:val="nil"/>
              <w:bottom w:val="nil"/>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c>
          <w:tcPr>
            <w:tcW w:w="1261" w:type="dxa"/>
            <w:tcBorders>
              <w:top w:val="single" w:sz="4" w:space="0" w:color="auto"/>
              <w:left w:val="nil"/>
              <w:bottom w:val="nil"/>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c>
          <w:tcPr>
            <w:tcW w:w="1262" w:type="dxa"/>
            <w:tcBorders>
              <w:top w:val="single" w:sz="4" w:space="0" w:color="auto"/>
              <w:left w:val="nil"/>
              <w:bottom w:val="nil"/>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Cash and deposits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3 115.6</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3 074.4</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Receivables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65.9</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337.8</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36.9</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Advances</w:t>
            </w:r>
            <w:r w:rsidRPr="003E2DBE">
              <w:rPr>
                <w:rFonts w:eastAsiaTheme="minorEastAsia" w:cs="Calibri"/>
                <w:szCs w:val="22"/>
                <w:lang w:eastAsia="en-AU"/>
              </w:rPr>
              <w:t xml:space="preserve"> paid</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886.6</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120.8</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90.7</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Term</w:t>
            </w:r>
            <w:r w:rsidRPr="003E2DBE">
              <w:rPr>
                <w:rFonts w:eastAsiaTheme="minorEastAsia" w:cs="Calibri"/>
                <w:szCs w:val="22"/>
                <w:lang w:eastAsia="en-AU"/>
              </w:rPr>
              <w:t xml:space="preserve"> deposits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121.2</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896.7</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64.8</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Derivative </w:t>
            </w:r>
            <w:r w:rsidRPr="003E2DBE">
              <w:rPr>
                <w:rFonts w:eastAsiaTheme="minorEastAsia" w:cs="Calibri"/>
                <w:szCs w:val="22"/>
                <w:lang w:eastAsia="en-AU"/>
              </w:rPr>
              <w:t>financial instruments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438.0</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10.1</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Equities</w:t>
            </w:r>
            <w:r w:rsidRPr="003E2DBE">
              <w:rPr>
                <w:rFonts w:eastAsiaTheme="minorEastAsia" w:cs="Calibri"/>
                <w:szCs w:val="22"/>
                <w:lang w:eastAsia="en-AU"/>
              </w:rPr>
              <w:t xml:space="preserve"> and managed investment schemes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198.8</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199.3</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19.3</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Debt</w:t>
            </w:r>
            <w:r w:rsidRPr="003E2DBE">
              <w:rPr>
                <w:rFonts w:eastAsiaTheme="minorEastAsia" w:cs="Calibri"/>
                <w:szCs w:val="22"/>
                <w:lang w:eastAsia="en-AU"/>
              </w:rPr>
              <w:t xml:space="preserve"> securities</w:t>
            </w:r>
          </w:p>
        </w:tc>
        <w:tc>
          <w:tcPr>
            <w:tcW w:w="1261"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3 597.9</w:t>
            </w:r>
          </w:p>
        </w:tc>
        <w:tc>
          <w:tcPr>
            <w:tcW w:w="1261"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2 543.3</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705.3</w:t>
            </w:r>
          </w:p>
        </w:tc>
      </w:tr>
      <w:tr w:rsidR="000B4A1E" w:rsidRPr="003E2DBE" w:rsidTr="00517E51">
        <w:tc>
          <w:tcPr>
            <w:tcW w:w="586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Total</w:t>
            </w:r>
            <w:r w:rsidRPr="003E2DBE">
              <w:rPr>
                <w:rFonts w:eastAsiaTheme="minorEastAsia" w:cs="Calibri"/>
                <w:b/>
                <w:bCs/>
                <w:szCs w:val="22"/>
                <w:lang w:eastAsia="en-AU"/>
              </w:rPr>
              <w:t xml:space="preserve"> financial assets</w:t>
            </w:r>
          </w:p>
        </w:tc>
        <w:tc>
          <w:tcPr>
            <w:tcW w:w="1261"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7 986.1</w:t>
            </w:r>
          </w:p>
        </w:tc>
        <w:tc>
          <w:tcPr>
            <w:tcW w:w="1261"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7 610.4</w:t>
            </w:r>
          </w:p>
        </w:tc>
        <w:tc>
          <w:tcPr>
            <w:tcW w:w="1262"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929.3</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Financial liabilities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Payables</w:t>
            </w:r>
            <w:r w:rsidRPr="003E2DBE">
              <w:rPr>
                <w:rFonts w:eastAsiaTheme="minorEastAsia" w:cs="Calibri"/>
                <w:szCs w:val="22"/>
                <w:lang w:eastAsia="en-AU"/>
              </w:rPr>
              <w:t xml:space="preserve"> and advances</w:t>
            </w:r>
          </w:p>
        </w:tc>
        <w:tc>
          <w:tcPr>
            <w:tcW w:w="1261"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2 485.8</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477.6</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25.3</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Derivative</w:t>
            </w:r>
            <w:r w:rsidRPr="003E2DBE">
              <w:rPr>
                <w:rFonts w:eastAsiaTheme="minorEastAsia" w:cs="Calibri"/>
                <w:szCs w:val="22"/>
                <w:lang w:eastAsia="en-AU"/>
              </w:rPr>
              <w:t xml:space="preserve"> financial instruments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117.1</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376.9</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22.2</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Interest-bearing</w:t>
            </w:r>
            <w:r w:rsidRPr="003E2DBE">
              <w:rPr>
                <w:rFonts w:eastAsiaTheme="minorEastAsia" w:cs="Calibri"/>
                <w:szCs w:val="22"/>
                <w:lang w:eastAsia="en-AU"/>
              </w:rPr>
              <w:t xml:space="preserve"> liabilities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719.9</w:t>
            </w:r>
          </w:p>
        </w:tc>
        <w:tc>
          <w:tcPr>
            <w:tcW w:w="1261"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1 091.5</w:t>
            </w:r>
          </w:p>
        </w:tc>
        <w:tc>
          <w:tcPr>
            <w:tcW w:w="1262"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2 936.5</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Finance lease </w:t>
            </w:r>
            <w:r w:rsidRPr="003E2DBE">
              <w:rPr>
                <w:rFonts w:eastAsiaTheme="minorEastAsia" w:cs="Calibri"/>
                <w:szCs w:val="22"/>
                <w:lang w:eastAsia="en-AU"/>
              </w:rPr>
              <w:t>liabilities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379.9</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236.4</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164.1</w:t>
            </w:r>
          </w:p>
        </w:tc>
      </w:tr>
      <w:tr w:rsidR="000B4A1E" w:rsidRPr="003E2DBE" w:rsidTr="00517E51">
        <w:tc>
          <w:tcPr>
            <w:tcW w:w="586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Total</w:t>
            </w:r>
            <w:r w:rsidRPr="003E2DBE">
              <w:rPr>
                <w:rFonts w:eastAsiaTheme="minorEastAsia" w:cs="Calibri"/>
                <w:b/>
                <w:bCs/>
                <w:szCs w:val="22"/>
                <w:lang w:eastAsia="en-AU"/>
              </w:rPr>
              <w:t xml:space="preserve"> financial liabilities</w:t>
            </w:r>
          </w:p>
        </w:tc>
        <w:tc>
          <w:tcPr>
            <w:tcW w:w="1261"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3 702.6</w:t>
            </w:r>
          </w:p>
        </w:tc>
        <w:tc>
          <w:tcPr>
            <w:tcW w:w="1261"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2 182.4</w:t>
            </w:r>
          </w:p>
        </w:tc>
        <w:tc>
          <w:tcPr>
            <w:tcW w:w="1262"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3 148.1</w:t>
            </w:r>
          </w:p>
        </w:tc>
      </w:tr>
      <w:tr w:rsidR="000B4A1E" w:rsidRPr="003E2DBE" w:rsidTr="00517E51">
        <w:trPr>
          <w:trHeight w:hRule="exact" w:val="120"/>
        </w:trPr>
        <w:tc>
          <w:tcPr>
            <w:tcW w:w="5864" w:type="dxa"/>
            <w:tcBorders>
              <w:top w:val="nil"/>
              <w:left w:val="nil"/>
              <w:bottom w:val="single" w:sz="4" w:space="0" w:color="auto"/>
              <w:right w:val="nil"/>
            </w:tcBorders>
          </w:tcPr>
          <w:p w:rsidR="000B4A1E" w:rsidRPr="003E2DBE" w:rsidRDefault="000B4A1E" w:rsidP="00517E51">
            <w:pPr>
              <w:pStyle w:val="Tabletext"/>
              <w:rPr>
                <w:rFonts w:eastAsiaTheme="minorEastAsia"/>
                <w:lang w:eastAsia="en-AU"/>
              </w:rPr>
            </w:pPr>
          </w:p>
        </w:tc>
        <w:tc>
          <w:tcPr>
            <w:tcW w:w="1261" w:type="dxa"/>
            <w:tcBorders>
              <w:top w:val="nil"/>
              <w:left w:val="nil"/>
              <w:bottom w:val="single" w:sz="4" w:space="0" w:color="auto"/>
              <w:right w:val="nil"/>
            </w:tcBorders>
          </w:tcPr>
          <w:p w:rsidR="000B4A1E" w:rsidRPr="003E2DBE" w:rsidRDefault="000B4A1E" w:rsidP="00517E51">
            <w:pPr>
              <w:pStyle w:val="TableofFigures"/>
              <w:rPr>
                <w:rFonts w:eastAsiaTheme="minorEastAsia"/>
                <w:lang w:eastAsia="en-AU"/>
              </w:rPr>
            </w:pPr>
          </w:p>
        </w:tc>
        <w:tc>
          <w:tcPr>
            <w:tcW w:w="1261" w:type="dxa"/>
            <w:tcBorders>
              <w:top w:val="nil"/>
              <w:left w:val="nil"/>
              <w:bottom w:val="single" w:sz="4" w:space="0" w:color="auto"/>
              <w:right w:val="nil"/>
            </w:tcBorders>
          </w:tcPr>
          <w:p w:rsidR="000B4A1E" w:rsidRPr="003E2DBE" w:rsidRDefault="000B4A1E" w:rsidP="00517E51">
            <w:pPr>
              <w:pStyle w:val="TableofFigures"/>
              <w:rPr>
                <w:rFonts w:eastAsiaTheme="minorEastAsia"/>
                <w:sz w:val="20"/>
                <w:lang w:eastAsia="en-AU"/>
              </w:rPr>
            </w:pPr>
          </w:p>
        </w:tc>
        <w:tc>
          <w:tcPr>
            <w:tcW w:w="1262" w:type="dxa"/>
            <w:tcBorders>
              <w:top w:val="nil"/>
              <w:left w:val="nil"/>
              <w:bottom w:val="single" w:sz="4" w:space="0" w:color="auto"/>
              <w:right w:val="nil"/>
            </w:tcBorders>
          </w:tcPr>
          <w:p w:rsidR="000B4A1E" w:rsidRPr="003E2DBE" w:rsidRDefault="000B4A1E" w:rsidP="00517E51">
            <w:pPr>
              <w:pStyle w:val="TableofFigures"/>
              <w:rPr>
                <w:rFonts w:eastAsiaTheme="minorEastAsia"/>
                <w:lang w:eastAsia="en-AU"/>
              </w:rPr>
            </w:pPr>
          </w:p>
        </w:tc>
      </w:tr>
      <w:tr w:rsidR="000B4A1E" w:rsidRPr="003E2DBE" w:rsidTr="00517E51">
        <w:tc>
          <w:tcPr>
            <w:tcW w:w="5864" w:type="dxa"/>
            <w:tcBorders>
              <w:top w:val="single" w:sz="4" w:space="0" w:color="auto"/>
              <w:left w:val="single" w:sz="4" w:space="0" w:color="auto"/>
              <w:bottom w:val="single" w:sz="4" w:space="0" w:color="auto"/>
              <w:right w:val="nil"/>
            </w:tcBorders>
            <w:shd w:val="solid" w:color="000000" w:fill="auto"/>
          </w:tcPr>
          <w:p w:rsidR="000B4A1E" w:rsidRPr="003E2DBE" w:rsidRDefault="000B4A1E" w:rsidP="00517E51">
            <w:pPr>
              <w:pStyle w:val="TabletextheadingLeft"/>
              <w:rPr>
                <w:rFonts w:eastAsiaTheme="minorEastAsia" w:cs="Calibri"/>
                <w:b/>
                <w:bCs/>
                <w:iCs/>
                <w:szCs w:val="22"/>
                <w:lang w:eastAsia="en-AU"/>
              </w:rPr>
            </w:pPr>
            <w:r w:rsidRPr="003E2DBE">
              <w:rPr>
                <w:rFonts w:eastAsiaTheme="minorEastAsia"/>
                <w:lang w:eastAsia="en-AU"/>
              </w:rPr>
              <w:t>2012</w:t>
            </w:r>
          </w:p>
        </w:tc>
        <w:tc>
          <w:tcPr>
            <w:tcW w:w="1261" w:type="dxa"/>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1261" w:type="dxa"/>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1262" w:type="dxa"/>
            <w:tcBorders>
              <w:top w:val="single" w:sz="4" w:space="0" w:color="auto"/>
              <w:left w:val="nil"/>
              <w:bottom w:val="single" w:sz="4" w:space="0" w:color="auto"/>
              <w:right w:val="single" w:sz="4" w:space="0" w:color="auto"/>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r>
      <w:tr w:rsidR="000B4A1E" w:rsidRPr="003E2DBE" w:rsidTr="00517E51">
        <w:tc>
          <w:tcPr>
            <w:tcW w:w="5864" w:type="dxa"/>
            <w:tcBorders>
              <w:top w:val="single" w:sz="4" w:space="0" w:color="auto"/>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Financial</w:t>
            </w:r>
            <w:r w:rsidRPr="003E2DBE">
              <w:rPr>
                <w:rFonts w:eastAsiaTheme="minorEastAsia" w:cs="Calibri"/>
                <w:b/>
                <w:bCs/>
                <w:szCs w:val="22"/>
                <w:lang w:eastAsia="en-AU"/>
              </w:rPr>
              <w:t xml:space="preserve"> assets</w:t>
            </w:r>
          </w:p>
        </w:tc>
        <w:tc>
          <w:tcPr>
            <w:tcW w:w="1261" w:type="dxa"/>
            <w:tcBorders>
              <w:top w:val="single" w:sz="4" w:space="0" w:color="auto"/>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b/>
                <w:lang w:eastAsia="en-AU"/>
              </w:rPr>
              <w:t xml:space="preserve"> </w:t>
            </w:r>
          </w:p>
        </w:tc>
        <w:tc>
          <w:tcPr>
            <w:tcW w:w="1261" w:type="dxa"/>
            <w:tcBorders>
              <w:top w:val="single" w:sz="4" w:space="0" w:color="auto"/>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b/>
                <w:lang w:eastAsia="en-AU"/>
              </w:rPr>
              <w:t xml:space="preserve"> </w:t>
            </w:r>
          </w:p>
        </w:tc>
        <w:tc>
          <w:tcPr>
            <w:tcW w:w="1262" w:type="dxa"/>
            <w:tcBorders>
              <w:top w:val="single" w:sz="4" w:space="0" w:color="auto"/>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b/>
                <w:lang w:eastAsia="en-AU"/>
              </w:rPr>
              <w:t xml:space="preserve"> </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Cash</w:t>
            </w:r>
            <w:r w:rsidRPr="003E2DBE">
              <w:rPr>
                <w:rFonts w:eastAsiaTheme="minorEastAsia" w:cs="Calibri"/>
                <w:szCs w:val="22"/>
                <w:lang w:eastAsia="en-AU"/>
              </w:rPr>
              <w:t xml:space="preserve"> and deposits</w:t>
            </w:r>
          </w:p>
        </w:tc>
        <w:tc>
          <w:tcPr>
            <w:tcW w:w="1261"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2</w:t>
            </w:r>
            <w:r w:rsidRPr="003E2DBE">
              <w:rPr>
                <w:rFonts w:eastAsiaTheme="minorEastAsia" w:cs="Calibri"/>
                <w:szCs w:val="22"/>
                <w:lang w:eastAsia="en-AU"/>
              </w:rPr>
              <w:t xml:space="preserve"> 274.6</w:t>
            </w:r>
          </w:p>
        </w:tc>
        <w:tc>
          <w:tcPr>
            <w:tcW w:w="1261"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3 107.3</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1.3</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vertAlign w:val="superscript"/>
                <w:lang w:eastAsia="en-AU"/>
              </w:rPr>
            </w:pPr>
            <w:r w:rsidRPr="003E2DBE">
              <w:rPr>
                <w:rFonts w:eastAsiaTheme="minorEastAsia"/>
                <w:lang w:eastAsia="en-AU"/>
              </w:rPr>
              <w:t xml:space="preserve">Receivables </w:t>
            </w:r>
            <w:r w:rsidRPr="003E2DBE">
              <w:rPr>
                <w:rFonts w:eastAsiaTheme="minorEastAsia" w:cs="Calibri"/>
                <w:szCs w:val="22"/>
                <w:vertAlign w:val="superscript"/>
                <w:lang w:eastAsia="en-AU"/>
              </w:rPr>
              <w:t>(a)</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86.5</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332.6</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105.6</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Advances paid</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623.8</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107.0</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73.4</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Term deposits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8.8</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1 223.9</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45.8</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Derivative</w:t>
            </w:r>
            <w:r w:rsidRPr="003E2DBE">
              <w:rPr>
                <w:rFonts w:eastAsiaTheme="minorEastAsia" w:cs="Calibri"/>
                <w:szCs w:val="22"/>
                <w:lang w:eastAsia="en-AU"/>
              </w:rPr>
              <w:t xml:space="preserve"> financial instruments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1 196.1</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10.7</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Equities</w:t>
            </w:r>
            <w:r w:rsidRPr="003E2DBE">
              <w:rPr>
                <w:rFonts w:eastAsiaTheme="minorEastAsia" w:cs="Calibri"/>
                <w:szCs w:val="22"/>
                <w:lang w:eastAsia="en-AU"/>
              </w:rPr>
              <w:t xml:space="preserve"> and managed investment schemes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226.1</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22.4</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18.1</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Debt</w:t>
            </w:r>
            <w:r w:rsidRPr="003E2DBE">
              <w:rPr>
                <w:rFonts w:eastAsiaTheme="minorEastAsia" w:cs="Calibri"/>
                <w:szCs w:val="22"/>
                <w:lang w:eastAsia="en-AU"/>
              </w:rPr>
              <w:t xml:space="preserve"> securities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2 803.0</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209.3</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513.0</w:t>
            </w:r>
          </w:p>
        </w:tc>
      </w:tr>
      <w:tr w:rsidR="000B4A1E" w:rsidRPr="003E2DBE" w:rsidTr="00517E51">
        <w:tc>
          <w:tcPr>
            <w:tcW w:w="586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Total financial assets</w:t>
            </w:r>
          </w:p>
        </w:tc>
        <w:tc>
          <w:tcPr>
            <w:tcW w:w="1261"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6 022.8</w:t>
            </w:r>
          </w:p>
        </w:tc>
        <w:tc>
          <w:tcPr>
            <w:tcW w:w="1261"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6 198.5</w:t>
            </w:r>
          </w:p>
        </w:tc>
        <w:tc>
          <w:tcPr>
            <w:tcW w:w="1262"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767.9</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Financial liabilities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Payables and advances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937.4</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339.3</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44.1</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Derivative</w:t>
            </w:r>
            <w:r w:rsidRPr="003E2DBE">
              <w:rPr>
                <w:rFonts w:eastAsiaTheme="minorEastAsia" w:cs="Calibri"/>
                <w:szCs w:val="22"/>
                <w:lang w:eastAsia="en-AU"/>
              </w:rPr>
              <w:t xml:space="preserve"> financial instruments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261"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1 146.4</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16.1</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Interest-bearing</w:t>
            </w:r>
            <w:r w:rsidRPr="003E2DBE">
              <w:rPr>
                <w:rFonts w:eastAsiaTheme="minorEastAsia" w:cs="Calibri"/>
                <w:szCs w:val="22"/>
                <w:lang w:eastAsia="en-AU"/>
              </w:rPr>
              <w:t xml:space="preserve"> liabilities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785.8</w:t>
            </w:r>
          </w:p>
        </w:tc>
        <w:tc>
          <w:tcPr>
            <w:tcW w:w="1261"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3 504.1</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535.8</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Finance</w:t>
            </w:r>
            <w:r w:rsidRPr="003E2DBE">
              <w:rPr>
                <w:rFonts w:eastAsiaTheme="minorEastAsia" w:cs="Calibri"/>
                <w:szCs w:val="22"/>
                <w:lang w:eastAsia="en-AU"/>
              </w:rPr>
              <w:t xml:space="preserve"> lease liabilities</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17.3</w:t>
            </w:r>
          </w:p>
        </w:tc>
        <w:tc>
          <w:tcPr>
            <w:tcW w:w="126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126.1</w:t>
            </w:r>
          </w:p>
        </w:tc>
        <w:tc>
          <w:tcPr>
            <w:tcW w:w="126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126.2</w:t>
            </w:r>
          </w:p>
        </w:tc>
      </w:tr>
      <w:tr w:rsidR="000B4A1E" w:rsidRPr="003E2DBE" w:rsidTr="00517E51">
        <w:tc>
          <w:tcPr>
            <w:tcW w:w="586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Total financial liabilities</w:t>
            </w:r>
          </w:p>
        </w:tc>
        <w:tc>
          <w:tcPr>
            <w:tcW w:w="1261"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1 740.4</w:t>
            </w:r>
          </w:p>
        </w:tc>
        <w:tc>
          <w:tcPr>
            <w:tcW w:w="1261"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5 115.9</w:t>
            </w:r>
          </w:p>
        </w:tc>
        <w:tc>
          <w:tcPr>
            <w:tcW w:w="1262"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722.1</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The 2012 figures differ from that presented in the 2011</w:t>
      </w:r>
      <w:r w:rsidRPr="00D00665">
        <w:noBreakHyphen/>
        <w:t>12 Financial Report to more correctly reflect clarification of contractual statutory receivables. Restated balances at 30 June 2012. Refer to Note 36 of the financial statements.</w:t>
      </w:r>
    </w:p>
    <w:p w:rsidR="000B4A1E" w:rsidRPr="00D00665" w:rsidRDefault="000B4A1E" w:rsidP="00517E51"/>
    <w:p w:rsidR="000B4A1E" w:rsidRPr="00D00665" w:rsidRDefault="000B4A1E" w:rsidP="00517E51"/>
    <w:p w:rsidR="000B4A1E" w:rsidRPr="00D00665" w:rsidRDefault="000B4A1E" w:rsidP="00517E51">
      <w:pPr>
        <w:pStyle w:val="Heading2NotesContd"/>
      </w:pPr>
      <w:r w:rsidRPr="00D00665">
        <w:br w:type="page"/>
      </w:r>
    </w:p>
    <w:p w:rsidR="000B4A1E" w:rsidRPr="00D00665" w:rsidRDefault="000B4A1E" w:rsidP="00517E51">
      <w:r w:rsidRPr="00D00665">
        <w:lastRenderedPageBreak/>
        <w:br/>
      </w:r>
    </w:p>
    <w:p w:rsidR="000B4A1E" w:rsidRPr="00D00665" w:rsidRDefault="000B4A1E" w:rsidP="00517E51">
      <w:pPr>
        <w:spacing w:before="280"/>
      </w:pPr>
      <w:r w:rsidRPr="00D00665">
        <w:br/>
      </w:r>
    </w:p>
    <w:p w:rsidR="000B4A1E" w:rsidRPr="00D00665" w:rsidRDefault="000B4A1E" w:rsidP="00517E51">
      <w:pPr>
        <w:pStyle w:val="Heading5"/>
      </w:pPr>
    </w:p>
    <w:p w:rsidR="000B4A1E" w:rsidRDefault="000B4A1E" w:rsidP="00517E51">
      <w:pPr>
        <w:pStyle w:val="million"/>
        <w:rPr>
          <w:rFonts w:ascii="Times New Roman" w:hAnsi="Times New Roman"/>
          <w:i w:val="0"/>
          <w:szCs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284"/>
        <w:gridCol w:w="1328"/>
        <w:gridCol w:w="1613"/>
        <w:gridCol w:w="1613"/>
        <w:gridCol w:w="1116"/>
        <w:gridCol w:w="260"/>
        <w:gridCol w:w="236"/>
        <w:gridCol w:w="1613"/>
        <w:gridCol w:w="1613"/>
      </w:tblGrid>
      <w:tr w:rsidR="000B4A1E" w:rsidRPr="003E2DBE" w:rsidTr="00103F3E">
        <w:trPr>
          <w:cantSplit/>
        </w:trPr>
        <w:tc>
          <w:tcPr>
            <w:tcW w:w="284" w:type="dxa"/>
            <w:tcBorders>
              <w:top w:val="single" w:sz="6" w:space="0" w:color="auto"/>
              <w:left w:val="single" w:sz="6" w:space="0" w:color="auto"/>
              <w:bottom w:val="single" w:sz="6" w:space="0" w:color="auto"/>
              <w:right w:val="nil"/>
            </w:tcBorders>
            <w:shd w:val="clear" w:color="auto" w:fill="000000"/>
          </w:tcPr>
          <w:p w:rsidR="000B4A1E" w:rsidRPr="003E2DBE" w:rsidRDefault="000B4A1E" w:rsidP="00667BF1">
            <w:pPr>
              <w:pStyle w:val="Tabletext"/>
              <w:rPr>
                <w:lang w:eastAsia="en-AU"/>
              </w:rPr>
            </w:pPr>
            <w:r w:rsidRPr="003E2DBE">
              <w:rPr>
                <w:lang w:eastAsia="en-AU"/>
              </w:rPr>
              <w:t xml:space="preserve"> </w:t>
            </w:r>
          </w:p>
        </w:tc>
        <w:tc>
          <w:tcPr>
            <w:tcW w:w="5670" w:type="dxa"/>
            <w:gridSpan w:val="4"/>
            <w:tcBorders>
              <w:top w:val="single" w:sz="6" w:space="0" w:color="auto"/>
              <w:left w:val="nil"/>
              <w:bottom w:val="single" w:sz="6" w:space="0" w:color="auto"/>
              <w:right w:val="nil"/>
            </w:tcBorders>
            <w:shd w:val="clear" w:color="auto" w:fill="000000"/>
          </w:tcPr>
          <w:p w:rsidR="000B4A1E" w:rsidRPr="003E2DBE" w:rsidRDefault="000B4A1E" w:rsidP="00667BF1">
            <w:pPr>
              <w:pStyle w:val="Tabletext"/>
              <w:rPr>
                <w:lang w:eastAsia="en-AU"/>
              </w:rPr>
            </w:pPr>
            <w:r w:rsidRPr="003E2DBE">
              <w:rPr>
                <w:lang w:eastAsia="en-AU"/>
              </w:rPr>
              <w:t>Interest rate, fixed maturities</w:t>
            </w:r>
          </w:p>
        </w:tc>
        <w:tc>
          <w:tcPr>
            <w:tcW w:w="260"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236"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1613" w:type="dxa"/>
            <w:tcBorders>
              <w:top w:val="single" w:sz="6" w:space="0" w:color="auto"/>
              <w:left w:val="nil"/>
              <w:bottom w:val="single" w:sz="6" w:space="0" w:color="auto"/>
              <w:right w:val="single" w:sz="6" w:space="0" w:color="auto"/>
            </w:tcBorders>
            <w:shd w:val="clear" w:color="auto" w:fill="000000"/>
          </w:tcPr>
          <w:p w:rsidR="000B4A1E" w:rsidRPr="003E2DBE" w:rsidRDefault="000B4A1E" w:rsidP="00517E51">
            <w:pPr>
              <w:pStyle w:val="Tabletextheading"/>
              <w:rPr>
                <w:rFonts w:cs="Calibri"/>
                <w:iCs/>
                <w:szCs w:val="22"/>
                <w:lang w:eastAsia="en-AU"/>
              </w:rPr>
            </w:pPr>
            <w:r w:rsidRPr="003E2DBE">
              <w:rPr>
                <w:rFonts w:cs="Calibri"/>
                <w:iCs/>
                <w:szCs w:val="22"/>
                <w:lang w:eastAsia="en-AU"/>
              </w:rPr>
              <w:t xml:space="preserve"> </w:t>
            </w:r>
          </w:p>
        </w:tc>
        <w:tc>
          <w:tcPr>
            <w:tcW w:w="1613" w:type="dxa"/>
            <w:tcBorders>
              <w:top w:val="single" w:sz="6" w:space="0" w:color="auto"/>
              <w:left w:val="single" w:sz="6" w:space="0" w:color="auto"/>
              <w:bottom w:val="single" w:sz="6" w:space="0" w:color="auto"/>
              <w:right w:val="single" w:sz="6" w:space="0" w:color="auto"/>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 xml:space="preserve"> </w:t>
            </w:r>
          </w:p>
        </w:tc>
      </w:tr>
      <w:tr w:rsidR="000B4A1E" w:rsidRPr="003E2DBE" w:rsidTr="00667BF1">
        <w:trPr>
          <w:cantSplit/>
        </w:trPr>
        <w:tc>
          <w:tcPr>
            <w:tcW w:w="1612" w:type="dxa"/>
            <w:gridSpan w:val="2"/>
            <w:tcBorders>
              <w:top w:val="single" w:sz="6" w:space="0" w:color="auto"/>
              <w:left w:val="single" w:sz="6" w:space="0" w:color="auto"/>
              <w:bottom w:val="nil"/>
              <w:right w:val="nil"/>
            </w:tcBorders>
            <w:shd w:val="solid" w:color="000000" w:fill="auto"/>
          </w:tcPr>
          <w:p w:rsidR="000B4A1E" w:rsidRPr="003E2DBE" w:rsidRDefault="000B4A1E" w:rsidP="00667BF1">
            <w:pPr>
              <w:pStyle w:val="Tabletext"/>
              <w:rPr>
                <w:lang w:eastAsia="en-AU"/>
              </w:rPr>
            </w:pPr>
            <w:r w:rsidRPr="003E2DBE">
              <w:rPr>
                <w:lang w:eastAsia="en-AU"/>
              </w:rPr>
              <w:t xml:space="preserve">2 years </w:t>
            </w:r>
          </w:p>
        </w:tc>
        <w:tc>
          <w:tcPr>
            <w:tcW w:w="1613" w:type="dxa"/>
            <w:tcBorders>
              <w:top w:val="single" w:sz="6" w:space="0" w:color="auto"/>
              <w:left w:val="nil"/>
              <w:bottom w:val="nil"/>
              <w:right w:val="nil"/>
            </w:tcBorders>
            <w:shd w:val="solid" w:color="000000" w:fill="auto"/>
          </w:tcPr>
          <w:p w:rsidR="000B4A1E" w:rsidRPr="003E2DBE" w:rsidRDefault="000B4A1E" w:rsidP="00517E51">
            <w:pPr>
              <w:pStyle w:val="Tabletextheading"/>
              <w:rPr>
                <w:lang w:eastAsia="en-AU"/>
              </w:rPr>
            </w:pPr>
            <w:r w:rsidRPr="003E2DBE">
              <w:rPr>
                <w:lang w:eastAsia="en-AU"/>
              </w:rPr>
              <w:t xml:space="preserve">3 years </w:t>
            </w:r>
          </w:p>
        </w:tc>
        <w:tc>
          <w:tcPr>
            <w:tcW w:w="1613" w:type="dxa"/>
            <w:tcBorders>
              <w:top w:val="single" w:sz="6" w:space="0" w:color="auto"/>
              <w:left w:val="nil"/>
              <w:bottom w:val="nil"/>
              <w:right w:val="nil"/>
            </w:tcBorders>
            <w:shd w:val="solid" w:color="000000" w:fill="auto"/>
          </w:tcPr>
          <w:p w:rsidR="000B4A1E" w:rsidRPr="003E2DBE" w:rsidRDefault="000B4A1E" w:rsidP="00517E51">
            <w:pPr>
              <w:pStyle w:val="Tabletextheading"/>
              <w:rPr>
                <w:lang w:eastAsia="en-AU"/>
              </w:rPr>
            </w:pPr>
            <w:r w:rsidRPr="003E2DBE">
              <w:rPr>
                <w:lang w:eastAsia="en-AU"/>
              </w:rPr>
              <w:t xml:space="preserve">4 years </w:t>
            </w:r>
          </w:p>
        </w:tc>
        <w:tc>
          <w:tcPr>
            <w:tcW w:w="1612" w:type="dxa"/>
            <w:gridSpan w:val="3"/>
            <w:tcBorders>
              <w:top w:val="single" w:sz="6" w:space="0" w:color="auto"/>
              <w:left w:val="nil"/>
              <w:bottom w:val="nil"/>
              <w:right w:val="nil"/>
            </w:tcBorders>
            <w:shd w:val="solid" w:color="000000" w:fill="auto"/>
          </w:tcPr>
          <w:p w:rsidR="000B4A1E" w:rsidRPr="003E2DBE" w:rsidRDefault="000B4A1E" w:rsidP="00517E51">
            <w:pPr>
              <w:pStyle w:val="Tabletextheading"/>
              <w:rPr>
                <w:lang w:eastAsia="en-AU"/>
              </w:rPr>
            </w:pPr>
            <w:r w:rsidRPr="003E2DBE">
              <w:rPr>
                <w:lang w:eastAsia="en-AU"/>
              </w:rPr>
              <w:t xml:space="preserve"> </w:t>
            </w:r>
          </w:p>
        </w:tc>
        <w:tc>
          <w:tcPr>
            <w:tcW w:w="1613" w:type="dxa"/>
            <w:tcBorders>
              <w:top w:val="single" w:sz="6" w:space="0" w:color="auto"/>
              <w:left w:val="nil"/>
              <w:bottom w:val="nil"/>
              <w:right w:val="nil"/>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 xml:space="preserve"> </w:t>
            </w:r>
          </w:p>
        </w:tc>
        <w:tc>
          <w:tcPr>
            <w:tcW w:w="1613" w:type="dxa"/>
            <w:tcBorders>
              <w:top w:val="single" w:sz="6" w:space="0" w:color="auto"/>
              <w:left w:val="nil"/>
              <w:bottom w:val="nil"/>
              <w:right w:val="single" w:sz="6" w:space="0" w:color="auto"/>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 xml:space="preserve"> </w:t>
            </w:r>
          </w:p>
        </w:tc>
      </w:tr>
      <w:tr w:rsidR="000B4A1E" w:rsidRPr="003E2DBE" w:rsidTr="00667BF1">
        <w:trPr>
          <w:cantSplit/>
        </w:trPr>
        <w:tc>
          <w:tcPr>
            <w:tcW w:w="1612" w:type="dxa"/>
            <w:gridSpan w:val="2"/>
            <w:tcBorders>
              <w:top w:val="nil"/>
              <w:left w:val="single" w:sz="6" w:space="0" w:color="auto"/>
              <w:bottom w:val="single" w:sz="6" w:space="0" w:color="auto"/>
              <w:right w:val="nil"/>
            </w:tcBorders>
            <w:shd w:val="solid" w:color="000000" w:fill="auto"/>
          </w:tcPr>
          <w:p w:rsidR="000B4A1E" w:rsidRPr="003E2DBE" w:rsidRDefault="000B4A1E" w:rsidP="00667BF1">
            <w:pPr>
              <w:pStyle w:val="Tabletext"/>
              <w:rPr>
                <w:lang w:eastAsia="en-AU"/>
              </w:rPr>
            </w:pPr>
            <w:r w:rsidRPr="003E2DBE">
              <w:rPr>
                <w:lang w:eastAsia="en-AU"/>
              </w:rPr>
              <w:t xml:space="preserve">but less </w:t>
            </w:r>
          </w:p>
          <w:p w:rsidR="000B4A1E" w:rsidRPr="003E2DBE" w:rsidRDefault="000B4A1E" w:rsidP="00667BF1">
            <w:pPr>
              <w:pStyle w:val="Tabletext"/>
              <w:rPr>
                <w:lang w:eastAsia="en-AU"/>
              </w:rPr>
            </w:pPr>
            <w:r w:rsidRPr="003E2DBE">
              <w:rPr>
                <w:lang w:eastAsia="en-AU"/>
              </w:rPr>
              <w:t>than 3 years</w:t>
            </w:r>
          </w:p>
        </w:tc>
        <w:tc>
          <w:tcPr>
            <w:tcW w:w="1613" w:type="dxa"/>
            <w:tcBorders>
              <w:top w:val="nil"/>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 xml:space="preserve">but less </w:t>
            </w:r>
          </w:p>
          <w:p w:rsidR="000B4A1E" w:rsidRPr="003E2DBE" w:rsidRDefault="000B4A1E" w:rsidP="00517E51">
            <w:pPr>
              <w:pStyle w:val="Tabletextheading"/>
              <w:rPr>
                <w:lang w:eastAsia="en-AU"/>
              </w:rPr>
            </w:pPr>
            <w:r w:rsidRPr="003E2DBE">
              <w:rPr>
                <w:lang w:eastAsia="en-AU"/>
              </w:rPr>
              <w:t>than 4 years</w:t>
            </w:r>
          </w:p>
        </w:tc>
        <w:tc>
          <w:tcPr>
            <w:tcW w:w="1613" w:type="dxa"/>
            <w:tcBorders>
              <w:top w:val="nil"/>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 xml:space="preserve">but less </w:t>
            </w:r>
          </w:p>
          <w:p w:rsidR="000B4A1E" w:rsidRPr="003E2DBE" w:rsidRDefault="000B4A1E" w:rsidP="00517E51">
            <w:pPr>
              <w:pStyle w:val="Tabletextheading"/>
              <w:rPr>
                <w:lang w:eastAsia="en-AU"/>
              </w:rPr>
            </w:pPr>
            <w:r w:rsidRPr="003E2DBE">
              <w:rPr>
                <w:lang w:eastAsia="en-AU"/>
              </w:rPr>
              <w:t>than 5 years</w:t>
            </w:r>
          </w:p>
        </w:tc>
        <w:tc>
          <w:tcPr>
            <w:tcW w:w="1612" w:type="dxa"/>
            <w:gridSpan w:val="3"/>
            <w:tcBorders>
              <w:top w:val="nil"/>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 xml:space="preserve">5 years </w:t>
            </w:r>
          </w:p>
          <w:p w:rsidR="000B4A1E" w:rsidRPr="003E2DBE" w:rsidRDefault="000B4A1E" w:rsidP="00517E51">
            <w:pPr>
              <w:pStyle w:val="Tabletextheading"/>
              <w:rPr>
                <w:lang w:eastAsia="en-AU"/>
              </w:rPr>
            </w:pPr>
            <w:r w:rsidRPr="003E2DBE">
              <w:rPr>
                <w:lang w:eastAsia="en-AU"/>
              </w:rPr>
              <w:t>or more</w:t>
            </w:r>
          </w:p>
        </w:tc>
        <w:tc>
          <w:tcPr>
            <w:tcW w:w="1613" w:type="dxa"/>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 xml:space="preserve">Non-interest </w:t>
            </w:r>
          </w:p>
          <w:p w:rsidR="000B4A1E" w:rsidRPr="003E2DBE" w:rsidRDefault="000B4A1E" w:rsidP="00517E51">
            <w:pPr>
              <w:pStyle w:val="Tabletextheading"/>
              <w:rPr>
                <w:rFonts w:cs="Calibri"/>
                <w:iCs/>
                <w:szCs w:val="22"/>
                <w:lang w:eastAsia="en-AU"/>
              </w:rPr>
            </w:pPr>
            <w:r w:rsidRPr="003E2DBE">
              <w:rPr>
                <w:rFonts w:cs="Calibri"/>
                <w:iCs/>
                <w:szCs w:val="22"/>
                <w:lang w:eastAsia="en-AU"/>
              </w:rPr>
              <w:t>bearing</w:t>
            </w:r>
          </w:p>
        </w:tc>
        <w:tc>
          <w:tcPr>
            <w:tcW w:w="1613" w:type="dxa"/>
            <w:tcBorders>
              <w:top w:val="nil"/>
              <w:left w:val="nil"/>
              <w:bottom w:val="single" w:sz="6" w:space="0" w:color="auto"/>
              <w:right w:val="single" w:sz="6" w:space="0" w:color="auto"/>
            </w:tcBorders>
            <w:shd w:val="solid" w:color="000000" w:fill="auto"/>
          </w:tcPr>
          <w:p w:rsidR="000B4A1E" w:rsidRPr="003E2DBE" w:rsidRDefault="000B4A1E" w:rsidP="00517E51">
            <w:pPr>
              <w:pStyle w:val="Tabletextheading"/>
              <w:rPr>
                <w:rFonts w:cs="Calibri"/>
                <w:iCs/>
                <w:szCs w:val="22"/>
                <w:lang w:eastAsia="en-AU"/>
              </w:rPr>
            </w:pPr>
          </w:p>
          <w:p w:rsidR="000B4A1E" w:rsidRPr="003E2DBE" w:rsidRDefault="000B4A1E" w:rsidP="00517E51">
            <w:pPr>
              <w:pStyle w:val="Tabletextheading"/>
              <w:rPr>
                <w:rFonts w:cs="Calibri"/>
                <w:iCs/>
                <w:szCs w:val="22"/>
                <w:lang w:eastAsia="en-AU"/>
              </w:rPr>
            </w:pPr>
            <w:r w:rsidRPr="003E2DBE">
              <w:rPr>
                <w:rFonts w:cs="Calibri"/>
                <w:iCs/>
                <w:szCs w:val="22"/>
                <w:lang w:eastAsia="en-AU"/>
              </w:rPr>
              <w:t>Total</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2" w:type="dxa"/>
            <w:gridSpan w:val="3"/>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60.7</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6 </w:t>
            </w:r>
            <w:r w:rsidRPr="003E2DBE">
              <w:rPr>
                <w:rFonts w:ascii="Calibri" w:eastAsiaTheme="minorEastAsia" w:hAnsi="Calibri" w:cs="Calibri"/>
                <w:sz w:val="22"/>
                <w:szCs w:val="22"/>
                <w:lang w:eastAsia="en-AU"/>
              </w:rPr>
              <w:t>252.9</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0.7</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61.6</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0.6</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16.6</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2 </w:t>
            </w:r>
            <w:r w:rsidRPr="003E2DBE">
              <w:rPr>
                <w:rFonts w:ascii="Calibri" w:eastAsiaTheme="minorEastAsia" w:hAnsi="Calibri" w:cs="Calibri"/>
                <w:sz w:val="22"/>
                <w:szCs w:val="22"/>
                <w:lang w:eastAsia="en-AU"/>
              </w:rPr>
              <w:t>911.2</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3 </w:t>
            </w:r>
            <w:r w:rsidRPr="003E2DBE">
              <w:rPr>
                <w:rFonts w:ascii="Calibri" w:eastAsiaTheme="minorEastAsia" w:hAnsi="Calibri" w:cs="Calibri"/>
                <w:sz w:val="22"/>
                <w:szCs w:val="22"/>
                <w:lang w:eastAsia="en-AU"/>
              </w:rPr>
              <w:t>431.4</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88.5</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89.3</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71.4</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362.7</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17.3</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 </w:t>
            </w:r>
            <w:r w:rsidRPr="003E2DBE">
              <w:rPr>
                <w:rFonts w:ascii="Calibri" w:eastAsiaTheme="minorEastAsia" w:hAnsi="Calibri" w:cs="Calibri"/>
                <w:sz w:val="22"/>
                <w:szCs w:val="22"/>
                <w:lang w:eastAsia="en-AU"/>
              </w:rPr>
              <w:t>727.3</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2.1</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4.9</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0.6</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3.9</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2.9</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 </w:t>
            </w:r>
            <w:r w:rsidRPr="003E2DBE">
              <w:rPr>
                <w:rFonts w:ascii="Calibri" w:eastAsiaTheme="minorEastAsia" w:hAnsi="Calibri" w:cs="Calibri"/>
                <w:sz w:val="22"/>
                <w:szCs w:val="22"/>
                <w:lang w:eastAsia="en-AU"/>
              </w:rPr>
              <w:t>097.2</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6.0</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8.2</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240.0</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11.4</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713.8</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1.6</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14 </w:t>
            </w:r>
            <w:r w:rsidRPr="003E2DBE">
              <w:rPr>
                <w:rFonts w:ascii="Calibri" w:eastAsiaTheme="minorEastAsia" w:hAnsi="Calibri" w:cs="Calibri"/>
                <w:sz w:val="22"/>
                <w:szCs w:val="22"/>
                <w:lang w:eastAsia="en-AU"/>
              </w:rPr>
              <w:t>553.2</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14 </w:t>
            </w:r>
            <w:r w:rsidRPr="003E2DBE">
              <w:rPr>
                <w:rFonts w:ascii="Calibri" w:eastAsiaTheme="minorEastAsia" w:hAnsi="Calibri" w:cs="Calibri"/>
                <w:sz w:val="22"/>
                <w:szCs w:val="22"/>
                <w:lang w:eastAsia="en-AU"/>
              </w:rPr>
              <w:t>972.3</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317.8</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124.3</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348.1</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541.6</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6.9</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9 </w:t>
            </w:r>
            <w:r w:rsidRPr="003E2DBE">
              <w:rPr>
                <w:rFonts w:ascii="Calibri" w:eastAsiaTheme="minorEastAsia" w:hAnsi="Calibri" w:cs="Calibri"/>
                <w:sz w:val="22"/>
                <w:szCs w:val="22"/>
                <w:lang w:eastAsia="en-AU"/>
              </w:rPr>
              <w:t>185.3</w:t>
            </w:r>
          </w:p>
        </w:tc>
      </w:tr>
      <w:tr w:rsidR="000B4A1E" w:rsidRPr="003E2DBE" w:rsidTr="00667BF1">
        <w:trPr>
          <w:cantSplit/>
        </w:trPr>
        <w:tc>
          <w:tcPr>
            <w:tcW w:w="1612" w:type="dxa"/>
            <w:gridSpan w:val="2"/>
            <w:tcBorders>
              <w:top w:val="single" w:sz="6" w:space="0" w:color="auto"/>
              <w:left w:val="nil"/>
              <w:bottom w:val="single" w:sz="6"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 415.1</w:t>
            </w:r>
          </w:p>
        </w:tc>
        <w:tc>
          <w:tcPr>
            <w:tcW w:w="161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289.9</w:t>
            </w:r>
          </w:p>
        </w:tc>
        <w:tc>
          <w:tcPr>
            <w:tcW w:w="161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420.7</w:t>
            </w:r>
          </w:p>
        </w:tc>
        <w:tc>
          <w:tcPr>
            <w:tcW w:w="1612"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2 </w:t>
            </w:r>
            <w:r w:rsidRPr="003E2DBE">
              <w:rPr>
                <w:rFonts w:eastAsiaTheme="minorEastAsia" w:cs="Calibri"/>
                <w:b/>
                <w:bCs/>
                <w:szCs w:val="22"/>
                <w:lang w:eastAsia="en-AU"/>
              </w:rPr>
              <w:t>164.8</w:t>
            </w:r>
          </w:p>
        </w:tc>
        <w:tc>
          <w:tcPr>
            <w:tcW w:w="1613" w:type="dxa"/>
            <w:tcBorders>
              <w:top w:val="single" w:sz="6" w:space="0" w:color="auto"/>
              <w:left w:val="nil"/>
              <w:bottom w:val="single" w:sz="6"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 xml:space="preserve">17 </w:t>
            </w:r>
            <w:r w:rsidRPr="003E2DBE">
              <w:rPr>
                <w:rFonts w:ascii="Calibri" w:eastAsiaTheme="minorEastAsia" w:hAnsi="Calibri" w:cs="Calibri"/>
                <w:b/>
                <w:bCs/>
                <w:sz w:val="22"/>
                <w:szCs w:val="22"/>
                <w:lang w:eastAsia="en-AU"/>
              </w:rPr>
              <w:t>563.6</w:t>
            </w:r>
          </w:p>
        </w:tc>
        <w:tc>
          <w:tcPr>
            <w:tcW w:w="1613" w:type="dxa"/>
            <w:tcBorders>
              <w:top w:val="single" w:sz="6" w:space="0" w:color="auto"/>
              <w:left w:val="nil"/>
              <w:bottom w:val="single" w:sz="6"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 xml:space="preserve">37 </w:t>
            </w:r>
            <w:r w:rsidRPr="003E2DBE">
              <w:rPr>
                <w:rFonts w:ascii="Calibri" w:eastAsiaTheme="minorEastAsia" w:hAnsi="Calibri" w:cs="Calibri"/>
                <w:b/>
                <w:bCs/>
                <w:sz w:val="22"/>
                <w:szCs w:val="22"/>
                <w:lang w:eastAsia="en-AU"/>
              </w:rPr>
              <w:t>380.0</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2" w:type="dxa"/>
            <w:gridSpan w:val="3"/>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7.7</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7.7</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7.7</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37.9</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3 </w:t>
            </w:r>
            <w:r w:rsidRPr="003E2DBE">
              <w:rPr>
                <w:rFonts w:ascii="Calibri" w:eastAsiaTheme="minorEastAsia" w:hAnsi="Calibri" w:cs="Calibri"/>
                <w:sz w:val="22"/>
                <w:szCs w:val="22"/>
                <w:lang w:eastAsia="en-AU"/>
              </w:rPr>
              <w:t>816.9</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6 </w:t>
            </w:r>
            <w:r w:rsidRPr="003E2DBE">
              <w:rPr>
                <w:rFonts w:ascii="Calibri" w:eastAsiaTheme="minorEastAsia" w:hAnsi="Calibri" w:cs="Calibri"/>
                <w:sz w:val="22"/>
                <w:szCs w:val="22"/>
                <w:lang w:eastAsia="en-AU"/>
              </w:rPr>
              <w:t>866.4</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6.7</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12.9</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Pr>
                <w:lang w:eastAsia="en-AU"/>
              </w:rPr>
              <w:t>..</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290.1</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223.1</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 </w:t>
            </w:r>
            <w:r w:rsidRPr="003E2DBE">
              <w:rPr>
                <w:rFonts w:ascii="Calibri" w:eastAsiaTheme="minorEastAsia" w:hAnsi="Calibri" w:cs="Calibri"/>
                <w:sz w:val="22"/>
                <w:szCs w:val="22"/>
                <w:lang w:eastAsia="en-AU"/>
              </w:rPr>
              <w:t>049.0</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570.8</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5 </w:t>
            </w:r>
            <w:r w:rsidRPr="003E2DBE">
              <w:rPr>
                <w:rFonts w:eastAsiaTheme="minorEastAsia" w:cs="Calibri"/>
                <w:szCs w:val="22"/>
                <w:lang w:eastAsia="en-AU"/>
              </w:rPr>
              <w:t>335.2</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29.9</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25 </w:t>
            </w:r>
            <w:r w:rsidRPr="003E2DBE">
              <w:rPr>
                <w:rFonts w:eastAsiaTheme="minorEastAsia" w:cs="Calibri"/>
                <w:szCs w:val="22"/>
                <w:lang w:eastAsia="en-AU"/>
              </w:rPr>
              <w:t>954.0</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color w:val="0000FF"/>
                <w:sz w:val="22"/>
                <w:szCs w:val="22"/>
                <w:lang w:eastAsia="en-AU"/>
              </w:rPr>
            </w:pPr>
            <w:r>
              <w:rPr>
                <w:rFonts w:ascii="Calibri" w:hAnsi="Calibri" w:cs="Calibri"/>
                <w:sz w:val="22"/>
                <w:szCs w:val="22"/>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37 </w:t>
            </w:r>
            <w:r w:rsidRPr="003E2DBE">
              <w:rPr>
                <w:rFonts w:ascii="Calibri" w:eastAsiaTheme="minorEastAsia" w:hAnsi="Calibri" w:cs="Calibri"/>
                <w:sz w:val="22"/>
                <w:szCs w:val="22"/>
                <w:lang w:eastAsia="en-AU"/>
              </w:rPr>
              <w:t>637.7</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269.8</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251.5</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355.2</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7 </w:t>
            </w:r>
            <w:r w:rsidRPr="003E2DBE">
              <w:rPr>
                <w:rFonts w:eastAsiaTheme="minorEastAsia" w:cs="Calibri"/>
                <w:szCs w:val="22"/>
                <w:lang w:eastAsia="en-AU"/>
              </w:rPr>
              <w:t>185.1</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18.4</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8 </w:t>
            </w:r>
            <w:r w:rsidRPr="003E2DBE">
              <w:rPr>
                <w:rFonts w:ascii="Calibri" w:eastAsiaTheme="minorEastAsia" w:hAnsi="Calibri" w:cs="Calibri"/>
                <w:sz w:val="22"/>
                <w:szCs w:val="22"/>
                <w:lang w:eastAsia="en-AU"/>
              </w:rPr>
              <w:t>860.4</w:t>
            </w:r>
          </w:p>
        </w:tc>
      </w:tr>
      <w:tr w:rsidR="000B4A1E" w:rsidRPr="003E2DBE" w:rsidTr="00667BF1">
        <w:trPr>
          <w:cantSplit/>
        </w:trPr>
        <w:tc>
          <w:tcPr>
            <w:tcW w:w="1612" w:type="dxa"/>
            <w:gridSpan w:val="2"/>
            <w:tcBorders>
              <w:top w:val="single" w:sz="6" w:space="0" w:color="auto"/>
              <w:left w:val="nil"/>
              <w:bottom w:val="single" w:sz="12"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1 </w:t>
            </w:r>
            <w:r w:rsidRPr="003E2DBE">
              <w:rPr>
                <w:rFonts w:eastAsiaTheme="minorEastAsia" w:cs="Calibri"/>
                <w:b/>
                <w:bCs/>
                <w:szCs w:val="22"/>
                <w:lang w:eastAsia="en-AU"/>
              </w:rPr>
              <w:t>854.9</w:t>
            </w:r>
          </w:p>
        </w:tc>
        <w:tc>
          <w:tcPr>
            <w:tcW w:w="161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5 </w:t>
            </w:r>
            <w:r w:rsidRPr="003E2DBE">
              <w:rPr>
                <w:rFonts w:eastAsiaTheme="minorEastAsia" w:cs="Calibri"/>
                <w:b/>
                <w:bCs/>
                <w:szCs w:val="22"/>
                <w:lang w:eastAsia="en-AU"/>
              </w:rPr>
              <w:t>607.2</w:t>
            </w:r>
          </w:p>
        </w:tc>
        <w:tc>
          <w:tcPr>
            <w:tcW w:w="161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392.8</w:t>
            </w:r>
          </w:p>
        </w:tc>
        <w:tc>
          <w:tcPr>
            <w:tcW w:w="1612"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33 </w:t>
            </w:r>
            <w:r w:rsidRPr="003E2DBE">
              <w:rPr>
                <w:rFonts w:eastAsiaTheme="minorEastAsia" w:cs="Calibri"/>
                <w:b/>
                <w:bCs/>
                <w:szCs w:val="22"/>
                <w:lang w:eastAsia="en-AU"/>
              </w:rPr>
              <w:t>467.0</w:t>
            </w:r>
          </w:p>
        </w:tc>
        <w:tc>
          <w:tcPr>
            <w:tcW w:w="1613"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 xml:space="preserve">4 </w:t>
            </w:r>
            <w:r w:rsidRPr="003E2DBE">
              <w:rPr>
                <w:rFonts w:ascii="Calibri" w:eastAsiaTheme="minorEastAsia" w:hAnsi="Calibri" w:cs="Calibri"/>
                <w:b/>
                <w:bCs/>
                <w:sz w:val="22"/>
                <w:szCs w:val="22"/>
                <w:lang w:eastAsia="en-AU"/>
              </w:rPr>
              <w:t>058.3</w:t>
            </w:r>
          </w:p>
        </w:tc>
        <w:tc>
          <w:tcPr>
            <w:tcW w:w="1613"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 xml:space="preserve">54 </w:t>
            </w:r>
            <w:r w:rsidRPr="003E2DBE">
              <w:rPr>
                <w:rFonts w:ascii="Calibri" w:eastAsiaTheme="minorEastAsia" w:hAnsi="Calibri" w:cs="Calibri"/>
                <w:b/>
                <w:bCs/>
                <w:sz w:val="22"/>
                <w:szCs w:val="22"/>
                <w:lang w:eastAsia="en-AU"/>
              </w:rPr>
              <w:t>413.4</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lang w:eastAsia="en-AU"/>
              </w:rPr>
            </w:pPr>
          </w:p>
        </w:tc>
        <w:tc>
          <w:tcPr>
            <w:tcW w:w="1613" w:type="dxa"/>
            <w:tcBorders>
              <w:top w:val="nil"/>
              <w:left w:val="nil"/>
              <w:bottom w:val="nil"/>
              <w:right w:val="nil"/>
            </w:tcBorders>
          </w:tcPr>
          <w:p w:rsidR="000B4A1E" w:rsidRPr="003E2DBE" w:rsidRDefault="000B4A1E" w:rsidP="00517E51">
            <w:pPr>
              <w:pStyle w:val="TableofFigures"/>
              <w:rPr>
                <w:lang w:eastAsia="en-AU"/>
              </w:rPr>
            </w:pPr>
          </w:p>
        </w:tc>
        <w:tc>
          <w:tcPr>
            <w:tcW w:w="1613" w:type="dxa"/>
            <w:tcBorders>
              <w:top w:val="nil"/>
              <w:left w:val="nil"/>
              <w:bottom w:val="nil"/>
              <w:right w:val="nil"/>
            </w:tcBorders>
          </w:tcPr>
          <w:p w:rsidR="000B4A1E" w:rsidRPr="003E2DBE" w:rsidRDefault="000B4A1E" w:rsidP="00517E51">
            <w:pPr>
              <w:pStyle w:val="TableofFigures"/>
              <w:rPr>
                <w:lang w:eastAsia="en-AU"/>
              </w:rPr>
            </w:pPr>
          </w:p>
        </w:tc>
        <w:tc>
          <w:tcPr>
            <w:tcW w:w="1612" w:type="dxa"/>
            <w:gridSpan w:val="3"/>
            <w:tcBorders>
              <w:top w:val="nil"/>
              <w:left w:val="nil"/>
              <w:bottom w:val="nil"/>
              <w:right w:val="nil"/>
            </w:tcBorders>
          </w:tcPr>
          <w:p w:rsidR="000B4A1E" w:rsidRPr="003E2DBE" w:rsidRDefault="000B4A1E" w:rsidP="00517E51">
            <w:pPr>
              <w:pStyle w:val="TableofFigures"/>
              <w:rPr>
                <w:lang w:eastAsia="en-AU"/>
              </w:rPr>
            </w:pP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hAnsi="Calibri" w:cs="Calibri"/>
                <w:sz w:val="22"/>
                <w:szCs w:val="22"/>
                <w:lang w:eastAsia="en-AU"/>
              </w:rPr>
            </w:pP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hAnsi="Calibri" w:cs="Calibri"/>
                <w:sz w:val="22"/>
                <w:szCs w:val="22"/>
                <w:lang w:eastAsia="en-AU"/>
              </w:rPr>
            </w:pPr>
          </w:p>
        </w:tc>
      </w:tr>
      <w:tr w:rsidR="000B4A1E" w:rsidRPr="003E2DBE" w:rsidTr="00667BF1">
        <w:trPr>
          <w:cantSplit/>
        </w:trPr>
        <w:tc>
          <w:tcPr>
            <w:tcW w:w="1612" w:type="dxa"/>
            <w:gridSpan w:val="2"/>
            <w:tcBorders>
              <w:top w:val="single" w:sz="6" w:space="0" w:color="auto"/>
              <w:left w:val="nil"/>
              <w:bottom w:val="nil"/>
              <w:right w:val="nil"/>
            </w:tcBorders>
            <w:shd w:val="solid" w:color="000000" w:fill="auto"/>
          </w:tcPr>
          <w:p w:rsidR="000B4A1E" w:rsidRPr="003E2DBE" w:rsidRDefault="000B4A1E" w:rsidP="00667BF1">
            <w:pPr>
              <w:pStyle w:val="Tabletext"/>
              <w:rPr>
                <w:rFonts w:eastAsiaTheme="minorEastAsia" w:cs="Calibri"/>
                <w:i/>
                <w:iCs/>
                <w:szCs w:val="22"/>
                <w:lang w:eastAsia="en-AU"/>
              </w:rPr>
            </w:pPr>
            <w:r w:rsidRPr="003E2DBE">
              <w:rPr>
                <w:lang w:eastAsia="en-AU"/>
              </w:rPr>
              <w:t xml:space="preserve">  </w:t>
            </w:r>
          </w:p>
        </w:tc>
        <w:tc>
          <w:tcPr>
            <w:tcW w:w="1613" w:type="dxa"/>
            <w:tcBorders>
              <w:top w:val="single" w:sz="6" w:space="0" w:color="auto"/>
              <w:left w:val="nil"/>
              <w:bottom w:val="nil"/>
              <w:right w:val="nil"/>
            </w:tcBorders>
            <w:shd w:val="solid" w:color="000000" w:fill="auto"/>
          </w:tcPr>
          <w:p w:rsidR="000B4A1E" w:rsidRPr="003E2DBE" w:rsidRDefault="000B4A1E" w:rsidP="00517E51">
            <w:pPr>
              <w:pStyle w:val="TableofFigures"/>
              <w:rPr>
                <w:rFonts w:eastAsiaTheme="minorEastAsia" w:cs="Calibri"/>
                <w:i/>
                <w:iCs/>
                <w:szCs w:val="22"/>
                <w:lang w:eastAsia="en-AU"/>
              </w:rPr>
            </w:pPr>
            <w:r w:rsidRPr="003E2DBE">
              <w:rPr>
                <w:lang w:eastAsia="en-AU"/>
              </w:rPr>
              <w:t xml:space="preserve">  </w:t>
            </w:r>
          </w:p>
        </w:tc>
        <w:tc>
          <w:tcPr>
            <w:tcW w:w="1613" w:type="dxa"/>
            <w:tcBorders>
              <w:top w:val="single" w:sz="6" w:space="0" w:color="auto"/>
              <w:left w:val="nil"/>
              <w:bottom w:val="nil"/>
              <w:right w:val="nil"/>
            </w:tcBorders>
            <w:shd w:val="solid" w:color="000000" w:fill="auto"/>
          </w:tcPr>
          <w:p w:rsidR="000B4A1E" w:rsidRPr="003E2DBE" w:rsidRDefault="000B4A1E" w:rsidP="00517E51">
            <w:pPr>
              <w:pStyle w:val="TableofFigures"/>
              <w:rPr>
                <w:rFonts w:eastAsiaTheme="minorEastAsia" w:cs="Calibri"/>
                <w:i/>
                <w:iCs/>
                <w:szCs w:val="22"/>
                <w:lang w:eastAsia="en-AU"/>
              </w:rPr>
            </w:pPr>
            <w:r w:rsidRPr="003E2DBE">
              <w:rPr>
                <w:lang w:eastAsia="en-AU"/>
              </w:rPr>
              <w:t xml:space="preserve">  </w:t>
            </w:r>
          </w:p>
        </w:tc>
        <w:tc>
          <w:tcPr>
            <w:tcW w:w="1612" w:type="dxa"/>
            <w:gridSpan w:val="3"/>
            <w:tcBorders>
              <w:top w:val="single" w:sz="6" w:space="0" w:color="auto"/>
              <w:left w:val="nil"/>
              <w:bottom w:val="nil"/>
              <w:right w:val="nil"/>
            </w:tcBorders>
            <w:shd w:val="solid" w:color="000000" w:fill="auto"/>
          </w:tcPr>
          <w:p w:rsidR="000B4A1E" w:rsidRPr="003E2DBE" w:rsidRDefault="000B4A1E" w:rsidP="00517E51">
            <w:pPr>
              <w:pStyle w:val="TableofFigures"/>
              <w:rPr>
                <w:rFonts w:eastAsiaTheme="minorEastAsia" w:cs="Calibri"/>
                <w:i/>
                <w:iCs/>
                <w:szCs w:val="22"/>
                <w:lang w:eastAsia="en-AU"/>
              </w:rPr>
            </w:pPr>
            <w:r w:rsidRPr="003E2DBE">
              <w:rPr>
                <w:lang w:eastAsia="en-AU"/>
              </w:rPr>
              <w:t xml:space="preserve">  </w:t>
            </w:r>
          </w:p>
        </w:tc>
        <w:tc>
          <w:tcPr>
            <w:tcW w:w="1613" w:type="dxa"/>
            <w:tcBorders>
              <w:top w:val="single" w:sz="6" w:space="0" w:color="auto"/>
              <w:left w:val="nil"/>
              <w:bottom w:val="nil"/>
              <w:right w:val="nil"/>
            </w:tcBorders>
            <w:shd w:val="solid" w:color="000000" w:fill="auto"/>
          </w:tcPr>
          <w:p w:rsidR="000B4A1E" w:rsidRPr="003E2DBE" w:rsidRDefault="000B4A1E" w:rsidP="00517E51">
            <w:pPr>
              <w:autoSpaceDE w:val="0"/>
              <w:autoSpaceDN w:val="0"/>
              <w:adjustRightInd w:val="0"/>
              <w:spacing w:after="0"/>
              <w:rPr>
                <w:rFonts w:ascii="Calibri" w:eastAsiaTheme="minorEastAsia" w:hAnsi="Calibri" w:cs="Calibri"/>
                <w:i/>
                <w:iCs/>
                <w:sz w:val="22"/>
                <w:szCs w:val="22"/>
                <w:lang w:eastAsia="en-AU"/>
              </w:rPr>
            </w:pPr>
            <w:r w:rsidRPr="003E2DBE">
              <w:rPr>
                <w:rFonts w:ascii="Calibri" w:hAnsi="Calibri" w:cs="Calibri"/>
                <w:i/>
                <w:iCs/>
                <w:sz w:val="22"/>
                <w:szCs w:val="22"/>
                <w:lang w:eastAsia="en-AU"/>
              </w:rPr>
              <w:t xml:space="preserve">  </w:t>
            </w:r>
          </w:p>
        </w:tc>
        <w:tc>
          <w:tcPr>
            <w:tcW w:w="1613" w:type="dxa"/>
            <w:tcBorders>
              <w:top w:val="single" w:sz="6" w:space="0" w:color="auto"/>
              <w:left w:val="nil"/>
              <w:bottom w:val="nil"/>
              <w:right w:val="nil"/>
            </w:tcBorders>
            <w:shd w:val="solid" w:color="000000" w:fill="auto"/>
          </w:tcPr>
          <w:p w:rsidR="000B4A1E" w:rsidRPr="003E2DBE" w:rsidRDefault="000B4A1E" w:rsidP="00517E51">
            <w:pPr>
              <w:autoSpaceDE w:val="0"/>
              <w:autoSpaceDN w:val="0"/>
              <w:adjustRightInd w:val="0"/>
              <w:spacing w:after="0"/>
              <w:rPr>
                <w:rFonts w:ascii="Calibri" w:eastAsiaTheme="minorEastAsia" w:hAnsi="Calibri" w:cs="Calibri"/>
                <w:i/>
                <w:iCs/>
                <w:sz w:val="22"/>
                <w:szCs w:val="22"/>
                <w:lang w:eastAsia="en-AU"/>
              </w:rPr>
            </w:pPr>
            <w:r w:rsidRPr="003E2DBE">
              <w:rPr>
                <w:rFonts w:ascii="Calibri" w:hAnsi="Calibri" w:cs="Calibri"/>
                <w:i/>
                <w:iCs/>
                <w:sz w:val="22"/>
                <w:szCs w:val="22"/>
                <w:lang w:eastAsia="en-AU"/>
              </w:rPr>
              <w:t xml:space="preserve"> </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eastAsiaTheme="minorEastAsia" w:hAnsi="Calibri" w:cs="Calibri"/>
                <w:sz w:val="22"/>
                <w:szCs w:val="22"/>
                <w:lang w:eastAsia="en-AU"/>
              </w:rPr>
            </w:pPr>
            <w:r w:rsidRPr="003E2DBE">
              <w:rPr>
                <w:rFonts w:ascii="Calibri" w:hAnsi="Calibri" w:cs="Calibri"/>
                <w:sz w:val="22"/>
                <w:szCs w:val="22"/>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eastAsiaTheme="minorEastAsia" w:hAnsi="Calibri" w:cs="Calibri"/>
                <w:sz w:val="22"/>
                <w:szCs w:val="22"/>
                <w:lang w:eastAsia="en-AU"/>
              </w:rPr>
            </w:pPr>
            <w:r w:rsidRPr="003E2DBE">
              <w:rPr>
                <w:rFonts w:ascii="Calibri" w:hAnsi="Calibri" w:cs="Calibri"/>
                <w:sz w:val="22"/>
                <w:szCs w:val="22"/>
                <w:lang w:eastAsia="en-AU"/>
              </w:rPr>
              <w:t xml:space="preserve">  </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r w:rsidRPr="003E2DBE">
              <w:rPr>
                <w:rFonts w:eastAsiaTheme="minorEastAsia" w:cs="Calibri"/>
                <w:szCs w:val="22"/>
                <w:lang w:eastAsia="en-AU"/>
              </w:rPr>
              <w:t>.</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r w:rsidRPr="003E2DBE">
              <w:rPr>
                <w:rFonts w:eastAsiaTheme="minorEastAsia" w:cs="Calibri"/>
                <w:szCs w:val="22"/>
                <w:lang w:eastAsia="en-AU"/>
              </w:rPr>
              <w:t>.</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r w:rsidRPr="003E2DBE">
              <w:rPr>
                <w:rFonts w:eastAsiaTheme="minorEastAsia" w:cs="Calibri"/>
                <w:szCs w:val="22"/>
                <w:lang w:eastAsia="en-AU"/>
              </w:rPr>
              <w:t>.</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r w:rsidRPr="003E2DBE">
              <w:rPr>
                <w:rFonts w:eastAsiaTheme="minorEastAsia" w:cs="Calibri"/>
                <w:szCs w:val="22"/>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672.4</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6</w:t>
            </w:r>
            <w:r w:rsidRPr="003E2DBE">
              <w:rPr>
                <w:rFonts w:ascii="Calibri" w:eastAsiaTheme="minorEastAsia" w:hAnsi="Calibri" w:cs="Calibri"/>
                <w:sz w:val="22"/>
                <w:szCs w:val="22"/>
                <w:lang w:eastAsia="en-AU"/>
              </w:rPr>
              <w:t xml:space="preserve"> 055.6</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52.8</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15.1</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2.7</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12.8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1</w:t>
            </w:r>
            <w:r w:rsidRPr="003E2DBE">
              <w:rPr>
                <w:rFonts w:ascii="Calibri" w:eastAsiaTheme="minorEastAsia" w:hAnsi="Calibri" w:cs="Calibri"/>
                <w:sz w:val="22"/>
                <w:szCs w:val="22"/>
                <w:lang w:eastAsia="en-AU"/>
              </w:rPr>
              <w:t xml:space="preserve"> 576.7</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2</w:t>
            </w:r>
            <w:r w:rsidRPr="003E2DBE">
              <w:rPr>
                <w:rFonts w:ascii="Calibri" w:eastAsiaTheme="minorEastAsia" w:hAnsi="Calibri" w:cs="Calibri"/>
                <w:sz w:val="22"/>
                <w:szCs w:val="22"/>
                <w:lang w:eastAsia="en-AU"/>
              </w:rPr>
              <w:t xml:space="preserve"> 184.8</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72.2</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71.6</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70.0</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591.7</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w:t>
            </w:r>
            <w:r w:rsidRPr="003E2DBE">
              <w:rPr>
                <w:rFonts w:ascii="Calibri" w:eastAsiaTheme="minorEastAsia" w:hAnsi="Calibri" w:cs="Calibri"/>
                <w:sz w:val="22"/>
                <w:szCs w:val="22"/>
                <w:lang w:eastAsia="en-AU"/>
              </w:rPr>
              <w:t>9.8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1</w:t>
            </w:r>
            <w:r w:rsidRPr="003E2DBE">
              <w:rPr>
                <w:rFonts w:ascii="Calibri" w:eastAsiaTheme="minorEastAsia" w:hAnsi="Calibri" w:cs="Calibri"/>
                <w:sz w:val="22"/>
                <w:szCs w:val="22"/>
                <w:lang w:eastAsia="en-AU"/>
              </w:rPr>
              <w:t xml:space="preserve"> 619.5</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9.4</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1.5</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0.7</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3.9</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w:t>
            </w:r>
            <w:r w:rsidRPr="003E2DBE">
              <w:rPr>
                <w:rFonts w:ascii="Calibri" w:eastAsiaTheme="minorEastAsia" w:hAnsi="Calibri" w:cs="Calibri"/>
                <w:sz w:val="22"/>
                <w:szCs w:val="22"/>
                <w:lang w:eastAsia="en-AU"/>
              </w:rPr>
              <w:t>1.7</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1</w:t>
            </w:r>
            <w:r w:rsidRPr="003E2DBE">
              <w:rPr>
                <w:rFonts w:ascii="Calibri" w:eastAsiaTheme="minorEastAsia" w:hAnsi="Calibri" w:cs="Calibri"/>
                <w:sz w:val="22"/>
                <w:szCs w:val="22"/>
                <w:lang w:eastAsia="en-AU"/>
              </w:rPr>
              <w:t xml:space="preserve"> 295.6</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20.5</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10.8</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10.4</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297.8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108.3</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1</w:t>
            </w:r>
            <w:r w:rsidRPr="003E2DBE">
              <w:rPr>
                <w:rFonts w:ascii="Calibri" w:eastAsiaTheme="minorEastAsia" w:hAnsi="Calibri" w:cs="Calibri"/>
                <w:sz w:val="22"/>
                <w:szCs w:val="22"/>
                <w:lang w:eastAsia="en-AU"/>
              </w:rPr>
              <w:t xml:space="preserve"> 654.7</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1.9</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1.0</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10 </w:t>
            </w:r>
            <w:r w:rsidRPr="003E2DBE">
              <w:rPr>
                <w:rFonts w:ascii="Calibri" w:eastAsiaTheme="minorEastAsia" w:hAnsi="Calibri" w:cs="Calibri"/>
                <w:sz w:val="22"/>
                <w:szCs w:val="22"/>
                <w:lang w:eastAsia="en-AU"/>
              </w:rPr>
              <w:t>683.0</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10</w:t>
            </w:r>
            <w:r w:rsidRPr="003E2DBE">
              <w:rPr>
                <w:rFonts w:ascii="Calibri" w:eastAsiaTheme="minorEastAsia" w:hAnsi="Calibri" w:cs="Calibri"/>
                <w:sz w:val="22"/>
                <w:szCs w:val="22"/>
                <w:lang w:eastAsia="en-AU"/>
              </w:rPr>
              <w:t xml:space="preserve"> 952.5</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528.2</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980.6</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184.0</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1</w:t>
            </w:r>
            <w:r w:rsidRPr="003E2DBE">
              <w:rPr>
                <w:rFonts w:eastAsiaTheme="minorEastAsia" w:cs="Calibri"/>
                <w:szCs w:val="22"/>
                <w:lang w:eastAsia="en-AU"/>
              </w:rPr>
              <w:t xml:space="preserve"> 794.8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4</w:t>
            </w:r>
            <w:r w:rsidRPr="003E2DBE">
              <w:rPr>
                <w:rFonts w:ascii="Calibri" w:eastAsiaTheme="minorEastAsia" w:hAnsi="Calibri" w:cs="Calibri"/>
                <w:sz w:val="22"/>
                <w:szCs w:val="22"/>
                <w:lang w:eastAsia="en-AU"/>
              </w:rPr>
              <w:t xml:space="preserve"> 412.1</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11</w:t>
            </w:r>
            <w:r w:rsidRPr="003E2DBE">
              <w:rPr>
                <w:rFonts w:ascii="Calibri" w:eastAsiaTheme="minorEastAsia" w:hAnsi="Calibri" w:cs="Calibri"/>
                <w:sz w:val="22"/>
                <w:szCs w:val="22"/>
                <w:lang w:eastAsia="en-AU"/>
              </w:rPr>
              <w:t xml:space="preserve"> 425.0</w:t>
            </w:r>
          </w:p>
        </w:tc>
      </w:tr>
      <w:tr w:rsidR="000B4A1E" w:rsidRPr="003E2DBE" w:rsidTr="00667BF1">
        <w:trPr>
          <w:cantSplit/>
        </w:trPr>
        <w:tc>
          <w:tcPr>
            <w:tcW w:w="1612" w:type="dxa"/>
            <w:gridSpan w:val="2"/>
            <w:tcBorders>
              <w:top w:val="single" w:sz="6" w:space="0" w:color="auto"/>
              <w:left w:val="nil"/>
              <w:bottom w:val="single" w:sz="6"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685.0</w:t>
            </w:r>
          </w:p>
        </w:tc>
        <w:tc>
          <w:tcPr>
            <w:tcW w:w="161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1</w:t>
            </w:r>
            <w:r w:rsidRPr="003E2DBE">
              <w:rPr>
                <w:rFonts w:eastAsiaTheme="minorEastAsia" w:cs="Calibri"/>
                <w:b/>
                <w:bCs/>
                <w:szCs w:val="22"/>
                <w:lang w:eastAsia="en-AU"/>
              </w:rPr>
              <w:t xml:space="preserve"> 079.7</w:t>
            </w:r>
          </w:p>
        </w:tc>
        <w:tc>
          <w:tcPr>
            <w:tcW w:w="161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268.9</w:t>
            </w:r>
          </w:p>
        </w:tc>
        <w:tc>
          <w:tcPr>
            <w:tcW w:w="1612"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2</w:t>
            </w:r>
            <w:r w:rsidRPr="003E2DBE">
              <w:rPr>
                <w:rFonts w:eastAsiaTheme="minorEastAsia" w:cs="Calibri"/>
                <w:b/>
                <w:bCs/>
                <w:szCs w:val="22"/>
                <w:lang w:eastAsia="en-AU"/>
              </w:rPr>
              <w:t xml:space="preserve"> 700.9</w:t>
            </w:r>
          </w:p>
        </w:tc>
        <w:tc>
          <w:tcPr>
            <w:tcW w:w="1613" w:type="dxa"/>
            <w:tcBorders>
              <w:top w:val="single" w:sz="6" w:space="0" w:color="auto"/>
              <w:left w:val="nil"/>
              <w:bottom w:val="single" w:sz="6"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17</w:t>
            </w:r>
            <w:r w:rsidRPr="003E2DBE">
              <w:rPr>
                <w:rFonts w:ascii="Calibri" w:eastAsiaTheme="minorEastAsia" w:hAnsi="Calibri" w:cs="Calibri"/>
                <w:b/>
                <w:bCs/>
                <w:sz w:val="22"/>
                <w:szCs w:val="22"/>
                <w:lang w:eastAsia="en-AU"/>
              </w:rPr>
              <w:t xml:space="preserve"> 464.0</w:t>
            </w:r>
          </w:p>
        </w:tc>
        <w:tc>
          <w:tcPr>
            <w:tcW w:w="1613" w:type="dxa"/>
            <w:tcBorders>
              <w:top w:val="single" w:sz="6" w:space="0" w:color="auto"/>
              <w:left w:val="nil"/>
              <w:bottom w:val="single" w:sz="6"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35</w:t>
            </w:r>
            <w:r w:rsidRPr="003E2DBE">
              <w:rPr>
                <w:rFonts w:ascii="Calibri" w:eastAsiaTheme="minorEastAsia" w:hAnsi="Calibri" w:cs="Calibri"/>
                <w:b/>
                <w:bCs/>
                <w:sz w:val="22"/>
                <w:szCs w:val="22"/>
                <w:lang w:eastAsia="en-AU"/>
              </w:rPr>
              <w:t xml:space="preserve"> 187.8</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eastAsiaTheme="minorEastAsia" w:hAnsi="Calibri" w:cs="Calibri"/>
                <w:sz w:val="22"/>
                <w:szCs w:val="22"/>
                <w:lang w:eastAsia="en-AU"/>
              </w:rPr>
            </w:pPr>
            <w:r w:rsidRPr="003E2DBE">
              <w:rPr>
                <w:rFonts w:ascii="Calibri" w:hAnsi="Calibri" w:cs="Calibri"/>
                <w:sz w:val="22"/>
                <w:szCs w:val="22"/>
                <w:lang w:eastAsia="en-AU"/>
              </w:rPr>
              <w:t xml:space="preserve">  </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28.4</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22.7</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26.8</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160.6</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2 </w:t>
            </w:r>
            <w:r w:rsidRPr="003E2DBE">
              <w:rPr>
                <w:rFonts w:ascii="Calibri" w:eastAsiaTheme="minorEastAsia" w:hAnsi="Calibri" w:cs="Calibri"/>
                <w:sz w:val="22"/>
                <w:szCs w:val="22"/>
                <w:lang w:eastAsia="en-AU"/>
              </w:rPr>
              <w:t>267.0</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3</w:t>
            </w:r>
            <w:r w:rsidRPr="003E2DBE">
              <w:rPr>
                <w:rFonts w:ascii="Calibri" w:eastAsiaTheme="minorEastAsia" w:hAnsi="Calibri" w:cs="Calibri"/>
                <w:sz w:val="22"/>
                <w:szCs w:val="22"/>
                <w:lang w:eastAsia="en-AU"/>
              </w:rPr>
              <w:t xml:space="preserve"> 826.2</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30.8</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11.6</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13.9</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370.5</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w:t>
            </w:r>
            <w:r w:rsidRPr="003E2DBE">
              <w:rPr>
                <w:rFonts w:ascii="Calibri" w:eastAsiaTheme="minorEastAsia" w:hAnsi="Calibri" w:cs="Calibri"/>
                <w:sz w:val="22"/>
                <w:szCs w:val="22"/>
                <w:lang w:eastAsia="en-AU"/>
              </w:rPr>
              <w:t>31.3</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1</w:t>
            </w:r>
            <w:r w:rsidRPr="003E2DBE">
              <w:rPr>
                <w:rFonts w:ascii="Calibri" w:eastAsiaTheme="minorEastAsia" w:hAnsi="Calibri" w:cs="Calibri"/>
                <w:sz w:val="22"/>
                <w:szCs w:val="22"/>
                <w:lang w:eastAsia="en-AU"/>
              </w:rPr>
              <w:t xml:space="preserve"> 620.7</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4</w:t>
            </w:r>
            <w:r w:rsidRPr="003E2DBE">
              <w:rPr>
                <w:rFonts w:eastAsiaTheme="minorEastAsia" w:cs="Calibri"/>
                <w:szCs w:val="22"/>
                <w:lang w:eastAsia="en-AU"/>
              </w:rPr>
              <w:t xml:space="preserve"> 404.8</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145.3</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4</w:t>
            </w:r>
            <w:r w:rsidRPr="003E2DBE">
              <w:rPr>
                <w:rFonts w:eastAsiaTheme="minorEastAsia" w:cs="Calibri"/>
                <w:szCs w:val="22"/>
                <w:lang w:eastAsia="en-AU"/>
              </w:rPr>
              <w:t xml:space="preserve"> 502.9</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21 </w:t>
            </w:r>
            <w:r w:rsidRPr="003E2DBE">
              <w:rPr>
                <w:rFonts w:eastAsiaTheme="minorEastAsia" w:cs="Calibri"/>
                <w:szCs w:val="22"/>
                <w:lang w:eastAsia="en-AU"/>
              </w:rPr>
              <w:t>208.8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w:t>
            </w:r>
            <w:r w:rsidRPr="003E2DBE">
              <w:rPr>
                <w:rFonts w:ascii="Calibri" w:eastAsiaTheme="minorEastAsia" w:hAnsi="Calibri" w:cs="Calibri"/>
                <w:sz w:val="22"/>
                <w:szCs w:val="22"/>
                <w:lang w:eastAsia="en-AU"/>
              </w:rPr>
              <w:t>589.2</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35</w:t>
            </w:r>
            <w:r w:rsidRPr="003E2DBE">
              <w:rPr>
                <w:rFonts w:ascii="Calibri" w:eastAsiaTheme="minorEastAsia" w:hAnsi="Calibri" w:cs="Calibri"/>
                <w:sz w:val="22"/>
                <w:szCs w:val="22"/>
                <w:lang w:eastAsia="en-AU"/>
              </w:rPr>
              <w:t xml:space="preserve"> 676.6</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99.5</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102.4</w:t>
            </w:r>
          </w:p>
        </w:tc>
        <w:tc>
          <w:tcPr>
            <w:tcW w:w="161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w:t>
            </w:r>
            <w:r w:rsidRPr="003E2DBE">
              <w:rPr>
                <w:rFonts w:eastAsiaTheme="minorEastAsia" w:cs="Calibri"/>
                <w:szCs w:val="22"/>
                <w:lang w:eastAsia="en-AU"/>
              </w:rPr>
              <w:t>402.3</w:t>
            </w:r>
          </w:p>
        </w:tc>
        <w:tc>
          <w:tcPr>
            <w:tcW w:w="1612" w:type="dxa"/>
            <w:gridSpan w:val="3"/>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2</w:t>
            </w:r>
            <w:r w:rsidRPr="003E2DBE">
              <w:rPr>
                <w:rFonts w:eastAsiaTheme="minorEastAsia" w:cs="Calibri"/>
                <w:szCs w:val="22"/>
                <w:lang w:eastAsia="en-AU"/>
              </w:rPr>
              <w:t xml:space="preserve"> 636.6</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w:t>
            </w:r>
            <w:r w:rsidRPr="003E2DBE">
              <w:rPr>
                <w:rFonts w:ascii="Calibri" w:eastAsiaTheme="minorEastAsia" w:hAnsi="Calibri" w:cs="Calibri"/>
                <w:sz w:val="22"/>
                <w:szCs w:val="22"/>
                <w:lang w:eastAsia="en-AU"/>
              </w:rPr>
              <w:t>0.8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3</w:t>
            </w:r>
            <w:r w:rsidRPr="003E2DBE">
              <w:rPr>
                <w:rFonts w:ascii="Calibri" w:eastAsiaTheme="minorEastAsia" w:hAnsi="Calibri" w:cs="Calibri"/>
                <w:sz w:val="22"/>
                <w:szCs w:val="22"/>
                <w:lang w:eastAsia="en-AU"/>
              </w:rPr>
              <w:t xml:space="preserve"> 511.2</w:t>
            </w:r>
          </w:p>
        </w:tc>
      </w:tr>
      <w:tr w:rsidR="000B4A1E" w:rsidRPr="003E2DBE" w:rsidTr="00667BF1">
        <w:trPr>
          <w:cantSplit/>
        </w:trPr>
        <w:tc>
          <w:tcPr>
            <w:tcW w:w="1612" w:type="dxa"/>
            <w:gridSpan w:val="2"/>
            <w:tcBorders>
              <w:top w:val="single" w:sz="6" w:space="0" w:color="auto"/>
              <w:left w:val="nil"/>
              <w:bottom w:val="single" w:sz="12"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4</w:t>
            </w:r>
            <w:r w:rsidRPr="003E2DBE">
              <w:rPr>
                <w:rFonts w:eastAsiaTheme="minorEastAsia" w:cs="Calibri"/>
                <w:b/>
                <w:bCs/>
                <w:szCs w:val="22"/>
                <w:lang w:eastAsia="en-AU"/>
              </w:rPr>
              <w:t xml:space="preserve"> 563.5</w:t>
            </w:r>
          </w:p>
        </w:tc>
        <w:tc>
          <w:tcPr>
            <w:tcW w:w="161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w:t>
            </w:r>
            <w:r w:rsidRPr="003E2DBE">
              <w:rPr>
                <w:rFonts w:eastAsiaTheme="minorEastAsia" w:cs="Calibri"/>
                <w:b/>
                <w:bCs/>
                <w:szCs w:val="22"/>
                <w:lang w:eastAsia="en-AU"/>
              </w:rPr>
              <w:t>282.0</w:t>
            </w:r>
          </w:p>
        </w:tc>
        <w:tc>
          <w:tcPr>
            <w:tcW w:w="161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4 </w:t>
            </w:r>
            <w:r w:rsidRPr="003E2DBE">
              <w:rPr>
                <w:rFonts w:eastAsiaTheme="minorEastAsia" w:cs="Calibri"/>
                <w:b/>
                <w:bCs/>
                <w:szCs w:val="22"/>
                <w:lang w:eastAsia="en-AU"/>
              </w:rPr>
              <w:t>945.9</w:t>
            </w:r>
          </w:p>
        </w:tc>
        <w:tc>
          <w:tcPr>
            <w:tcW w:w="1612"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24</w:t>
            </w:r>
            <w:r w:rsidRPr="003E2DBE">
              <w:rPr>
                <w:rFonts w:eastAsiaTheme="minorEastAsia" w:cs="Calibri"/>
                <w:b/>
                <w:bCs/>
                <w:szCs w:val="22"/>
                <w:lang w:eastAsia="en-AU"/>
              </w:rPr>
              <w:t xml:space="preserve"> 376.5</w:t>
            </w:r>
          </w:p>
        </w:tc>
        <w:tc>
          <w:tcPr>
            <w:tcW w:w="1613"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2</w:t>
            </w:r>
            <w:r w:rsidRPr="003E2DBE">
              <w:rPr>
                <w:rFonts w:ascii="Calibri" w:eastAsiaTheme="minorEastAsia" w:hAnsi="Calibri" w:cs="Calibri"/>
                <w:b/>
                <w:bCs/>
                <w:sz w:val="22"/>
                <w:szCs w:val="22"/>
                <w:lang w:eastAsia="en-AU"/>
              </w:rPr>
              <w:t xml:space="preserve"> 888.4</w:t>
            </w:r>
          </w:p>
        </w:tc>
        <w:tc>
          <w:tcPr>
            <w:tcW w:w="1613"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44</w:t>
            </w:r>
            <w:r w:rsidRPr="003E2DBE">
              <w:rPr>
                <w:rFonts w:ascii="Calibri" w:eastAsiaTheme="minorEastAsia" w:hAnsi="Calibri" w:cs="Calibri"/>
                <w:b/>
                <w:bCs/>
                <w:sz w:val="22"/>
                <w:szCs w:val="22"/>
                <w:lang w:eastAsia="en-AU"/>
              </w:rPr>
              <w:t xml:space="preserve"> 634.6</w:t>
            </w:r>
          </w:p>
        </w:tc>
      </w:tr>
    </w:tbl>
    <w:p w:rsidR="000B4A1E" w:rsidRPr="00D00665" w:rsidRDefault="000B4A1E" w:rsidP="00517E51">
      <w:pPr>
        <w:pStyle w:val="million"/>
      </w:pPr>
    </w:p>
    <w:p w:rsidR="000B4A1E" w:rsidRPr="00D00665" w:rsidRDefault="000B4A1E" w:rsidP="00517E51">
      <w:pPr>
        <w:pStyle w:val="Heading2NotesContd"/>
      </w:pPr>
      <w:r w:rsidRPr="00D00665">
        <w:br w:type="page"/>
      </w:r>
      <w:r w:rsidRPr="00D00665">
        <w:lastRenderedPageBreak/>
        <w:t>Note 32:</w:t>
      </w:r>
      <w:r w:rsidRPr="00D00665">
        <w:tab/>
        <w:t xml:space="preserve">Financial instruments </w:t>
      </w:r>
      <w:r w:rsidRPr="00D00665">
        <w:rPr>
          <w:i/>
        </w:rPr>
        <w:t>(continued)</w:t>
      </w:r>
    </w:p>
    <w:p w:rsidR="000B4A1E" w:rsidRPr="003E2DBE" w:rsidRDefault="000B4A1E" w:rsidP="00517E51">
      <w:pPr>
        <w:pStyle w:val="million"/>
        <w:rPr>
          <w:rFonts w:ascii="Times New Roman" w:hAnsi="Times New Roman"/>
          <w:i w:val="0"/>
          <w:szCs w:val="20"/>
          <w:lang w:eastAsia="en-AU"/>
        </w:rPr>
      </w:pPr>
      <w:r w:rsidRPr="00D00665">
        <w:t xml:space="preserve"> ($</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954"/>
        <w:gridCol w:w="1260"/>
        <w:gridCol w:w="1170"/>
        <w:gridCol w:w="1264"/>
      </w:tblGrid>
      <w:tr w:rsidR="000B4A1E" w:rsidRPr="003E2DBE" w:rsidTr="00517E51">
        <w:tc>
          <w:tcPr>
            <w:tcW w:w="5954" w:type="dxa"/>
            <w:tcBorders>
              <w:top w:val="single" w:sz="6" w:space="0" w:color="auto"/>
              <w:left w:val="single" w:sz="6" w:space="0" w:color="auto"/>
              <w:bottom w:val="nil"/>
              <w:right w:val="nil"/>
            </w:tcBorders>
            <w:shd w:val="clear" w:color="auto" w:fill="000000"/>
          </w:tcPr>
          <w:p w:rsidR="000B4A1E" w:rsidRPr="003E2DBE" w:rsidRDefault="000B4A1E" w:rsidP="00517E51">
            <w:pPr>
              <w:pStyle w:val="TabletextheadingLeft"/>
              <w:rPr>
                <w:lang w:eastAsia="en-AU"/>
              </w:rPr>
            </w:pPr>
            <w:r w:rsidRPr="003E2DBE">
              <w:rPr>
                <w:lang w:eastAsia="en-AU"/>
              </w:rPr>
              <w:t xml:space="preserve"> </w:t>
            </w:r>
          </w:p>
        </w:tc>
        <w:tc>
          <w:tcPr>
            <w:tcW w:w="1260" w:type="dxa"/>
            <w:tcBorders>
              <w:top w:val="single" w:sz="6" w:space="0" w:color="auto"/>
              <w:left w:val="nil"/>
              <w:bottom w:val="nil"/>
              <w:right w:val="nil"/>
            </w:tcBorders>
            <w:shd w:val="clear" w:color="auto" w:fill="000000"/>
          </w:tcPr>
          <w:p w:rsidR="000B4A1E" w:rsidRPr="003E2DBE" w:rsidRDefault="000B4A1E" w:rsidP="00517E51">
            <w:pPr>
              <w:pStyle w:val="Tabletextheading"/>
              <w:rPr>
                <w:lang w:eastAsia="en-AU"/>
              </w:rPr>
            </w:pPr>
            <w:r w:rsidRPr="003E2DBE">
              <w:rPr>
                <w:lang w:eastAsia="en-AU"/>
              </w:rPr>
              <w:t xml:space="preserve"> </w:t>
            </w:r>
          </w:p>
        </w:tc>
        <w:tc>
          <w:tcPr>
            <w:tcW w:w="1170" w:type="dxa"/>
            <w:tcBorders>
              <w:top w:val="single" w:sz="6" w:space="0" w:color="auto"/>
              <w:left w:val="nil"/>
              <w:bottom w:val="nil"/>
              <w:right w:val="nil"/>
            </w:tcBorders>
            <w:shd w:val="clear" w:color="auto" w:fill="000000"/>
          </w:tcPr>
          <w:p w:rsidR="000B4A1E" w:rsidRPr="003E2DBE" w:rsidRDefault="000B4A1E" w:rsidP="00517E51">
            <w:pPr>
              <w:pStyle w:val="Tabletextheading"/>
              <w:rPr>
                <w:lang w:eastAsia="en-AU"/>
              </w:rPr>
            </w:pPr>
            <w:r w:rsidRPr="003E2DBE">
              <w:rPr>
                <w:lang w:eastAsia="en-AU"/>
              </w:rPr>
              <w:t xml:space="preserve"> </w:t>
            </w:r>
          </w:p>
        </w:tc>
        <w:tc>
          <w:tcPr>
            <w:tcW w:w="1264" w:type="dxa"/>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
              <w:rPr>
                <w:lang w:eastAsia="en-AU"/>
              </w:rPr>
            </w:pPr>
            <w:r w:rsidRPr="003E2DBE">
              <w:rPr>
                <w:lang w:eastAsia="en-AU"/>
              </w:rPr>
              <w:t xml:space="preserve">  </w:t>
            </w:r>
          </w:p>
        </w:tc>
      </w:tr>
      <w:tr w:rsidR="000B4A1E" w:rsidRPr="003E2DBE" w:rsidTr="00517E51">
        <w:tc>
          <w:tcPr>
            <w:tcW w:w="5954" w:type="dxa"/>
            <w:tcBorders>
              <w:top w:val="single" w:sz="6" w:space="0" w:color="auto"/>
              <w:left w:val="single" w:sz="6" w:space="0" w:color="auto"/>
              <w:bottom w:val="single" w:sz="6" w:space="0" w:color="auto"/>
              <w:right w:val="nil"/>
            </w:tcBorders>
            <w:shd w:val="clear" w:color="auto" w:fill="000000"/>
          </w:tcPr>
          <w:p w:rsidR="000B4A1E" w:rsidRPr="003E2DBE" w:rsidRDefault="000B4A1E" w:rsidP="00517E51">
            <w:pPr>
              <w:pStyle w:val="TabletextheadingLeft"/>
              <w:rPr>
                <w:lang w:eastAsia="en-AU"/>
              </w:rPr>
            </w:pPr>
            <w:r w:rsidRPr="003E2DBE">
              <w:rPr>
                <w:lang w:eastAsia="en-AU"/>
              </w:rPr>
              <w:t xml:space="preserve"> </w:t>
            </w:r>
          </w:p>
        </w:tc>
        <w:tc>
          <w:tcPr>
            <w:tcW w:w="1260" w:type="dxa"/>
            <w:tcBorders>
              <w:top w:val="nil"/>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 xml:space="preserve"> </w:t>
            </w:r>
          </w:p>
        </w:tc>
        <w:tc>
          <w:tcPr>
            <w:tcW w:w="1170" w:type="dxa"/>
            <w:tcBorders>
              <w:top w:val="nil"/>
              <w:left w:val="nil"/>
              <w:bottom w:val="single" w:sz="6" w:space="0" w:color="auto"/>
              <w:right w:val="nil"/>
            </w:tcBorders>
            <w:shd w:val="clear" w:color="auto" w:fill="000000"/>
          </w:tcPr>
          <w:p w:rsidR="000B4A1E" w:rsidRPr="003E2DBE" w:rsidRDefault="000B4A1E" w:rsidP="00517E51">
            <w:pPr>
              <w:pStyle w:val="Tabletextheading"/>
              <w:rPr>
                <w:lang w:eastAsia="en-AU"/>
              </w:rPr>
            </w:pPr>
            <w:r w:rsidRPr="003E2DBE">
              <w:rPr>
                <w:lang w:eastAsia="en-AU"/>
              </w:rPr>
              <w:t xml:space="preserve">  </w:t>
            </w:r>
          </w:p>
        </w:tc>
        <w:tc>
          <w:tcPr>
            <w:tcW w:w="1264" w:type="dxa"/>
            <w:tcBorders>
              <w:top w:val="single" w:sz="6" w:space="0" w:color="auto"/>
              <w:left w:val="nil"/>
              <w:bottom w:val="single" w:sz="6" w:space="0" w:color="auto"/>
              <w:right w:val="single" w:sz="6" w:space="0" w:color="auto"/>
            </w:tcBorders>
            <w:shd w:val="clear" w:color="auto" w:fill="000000"/>
          </w:tcPr>
          <w:p w:rsidR="000B4A1E" w:rsidRPr="003E2DBE" w:rsidRDefault="000B4A1E" w:rsidP="00517E51">
            <w:pPr>
              <w:pStyle w:val="Tabletextheading"/>
              <w:rPr>
                <w:lang w:eastAsia="en-AU"/>
              </w:rPr>
            </w:pPr>
            <w:r w:rsidRPr="003E2DBE">
              <w:rPr>
                <w:lang w:eastAsia="en-AU"/>
              </w:rPr>
              <w:t xml:space="preserve"> 1 year </w:t>
            </w:r>
          </w:p>
        </w:tc>
      </w:tr>
      <w:tr w:rsidR="000B4A1E" w:rsidRPr="003E2DBE" w:rsidTr="00517E51">
        <w:tc>
          <w:tcPr>
            <w:tcW w:w="5954"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headingLeft"/>
              <w:rPr>
                <w:lang w:eastAsia="en-AU"/>
              </w:rPr>
            </w:pPr>
            <w:r w:rsidRPr="003E2DBE">
              <w:rPr>
                <w:lang w:eastAsia="en-AU"/>
              </w:rPr>
              <w:t>General government sector</w:t>
            </w:r>
          </w:p>
          <w:p w:rsidR="000B4A1E" w:rsidRPr="003E2DBE" w:rsidRDefault="000B4A1E" w:rsidP="00517E51">
            <w:pPr>
              <w:pStyle w:val="TabletextheadingLeft"/>
              <w:rPr>
                <w:lang w:eastAsia="en-AU"/>
              </w:rPr>
            </w:pPr>
            <w:r w:rsidRPr="003E2DBE">
              <w:rPr>
                <w:lang w:eastAsia="en-AU"/>
              </w:rPr>
              <w:t>2013</w:t>
            </w:r>
          </w:p>
        </w:tc>
        <w:tc>
          <w:tcPr>
            <w:tcW w:w="1260"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p>
          <w:p w:rsidR="000B4A1E" w:rsidRPr="003E2DBE" w:rsidRDefault="000B4A1E" w:rsidP="00517E51">
            <w:pPr>
              <w:pStyle w:val="Tabletextheading"/>
              <w:rPr>
                <w:lang w:eastAsia="en-AU"/>
              </w:rPr>
            </w:pPr>
            <w:r w:rsidRPr="003E2DBE">
              <w:rPr>
                <w:lang w:eastAsia="en-AU"/>
              </w:rPr>
              <w:t>Floating</w:t>
            </w:r>
          </w:p>
        </w:tc>
        <w:tc>
          <w:tcPr>
            <w:tcW w:w="1170"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lang w:eastAsia="en-AU"/>
              </w:rPr>
            </w:pPr>
            <w:r w:rsidRPr="003E2DBE">
              <w:rPr>
                <w:lang w:eastAsia="en-AU"/>
              </w:rPr>
              <w:t xml:space="preserve">Less than </w:t>
            </w:r>
          </w:p>
          <w:p w:rsidR="000B4A1E" w:rsidRPr="003E2DBE" w:rsidRDefault="000B4A1E" w:rsidP="00517E51">
            <w:pPr>
              <w:pStyle w:val="Tabletextheading"/>
              <w:rPr>
                <w:lang w:eastAsia="en-AU"/>
              </w:rPr>
            </w:pPr>
            <w:r w:rsidRPr="003E2DBE">
              <w:rPr>
                <w:lang w:eastAsia="en-AU"/>
              </w:rPr>
              <w:t>1 year</w:t>
            </w:r>
          </w:p>
        </w:tc>
        <w:tc>
          <w:tcPr>
            <w:tcW w:w="1264"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lang w:eastAsia="en-AU"/>
              </w:rPr>
            </w:pPr>
            <w:r w:rsidRPr="003E2DBE">
              <w:rPr>
                <w:lang w:eastAsia="en-AU"/>
              </w:rPr>
              <w:t xml:space="preserve">but less </w:t>
            </w:r>
          </w:p>
          <w:p w:rsidR="000B4A1E" w:rsidRPr="003E2DBE" w:rsidRDefault="000B4A1E" w:rsidP="00517E51">
            <w:pPr>
              <w:pStyle w:val="Tabletextheading"/>
              <w:rPr>
                <w:lang w:eastAsia="en-AU"/>
              </w:rPr>
            </w:pPr>
            <w:r w:rsidRPr="003E2DBE">
              <w:rPr>
                <w:lang w:eastAsia="en-AU"/>
              </w:rPr>
              <w:t>than 2 years</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b/>
                <w:lang w:eastAsia="en-AU"/>
              </w:rPr>
            </w:pPr>
            <w:r w:rsidRPr="003E2DBE">
              <w:rPr>
                <w:b/>
                <w:lang w:eastAsia="en-AU"/>
              </w:rPr>
              <w:t>Financial assets</w:t>
            </w:r>
          </w:p>
        </w:tc>
        <w:tc>
          <w:tcPr>
            <w:tcW w:w="1260" w:type="dxa"/>
            <w:tcBorders>
              <w:top w:val="nil"/>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Cash and deposits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 </w:t>
            </w:r>
            <w:r w:rsidRPr="003E2DBE">
              <w:rPr>
                <w:rFonts w:eastAsiaTheme="minorEastAsia" w:cs="Calibri"/>
                <w:szCs w:val="22"/>
                <w:lang w:eastAsia="en-AU"/>
              </w:rPr>
              <w:t>314.1</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555.7</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2.2</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Receivables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33.5</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349.7</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56.5</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Advances</w:t>
            </w:r>
            <w:r w:rsidRPr="003E2DBE">
              <w:rPr>
                <w:rFonts w:eastAsiaTheme="minorEastAsia" w:cs="Calibri"/>
                <w:szCs w:val="22"/>
                <w:lang w:eastAsia="en-AU"/>
              </w:rPr>
              <w:t xml:space="preserve"> paid</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4.1</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491.8</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443.4</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Term</w:t>
            </w:r>
            <w:r w:rsidRPr="003E2DBE">
              <w:rPr>
                <w:rFonts w:eastAsiaTheme="minorEastAsia" w:cs="Calibri"/>
                <w:szCs w:val="22"/>
                <w:lang w:eastAsia="en-AU"/>
              </w:rPr>
              <w:t xml:space="preserve"> deposits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206.4</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 </w:t>
            </w:r>
            <w:r w:rsidRPr="003E2DBE">
              <w:rPr>
                <w:rFonts w:eastAsiaTheme="minorEastAsia" w:cs="Calibri"/>
                <w:szCs w:val="22"/>
                <w:lang w:eastAsia="en-AU"/>
              </w:rPr>
              <w:t>369.7</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69.3</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 xml:space="preserve">Derivative </w:t>
            </w:r>
            <w:r w:rsidRPr="003E2DBE">
              <w:rPr>
                <w:rFonts w:eastAsiaTheme="minorEastAsia" w:cs="Calibri"/>
                <w:szCs w:val="22"/>
                <w:lang w:eastAsia="en-AU"/>
              </w:rPr>
              <w:t>financial instruments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Equities</w:t>
            </w:r>
            <w:r w:rsidRPr="003E2DBE">
              <w:rPr>
                <w:rFonts w:eastAsiaTheme="minorEastAsia" w:cs="Calibri"/>
                <w:szCs w:val="22"/>
                <w:lang w:eastAsia="en-AU"/>
              </w:rPr>
              <w:t xml:space="preserve"> and managed investment schemes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194.5</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199.1</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18.1</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Debt</w:t>
            </w:r>
            <w:r w:rsidRPr="003E2DBE">
              <w:rPr>
                <w:rFonts w:eastAsiaTheme="minorEastAsia" w:cs="Calibri"/>
                <w:szCs w:val="22"/>
                <w:lang w:eastAsia="en-AU"/>
              </w:rPr>
              <w:t xml:space="preserve"> securities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27.6</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1.2</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2.1</w:t>
            </w:r>
          </w:p>
        </w:tc>
      </w:tr>
      <w:tr w:rsidR="000B4A1E" w:rsidRPr="003E2DBE" w:rsidTr="00517E51">
        <w:tc>
          <w:tcPr>
            <w:tcW w:w="595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b/>
                <w:lang w:eastAsia="en-AU"/>
              </w:rPr>
              <w:t>Total</w:t>
            </w:r>
            <w:r w:rsidRPr="003E2DBE">
              <w:rPr>
                <w:rFonts w:eastAsiaTheme="minorEastAsia" w:cs="Calibri"/>
                <w:b/>
                <w:bCs/>
                <w:szCs w:val="22"/>
                <w:lang w:eastAsia="en-AU"/>
              </w:rPr>
              <w:t xml:space="preserve"> financial assets</w:t>
            </w:r>
          </w:p>
        </w:tc>
        <w:tc>
          <w:tcPr>
            <w:tcW w:w="126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 </w:t>
            </w:r>
            <w:r w:rsidRPr="003E2DBE">
              <w:rPr>
                <w:rFonts w:eastAsiaTheme="minorEastAsia" w:cs="Calibri"/>
                <w:b/>
                <w:bCs/>
                <w:szCs w:val="22"/>
                <w:lang w:eastAsia="en-AU"/>
              </w:rPr>
              <w:t>780.2</w:t>
            </w:r>
          </w:p>
        </w:tc>
        <w:tc>
          <w:tcPr>
            <w:tcW w:w="117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3 </w:t>
            </w:r>
            <w:r w:rsidRPr="003E2DBE">
              <w:rPr>
                <w:rFonts w:eastAsiaTheme="minorEastAsia" w:cs="Calibri"/>
                <w:b/>
                <w:bCs/>
                <w:szCs w:val="22"/>
                <w:lang w:eastAsia="en-AU"/>
              </w:rPr>
              <w:t>967.2</w:t>
            </w:r>
          </w:p>
        </w:tc>
        <w:tc>
          <w:tcPr>
            <w:tcW w:w="1264"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591.6</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b/>
                <w:lang w:eastAsia="en-AU"/>
              </w:rPr>
            </w:pPr>
            <w:r w:rsidRPr="003E2DBE">
              <w:rPr>
                <w:b/>
                <w:lang w:eastAsia="en-AU"/>
              </w:rPr>
              <w:t>Financial liabilities</w:t>
            </w:r>
          </w:p>
        </w:tc>
        <w:tc>
          <w:tcPr>
            <w:tcW w:w="1260" w:type="dxa"/>
            <w:tcBorders>
              <w:top w:val="nil"/>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Payables</w:t>
            </w:r>
            <w:r w:rsidRPr="003E2DBE">
              <w:rPr>
                <w:rFonts w:eastAsiaTheme="minorEastAsia" w:cs="Calibri"/>
                <w:szCs w:val="22"/>
                <w:lang w:eastAsia="en-AU"/>
              </w:rPr>
              <w:t xml:space="preserve"> and advances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610.6</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400.0</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25.2</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Derivative</w:t>
            </w:r>
            <w:r w:rsidRPr="003E2DBE">
              <w:rPr>
                <w:rFonts w:eastAsiaTheme="minorEastAsia" w:cs="Calibri"/>
                <w:szCs w:val="22"/>
                <w:lang w:eastAsia="en-AU"/>
              </w:rPr>
              <w:t xml:space="preserve"> financial instruments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Interest-bearing</w:t>
            </w:r>
            <w:r w:rsidRPr="003E2DBE">
              <w:rPr>
                <w:rFonts w:eastAsiaTheme="minorEastAsia" w:cs="Calibri"/>
                <w:szCs w:val="22"/>
                <w:lang w:eastAsia="en-AU"/>
              </w:rPr>
              <w:t xml:space="preserve"> liabilities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9.4</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746.1</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028.7</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 xml:space="preserve">Finance lease </w:t>
            </w:r>
            <w:r w:rsidRPr="003E2DBE">
              <w:rPr>
                <w:rFonts w:eastAsiaTheme="minorEastAsia" w:cs="Calibri"/>
                <w:szCs w:val="22"/>
                <w:lang w:eastAsia="en-AU"/>
              </w:rPr>
              <w:t>liabilities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379.9</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174.4</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91.5</w:t>
            </w:r>
          </w:p>
        </w:tc>
      </w:tr>
      <w:tr w:rsidR="000B4A1E" w:rsidRPr="0061604B" w:rsidTr="00517E51">
        <w:tc>
          <w:tcPr>
            <w:tcW w:w="595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b/>
                <w:lang w:eastAsia="en-AU"/>
              </w:rPr>
              <w:t>Total</w:t>
            </w:r>
            <w:r w:rsidRPr="003E2DBE">
              <w:rPr>
                <w:rFonts w:eastAsiaTheme="minorEastAsia" w:cs="Calibri"/>
                <w:b/>
                <w:bCs/>
                <w:szCs w:val="22"/>
                <w:lang w:eastAsia="en-AU"/>
              </w:rPr>
              <w:t xml:space="preserve"> financial liabilities</w:t>
            </w:r>
          </w:p>
        </w:tc>
        <w:tc>
          <w:tcPr>
            <w:tcW w:w="1260" w:type="dxa"/>
            <w:tcBorders>
              <w:top w:val="single" w:sz="6" w:space="0" w:color="auto"/>
              <w:left w:val="nil"/>
              <w:bottom w:val="single" w:sz="12" w:space="0" w:color="auto"/>
              <w:right w:val="nil"/>
            </w:tcBorders>
          </w:tcPr>
          <w:p w:rsidR="000B4A1E" w:rsidRPr="0061604B" w:rsidRDefault="000B4A1E" w:rsidP="00517E51">
            <w:pPr>
              <w:pStyle w:val="TableofFigures"/>
              <w:rPr>
                <w:rFonts w:eastAsiaTheme="minorEastAsia" w:cs="Calibri"/>
                <w:b/>
                <w:szCs w:val="22"/>
                <w:lang w:eastAsia="en-AU"/>
              </w:rPr>
            </w:pPr>
            <w:r w:rsidRPr="0061604B">
              <w:rPr>
                <w:b/>
                <w:bCs/>
                <w:lang w:eastAsia="en-AU"/>
              </w:rPr>
              <w:t xml:space="preserve">1 </w:t>
            </w:r>
            <w:r w:rsidRPr="0061604B">
              <w:rPr>
                <w:rFonts w:eastAsiaTheme="minorEastAsia" w:cs="Calibri"/>
                <w:b/>
                <w:szCs w:val="22"/>
                <w:lang w:eastAsia="en-AU"/>
              </w:rPr>
              <w:t>000.0</w:t>
            </w:r>
          </w:p>
        </w:tc>
        <w:tc>
          <w:tcPr>
            <w:tcW w:w="1170" w:type="dxa"/>
            <w:tcBorders>
              <w:top w:val="single" w:sz="6" w:space="0" w:color="auto"/>
              <w:left w:val="nil"/>
              <w:bottom w:val="single" w:sz="12" w:space="0" w:color="auto"/>
              <w:right w:val="nil"/>
            </w:tcBorders>
          </w:tcPr>
          <w:p w:rsidR="000B4A1E" w:rsidRPr="0061604B" w:rsidRDefault="000B4A1E" w:rsidP="00517E51">
            <w:pPr>
              <w:pStyle w:val="TableofFigures"/>
              <w:rPr>
                <w:rFonts w:eastAsiaTheme="minorEastAsia" w:cs="Calibri"/>
                <w:b/>
                <w:szCs w:val="22"/>
                <w:lang w:eastAsia="en-AU"/>
              </w:rPr>
            </w:pPr>
            <w:r w:rsidRPr="0061604B">
              <w:rPr>
                <w:b/>
                <w:bCs/>
                <w:lang w:eastAsia="en-AU"/>
              </w:rPr>
              <w:t xml:space="preserve">2 </w:t>
            </w:r>
            <w:r w:rsidRPr="0061604B">
              <w:rPr>
                <w:rFonts w:eastAsiaTheme="minorEastAsia" w:cs="Calibri"/>
                <w:b/>
                <w:szCs w:val="22"/>
                <w:lang w:eastAsia="en-AU"/>
              </w:rPr>
              <w:t>320.6</w:t>
            </w:r>
          </w:p>
        </w:tc>
        <w:tc>
          <w:tcPr>
            <w:tcW w:w="1264" w:type="dxa"/>
            <w:tcBorders>
              <w:top w:val="single" w:sz="6" w:space="0" w:color="auto"/>
              <w:left w:val="nil"/>
              <w:bottom w:val="single" w:sz="12" w:space="0" w:color="auto"/>
              <w:right w:val="nil"/>
            </w:tcBorders>
          </w:tcPr>
          <w:p w:rsidR="000B4A1E" w:rsidRPr="0061604B" w:rsidRDefault="000B4A1E" w:rsidP="00517E51">
            <w:pPr>
              <w:pStyle w:val="TableofFigures"/>
              <w:rPr>
                <w:rFonts w:eastAsiaTheme="minorEastAsia" w:cs="Calibri"/>
                <w:b/>
                <w:szCs w:val="22"/>
                <w:lang w:eastAsia="en-AU"/>
              </w:rPr>
            </w:pPr>
            <w:r w:rsidRPr="0061604B">
              <w:rPr>
                <w:b/>
                <w:bCs/>
                <w:lang w:eastAsia="en-AU"/>
              </w:rPr>
              <w:t xml:space="preserve">1 </w:t>
            </w:r>
            <w:r w:rsidRPr="0061604B">
              <w:rPr>
                <w:rFonts w:eastAsiaTheme="minorEastAsia" w:cs="Calibri"/>
                <w:b/>
                <w:szCs w:val="22"/>
                <w:lang w:eastAsia="en-AU"/>
              </w:rPr>
              <w:t>145.4</w:t>
            </w:r>
          </w:p>
        </w:tc>
      </w:tr>
      <w:tr w:rsidR="000B4A1E" w:rsidRPr="003E2DBE" w:rsidTr="00517E51">
        <w:trPr>
          <w:trHeight w:hRule="exact" w:val="120"/>
        </w:trPr>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 xml:space="preserve">  </w:t>
            </w:r>
          </w:p>
        </w:tc>
        <w:tc>
          <w:tcPr>
            <w:tcW w:w="1260"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c>
          <w:tcPr>
            <w:tcW w:w="5954" w:type="dxa"/>
            <w:tcBorders>
              <w:top w:val="single" w:sz="6" w:space="0" w:color="auto"/>
              <w:left w:val="nil"/>
              <w:bottom w:val="nil"/>
              <w:right w:val="nil"/>
            </w:tcBorders>
            <w:shd w:val="solid" w:color="000000" w:fill="auto"/>
          </w:tcPr>
          <w:p w:rsidR="000B4A1E" w:rsidRPr="003E2DBE" w:rsidRDefault="000B4A1E" w:rsidP="00517E51">
            <w:pPr>
              <w:pStyle w:val="TabletextheadingLeft"/>
              <w:rPr>
                <w:rFonts w:eastAsiaTheme="minorEastAsia" w:cs="Calibri"/>
                <w:b/>
                <w:bCs/>
                <w:iCs/>
                <w:szCs w:val="22"/>
                <w:lang w:eastAsia="en-AU"/>
              </w:rPr>
            </w:pPr>
            <w:r w:rsidRPr="003E2DBE">
              <w:rPr>
                <w:lang w:eastAsia="en-AU"/>
              </w:rPr>
              <w:t>2012</w:t>
            </w:r>
          </w:p>
        </w:tc>
        <w:tc>
          <w:tcPr>
            <w:tcW w:w="1260" w:type="dxa"/>
            <w:tcBorders>
              <w:top w:val="single" w:sz="6" w:space="0" w:color="auto"/>
              <w:left w:val="nil"/>
              <w:bottom w:val="nil"/>
              <w:right w:val="nil"/>
            </w:tcBorders>
            <w:shd w:val="solid" w:color="000000" w:fill="auto"/>
          </w:tcPr>
          <w:p w:rsidR="000B4A1E" w:rsidRPr="003E2DBE" w:rsidRDefault="000B4A1E" w:rsidP="00517E51">
            <w:pPr>
              <w:pStyle w:val="TableofFigures"/>
              <w:rPr>
                <w:rFonts w:eastAsiaTheme="minorEastAsia" w:cs="Calibri"/>
                <w:i/>
                <w:iCs/>
                <w:szCs w:val="22"/>
                <w:lang w:eastAsia="en-AU"/>
              </w:rPr>
            </w:pPr>
            <w:r w:rsidRPr="003E2DBE">
              <w:rPr>
                <w:lang w:eastAsia="en-AU"/>
              </w:rPr>
              <w:t xml:space="preserve"> </w:t>
            </w:r>
          </w:p>
        </w:tc>
        <w:tc>
          <w:tcPr>
            <w:tcW w:w="1170" w:type="dxa"/>
            <w:tcBorders>
              <w:top w:val="single" w:sz="6" w:space="0" w:color="auto"/>
              <w:left w:val="nil"/>
              <w:bottom w:val="nil"/>
              <w:right w:val="nil"/>
            </w:tcBorders>
            <w:shd w:val="solid" w:color="000000" w:fill="auto"/>
          </w:tcPr>
          <w:p w:rsidR="000B4A1E" w:rsidRPr="003E2DBE" w:rsidRDefault="000B4A1E" w:rsidP="00517E51">
            <w:pPr>
              <w:pStyle w:val="TableofFigures"/>
              <w:rPr>
                <w:rFonts w:eastAsiaTheme="minorEastAsia" w:cs="Calibri"/>
                <w:i/>
                <w:iCs/>
                <w:szCs w:val="22"/>
                <w:lang w:eastAsia="en-AU"/>
              </w:rPr>
            </w:pPr>
            <w:r w:rsidRPr="003E2DBE">
              <w:rPr>
                <w:lang w:eastAsia="en-AU"/>
              </w:rPr>
              <w:t xml:space="preserve"> </w:t>
            </w:r>
          </w:p>
        </w:tc>
        <w:tc>
          <w:tcPr>
            <w:tcW w:w="1264" w:type="dxa"/>
            <w:tcBorders>
              <w:top w:val="single" w:sz="6" w:space="0" w:color="auto"/>
              <w:left w:val="nil"/>
              <w:bottom w:val="nil"/>
              <w:right w:val="nil"/>
            </w:tcBorders>
            <w:shd w:val="solid" w:color="000000" w:fill="auto"/>
          </w:tcPr>
          <w:p w:rsidR="000B4A1E" w:rsidRPr="003E2DBE" w:rsidRDefault="000B4A1E" w:rsidP="00517E51">
            <w:pPr>
              <w:pStyle w:val="TableofFigures"/>
              <w:rPr>
                <w:rFonts w:eastAsiaTheme="minorEastAsia" w:cs="Calibri"/>
                <w:i/>
                <w:iCs/>
                <w:szCs w:val="22"/>
                <w:lang w:eastAsia="en-AU"/>
              </w:rPr>
            </w:pPr>
            <w:r w:rsidRPr="003E2DBE">
              <w:rPr>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b/>
                <w:lang w:eastAsia="en-AU"/>
              </w:rPr>
              <w:t xml:space="preserve">Financial </w:t>
            </w:r>
            <w:r w:rsidRPr="003E2DBE">
              <w:rPr>
                <w:rFonts w:eastAsiaTheme="minorEastAsia" w:cs="Calibri"/>
                <w:b/>
                <w:bCs/>
                <w:szCs w:val="22"/>
                <w:lang w:eastAsia="en-AU"/>
              </w:rPr>
              <w:t>assets</w:t>
            </w:r>
          </w:p>
        </w:tc>
        <w:tc>
          <w:tcPr>
            <w:tcW w:w="1260" w:type="dxa"/>
            <w:tcBorders>
              <w:top w:val="nil"/>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b/>
                <w:lang w:eastAsia="en-AU"/>
              </w:rPr>
            </w:pPr>
            <w:r w:rsidRPr="003E2DBE">
              <w:rPr>
                <w:b/>
                <w:lang w:eastAsia="en-AU"/>
              </w:rPr>
              <w:t xml:space="preserve"> </w:t>
            </w:r>
          </w:p>
        </w:tc>
      </w:tr>
      <w:tr w:rsidR="000B4A1E" w:rsidRPr="003E2DBE" w:rsidTr="00517E51">
        <w:tc>
          <w:tcPr>
            <w:tcW w:w="5954" w:type="dxa"/>
            <w:tcBorders>
              <w:top w:val="nil"/>
              <w:left w:val="nil"/>
              <w:bottom w:val="nil"/>
              <w:right w:val="nil"/>
            </w:tcBorders>
            <w:shd w:val="solid" w:color="FFFFFF" w:fill="auto"/>
          </w:tcPr>
          <w:p w:rsidR="000B4A1E" w:rsidRPr="003E2DBE" w:rsidRDefault="000B4A1E" w:rsidP="00517E51">
            <w:pPr>
              <w:pStyle w:val="Tabletext"/>
              <w:rPr>
                <w:rFonts w:eastAsiaTheme="minorEastAsia" w:cs="Calibri"/>
                <w:szCs w:val="22"/>
                <w:vertAlign w:val="superscript"/>
                <w:lang w:eastAsia="en-AU"/>
              </w:rPr>
            </w:pPr>
            <w:r w:rsidRPr="003E2DBE">
              <w:rPr>
                <w:lang w:eastAsia="en-AU"/>
              </w:rPr>
              <w:t xml:space="preserve">Cash and </w:t>
            </w:r>
            <w:r w:rsidRPr="003E2DBE">
              <w:rPr>
                <w:rFonts w:eastAsiaTheme="minorEastAsia" w:cs="Calibri"/>
                <w:szCs w:val="22"/>
                <w:lang w:eastAsia="en-AU"/>
              </w:rPr>
              <w:t>deposits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3 </w:t>
            </w:r>
            <w:r w:rsidRPr="003E2DBE">
              <w:rPr>
                <w:rFonts w:eastAsiaTheme="minorEastAsia" w:cs="Calibri"/>
                <w:szCs w:val="22"/>
                <w:lang w:eastAsia="en-AU"/>
              </w:rPr>
              <w:t>932.5</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397.2</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1.3</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vertAlign w:val="superscript"/>
                <w:lang w:eastAsia="en-AU"/>
              </w:rPr>
            </w:pPr>
            <w:r w:rsidRPr="003E2DBE">
              <w:rPr>
                <w:lang w:eastAsia="en-AU"/>
              </w:rPr>
              <w:t xml:space="preserve">Receivables </w:t>
            </w:r>
            <w:r w:rsidRPr="003E2DBE">
              <w:rPr>
                <w:vertAlign w:val="superscript"/>
                <w:lang w:eastAsia="en-AU"/>
              </w:rPr>
              <w:t>(a</w:t>
            </w:r>
            <w:r w:rsidRPr="003E2DBE">
              <w:rPr>
                <w:rFonts w:eastAsiaTheme="minorEastAsia" w:cs="Calibri"/>
                <w:szCs w:val="22"/>
                <w:vertAlign w:val="superscript"/>
                <w:lang w:eastAsia="en-AU"/>
              </w:rPr>
              <w:t>)</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32.3</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203.9</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145.3</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Advances</w:t>
            </w:r>
            <w:r w:rsidRPr="003E2DBE">
              <w:rPr>
                <w:rFonts w:eastAsiaTheme="minorEastAsia" w:cs="Calibri"/>
                <w:szCs w:val="22"/>
                <w:lang w:eastAsia="en-AU"/>
              </w:rPr>
              <w:t xml:space="preserve"> paid</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13.6</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4.6</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4.9</w:t>
            </w:r>
          </w:p>
        </w:tc>
      </w:tr>
      <w:tr w:rsidR="000B4A1E" w:rsidRPr="003E2DBE" w:rsidTr="00517E51">
        <w:tc>
          <w:tcPr>
            <w:tcW w:w="5954" w:type="dxa"/>
            <w:tcBorders>
              <w:top w:val="nil"/>
              <w:left w:val="nil"/>
              <w:bottom w:val="nil"/>
              <w:right w:val="nil"/>
            </w:tcBorders>
            <w:shd w:val="solid" w:color="FFFFFF" w:fill="auto"/>
          </w:tcPr>
          <w:p w:rsidR="000B4A1E" w:rsidRPr="003E2DBE" w:rsidRDefault="000B4A1E" w:rsidP="00517E51">
            <w:pPr>
              <w:pStyle w:val="Tabletext"/>
              <w:rPr>
                <w:rFonts w:eastAsiaTheme="minorEastAsia" w:cs="Calibri"/>
                <w:szCs w:val="22"/>
                <w:lang w:eastAsia="en-AU"/>
              </w:rPr>
            </w:pPr>
            <w:r w:rsidRPr="003E2DBE">
              <w:rPr>
                <w:lang w:eastAsia="en-AU"/>
              </w:rPr>
              <w:t>Term</w:t>
            </w:r>
            <w:r w:rsidRPr="003E2DBE">
              <w:rPr>
                <w:rFonts w:eastAsiaTheme="minorEastAsia" w:cs="Calibri"/>
                <w:szCs w:val="22"/>
                <w:lang w:eastAsia="en-AU"/>
              </w:rPr>
              <w:t xml:space="preserve"> deposits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83.4</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615.1</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45.8</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Derivative</w:t>
            </w:r>
            <w:r w:rsidRPr="003E2DBE">
              <w:rPr>
                <w:rFonts w:eastAsiaTheme="minorEastAsia" w:cs="Calibri"/>
                <w:szCs w:val="22"/>
                <w:lang w:eastAsia="en-AU"/>
              </w:rPr>
              <w:t xml:space="preserve"> financial instruments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 xml:space="preserve">Equities and managed </w:t>
            </w:r>
            <w:r w:rsidRPr="003E2DBE">
              <w:rPr>
                <w:rFonts w:eastAsiaTheme="minorEastAsia" w:cs="Calibri"/>
                <w:szCs w:val="22"/>
                <w:lang w:eastAsia="en-AU"/>
              </w:rPr>
              <w:t>investment schemes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182.3</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22.0</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18.1</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Debt securities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2.0</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31.2</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2.0</w:t>
            </w:r>
          </w:p>
        </w:tc>
      </w:tr>
      <w:tr w:rsidR="000B4A1E" w:rsidRPr="003E2DBE" w:rsidTr="00517E51">
        <w:tc>
          <w:tcPr>
            <w:tcW w:w="595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b/>
                <w:lang w:eastAsia="en-AU"/>
              </w:rPr>
              <w:t xml:space="preserve">Total financial </w:t>
            </w:r>
            <w:r w:rsidRPr="003E2DBE">
              <w:rPr>
                <w:rFonts w:eastAsiaTheme="minorEastAsia" w:cs="Calibri"/>
                <w:b/>
                <w:bCs/>
                <w:szCs w:val="22"/>
                <w:lang w:eastAsia="en-AU"/>
              </w:rPr>
              <w:t>assets</w:t>
            </w:r>
          </w:p>
        </w:tc>
        <w:tc>
          <w:tcPr>
            <w:tcW w:w="126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4 </w:t>
            </w:r>
            <w:r w:rsidRPr="003E2DBE">
              <w:rPr>
                <w:rFonts w:eastAsiaTheme="minorEastAsia" w:cs="Calibri"/>
                <w:b/>
                <w:bCs/>
                <w:szCs w:val="22"/>
                <w:lang w:eastAsia="en-AU"/>
              </w:rPr>
              <w:t>246.2</w:t>
            </w:r>
          </w:p>
        </w:tc>
        <w:tc>
          <w:tcPr>
            <w:tcW w:w="117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2 </w:t>
            </w:r>
            <w:r w:rsidRPr="003E2DBE">
              <w:rPr>
                <w:rFonts w:eastAsiaTheme="minorEastAsia" w:cs="Calibri"/>
                <w:b/>
                <w:bCs/>
                <w:szCs w:val="22"/>
                <w:lang w:eastAsia="en-AU"/>
              </w:rPr>
              <w:t>274.1</w:t>
            </w:r>
          </w:p>
        </w:tc>
        <w:tc>
          <w:tcPr>
            <w:tcW w:w="1264"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217.4</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b/>
                <w:lang w:eastAsia="en-AU"/>
              </w:rPr>
              <w:t>Financial</w:t>
            </w:r>
            <w:r w:rsidRPr="003E2DBE">
              <w:rPr>
                <w:rFonts w:eastAsiaTheme="minorEastAsia" w:cs="Calibri"/>
                <w:b/>
                <w:bCs/>
                <w:szCs w:val="22"/>
                <w:lang w:eastAsia="en-AU"/>
              </w:rPr>
              <w:t xml:space="preserve"> liabilities</w:t>
            </w:r>
          </w:p>
        </w:tc>
        <w:tc>
          <w:tcPr>
            <w:tcW w:w="1260" w:type="dxa"/>
            <w:tcBorders>
              <w:top w:val="nil"/>
              <w:left w:val="nil"/>
              <w:bottom w:val="nil"/>
              <w:right w:val="nil"/>
            </w:tcBorders>
            <w:shd w:val="solid" w:color="FFFFFF" w:fill="auto"/>
          </w:tcPr>
          <w:p w:rsidR="000B4A1E" w:rsidRPr="003E2DBE" w:rsidRDefault="000B4A1E" w:rsidP="00517E51">
            <w:pPr>
              <w:pStyle w:val="TableofFigures"/>
              <w:rPr>
                <w:b/>
                <w:lang w:eastAsia="en-AU"/>
              </w:rPr>
            </w:pPr>
            <w:r w:rsidRPr="003E2DBE">
              <w:rPr>
                <w:b/>
                <w:lang w:eastAsia="en-AU"/>
              </w:rPr>
              <w:t xml:space="preserve">  </w:t>
            </w:r>
          </w:p>
        </w:tc>
        <w:tc>
          <w:tcPr>
            <w:tcW w:w="1170" w:type="dxa"/>
            <w:tcBorders>
              <w:top w:val="nil"/>
              <w:left w:val="nil"/>
              <w:bottom w:val="nil"/>
              <w:right w:val="nil"/>
            </w:tcBorders>
            <w:shd w:val="solid" w:color="FFFFFF" w:fill="auto"/>
          </w:tcPr>
          <w:p w:rsidR="000B4A1E" w:rsidRPr="003E2DBE" w:rsidRDefault="000B4A1E" w:rsidP="00517E51">
            <w:pPr>
              <w:pStyle w:val="TableofFigures"/>
              <w:rPr>
                <w:b/>
                <w:lang w:eastAsia="en-AU"/>
              </w:rPr>
            </w:pPr>
            <w:r w:rsidRPr="003E2DBE">
              <w:rPr>
                <w:b/>
                <w:lang w:eastAsia="en-AU"/>
              </w:rPr>
              <w:t xml:space="preserve">  </w:t>
            </w:r>
          </w:p>
        </w:tc>
        <w:tc>
          <w:tcPr>
            <w:tcW w:w="1264" w:type="dxa"/>
            <w:tcBorders>
              <w:top w:val="nil"/>
              <w:left w:val="nil"/>
              <w:bottom w:val="nil"/>
              <w:right w:val="nil"/>
            </w:tcBorders>
            <w:shd w:val="solid" w:color="FFFFFF" w:fill="auto"/>
          </w:tcPr>
          <w:p w:rsidR="000B4A1E" w:rsidRPr="003E2DBE" w:rsidRDefault="000B4A1E" w:rsidP="00517E51">
            <w:pPr>
              <w:pStyle w:val="TableofFigures"/>
              <w:rPr>
                <w:b/>
                <w:lang w:eastAsia="en-AU"/>
              </w:rPr>
            </w:pPr>
            <w:r w:rsidRPr="003E2DBE">
              <w:rPr>
                <w:b/>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Payables</w:t>
            </w:r>
            <w:r w:rsidRPr="003E2DBE">
              <w:rPr>
                <w:rFonts w:eastAsiaTheme="minorEastAsia" w:cs="Calibri"/>
                <w:szCs w:val="22"/>
                <w:lang w:eastAsia="en-AU"/>
              </w:rPr>
              <w:t xml:space="preserve"> and advances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80.2</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127.4</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13.7</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Derivative</w:t>
            </w:r>
            <w:r w:rsidRPr="003E2DBE">
              <w:rPr>
                <w:rFonts w:eastAsiaTheme="minorEastAsia" w:cs="Calibri"/>
                <w:szCs w:val="22"/>
                <w:lang w:eastAsia="en-AU"/>
              </w:rPr>
              <w:t xml:space="preserve"> financial instruments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lang w:eastAsia="en-AU"/>
              </w:rPr>
            </w:pPr>
            <w:r w:rsidRPr="003E2DBE">
              <w:rPr>
                <w:lang w:eastAsia="en-AU"/>
              </w:rPr>
              <w:t>Interest-bearing liabilities</w:t>
            </w:r>
          </w:p>
        </w:tc>
        <w:tc>
          <w:tcPr>
            <w:tcW w:w="126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lang w:eastAsia="en-AU"/>
              </w:rPr>
              <w:t xml:space="preserve"> 7.9</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2 </w:t>
            </w:r>
            <w:r w:rsidRPr="003E2DBE">
              <w:rPr>
                <w:rFonts w:eastAsiaTheme="minorEastAsia" w:cs="Calibri"/>
                <w:szCs w:val="22"/>
                <w:lang w:eastAsia="en-AU"/>
              </w:rPr>
              <w:t>044.9</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146.0</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lang w:eastAsia="en-AU"/>
              </w:rPr>
              <w:t xml:space="preserve">Finance lease </w:t>
            </w:r>
            <w:r w:rsidRPr="003E2DBE">
              <w:rPr>
                <w:rFonts w:eastAsiaTheme="minorEastAsia" w:cs="Calibri"/>
                <w:szCs w:val="22"/>
                <w:lang w:eastAsia="en-AU"/>
              </w:rPr>
              <w:t>liabilities</w:t>
            </w:r>
          </w:p>
        </w:tc>
        <w:tc>
          <w:tcPr>
            <w:tcW w:w="126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16.7</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71.7</w:t>
            </w:r>
          </w:p>
        </w:tc>
        <w:tc>
          <w:tcPr>
            <w:tcW w:w="1264"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lang w:eastAsia="en-AU"/>
              </w:rPr>
              <w:t xml:space="preserve"> 70.4</w:t>
            </w:r>
          </w:p>
        </w:tc>
      </w:tr>
      <w:tr w:rsidR="000B4A1E" w:rsidRPr="003E2DBE" w:rsidTr="00517E51">
        <w:tc>
          <w:tcPr>
            <w:tcW w:w="595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b/>
                <w:lang w:eastAsia="en-AU"/>
              </w:rPr>
              <w:t>Total</w:t>
            </w:r>
            <w:r w:rsidRPr="003E2DBE">
              <w:rPr>
                <w:rFonts w:eastAsiaTheme="minorEastAsia" w:cs="Calibri"/>
                <w:b/>
                <w:bCs/>
                <w:szCs w:val="22"/>
                <w:lang w:eastAsia="en-AU"/>
              </w:rPr>
              <w:t xml:space="preserve"> financial liabilities</w:t>
            </w:r>
          </w:p>
        </w:tc>
        <w:tc>
          <w:tcPr>
            <w:tcW w:w="126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 104.8</w:t>
            </w:r>
          </w:p>
        </w:tc>
        <w:tc>
          <w:tcPr>
            <w:tcW w:w="117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2 </w:t>
            </w:r>
            <w:r w:rsidRPr="003E2DBE">
              <w:rPr>
                <w:rFonts w:eastAsiaTheme="minorEastAsia" w:cs="Calibri"/>
                <w:b/>
                <w:bCs/>
                <w:szCs w:val="22"/>
                <w:lang w:eastAsia="en-AU"/>
              </w:rPr>
              <w:t>243.9</w:t>
            </w:r>
          </w:p>
        </w:tc>
        <w:tc>
          <w:tcPr>
            <w:tcW w:w="1264"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b/>
                <w:bCs/>
                <w:lang w:eastAsia="en-AU"/>
              </w:rPr>
              <w:t xml:space="preserve">1 </w:t>
            </w:r>
            <w:r w:rsidRPr="003E2DBE">
              <w:rPr>
                <w:rFonts w:eastAsiaTheme="minorEastAsia" w:cs="Calibri"/>
                <w:b/>
                <w:bCs/>
                <w:szCs w:val="22"/>
                <w:lang w:eastAsia="en-AU"/>
              </w:rPr>
              <w:t>230.0</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Restated balances at 30 June 2012. Refer to Note 36 of the financial statements.</w:t>
      </w:r>
    </w:p>
    <w:p w:rsidR="000B4A1E" w:rsidRPr="00D00665" w:rsidRDefault="000B4A1E" w:rsidP="00517E51">
      <w:pPr>
        <w:pStyle w:val="Notes"/>
      </w:pPr>
    </w:p>
    <w:p w:rsidR="000B4A1E" w:rsidRPr="00D00665" w:rsidRDefault="000B4A1E" w:rsidP="00517E51">
      <w:pPr>
        <w:pStyle w:val="Tableheading"/>
        <w:spacing w:before="360"/>
        <w:rPr>
          <w:i/>
        </w:rPr>
      </w:pPr>
      <w:r w:rsidRPr="00D00665">
        <w:br w:type="page"/>
      </w:r>
    </w:p>
    <w:p w:rsidR="000B4A1E" w:rsidRPr="00D00665" w:rsidRDefault="000B4A1E" w:rsidP="00517E51">
      <w:pPr>
        <w:pStyle w:val="million"/>
      </w:pPr>
    </w:p>
    <w:p w:rsidR="000B4A1E" w:rsidRPr="00D00665" w:rsidRDefault="000B4A1E" w:rsidP="00517E51">
      <w:pPr>
        <w:pStyle w:val="million"/>
      </w:pPr>
    </w:p>
    <w:p w:rsidR="000B4A1E" w:rsidRDefault="000B4A1E" w:rsidP="00517E51">
      <w:pPr>
        <w:pStyle w:val="million"/>
        <w:spacing w:before="200"/>
        <w:rPr>
          <w:rFonts w:ascii="Times New Roman" w:hAnsi="Times New Roman"/>
          <w:i w:val="0"/>
          <w:szCs w:val="20"/>
          <w:lang w:eastAsia="en-AU"/>
        </w:rPr>
      </w:pPr>
    </w:p>
    <w:tbl>
      <w:tblPr>
        <w:tblW w:w="9676" w:type="dxa"/>
        <w:tblInd w:w="29" w:type="dxa"/>
        <w:tblLayout w:type="fixed"/>
        <w:tblCellMar>
          <w:left w:w="43" w:type="dxa"/>
          <w:right w:w="43" w:type="dxa"/>
        </w:tblCellMar>
        <w:tblLook w:val="0000" w:firstRow="0" w:lastRow="0" w:firstColumn="0" w:lastColumn="0" w:noHBand="0" w:noVBand="0"/>
      </w:tblPr>
      <w:tblGrid>
        <w:gridCol w:w="284"/>
        <w:gridCol w:w="1328"/>
        <w:gridCol w:w="1613"/>
        <w:gridCol w:w="1613"/>
        <w:gridCol w:w="1116"/>
        <w:gridCol w:w="260"/>
        <w:gridCol w:w="236"/>
        <w:gridCol w:w="1613"/>
        <w:gridCol w:w="1613"/>
      </w:tblGrid>
      <w:tr w:rsidR="000B4A1E" w:rsidRPr="003E2DBE" w:rsidTr="00103F3E">
        <w:trPr>
          <w:cantSplit/>
        </w:trPr>
        <w:tc>
          <w:tcPr>
            <w:tcW w:w="284" w:type="dxa"/>
            <w:tcBorders>
              <w:top w:val="single" w:sz="6" w:space="0" w:color="auto"/>
              <w:left w:val="single" w:sz="6" w:space="0" w:color="auto"/>
              <w:bottom w:val="single" w:sz="6" w:space="0" w:color="auto"/>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5670" w:type="dxa"/>
            <w:gridSpan w:val="4"/>
            <w:tcBorders>
              <w:top w:val="single" w:sz="6" w:space="0" w:color="auto"/>
              <w:left w:val="nil"/>
              <w:bottom w:val="single" w:sz="6" w:space="0" w:color="auto"/>
              <w:right w:val="nil"/>
            </w:tcBorders>
            <w:shd w:val="clear" w:color="auto" w:fill="000000"/>
          </w:tcPr>
          <w:p w:rsidR="000B4A1E" w:rsidRPr="003E2DBE" w:rsidRDefault="000B4A1E" w:rsidP="00667BF1">
            <w:pPr>
              <w:pStyle w:val="Tabletext"/>
              <w:rPr>
                <w:lang w:eastAsia="en-AU"/>
              </w:rPr>
            </w:pPr>
            <w:r w:rsidRPr="003E2DBE">
              <w:rPr>
                <w:lang w:eastAsia="en-AU"/>
              </w:rPr>
              <w:t>Interest rate, fixed maturities</w:t>
            </w:r>
          </w:p>
        </w:tc>
        <w:tc>
          <w:tcPr>
            <w:tcW w:w="260"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236"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Centred"/>
              <w:rPr>
                <w:lang w:eastAsia="en-AU"/>
              </w:rPr>
            </w:pPr>
            <w:r w:rsidRPr="003E2DBE">
              <w:rPr>
                <w:lang w:eastAsia="en-AU"/>
              </w:rPr>
              <w:t xml:space="preserve"> </w:t>
            </w:r>
          </w:p>
        </w:tc>
        <w:tc>
          <w:tcPr>
            <w:tcW w:w="1613" w:type="dxa"/>
            <w:tcBorders>
              <w:top w:val="single" w:sz="6" w:space="0" w:color="auto"/>
              <w:left w:val="nil"/>
              <w:bottom w:val="single" w:sz="6" w:space="0" w:color="auto"/>
              <w:right w:val="single" w:sz="6" w:space="0" w:color="auto"/>
            </w:tcBorders>
            <w:shd w:val="clear" w:color="auto" w:fill="000000"/>
          </w:tcPr>
          <w:p w:rsidR="000B4A1E" w:rsidRPr="003E2DBE" w:rsidRDefault="000B4A1E" w:rsidP="00517E51">
            <w:pPr>
              <w:pStyle w:val="Tabletextheading"/>
              <w:rPr>
                <w:rFonts w:cs="Calibri"/>
                <w:iCs/>
                <w:szCs w:val="22"/>
                <w:lang w:eastAsia="en-AU"/>
              </w:rPr>
            </w:pPr>
            <w:r w:rsidRPr="003E2DBE">
              <w:rPr>
                <w:rFonts w:cs="Calibri"/>
                <w:iCs/>
                <w:szCs w:val="22"/>
                <w:lang w:eastAsia="en-AU"/>
              </w:rPr>
              <w:t xml:space="preserve"> </w:t>
            </w:r>
          </w:p>
        </w:tc>
        <w:tc>
          <w:tcPr>
            <w:tcW w:w="1613" w:type="dxa"/>
            <w:tcBorders>
              <w:top w:val="single" w:sz="6" w:space="0" w:color="auto"/>
              <w:left w:val="single" w:sz="6" w:space="0" w:color="auto"/>
              <w:bottom w:val="single" w:sz="6" w:space="0" w:color="auto"/>
              <w:right w:val="single" w:sz="6" w:space="0" w:color="auto"/>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 xml:space="preserve"> </w:t>
            </w:r>
          </w:p>
        </w:tc>
      </w:tr>
      <w:tr w:rsidR="000B4A1E" w:rsidRPr="003E2DBE" w:rsidTr="00667BF1">
        <w:trPr>
          <w:cantSplit/>
        </w:trPr>
        <w:tc>
          <w:tcPr>
            <w:tcW w:w="1612" w:type="dxa"/>
            <w:gridSpan w:val="2"/>
            <w:tcBorders>
              <w:top w:val="single" w:sz="6" w:space="0" w:color="auto"/>
              <w:left w:val="single" w:sz="6" w:space="0" w:color="auto"/>
              <w:bottom w:val="nil"/>
              <w:right w:val="nil"/>
            </w:tcBorders>
            <w:shd w:val="solid" w:color="000000" w:fill="auto"/>
          </w:tcPr>
          <w:p w:rsidR="000B4A1E" w:rsidRPr="003E2DBE" w:rsidRDefault="000B4A1E" w:rsidP="00667BF1">
            <w:pPr>
              <w:pStyle w:val="Tabletext"/>
              <w:rPr>
                <w:lang w:eastAsia="en-AU"/>
              </w:rPr>
            </w:pPr>
            <w:r w:rsidRPr="003E2DBE">
              <w:rPr>
                <w:lang w:eastAsia="en-AU"/>
              </w:rPr>
              <w:t xml:space="preserve">2 years </w:t>
            </w:r>
          </w:p>
        </w:tc>
        <w:tc>
          <w:tcPr>
            <w:tcW w:w="1613" w:type="dxa"/>
            <w:tcBorders>
              <w:top w:val="single" w:sz="6" w:space="0" w:color="auto"/>
              <w:left w:val="nil"/>
              <w:bottom w:val="nil"/>
              <w:right w:val="nil"/>
            </w:tcBorders>
            <w:shd w:val="solid" w:color="000000" w:fill="auto"/>
          </w:tcPr>
          <w:p w:rsidR="000B4A1E" w:rsidRPr="003E2DBE" w:rsidRDefault="000B4A1E" w:rsidP="00667BF1">
            <w:pPr>
              <w:pStyle w:val="Tabletext"/>
              <w:rPr>
                <w:lang w:eastAsia="en-AU"/>
              </w:rPr>
            </w:pPr>
            <w:r w:rsidRPr="003E2DBE">
              <w:rPr>
                <w:lang w:eastAsia="en-AU"/>
              </w:rPr>
              <w:t xml:space="preserve">3 years </w:t>
            </w:r>
          </w:p>
        </w:tc>
        <w:tc>
          <w:tcPr>
            <w:tcW w:w="1613" w:type="dxa"/>
            <w:tcBorders>
              <w:top w:val="single" w:sz="6" w:space="0" w:color="auto"/>
              <w:left w:val="nil"/>
              <w:bottom w:val="nil"/>
              <w:right w:val="nil"/>
            </w:tcBorders>
            <w:shd w:val="solid" w:color="000000" w:fill="auto"/>
          </w:tcPr>
          <w:p w:rsidR="000B4A1E" w:rsidRPr="003E2DBE" w:rsidRDefault="000B4A1E" w:rsidP="00667BF1">
            <w:pPr>
              <w:pStyle w:val="Tabletext"/>
              <w:rPr>
                <w:lang w:eastAsia="en-AU"/>
              </w:rPr>
            </w:pPr>
            <w:r w:rsidRPr="003E2DBE">
              <w:rPr>
                <w:lang w:eastAsia="en-AU"/>
              </w:rPr>
              <w:t xml:space="preserve">4 years </w:t>
            </w:r>
          </w:p>
        </w:tc>
        <w:tc>
          <w:tcPr>
            <w:tcW w:w="1612" w:type="dxa"/>
            <w:gridSpan w:val="3"/>
            <w:tcBorders>
              <w:top w:val="single" w:sz="6" w:space="0" w:color="auto"/>
              <w:left w:val="nil"/>
              <w:bottom w:val="nil"/>
              <w:right w:val="nil"/>
            </w:tcBorders>
            <w:shd w:val="solid" w:color="000000" w:fill="auto"/>
          </w:tcPr>
          <w:p w:rsidR="000B4A1E" w:rsidRPr="003E2DBE" w:rsidRDefault="000B4A1E" w:rsidP="00667BF1">
            <w:pPr>
              <w:pStyle w:val="Tabletext"/>
              <w:rPr>
                <w:lang w:eastAsia="en-AU"/>
              </w:rPr>
            </w:pPr>
            <w:r w:rsidRPr="003E2DBE">
              <w:rPr>
                <w:lang w:eastAsia="en-AU"/>
              </w:rPr>
              <w:t xml:space="preserve"> </w:t>
            </w:r>
          </w:p>
        </w:tc>
        <w:tc>
          <w:tcPr>
            <w:tcW w:w="1613" w:type="dxa"/>
            <w:tcBorders>
              <w:top w:val="single" w:sz="6" w:space="0" w:color="auto"/>
              <w:left w:val="nil"/>
              <w:bottom w:val="nil"/>
              <w:right w:val="nil"/>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 xml:space="preserve"> </w:t>
            </w:r>
          </w:p>
        </w:tc>
        <w:tc>
          <w:tcPr>
            <w:tcW w:w="1613" w:type="dxa"/>
            <w:tcBorders>
              <w:top w:val="single" w:sz="6" w:space="0" w:color="auto"/>
              <w:left w:val="nil"/>
              <w:bottom w:val="nil"/>
              <w:right w:val="single" w:sz="6" w:space="0" w:color="auto"/>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 xml:space="preserve"> </w:t>
            </w:r>
          </w:p>
        </w:tc>
      </w:tr>
      <w:tr w:rsidR="000B4A1E" w:rsidRPr="003E2DBE" w:rsidTr="00667BF1">
        <w:trPr>
          <w:cantSplit/>
        </w:trPr>
        <w:tc>
          <w:tcPr>
            <w:tcW w:w="1612" w:type="dxa"/>
            <w:gridSpan w:val="2"/>
            <w:tcBorders>
              <w:top w:val="nil"/>
              <w:left w:val="single" w:sz="6" w:space="0" w:color="auto"/>
              <w:bottom w:val="single" w:sz="6" w:space="0" w:color="auto"/>
              <w:right w:val="nil"/>
            </w:tcBorders>
            <w:shd w:val="solid" w:color="000000" w:fill="auto"/>
          </w:tcPr>
          <w:p w:rsidR="000B4A1E" w:rsidRPr="003E2DBE" w:rsidRDefault="000B4A1E" w:rsidP="00667BF1">
            <w:pPr>
              <w:pStyle w:val="Tabletext"/>
              <w:rPr>
                <w:lang w:eastAsia="en-AU"/>
              </w:rPr>
            </w:pPr>
            <w:r w:rsidRPr="003E2DBE">
              <w:rPr>
                <w:lang w:eastAsia="en-AU"/>
              </w:rPr>
              <w:t xml:space="preserve">but less </w:t>
            </w:r>
          </w:p>
          <w:p w:rsidR="000B4A1E" w:rsidRPr="003E2DBE" w:rsidRDefault="000B4A1E" w:rsidP="00667BF1">
            <w:pPr>
              <w:pStyle w:val="Tabletext"/>
              <w:rPr>
                <w:lang w:eastAsia="en-AU"/>
              </w:rPr>
            </w:pPr>
            <w:r w:rsidRPr="003E2DBE">
              <w:rPr>
                <w:lang w:eastAsia="en-AU"/>
              </w:rPr>
              <w:t>than 3 years</w:t>
            </w:r>
          </w:p>
        </w:tc>
        <w:tc>
          <w:tcPr>
            <w:tcW w:w="1613" w:type="dxa"/>
            <w:tcBorders>
              <w:top w:val="nil"/>
              <w:left w:val="nil"/>
              <w:bottom w:val="single" w:sz="6" w:space="0" w:color="auto"/>
              <w:right w:val="nil"/>
            </w:tcBorders>
            <w:shd w:val="solid" w:color="000000" w:fill="auto"/>
          </w:tcPr>
          <w:p w:rsidR="000B4A1E" w:rsidRPr="003E2DBE" w:rsidRDefault="000B4A1E" w:rsidP="00667BF1">
            <w:pPr>
              <w:pStyle w:val="Tabletext"/>
              <w:rPr>
                <w:lang w:eastAsia="en-AU"/>
              </w:rPr>
            </w:pPr>
            <w:r w:rsidRPr="003E2DBE">
              <w:rPr>
                <w:lang w:eastAsia="en-AU"/>
              </w:rPr>
              <w:t xml:space="preserve">but less </w:t>
            </w:r>
          </w:p>
          <w:p w:rsidR="000B4A1E" w:rsidRPr="003E2DBE" w:rsidRDefault="000B4A1E" w:rsidP="00667BF1">
            <w:pPr>
              <w:pStyle w:val="Tabletext"/>
              <w:rPr>
                <w:lang w:eastAsia="en-AU"/>
              </w:rPr>
            </w:pPr>
            <w:r w:rsidRPr="003E2DBE">
              <w:rPr>
                <w:lang w:eastAsia="en-AU"/>
              </w:rPr>
              <w:t>than 4 years</w:t>
            </w:r>
          </w:p>
        </w:tc>
        <w:tc>
          <w:tcPr>
            <w:tcW w:w="1613" w:type="dxa"/>
            <w:tcBorders>
              <w:top w:val="nil"/>
              <w:left w:val="nil"/>
              <w:bottom w:val="single" w:sz="6" w:space="0" w:color="auto"/>
              <w:right w:val="nil"/>
            </w:tcBorders>
            <w:shd w:val="solid" w:color="000000" w:fill="auto"/>
          </w:tcPr>
          <w:p w:rsidR="000B4A1E" w:rsidRPr="003E2DBE" w:rsidRDefault="000B4A1E" w:rsidP="00667BF1">
            <w:pPr>
              <w:pStyle w:val="Tabletext"/>
              <w:rPr>
                <w:lang w:eastAsia="en-AU"/>
              </w:rPr>
            </w:pPr>
            <w:r w:rsidRPr="003E2DBE">
              <w:rPr>
                <w:lang w:eastAsia="en-AU"/>
              </w:rPr>
              <w:t xml:space="preserve">but less </w:t>
            </w:r>
          </w:p>
          <w:p w:rsidR="000B4A1E" w:rsidRPr="003E2DBE" w:rsidRDefault="000B4A1E" w:rsidP="00667BF1">
            <w:pPr>
              <w:pStyle w:val="Tabletext"/>
              <w:rPr>
                <w:lang w:eastAsia="en-AU"/>
              </w:rPr>
            </w:pPr>
            <w:r w:rsidRPr="003E2DBE">
              <w:rPr>
                <w:lang w:eastAsia="en-AU"/>
              </w:rPr>
              <w:t>than 5 years</w:t>
            </w:r>
          </w:p>
        </w:tc>
        <w:tc>
          <w:tcPr>
            <w:tcW w:w="1612" w:type="dxa"/>
            <w:gridSpan w:val="3"/>
            <w:tcBorders>
              <w:top w:val="nil"/>
              <w:left w:val="nil"/>
              <w:bottom w:val="single" w:sz="6" w:space="0" w:color="auto"/>
              <w:right w:val="nil"/>
            </w:tcBorders>
            <w:shd w:val="solid" w:color="000000" w:fill="auto"/>
          </w:tcPr>
          <w:p w:rsidR="000B4A1E" w:rsidRPr="003E2DBE" w:rsidRDefault="000B4A1E" w:rsidP="00667BF1">
            <w:pPr>
              <w:pStyle w:val="Tabletext"/>
              <w:rPr>
                <w:lang w:eastAsia="en-AU"/>
              </w:rPr>
            </w:pPr>
            <w:r w:rsidRPr="003E2DBE">
              <w:rPr>
                <w:lang w:eastAsia="en-AU"/>
              </w:rPr>
              <w:t xml:space="preserve">5 years </w:t>
            </w:r>
          </w:p>
          <w:p w:rsidR="000B4A1E" w:rsidRPr="003E2DBE" w:rsidRDefault="000B4A1E" w:rsidP="00667BF1">
            <w:pPr>
              <w:pStyle w:val="Tabletext"/>
              <w:rPr>
                <w:lang w:eastAsia="en-AU"/>
              </w:rPr>
            </w:pPr>
            <w:r w:rsidRPr="003E2DBE">
              <w:rPr>
                <w:lang w:eastAsia="en-AU"/>
              </w:rPr>
              <w:t>or more</w:t>
            </w:r>
          </w:p>
        </w:tc>
        <w:tc>
          <w:tcPr>
            <w:tcW w:w="1613" w:type="dxa"/>
            <w:tcBorders>
              <w:top w:val="nil"/>
              <w:left w:val="nil"/>
              <w:bottom w:val="single" w:sz="6" w:space="0" w:color="auto"/>
              <w:right w:val="nil"/>
            </w:tcBorders>
            <w:shd w:val="solid" w:color="000000" w:fill="auto"/>
          </w:tcPr>
          <w:p w:rsidR="000B4A1E" w:rsidRPr="003E2DBE" w:rsidRDefault="000B4A1E" w:rsidP="00517E51">
            <w:pPr>
              <w:pStyle w:val="Tabletextheading"/>
              <w:rPr>
                <w:rFonts w:cs="Calibri"/>
                <w:iCs/>
                <w:szCs w:val="22"/>
                <w:lang w:eastAsia="en-AU"/>
              </w:rPr>
            </w:pPr>
            <w:r w:rsidRPr="003E2DBE">
              <w:rPr>
                <w:rFonts w:cs="Calibri"/>
                <w:iCs/>
                <w:szCs w:val="22"/>
                <w:lang w:eastAsia="en-AU"/>
              </w:rPr>
              <w:t xml:space="preserve">Non-interest </w:t>
            </w:r>
          </w:p>
          <w:p w:rsidR="000B4A1E" w:rsidRPr="003E2DBE" w:rsidRDefault="000B4A1E" w:rsidP="00517E51">
            <w:pPr>
              <w:pStyle w:val="Tabletextheading"/>
              <w:rPr>
                <w:rFonts w:cs="Calibri"/>
                <w:iCs/>
                <w:szCs w:val="22"/>
                <w:lang w:eastAsia="en-AU"/>
              </w:rPr>
            </w:pPr>
            <w:r w:rsidRPr="003E2DBE">
              <w:rPr>
                <w:rFonts w:cs="Calibri"/>
                <w:iCs/>
                <w:szCs w:val="22"/>
                <w:lang w:eastAsia="en-AU"/>
              </w:rPr>
              <w:t>bearing</w:t>
            </w:r>
          </w:p>
        </w:tc>
        <w:tc>
          <w:tcPr>
            <w:tcW w:w="1613" w:type="dxa"/>
            <w:tcBorders>
              <w:top w:val="nil"/>
              <w:left w:val="nil"/>
              <w:bottom w:val="single" w:sz="6" w:space="0" w:color="auto"/>
              <w:right w:val="single" w:sz="6" w:space="0" w:color="auto"/>
            </w:tcBorders>
            <w:shd w:val="solid" w:color="000000" w:fill="auto"/>
          </w:tcPr>
          <w:p w:rsidR="000B4A1E" w:rsidRPr="003E2DBE" w:rsidRDefault="000B4A1E" w:rsidP="00517E51">
            <w:pPr>
              <w:pStyle w:val="Tabletextheading"/>
              <w:rPr>
                <w:rFonts w:cs="Calibri"/>
                <w:iCs/>
                <w:szCs w:val="22"/>
                <w:lang w:eastAsia="en-AU"/>
              </w:rPr>
            </w:pPr>
          </w:p>
          <w:p w:rsidR="000B4A1E" w:rsidRPr="003E2DBE" w:rsidRDefault="000B4A1E" w:rsidP="00517E51">
            <w:pPr>
              <w:pStyle w:val="Tabletextheading"/>
              <w:rPr>
                <w:rFonts w:cs="Calibri"/>
                <w:iCs/>
                <w:szCs w:val="22"/>
                <w:lang w:eastAsia="en-AU"/>
              </w:rPr>
            </w:pPr>
            <w:r w:rsidRPr="003E2DBE">
              <w:rPr>
                <w:rFonts w:cs="Calibri"/>
                <w:iCs/>
                <w:szCs w:val="22"/>
                <w:lang w:eastAsia="en-AU"/>
              </w:rPr>
              <w:t>Total</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2" w:type="dxa"/>
            <w:gridSpan w:val="3"/>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90.0</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3 </w:t>
            </w:r>
            <w:r w:rsidRPr="003E2DBE">
              <w:rPr>
                <w:rFonts w:ascii="Calibri" w:eastAsiaTheme="minorEastAsia" w:hAnsi="Calibri" w:cs="Calibri"/>
                <w:sz w:val="22"/>
                <w:szCs w:val="22"/>
                <w:lang w:eastAsia="en-AU"/>
              </w:rPr>
              <w:t>962.0</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18.6</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77.5</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14.7</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275.8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 </w:t>
            </w:r>
            <w:r w:rsidRPr="003E2DBE">
              <w:rPr>
                <w:rFonts w:ascii="Calibri" w:eastAsiaTheme="minorEastAsia" w:hAnsi="Calibri" w:cs="Calibri"/>
                <w:sz w:val="22"/>
                <w:szCs w:val="22"/>
                <w:lang w:eastAsia="en-AU"/>
              </w:rPr>
              <w:t>102.6</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 </w:t>
            </w:r>
            <w:r w:rsidRPr="003E2DBE">
              <w:rPr>
                <w:rFonts w:ascii="Calibri" w:eastAsiaTheme="minorEastAsia" w:hAnsi="Calibri" w:cs="Calibri"/>
                <w:sz w:val="22"/>
                <w:szCs w:val="22"/>
                <w:lang w:eastAsia="en-AU"/>
              </w:rPr>
              <w:t>928.8</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400.0</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340.1</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305.8</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2 </w:t>
            </w:r>
            <w:r w:rsidRPr="003E2DBE">
              <w:rPr>
                <w:rFonts w:eastAsiaTheme="minorEastAsia" w:cs="Calibri"/>
                <w:szCs w:val="22"/>
                <w:lang w:eastAsia="en-AU"/>
              </w:rPr>
              <w:t>617.8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23.8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4 </w:t>
            </w:r>
            <w:r w:rsidRPr="003E2DBE">
              <w:rPr>
                <w:rFonts w:ascii="Calibri" w:eastAsiaTheme="minorEastAsia" w:hAnsi="Calibri" w:cs="Calibri"/>
                <w:sz w:val="22"/>
                <w:szCs w:val="22"/>
                <w:lang w:eastAsia="en-AU"/>
              </w:rPr>
              <w:t>626.8</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2.1</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4.9</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0.6</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3.8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2.9</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2 </w:t>
            </w:r>
            <w:r w:rsidRPr="003E2DBE">
              <w:rPr>
                <w:rFonts w:ascii="Calibri" w:eastAsiaTheme="minorEastAsia" w:hAnsi="Calibri" w:cs="Calibri"/>
                <w:sz w:val="22"/>
                <w:szCs w:val="22"/>
                <w:lang w:eastAsia="en-AU"/>
              </w:rPr>
              <w:t>659.7</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0.6</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269.7</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681.9</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2.6</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5.9</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0.5</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0.8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0.9</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41.7</w:t>
            </w:r>
          </w:p>
        </w:tc>
      </w:tr>
      <w:tr w:rsidR="000B4A1E" w:rsidRPr="003E2DBE" w:rsidTr="00667BF1">
        <w:trPr>
          <w:cantSplit/>
        </w:trPr>
        <w:tc>
          <w:tcPr>
            <w:tcW w:w="1612" w:type="dxa"/>
            <w:gridSpan w:val="2"/>
            <w:tcBorders>
              <w:top w:val="single" w:sz="6" w:space="0" w:color="auto"/>
              <w:left w:val="nil"/>
              <w:bottom w:val="single" w:sz="6"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 423.3</w:t>
            </w:r>
          </w:p>
        </w:tc>
        <w:tc>
          <w:tcPr>
            <w:tcW w:w="1613" w:type="dxa"/>
            <w:tcBorders>
              <w:top w:val="single" w:sz="6" w:space="0" w:color="auto"/>
              <w:left w:val="nil"/>
              <w:bottom w:val="single" w:sz="6"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 429.1</w:t>
            </w:r>
          </w:p>
        </w:tc>
        <w:tc>
          <w:tcPr>
            <w:tcW w:w="1613" w:type="dxa"/>
            <w:tcBorders>
              <w:top w:val="single" w:sz="6" w:space="0" w:color="auto"/>
              <w:left w:val="nil"/>
              <w:bottom w:val="single" w:sz="6"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 321.6</w:t>
            </w:r>
          </w:p>
        </w:tc>
        <w:tc>
          <w:tcPr>
            <w:tcW w:w="1612" w:type="dxa"/>
            <w:gridSpan w:val="3"/>
            <w:tcBorders>
              <w:top w:val="single" w:sz="6" w:space="0" w:color="auto"/>
              <w:left w:val="nil"/>
              <w:bottom w:val="single" w:sz="6"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2 </w:t>
            </w:r>
            <w:r w:rsidRPr="003E2DBE">
              <w:rPr>
                <w:rFonts w:eastAsiaTheme="minorEastAsia" w:cs="Calibri"/>
                <w:b/>
                <w:bCs/>
                <w:szCs w:val="22"/>
                <w:lang w:eastAsia="en-AU"/>
              </w:rPr>
              <w:t>898.1</w:t>
            </w:r>
          </w:p>
        </w:tc>
        <w:tc>
          <w:tcPr>
            <w:tcW w:w="1613" w:type="dxa"/>
            <w:tcBorders>
              <w:top w:val="single" w:sz="6" w:space="0" w:color="auto"/>
              <w:left w:val="nil"/>
              <w:bottom w:val="single" w:sz="6"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 xml:space="preserve">1 </w:t>
            </w:r>
            <w:r w:rsidRPr="003E2DBE">
              <w:rPr>
                <w:rFonts w:ascii="Calibri" w:eastAsiaTheme="minorEastAsia" w:hAnsi="Calibri" w:cs="Calibri"/>
                <w:b/>
                <w:bCs/>
                <w:sz w:val="22"/>
                <w:szCs w:val="22"/>
                <w:lang w:eastAsia="en-AU"/>
              </w:rPr>
              <w:t>489.9</w:t>
            </w:r>
          </w:p>
        </w:tc>
        <w:tc>
          <w:tcPr>
            <w:tcW w:w="1613" w:type="dxa"/>
            <w:tcBorders>
              <w:top w:val="single" w:sz="6" w:space="0" w:color="auto"/>
              <w:left w:val="nil"/>
              <w:bottom w:val="single" w:sz="6"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 xml:space="preserve">13 </w:t>
            </w:r>
            <w:r w:rsidRPr="003E2DBE">
              <w:rPr>
                <w:rFonts w:ascii="Calibri" w:eastAsiaTheme="minorEastAsia" w:hAnsi="Calibri" w:cs="Calibri"/>
                <w:b/>
                <w:bCs/>
                <w:sz w:val="22"/>
                <w:szCs w:val="22"/>
                <w:lang w:eastAsia="en-AU"/>
              </w:rPr>
              <w:t>901.0</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2" w:type="dxa"/>
            <w:gridSpan w:val="3"/>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7.7</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7.7</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7.7</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37.9</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2 </w:t>
            </w:r>
            <w:r w:rsidRPr="003E2DBE">
              <w:rPr>
                <w:rFonts w:ascii="Calibri" w:eastAsiaTheme="minorEastAsia" w:hAnsi="Calibri" w:cs="Calibri"/>
                <w:sz w:val="22"/>
                <w:szCs w:val="22"/>
                <w:lang w:eastAsia="en-AU"/>
              </w:rPr>
              <w:t>965.4</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4 </w:t>
            </w:r>
            <w:r w:rsidRPr="003E2DBE">
              <w:rPr>
                <w:rFonts w:ascii="Calibri" w:eastAsiaTheme="minorEastAsia" w:hAnsi="Calibri" w:cs="Calibri"/>
                <w:sz w:val="22"/>
                <w:szCs w:val="22"/>
                <w:lang w:eastAsia="en-AU"/>
              </w:rPr>
              <w:t>062.0</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8.9</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0.1</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9.0</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472.3</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739.8</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692.7</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15 </w:t>
            </w:r>
            <w:r w:rsidRPr="003E2DBE">
              <w:rPr>
                <w:rFonts w:eastAsiaTheme="minorEastAsia" w:cs="Calibri"/>
                <w:szCs w:val="22"/>
                <w:lang w:eastAsia="en-AU"/>
              </w:rPr>
              <w:t>614.0</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color w:val="0000FF"/>
                <w:sz w:val="22"/>
                <w:szCs w:val="22"/>
                <w:lang w:eastAsia="en-AU"/>
              </w:rPr>
            </w:pPr>
            <w:r>
              <w:rPr>
                <w:rFonts w:ascii="Calibri" w:hAnsi="Calibri" w:cs="Calibri"/>
                <w:sz w:val="22"/>
                <w:szCs w:val="22"/>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23 </w:t>
            </w:r>
            <w:r w:rsidRPr="003E2DBE">
              <w:rPr>
                <w:rFonts w:ascii="Calibri" w:eastAsiaTheme="minorEastAsia" w:hAnsi="Calibri" w:cs="Calibri"/>
                <w:sz w:val="22"/>
                <w:szCs w:val="22"/>
                <w:lang w:eastAsia="en-AU"/>
              </w:rPr>
              <w:t>303.0</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198.6</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181.4</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225.3</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6 </w:t>
            </w:r>
            <w:r w:rsidRPr="003E2DBE">
              <w:rPr>
                <w:rFonts w:eastAsiaTheme="minorEastAsia" w:cs="Calibri"/>
                <w:szCs w:val="22"/>
                <w:lang w:eastAsia="en-AU"/>
              </w:rPr>
              <w:t>763.9</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18.4</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8 </w:t>
            </w:r>
            <w:r w:rsidRPr="003E2DBE">
              <w:rPr>
                <w:rFonts w:ascii="Calibri" w:eastAsiaTheme="minorEastAsia" w:hAnsi="Calibri" w:cs="Calibri"/>
                <w:sz w:val="22"/>
                <w:szCs w:val="22"/>
                <w:lang w:eastAsia="en-AU"/>
              </w:rPr>
              <w:t>033.3</w:t>
            </w:r>
          </w:p>
        </w:tc>
      </w:tr>
      <w:tr w:rsidR="000B4A1E" w:rsidRPr="003E2DBE" w:rsidTr="00667BF1">
        <w:trPr>
          <w:cantSplit/>
        </w:trPr>
        <w:tc>
          <w:tcPr>
            <w:tcW w:w="1612" w:type="dxa"/>
            <w:gridSpan w:val="2"/>
            <w:tcBorders>
              <w:top w:val="single" w:sz="6" w:space="0" w:color="auto"/>
              <w:left w:val="nil"/>
              <w:bottom w:val="single" w:sz="12" w:space="0" w:color="auto"/>
              <w:right w:val="nil"/>
            </w:tcBorders>
          </w:tcPr>
          <w:p w:rsidR="000B4A1E" w:rsidRPr="003E2DBE" w:rsidRDefault="000B4A1E" w:rsidP="00667BF1">
            <w:pPr>
              <w:pStyle w:val="Tabletext"/>
              <w:rPr>
                <w:rFonts w:eastAsiaTheme="minorEastAsia" w:cs="Calibri"/>
                <w:szCs w:val="22"/>
                <w:lang w:eastAsia="en-AU"/>
              </w:rPr>
            </w:pPr>
            <w:r w:rsidRPr="003E2DBE">
              <w:rPr>
                <w:b/>
                <w:bCs/>
                <w:lang w:eastAsia="en-AU"/>
              </w:rPr>
              <w:t xml:space="preserve">1 </w:t>
            </w:r>
            <w:r w:rsidRPr="003E2DBE">
              <w:rPr>
                <w:rFonts w:eastAsiaTheme="minorEastAsia" w:cs="Calibri"/>
                <w:b/>
                <w:szCs w:val="22"/>
                <w:lang w:eastAsia="en-AU"/>
              </w:rPr>
              <w:t>678.5</w:t>
            </w:r>
          </w:p>
        </w:tc>
        <w:tc>
          <w:tcPr>
            <w:tcW w:w="1613" w:type="dxa"/>
            <w:tcBorders>
              <w:top w:val="single" w:sz="6" w:space="0" w:color="auto"/>
              <w:left w:val="nil"/>
              <w:bottom w:val="single" w:sz="12" w:space="0" w:color="auto"/>
              <w:right w:val="nil"/>
            </w:tcBorders>
          </w:tcPr>
          <w:p w:rsidR="000B4A1E" w:rsidRPr="003E2DBE" w:rsidRDefault="000B4A1E" w:rsidP="00667BF1">
            <w:pPr>
              <w:pStyle w:val="Tabletext"/>
              <w:rPr>
                <w:rFonts w:eastAsiaTheme="minorEastAsia" w:cs="Calibri"/>
                <w:szCs w:val="22"/>
                <w:lang w:eastAsia="en-AU"/>
              </w:rPr>
            </w:pPr>
            <w:r w:rsidRPr="003E2DBE">
              <w:rPr>
                <w:b/>
                <w:bCs/>
                <w:lang w:eastAsia="en-AU"/>
              </w:rPr>
              <w:t xml:space="preserve">1 </w:t>
            </w:r>
            <w:r w:rsidRPr="003E2DBE">
              <w:rPr>
                <w:rFonts w:eastAsiaTheme="minorEastAsia" w:cs="Calibri"/>
                <w:b/>
                <w:szCs w:val="22"/>
                <w:lang w:eastAsia="en-AU"/>
              </w:rPr>
              <w:t>928.9</w:t>
            </w:r>
          </w:p>
        </w:tc>
        <w:tc>
          <w:tcPr>
            <w:tcW w:w="1613" w:type="dxa"/>
            <w:tcBorders>
              <w:top w:val="single" w:sz="6" w:space="0" w:color="auto"/>
              <w:left w:val="nil"/>
              <w:bottom w:val="single" w:sz="12" w:space="0" w:color="auto"/>
              <w:right w:val="nil"/>
            </w:tcBorders>
          </w:tcPr>
          <w:p w:rsidR="000B4A1E" w:rsidRPr="003E2DBE" w:rsidRDefault="000B4A1E" w:rsidP="00667BF1">
            <w:pPr>
              <w:pStyle w:val="Tabletext"/>
              <w:rPr>
                <w:rFonts w:eastAsiaTheme="minorEastAsia" w:cs="Calibri"/>
                <w:szCs w:val="22"/>
                <w:lang w:eastAsia="en-AU"/>
              </w:rPr>
            </w:pPr>
            <w:r w:rsidRPr="003E2DBE">
              <w:rPr>
                <w:b/>
                <w:bCs/>
                <w:lang w:eastAsia="en-AU"/>
              </w:rPr>
              <w:t xml:space="preserve">1 </w:t>
            </w:r>
            <w:r w:rsidRPr="003E2DBE">
              <w:rPr>
                <w:rFonts w:eastAsiaTheme="minorEastAsia" w:cs="Calibri"/>
                <w:b/>
                <w:szCs w:val="22"/>
                <w:lang w:eastAsia="en-AU"/>
              </w:rPr>
              <w:t>925.7</w:t>
            </w:r>
          </w:p>
        </w:tc>
        <w:tc>
          <w:tcPr>
            <w:tcW w:w="1612" w:type="dxa"/>
            <w:gridSpan w:val="3"/>
            <w:tcBorders>
              <w:top w:val="single" w:sz="6" w:space="0" w:color="auto"/>
              <w:left w:val="nil"/>
              <w:bottom w:val="single" w:sz="12" w:space="0" w:color="auto"/>
              <w:right w:val="nil"/>
            </w:tcBorders>
          </w:tcPr>
          <w:p w:rsidR="000B4A1E" w:rsidRPr="003E2DBE" w:rsidRDefault="000B4A1E" w:rsidP="00667BF1">
            <w:pPr>
              <w:pStyle w:val="Tabletext"/>
              <w:rPr>
                <w:rFonts w:eastAsiaTheme="minorEastAsia" w:cs="Calibri"/>
                <w:szCs w:val="22"/>
                <w:lang w:eastAsia="en-AU"/>
              </w:rPr>
            </w:pPr>
            <w:r w:rsidRPr="003E2DBE">
              <w:rPr>
                <w:b/>
                <w:bCs/>
                <w:lang w:eastAsia="en-AU"/>
              </w:rPr>
              <w:t xml:space="preserve">22 </w:t>
            </w:r>
            <w:r w:rsidRPr="003E2DBE">
              <w:rPr>
                <w:rFonts w:eastAsiaTheme="minorEastAsia" w:cs="Calibri"/>
                <w:b/>
                <w:szCs w:val="22"/>
                <w:lang w:eastAsia="en-AU"/>
              </w:rPr>
              <w:t>424.6</w:t>
            </w:r>
          </w:p>
        </w:tc>
        <w:tc>
          <w:tcPr>
            <w:tcW w:w="1613"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b/>
                <w:bCs/>
                <w:sz w:val="22"/>
                <w:szCs w:val="22"/>
                <w:lang w:eastAsia="en-AU"/>
              </w:rPr>
              <w:t xml:space="preserve">2 </w:t>
            </w:r>
            <w:r w:rsidRPr="003E2DBE">
              <w:rPr>
                <w:rFonts w:ascii="Calibri" w:eastAsiaTheme="minorEastAsia" w:hAnsi="Calibri" w:cs="Calibri"/>
                <w:b/>
                <w:sz w:val="22"/>
                <w:szCs w:val="22"/>
                <w:lang w:eastAsia="en-AU"/>
              </w:rPr>
              <w:t>983.8</w:t>
            </w:r>
          </w:p>
        </w:tc>
        <w:tc>
          <w:tcPr>
            <w:tcW w:w="1613"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sz w:val="22"/>
                <w:szCs w:val="22"/>
                <w:lang w:eastAsia="en-AU"/>
              </w:rPr>
            </w:pPr>
            <w:r w:rsidRPr="003E2DBE">
              <w:rPr>
                <w:rFonts w:ascii="Calibri" w:hAnsi="Calibri" w:cs="Calibri"/>
                <w:b/>
                <w:bCs/>
                <w:sz w:val="22"/>
                <w:szCs w:val="22"/>
                <w:lang w:eastAsia="en-AU"/>
              </w:rPr>
              <w:t xml:space="preserve">35 </w:t>
            </w:r>
            <w:r w:rsidRPr="003E2DBE">
              <w:rPr>
                <w:rFonts w:ascii="Calibri" w:eastAsiaTheme="minorEastAsia" w:hAnsi="Calibri" w:cs="Calibri"/>
                <w:b/>
                <w:sz w:val="22"/>
                <w:szCs w:val="22"/>
                <w:lang w:eastAsia="en-AU"/>
              </w:rPr>
              <w:t>407.4</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2" w:type="dxa"/>
            <w:gridSpan w:val="3"/>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r>
      <w:tr w:rsidR="000B4A1E" w:rsidRPr="003E2DBE" w:rsidTr="00667BF1">
        <w:trPr>
          <w:cantSplit/>
        </w:trPr>
        <w:tc>
          <w:tcPr>
            <w:tcW w:w="1612" w:type="dxa"/>
            <w:gridSpan w:val="2"/>
            <w:tcBorders>
              <w:top w:val="single" w:sz="6" w:space="0" w:color="auto"/>
              <w:left w:val="nil"/>
              <w:bottom w:val="nil"/>
              <w:right w:val="nil"/>
            </w:tcBorders>
            <w:shd w:val="solid" w:color="000000" w:fill="auto"/>
          </w:tcPr>
          <w:p w:rsidR="000B4A1E" w:rsidRPr="003E2DBE" w:rsidRDefault="000B4A1E" w:rsidP="00667BF1">
            <w:pPr>
              <w:pStyle w:val="Tabletext"/>
              <w:rPr>
                <w:rFonts w:eastAsiaTheme="minorEastAsia" w:cs="Calibri"/>
                <w:i/>
                <w:iCs/>
                <w:szCs w:val="22"/>
                <w:lang w:eastAsia="en-AU"/>
              </w:rPr>
            </w:pPr>
            <w:r w:rsidRPr="003E2DBE">
              <w:rPr>
                <w:lang w:eastAsia="en-AU"/>
              </w:rPr>
              <w:t xml:space="preserve"> </w:t>
            </w:r>
          </w:p>
        </w:tc>
        <w:tc>
          <w:tcPr>
            <w:tcW w:w="1613" w:type="dxa"/>
            <w:tcBorders>
              <w:top w:val="single" w:sz="6" w:space="0" w:color="auto"/>
              <w:left w:val="nil"/>
              <w:bottom w:val="nil"/>
              <w:right w:val="nil"/>
            </w:tcBorders>
            <w:shd w:val="solid" w:color="000000" w:fill="auto"/>
          </w:tcPr>
          <w:p w:rsidR="000B4A1E" w:rsidRPr="003E2DBE" w:rsidRDefault="000B4A1E" w:rsidP="00667BF1">
            <w:pPr>
              <w:pStyle w:val="Tabletext"/>
              <w:rPr>
                <w:rFonts w:eastAsiaTheme="minorEastAsia" w:cs="Calibri"/>
                <w:i/>
                <w:iCs/>
                <w:szCs w:val="22"/>
                <w:lang w:eastAsia="en-AU"/>
              </w:rPr>
            </w:pPr>
            <w:r w:rsidRPr="003E2DBE">
              <w:rPr>
                <w:lang w:eastAsia="en-AU"/>
              </w:rPr>
              <w:t xml:space="preserve"> </w:t>
            </w:r>
          </w:p>
        </w:tc>
        <w:tc>
          <w:tcPr>
            <w:tcW w:w="1613" w:type="dxa"/>
            <w:tcBorders>
              <w:top w:val="single" w:sz="6" w:space="0" w:color="auto"/>
              <w:left w:val="nil"/>
              <w:bottom w:val="nil"/>
              <w:right w:val="nil"/>
            </w:tcBorders>
            <w:shd w:val="solid" w:color="000000" w:fill="auto"/>
          </w:tcPr>
          <w:p w:rsidR="000B4A1E" w:rsidRPr="003E2DBE" w:rsidRDefault="000B4A1E" w:rsidP="00667BF1">
            <w:pPr>
              <w:pStyle w:val="Tabletext"/>
              <w:rPr>
                <w:rFonts w:eastAsiaTheme="minorEastAsia" w:cs="Calibri"/>
                <w:i/>
                <w:iCs/>
                <w:szCs w:val="22"/>
                <w:lang w:eastAsia="en-AU"/>
              </w:rPr>
            </w:pPr>
            <w:r w:rsidRPr="003E2DBE">
              <w:rPr>
                <w:lang w:eastAsia="en-AU"/>
              </w:rPr>
              <w:t xml:space="preserve"> </w:t>
            </w:r>
          </w:p>
        </w:tc>
        <w:tc>
          <w:tcPr>
            <w:tcW w:w="1612" w:type="dxa"/>
            <w:gridSpan w:val="3"/>
            <w:tcBorders>
              <w:top w:val="single" w:sz="6" w:space="0" w:color="auto"/>
              <w:left w:val="nil"/>
              <w:bottom w:val="nil"/>
              <w:right w:val="nil"/>
            </w:tcBorders>
            <w:shd w:val="solid" w:color="000000" w:fill="auto"/>
          </w:tcPr>
          <w:p w:rsidR="000B4A1E" w:rsidRPr="003E2DBE" w:rsidRDefault="000B4A1E" w:rsidP="00667BF1">
            <w:pPr>
              <w:pStyle w:val="Tabletext"/>
              <w:rPr>
                <w:rFonts w:eastAsiaTheme="minorEastAsia" w:cs="Calibri"/>
                <w:i/>
                <w:iCs/>
                <w:szCs w:val="22"/>
                <w:lang w:eastAsia="en-AU"/>
              </w:rPr>
            </w:pPr>
            <w:r w:rsidRPr="003E2DBE">
              <w:rPr>
                <w:lang w:eastAsia="en-AU"/>
              </w:rPr>
              <w:t xml:space="preserve"> </w:t>
            </w:r>
          </w:p>
        </w:tc>
        <w:tc>
          <w:tcPr>
            <w:tcW w:w="1613" w:type="dxa"/>
            <w:tcBorders>
              <w:top w:val="single" w:sz="6" w:space="0" w:color="auto"/>
              <w:left w:val="nil"/>
              <w:bottom w:val="nil"/>
              <w:right w:val="nil"/>
            </w:tcBorders>
            <w:shd w:val="solid" w:color="000000" w:fill="auto"/>
          </w:tcPr>
          <w:p w:rsidR="000B4A1E" w:rsidRPr="003E2DBE" w:rsidRDefault="000B4A1E" w:rsidP="00517E51">
            <w:pPr>
              <w:autoSpaceDE w:val="0"/>
              <w:autoSpaceDN w:val="0"/>
              <w:adjustRightInd w:val="0"/>
              <w:spacing w:after="0"/>
              <w:rPr>
                <w:rFonts w:ascii="Calibri" w:eastAsiaTheme="minorEastAsia" w:hAnsi="Calibri" w:cs="Calibri"/>
                <w:i/>
                <w:iCs/>
                <w:sz w:val="22"/>
                <w:szCs w:val="22"/>
                <w:lang w:eastAsia="en-AU"/>
              </w:rPr>
            </w:pPr>
            <w:r w:rsidRPr="003E2DBE">
              <w:rPr>
                <w:rFonts w:ascii="Calibri" w:hAnsi="Calibri" w:cs="Calibri"/>
                <w:i/>
                <w:iCs/>
                <w:sz w:val="22"/>
                <w:szCs w:val="22"/>
                <w:lang w:eastAsia="en-AU"/>
              </w:rPr>
              <w:t xml:space="preserve"> </w:t>
            </w:r>
          </w:p>
        </w:tc>
        <w:tc>
          <w:tcPr>
            <w:tcW w:w="1613" w:type="dxa"/>
            <w:tcBorders>
              <w:top w:val="single" w:sz="6" w:space="0" w:color="auto"/>
              <w:left w:val="nil"/>
              <w:bottom w:val="nil"/>
              <w:right w:val="nil"/>
            </w:tcBorders>
            <w:shd w:val="solid" w:color="000000" w:fill="auto"/>
          </w:tcPr>
          <w:p w:rsidR="000B4A1E" w:rsidRPr="003E2DBE" w:rsidRDefault="000B4A1E" w:rsidP="00517E51">
            <w:pPr>
              <w:autoSpaceDE w:val="0"/>
              <w:autoSpaceDN w:val="0"/>
              <w:adjustRightInd w:val="0"/>
              <w:spacing w:after="0"/>
              <w:rPr>
                <w:rFonts w:ascii="Calibri" w:eastAsiaTheme="minorEastAsia" w:hAnsi="Calibri" w:cs="Calibri"/>
                <w:i/>
                <w:iCs/>
                <w:sz w:val="22"/>
                <w:szCs w:val="22"/>
                <w:lang w:eastAsia="en-AU"/>
              </w:rPr>
            </w:pPr>
            <w:r w:rsidRPr="003E2DBE">
              <w:rPr>
                <w:rFonts w:ascii="Calibri" w:hAnsi="Calibri" w:cs="Calibri"/>
                <w:i/>
                <w:iCs/>
                <w:sz w:val="22"/>
                <w:szCs w:val="22"/>
                <w:lang w:eastAsia="en-AU"/>
              </w:rPr>
              <w:t xml:space="preserve"> </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2" w:type="dxa"/>
            <w:gridSpan w:val="3"/>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670.2</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5 </w:t>
            </w:r>
            <w:r w:rsidRPr="003E2DBE">
              <w:rPr>
                <w:rFonts w:ascii="Calibri" w:eastAsiaTheme="minorEastAsia" w:hAnsi="Calibri" w:cs="Calibri"/>
                <w:sz w:val="22"/>
                <w:szCs w:val="22"/>
                <w:lang w:eastAsia="en-AU"/>
              </w:rPr>
              <w:t>001.3</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93.7</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53.4</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38.7</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187.5</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color w:val="0000FF"/>
                <w:sz w:val="22"/>
                <w:szCs w:val="22"/>
                <w:lang w:eastAsia="en-AU"/>
              </w:rPr>
            </w:pPr>
            <w:r w:rsidRPr="003E2DBE">
              <w:rPr>
                <w:rFonts w:ascii="Calibri" w:hAnsi="Calibri" w:cs="Calibri"/>
                <w:sz w:val="22"/>
                <w:szCs w:val="22"/>
                <w:lang w:eastAsia="en-AU"/>
              </w:rPr>
              <w:t xml:space="preserve">1 </w:t>
            </w:r>
            <w:r w:rsidRPr="003E2DBE">
              <w:rPr>
                <w:rFonts w:ascii="Calibri" w:eastAsiaTheme="minorEastAsia" w:hAnsi="Calibri" w:cs="Calibri"/>
                <w:sz w:val="22"/>
                <w:szCs w:val="22"/>
                <w:lang w:eastAsia="en-AU"/>
              </w:rPr>
              <w:t>036.1</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 </w:t>
            </w:r>
            <w:r w:rsidRPr="003E2DBE">
              <w:rPr>
                <w:rFonts w:ascii="Calibri" w:eastAsiaTheme="minorEastAsia" w:hAnsi="Calibri" w:cs="Calibri"/>
                <w:sz w:val="22"/>
                <w:szCs w:val="22"/>
                <w:lang w:eastAsia="en-AU"/>
              </w:rPr>
              <w:t>790.9</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5.2</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5.5</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5.8</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242.6</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18.8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301.0</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9.4</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1.5</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0.7</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3.8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1.7</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 </w:t>
            </w:r>
            <w:r w:rsidRPr="003E2DBE">
              <w:rPr>
                <w:rFonts w:ascii="Calibri" w:eastAsiaTheme="minorEastAsia" w:hAnsi="Calibri" w:cs="Calibri"/>
                <w:sz w:val="22"/>
                <w:szCs w:val="22"/>
                <w:lang w:eastAsia="en-AU"/>
              </w:rPr>
              <w:t>761.4</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0.9</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198.1</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421.4</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2.8</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38.0</w:t>
            </w:r>
          </w:p>
        </w:tc>
      </w:tr>
      <w:tr w:rsidR="000B4A1E" w:rsidRPr="003E2DBE" w:rsidTr="00667BF1">
        <w:trPr>
          <w:cantSplit/>
        </w:trPr>
        <w:tc>
          <w:tcPr>
            <w:tcW w:w="1612" w:type="dxa"/>
            <w:gridSpan w:val="2"/>
            <w:tcBorders>
              <w:top w:val="single" w:sz="6" w:space="0" w:color="auto"/>
              <w:left w:val="nil"/>
              <w:bottom w:val="single" w:sz="6"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 109.1</w:t>
            </w:r>
          </w:p>
        </w:tc>
        <w:tc>
          <w:tcPr>
            <w:tcW w:w="1613" w:type="dxa"/>
            <w:tcBorders>
              <w:top w:val="single" w:sz="6" w:space="0" w:color="auto"/>
              <w:left w:val="nil"/>
              <w:bottom w:val="single" w:sz="6"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 60.4</w:t>
            </w:r>
          </w:p>
        </w:tc>
        <w:tc>
          <w:tcPr>
            <w:tcW w:w="1613" w:type="dxa"/>
            <w:tcBorders>
              <w:top w:val="single" w:sz="6" w:space="0" w:color="auto"/>
              <w:left w:val="nil"/>
              <w:bottom w:val="single" w:sz="6"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 45.2</w:t>
            </w:r>
          </w:p>
        </w:tc>
        <w:tc>
          <w:tcPr>
            <w:tcW w:w="1612" w:type="dxa"/>
            <w:gridSpan w:val="3"/>
            <w:tcBorders>
              <w:top w:val="single" w:sz="6" w:space="0" w:color="auto"/>
              <w:left w:val="nil"/>
              <w:bottom w:val="single" w:sz="6"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 433.9</w:t>
            </w:r>
          </w:p>
        </w:tc>
        <w:tc>
          <w:tcPr>
            <w:tcW w:w="1613" w:type="dxa"/>
            <w:tcBorders>
              <w:top w:val="single" w:sz="6" w:space="0" w:color="auto"/>
              <w:left w:val="nil"/>
              <w:bottom w:val="single" w:sz="6"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 xml:space="preserve">1 </w:t>
            </w:r>
            <w:r w:rsidRPr="003E2DBE">
              <w:rPr>
                <w:rFonts w:ascii="Calibri" w:eastAsiaTheme="minorEastAsia" w:hAnsi="Calibri" w:cs="Calibri"/>
                <w:b/>
                <w:bCs/>
                <w:sz w:val="22"/>
                <w:szCs w:val="22"/>
                <w:lang w:eastAsia="en-AU"/>
              </w:rPr>
              <w:t>927.8</w:t>
            </w:r>
          </w:p>
        </w:tc>
        <w:tc>
          <w:tcPr>
            <w:tcW w:w="1613" w:type="dxa"/>
            <w:tcBorders>
              <w:top w:val="single" w:sz="6" w:space="0" w:color="auto"/>
              <w:left w:val="nil"/>
              <w:bottom w:val="single" w:sz="6"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 xml:space="preserve">9 </w:t>
            </w:r>
            <w:r w:rsidRPr="003E2DBE">
              <w:rPr>
                <w:rFonts w:ascii="Calibri" w:eastAsiaTheme="minorEastAsia" w:hAnsi="Calibri" w:cs="Calibri"/>
                <w:b/>
                <w:bCs/>
                <w:sz w:val="22"/>
                <w:szCs w:val="22"/>
                <w:lang w:eastAsia="en-AU"/>
              </w:rPr>
              <w:t>314.1</w:t>
            </w:r>
          </w:p>
        </w:tc>
      </w:tr>
      <w:tr w:rsidR="000B4A1E" w:rsidRPr="003E2DBE" w:rsidTr="00667BF1">
        <w:trPr>
          <w:cantSplit/>
        </w:trPr>
        <w:tc>
          <w:tcPr>
            <w:tcW w:w="1612" w:type="dxa"/>
            <w:gridSpan w:val="2"/>
            <w:tcBorders>
              <w:top w:val="nil"/>
              <w:left w:val="nil"/>
              <w:bottom w:val="nil"/>
              <w:right w:val="nil"/>
            </w:tcBorders>
            <w:shd w:val="solid" w:color="FFFFFF" w:fill="auto"/>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2" w:type="dxa"/>
            <w:gridSpan w:val="3"/>
            <w:tcBorders>
              <w:top w:val="nil"/>
              <w:left w:val="nil"/>
              <w:bottom w:val="nil"/>
              <w:right w:val="nil"/>
            </w:tcBorders>
          </w:tcPr>
          <w:p w:rsidR="000B4A1E" w:rsidRPr="003E2DBE" w:rsidRDefault="000B4A1E" w:rsidP="00667BF1">
            <w:pPr>
              <w:pStyle w:val="Tabletext"/>
              <w:rPr>
                <w:lang w:eastAsia="en-AU"/>
              </w:rPr>
            </w:pPr>
            <w:r w:rsidRPr="003E2DBE">
              <w:rPr>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rPr>
                <w:rFonts w:ascii="Calibri" w:hAnsi="Calibri" w:cs="Calibri"/>
                <w:sz w:val="22"/>
                <w:szCs w:val="22"/>
                <w:lang w:eastAsia="en-AU"/>
              </w:rPr>
            </w:pPr>
            <w:r w:rsidRPr="003E2DBE">
              <w:rPr>
                <w:rFonts w:ascii="Calibri" w:hAnsi="Calibri" w:cs="Calibri"/>
                <w:sz w:val="22"/>
                <w:szCs w:val="22"/>
                <w:lang w:eastAsia="en-AU"/>
              </w:rPr>
              <w:t xml:space="preserve">  </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5.7</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5.6</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2 </w:t>
            </w:r>
            <w:r w:rsidRPr="003E2DBE">
              <w:rPr>
                <w:rFonts w:ascii="Calibri" w:eastAsiaTheme="minorEastAsia" w:hAnsi="Calibri" w:cs="Calibri"/>
                <w:sz w:val="22"/>
                <w:szCs w:val="22"/>
                <w:lang w:eastAsia="en-AU"/>
              </w:rPr>
              <w:t>915.3</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3 </w:t>
            </w:r>
            <w:r w:rsidRPr="003E2DBE">
              <w:rPr>
                <w:rFonts w:ascii="Calibri" w:eastAsiaTheme="minorEastAsia" w:hAnsi="Calibri" w:cs="Calibri"/>
                <w:sz w:val="22"/>
                <w:szCs w:val="22"/>
                <w:lang w:eastAsia="en-AU"/>
              </w:rPr>
              <w:t>147.8</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36.0</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 36.0</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074.3</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110.6</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1 </w:t>
            </w:r>
            <w:r w:rsidRPr="003E2DBE">
              <w:rPr>
                <w:rFonts w:eastAsiaTheme="minorEastAsia" w:cs="Calibri"/>
                <w:szCs w:val="22"/>
                <w:lang w:eastAsia="en-AU"/>
              </w:rPr>
              <w:t>117.2</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13 </w:t>
            </w:r>
            <w:r w:rsidRPr="003E2DBE">
              <w:rPr>
                <w:rFonts w:eastAsiaTheme="minorEastAsia" w:cs="Calibri"/>
                <w:szCs w:val="22"/>
                <w:lang w:eastAsia="en-AU"/>
              </w:rPr>
              <w:t>178.3</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19 </w:t>
            </w:r>
            <w:r w:rsidRPr="003E2DBE">
              <w:rPr>
                <w:rFonts w:ascii="Calibri" w:eastAsiaTheme="minorEastAsia" w:hAnsi="Calibri" w:cs="Calibri"/>
                <w:sz w:val="22"/>
                <w:szCs w:val="22"/>
                <w:lang w:eastAsia="en-AU"/>
              </w:rPr>
              <w:t>679.2</w:t>
            </w:r>
          </w:p>
        </w:tc>
      </w:tr>
      <w:tr w:rsidR="000B4A1E" w:rsidRPr="003E2DBE" w:rsidTr="00667BF1">
        <w:trPr>
          <w:cantSplit/>
        </w:trPr>
        <w:tc>
          <w:tcPr>
            <w:tcW w:w="1612" w:type="dxa"/>
            <w:gridSpan w:val="2"/>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27.6</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31.6</w:t>
            </w:r>
          </w:p>
        </w:tc>
        <w:tc>
          <w:tcPr>
            <w:tcW w:w="1613" w:type="dxa"/>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 332.5</w:t>
            </w:r>
          </w:p>
        </w:tc>
        <w:tc>
          <w:tcPr>
            <w:tcW w:w="1612" w:type="dxa"/>
            <w:gridSpan w:val="3"/>
            <w:tcBorders>
              <w:top w:val="nil"/>
              <w:left w:val="nil"/>
              <w:bottom w:val="nil"/>
              <w:right w:val="nil"/>
            </w:tcBorders>
          </w:tcPr>
          <w:p w:rsidR="000B4A1E" w:rsidRPr="003E2DBE" w:rsidRDefault="000B4A1E" w:rsidP="00667BF1">
            <w:pPr>
              <w:pStyle w:val="Tabletext"/>
              <w:rPr>
                <w:rFonts w:eastAsiaTheme="minorEastAsia" w:cs="Calibri"/>
                <w:szCs w:val="22"/>
                <w:lang w:eastAsia="en-AU"/>
              </w:rPr>
            </w:pPr>
            <w:r w:rsidRPr="003E2DBE">
              <w:rPr>
                <w:lang w:eastAsia="en-AU"/>
              </w:rPr>
              <w:t xml:space="preserve">2 </w:t>
            </w:r>
            <w:r w:rsidRPr="003E2DBE">
              <w:rPr>
                <w:rFonts w:eastAsiaTheme="minorEastAsia" w:cs="Calibri"/>
                <w:szCs w:val="22"/>
                <w:lang w:eastAsia="en-AU"/>
              </w:rPr>
              <w:t>128.2</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w:t>
            </w:r>
          </w:p>
        </w:tc>
        <w:tc>
          <w:tcPr>
            <w:tcW w:w="1613"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hAnsi="Calibri" w:cs="Calibri"/>
                <w:sz w:val="22"/>
                <w:szCs w:val="22"/>
                <w:lang w:eastAsia="en-AU"/>
              </w:rPr>
              <w:t xml:space="preserve">2 </w:t>
            </w:r>
            <w:r w:rsidRPr="003E2DBE">
              <w:rPr>
                <w:rFonts w:ascii="Calibri" w:eastAsiaTheme="minorEastAsia" w:hAnsi="Calibri" w:cs="Calibri"/>
                <w:sz w:val="22"/>
                <w:szCs w:val="22"/>
                <w:lang w:eastAsia="en-AU"/>
              </w:rPr>
              <w:t>678.7</w:t>
            </w:r>
          </w:p>
        </w:tc>
      </w:tr>
      <w:tr w:rsidR="000B4A1E" w:rsidRPr="003E2DBE" w:rsidTr="00667BF1">
        <w:trPr>
          <w:cantSplit/>
        </w:trPr>
        <w:tc>
          <w:tcPr>
            <w:tcW w:w="1612" w:type="dxa"/>
            <w:gridSpan w:val="2"/>
            <w:tcBorders>
              <w:top w:val="single" w:sz="6" w:space="0" w:color="auto"/>
              <w:left w:val="nil"/>
              <w:bottom w:val="single" w:sz="12"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1 </w:t>
            </w:r>
            <w:r w:rsidRPr="003E2DBE">
              <w:rPr>
                <w:rFonts w:eastAsiaTheme="minorEastAsia" w:cs="Calibri"/>
                <w:b/>
                <w:bCs/>
                <w:szCs w:val="22"/>
                <w:lang w:eastAsia="en-AU"/>
              </w:rPr>
              <w:t>107.5</w:t>
            </w:r>
          </w:p>
        </w:tc>
        <w:tc>
          <w:tcPr>
            <w:tcW w:w="1613" w:type="dxa"/>
            <w:tcBorders>
              <w:top w:val="single" w:sz="6" w:space="0" w:color="auto"/>
              <w:left w:val="nil"/>
              <w:bottom w:val="single" w:sz="12"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1 </w:t>
            </w:r>
            <w:r w:rsidRPr="003E2DBE">
              <w:rPr>
                <w:rFonts w:eastAsiaTheme="minorEastAsia" w:cs="Calibri"/>
                <w:b/>
                <w:bCs/>
                <w:szCs w:val="22"/>
                <w:lang w:eastAsia="en-AU"/>
              </w:rPr>
              <w:t>142.3</w:t>
            </w:r>
          </w:p>
        </w:tc>
        <w:tc>
          <w:tcPr>
            <w:tcW w:w="1613" w:type="dxa"/>
            <w:tcBorders>
              <w:top w:val="single" w:sz="6" w:space="0" w:color="auto"/>
              <w:left w:val="nil"/>
              <w:bottom w:val="single" w:sz="12"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1 </w:t>
            </w:r>
            <w:r w:rsidRPr="003E2DBE">
              <w:rPr>
                <w:rFonts w:eastAsiaTheme="minorEastAsia" w:cs="Calibri"/>
                <w:b/>
                <w:bCs/>
                <w:szCs w:val="22"/>
                <w:lang w:eastAsia="en-AU"/>
              </w:rPr>
              <w:t>449.7</w:t>
            </w:r>
          </w:p>
        </w:tc>
        <w:tc>
          <w:tcPr>
            <w:tcW w:w="1612" w:type="dxa"/>
            <w:gridSpan w:val="3"/>
            <w:tcBorders>
              <w:top w:val="single" w:sz="6" w:space="0" w:color="auto"/>
              <w:left w:val="nil"/>
              <w:bottom w:val="single" w:sz="12" w:space="0" w:color="auto"/>
              <w:right w:val="nil"/>
            </w:tcBorders>
          </w:tcPr>
          <w:p w:rsidR="000B4A1E" w:rsidRPr="003E2DBE" w:rsidRDefault="000B4A1E" w:rsidP="00667BF1">
            <w:pPr>
              <w:pStyle w:val="Tabletext"/>
              <w:rPr>
                <w:rFonts w:eastAsiaTheme="minorEastAsia" w:cs="Calibri"/>
                <w:b/>
                <w:bCs/>
                <w:szCs w:val="22"/>
                <w:lang w:eastAsia="en-AU"/>
              </w:rPr>
            </w:pPr>
            <w:r w:rsidRPr="003E2DBE">
              <w:rPr>
                <w:b/>
                <w:bCs/>
                <w:lang w:eastAsia="en-AU"/>
              </w:rPr>
              <w:t xml:space="preserve">15 </w:t>
            </w:r>
            <w:r w:rsidRPr="003E2DBE">
              <w:rPr>
                <w:rFonts w:eastAsiaTheme="minorEastAsia" w:cs="Calibri"/>
                <w:b/>
                <w:bCs/>
                <w:szCs w:val="22"/>
                <w:lang w:eastAsia="en-AU"/>
              </w:rPr>
              <w:t>348.1</w:t>
            </w:r>
          </w:p>
        </w:tc>
        <w:tc>
          <w:tcPr>
            <w:tcW w:w="1613"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 xml:space="preserve">2 </w:t>
            </w:r>
            <w:r w:rsidRPr="003E2DBE">
              <w:rPr>
                <w:rFonts w:ascii="Calibri" w:eastAsiaTheme="minorEastAsia" w:hAnsi="Calibri" w:cs="Calibri"/>
                <w:b/>
                <w:bCs/>
                <w:sz w:val="22"/>
                <w:szCs w:val="22"/>
                <w:lang w:eastAsia="en-AU"/>
              </w:rPr>
              <w:t>915.3</w:t>
            </w:r>
          </w:p>
        </w:tc>
        <w:tc>
          <w:tcPr>
            <w:tcW w:w="1613" w:type="dxa"/>
            <w:tcBorders>
              <w:top w:val="single" w:sz="6" w:space="0" w:color="auto"/>
              <w:left w:val="nil"/>
              <w:bottom w:val="single" w:sz="12" w:space="0" w:color="auto"/>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b/>
                <w:bCs/>
                <w:sz w:val="22"/>
                <w:szCs w:val="22"/>
                <w:lang w:eastAsia="en-AU"/>
              </w:rPr>
            </w:pPr>
            <w:r w:rsidRPr="003E2DBE">
              <w:rPr>
                <w:rFonts w:ascii="Calibri" w:hAnsi="Calibri" w:cs="Calibri"/>
                <w:b/>
                <w:bCs/>
                <w:sz w:val="22"/>
                <w:szCs w:val="22"/>
                <w:lang w:eastAsia="en-AU"/>
              </w:rPr>
              <w:t xml:space="preserve">25 </w:t>
            </w:r>
            <w:r w:rsidRPr="003E2DBE">
              <w:rPr>
                <w:rFonts w:ascii="Calibri" w:eastAsiaTheme="minorEastAsia" w:hAnsi="Calibri" w:cs="Calibri"/>
                <w:b/>
                <w:bCs/>
                <w:sz w:val="22"/>
                <w:szCs w:val="22"/>
                <w:lang w:eastAsia="en-AU"/>
              </w:rPr>
              <w:t>541.6</w:t>
            </w:r>
          </w:p>
        </w:tc>
      </w:tr>
    </w:tbl>
    <w:p w:rsidR="000B4A1E" w:rsidRPr="00D00665" w:rsidRDefault="000B4A1E" w:rsidP="00517E51">
      <w:pPr>
        <w:pStyle w:val="million"/>
      </w:pPr>
    </w:p>
    <w:p w:rsidR="000B4A1E" w:rsidRPr="00D00665" w:rsidRDefault="000B4A1E" w:rsidP="00517E51">
      <w:pPr>
        <w:pStyle w:val="Heading2NotesContd"/>
      </w:pPr>
      <w:r w:rsidRPr="00D00665">
        <w:br w:type="page"/>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D00665" w:rsidRDefault="000B4A1E" w:rsidP="00517E51">
      <w:pPr>
        <w:pStyle w:val="Heading5"/>
      </w:pPr>
      <w:r w:rsidRPr="00D00665">
        <w:t>(g)</w:t>
      </w:r>
      <w:r w:rsidRPr="00D00665">
        <w:tab/>
        <w:t>Foreign currency risk</w:t>
      </w:r>
    </w:p>
    <w:p w:rsidR="000B4A1E" w:rsidRPr="00D00665" w:rsidRDefault="000B4A1E" w:rsidP="00517E51">
      <w:r w:rsidRPr="00D00665">
        <w:t>The State is also exposed to foreign currency risk through investments in foreign currency denominated financial assets, such as equities and deposits.</w:t>
      </w:r>
    </w:p>
    <w:p w:rsidR="000B4A1E" w:rsidRPr="00D00665" w:rsidRDefault="000B4A1E" w:rsidP="00517E51">
      <w:r w:rsidRPr="00D00665">
        <w:t xml:space="preserve">The State is exposed to movements in the United States dollar, Canadian dollar, Japanese yen, Swiss francs, the </w:t>
      </w:r>
      <w:r w:rsidR="00687D82">
        <w:t>e</w:t>
      </w:r>
      <w:r w:rsidRPr="00D00665">
        <w:t>uro, British pound and the New Zealand dollar.</w:t>
      </w:r>
    </w:p>
    <w:p w:rsidR="000B4A1E" w:rsidRPr="00D00665" w:rsidRDefault="000B4A1E" w:rsidP="00517E51">
      <w:r w:rsidRPr="00D00665">
        <w:t>The carrying amount of the State</w:t>
      </w:r>
      <w:r>
        <w:t>’</w:t>
      </w:r>
      <w:r w:rsidRPr="00D00665">
        <w:t>s foreign currency denominated monetary assets and monetary liabilities at the reporting date is as follows:</w:t>
      </w:r>
    </w:p>
    <w:p w:rsidR="000B4A1E" w:rsidRPr="00D00665" w:rsidRDefault="000B4A1E" w:rsidP="00517E51">
      <w:pPr>
        <w:pStyle w:val="Heading5"/>
      </w:pPr>
      <w:r w:rsidRPr="00D00665">
        <w:t>Australian dollar equivalent of foreign currency denominated monetary assets and liabilities</w:t>
      </w:r>
    </w:p>
    <w:p w:rsidR="000B4A1E" w:rsidRPr="003E2DBE" w:rsidRDefault="000B4A1E" w:rsidP="00517E51">
      <w:pPr>
        <w:pStyle w:val="million"/>
        <w:rPr>
          <w:rFonts w:ascii="Times New Roman" w:hAnsi="Times New Roman"/>
          <w:lang w:eastAsia="en-AU"/>
        </w:rPr>
      </w:pPr>
      <w:r w:rsidRPr="00D00665">
        <w:t>($</w:t>
      </w:r>
      <w:r>
        <w:t> million</w:t>
      </w:r>
      <w:r w:rsidRPr="00D00665">
        <w:t>)</w:t>
      </w:r>
      <w:bookmarkStart w:id="128" w:name="RANGE!C399:G409"/>
      <w:bookmarkStart w:id="129" w:name="RANGE!C391:G401"/>
      <w:bookmarkStart w:id="130" w:name="RANGE!C385:G395"/>
      <w:bookmarkStart w:id="131" w:name="RANGE!C377:G387"/>
      <w:bookmarkStart w:id="132" w:name="RANGE!C349:G359"/>
      <w:bookmarkStart w:id="133" w:name="RANGE!C348:G358"/>
      <w:bookmarkStart w:id="134" w:name="RANGE!C375:G385"/>
      <w:bookmarkStart w:id="135" w:name="RANGE!C389:G399"/>
    </w:p>
    <w:tbl>
      <w:tblPr>
        <w:tblW w:w="9648" w:type="dxa"/>
        <w:tblInd w:w="29" w:type="dxa"/>
        <w:tblCellMar>
          <w:left w:w="43" w:type="dxa"/>
          <w:right w:w="43" w:type="dxa"/>
        </w:tblCellMar>
        <w:tblLook w:val="04A0" w:firstRow="1" w:lastRow="0" w:firstColumn="1" w:lastColumn="0" w:noHBand="0" w:noVBand="1"/>
      </w:tblPr>
      <w:tblGrid>
        <w:gridCol w:w="5156"/>
        <w:gridCol w:w="106"/>
        <w:gridCol w:w="1017"/>
        <w:gridCol w:w="1123"/>
        <w:gridCol w:w="106"/>
        <w:gridCol w:w="1017"/>
        <w:gridCol w:w="1123"/>
      </w:tblGrid>
      <w:tr w:rsidR="000B4A1E" w:rsidRPr="003E2DBE" w:rsidTr="00517E51">
        <w:trPr>
          <w:divId w:val="1972056218"/>
        </w:trPr>
        <w:tc>
          <w:tcPr>
            <w:tcW w:w="5156"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bookmarkEnd w:id="128"/>
          </w:p>
        </w:tc>
        <w:tc>
          <w:tcPr>
            <w:tcW w:w="106" w:type="dxa"/>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 </w:t>
            </w:r>
          </w:p>
        </w:tc>
        <w:tc>
          <w:tcPr>
            <w:tcW w:w="2140"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517E51">
        <w:trPr>
          <w:divId w:val="1972056218"/>
        </w:trPr>
        <w:tc>
          <w:tcPr>
            <w:tcW w:w="5156"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gridSpan w:val="2"/>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2012</w:t>
            </w:r>
          </w:p>
        </w:tc>
        <w:tc>
          <w:tcPr>
            <w:tcW w:w="1123" w:type="dxa"/>
            <w:gridSpan w:val="2"/>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2013</w:t>
            </w:r>
          </w:p>
        </w:tc>
        <w:tc>
          <w:tcPr>
            <w:tcW w:w="1123" w:type="dxa"/>
            <w:tcBorders>
              <w:top w:val="nil"/>
              <w:left w:val="nil"/>
              <w:bottom w:val="single" w:sz="4" w:space="0" w:color="auto"/>
              <w:right w:val="single" w:sz="4" w:space="0" w:color="auto"/>
            </w:tcBorders>
            <w:shd w:val="clear" w:color="auto" w:fill="000000"/>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1972056218"/>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b/>
                <w:lang w:eastAsia="en-AU"/>
              </w:rPr>
            </w:pPr>
            <w:r w:rsidRPr="003E2DBE">
              <w:rPr>
                <w:b/>
                <w:lang w:eastAsia="en-AU"/>
              </w:rPr>
              <w:t>Monetary assets</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1972056218"/>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Cash and deposits</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73.7</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135.0</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0.1</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Pr>
                <w:lang w:eastAsia="en-AU"/>
              </w:rPr>
              <w:t>..</w:t>
            </w:r>
          </w:p>
        </w:tc>
      </w:tr>
      <w:tr w:rsidR="000B4A1E" w:rsidRPr="003E2DBE" w:rsidTr="00517E51">
        <w:trPr>
          <w:divId w:val="1972056218"/>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Term deposits</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0.1</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972056218"/>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Debt securities</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54.9</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181.2</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972056218"/>
        </w:trPr>
        <w:tc>
          <w:tcPr>
            <w:tcW w:w="5156"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text"/>
              <w:rPr>
                <w:b/>
                <w:lang w:eastAsia="en-AU"/>
              </w:rPr>
            </w:pPr>
            <w:r w:rsidRPr="003E2DBE">
              <w:rPr>
                <w:b/>
                <w:lang w:eastAsia="en-AU"/>
              </w:rPr>
              <w:t xml:space="preserve">Total monetary assets </w:t>
            </w:r>
            <w:r w:rsidRPr="003E2DBE">
              <w:rPr>
                <w:b/>
                <w:vertAlign w:val="superscript"/>
                <w:lang w:eastAsia="en-AU"/>
              </w:rPr>
              <w:t>(a)</w:t>
            </w:r>
          </w:p>
        </w:tc>
        <w:tc>
          <w:tcPr>
            <w:tcW w:w="1123" w:type="dxa"/>
            <w:gridSpan w:val="2"/>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128.7</w:t>
            </w:r>
          </w:p>
        </w:tc>
        <w:tc>
          <w:tcPr>
            <w:tcW w:w="1123"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316.3</w:t>
            </w:r>
          </w:p>
        </w:tc>
        <w:tc>
          <w:tcPr>
            <w:tcW w:w="1123" w:type="dxa"/>
            <w:gridSpan w:val="2"/>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0.1</w:t>
            </w:r>
          </w:p>
        </w:tc>
        <w:tc>
          <w:tcPr>
            <w:tcW w:w="1123"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Pr>
                <w:b/>
                <w:bCs/>
                <w:lang w:eastAsia="en-AU"/>
              </w:rPr>
              <w:t>..</w:t>
            </w:r>
          </w:p>
        </w:tc>
      </w:tr>
      <w:tr w:rsidR="000B4A1E" w:rsidRPr="003E2DBE" w:rsidTr="00517E51">
        <w:trPr>
          <w:divId w:val="1972056218"/>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b/>
                <w:lang w:eastAsia="en-AU"/>
              </w:rPr>
            </w:pPr>
            <w:r w:rsidRPr="003E2DBE">
              <w:rPr>
                <w:b/>
                <w:lang w:eastAsia="en-AU"/>
              </w:rPr>
              <w:t>Monetary liabilities</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b/>
                <w:lang w:eastAsia="en-AU"/>
              </w:rPr>
            </w:pPr>
            <w:r w:rsidRPr="003E2DBE">
              <w:rPr>
                <w:b/>
                <w:lang w:eastAsia="en-AU"/>
              </w:rPr>
              <w:t xml:space="preserve">  </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b/>
                <w:lang w:eastAsia="en-AU"/>
              </w:rPr>
            </w:pPr>
            <w:r w:rsidRPr="003E2DBE">
              <w:rPr>
                <w:b/>
                <w:lang w:eastAsia="en-AU"/>
              </w:rPr>
              <w:t xml:space="preserve"> </w:t>
            </w:r>
          </w:p>
        </w:tc>
      </w:tr>
      <w:tr w:rsidR="000B4A1E" w:rsidRPr="003E2DBE" w:rsidTr="00517E51">
        <w:trPr>
          <w:divId w:val="1972056218"/>
        </w:trPr>
        <w:tc>
          <w:tcPr>
            <w:tcW w:w="5156"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Payables</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123" w:type="dxa"/>
            <w:gridSpan w:val="2"/>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1972056218"/>
        </w:trPr>
        <w:tc>
          <w:tcPr>
            <w:tcW w:w="5156"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Borrowings</w:t>
            </w:r>
          </w:p>
        </w:tc>
        <w:tc>
          <w:tcPr>
            <w:tcW w:w="1123"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531.0)</w:t>
            </w:r>
          </w:p>
        </w:tc>
        <w:tc>
          <w:tcPr>
            <w:tcW w:w="1123"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(1</w:t>
            </w:r>
            <w:r w:rsidRPr="003E2DBE">
              <w:rPr>
                <w:rFonts w:cs="Calibri"/>
                <w:szCs w:val="22"/>
                <w:lang w:eastAsia="en-AU"/>
              </w:rPr>
              <w:t xml:space="preserve"> 272.8)</w:t>
            </w:r>
          </w:p>
        </w:tc>
        <w:tc>
          <w:tcPr>
            <w:tcW w:w="1123"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1972056218"/>
        </w:trPr>
        <w:tc>
          <w:tcPr>
            <w:tcW w:w="5156"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lang w:eastAsia="en-AU"/>
              </w:rPr>
            </w:pPr>
            <w:r w:rsidRPr="003E2DBE">
              <w:rPr>
                <w:b/>
                <w:lang w:eastAsia="en-AU"/>
              </w:rPr>
              <w:t>Total monetary liabilities</w:t>
            </w:r>
          </w:p>
        </w:tc>
        <w:tc>
          <w:tcPr>
            <w:tcW w:w="1123"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w:t>
            </w:r>
            <w:r w:rsidRPr="003E2DBE">
              <w:rPr>
                <w:rFonts w:cs="Calibri"/>
                <w:b/>
                <w:bCs/>
                <w:szCs w:val="22"/>
                <w:lang w:eastAsia="en-AU"/>
              </w:rPr>
              <w:t>531.0)</w:t>
            </w:r>
          </w:p>
        </w:tc>
        <w:tc>
          <w:tcPr>
            <w:tcW w:w="1123"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(1</w:t>
            </w:r>
            <w:r w:rsidRPr="003E2DBE">
              <w:rPr>
                <w:rFonts w:cs="Calibri"/>
                <w:b/>
                <w:bCs/>
                <w:szCs w:val="22"/>
                <w:lang w:eastAsia="en-AU"/>
              </w:rPr>
              <w:t xml:space="preserve"> 272.8)</w:t>
            </w:r>
          </w:p>
        </w:tc>
        <w:tc>
          <w:tcPr>
            <w:tcW w:w="1123"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w:t>
            </w:r>
          </w:p>
        </w:tc>
        <w:tc>
          <w:tcPr>
            <w:tcW w:w="1123"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w:t>
            </w:r>
          </w:p>
        </w:tc>
      </w:tr>
    </w:tbl>
    <w:bookmarkEnd w:id="129"/>
    <w:bookmarkEnd w:id="130"/>
    <w:bookmarkEnd w:id="131"/>
    <w:bookmarkEnd w:id="132"/>
    <w:bookmarkEnd w:id="133"/>
    <w:bookmarkEnd w:id="134"/>
    <w:bookmarkEnd w:id="135"/>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In addition the State held $4</w:t>
      </w:r>
      <w:r w:rsidR="00405D0E">
        <w:t> </w:t>
      </w:r>
      <w:r w:rsidRPr="00D00665">
        <w:t>703.9</w:t>
      </w:r>
      <w:r>
        <w:t> million</w:t>
      </w:r>
      <w:r w:rsidRPr="00D00665">
        <w:t xml:space="preserve"> (2012: $3</w:t>
      </w:r>
      <w:r w:rsidR="00405D0E">
        <w:t> </w:t>
      </w:r>
      <w:r w:rsidRPr="00D00665">
        <w:t>718.0</w:t>
      </w:r>
      <w:r>
        <w:t> million</w:t>
      </w:r>
      <w:r w:rsidRPr="00D00665">
        <w:t>) of equities and managed investment schemes denominated in foreign currencies.</w:t>
      </w:r>
    </w:p>
    <w:p w:rsidR="000B4A1E" w:rsidRPr="00D00665" w:rsidRDefault="000B4A1E" w:rsidP="00517E51"/>
    <w:p w:rsidR="000B4A1E" w:rsidRPr="00D00665" w:rsidRDefault="000B4A1E" w:rsidP="00517E51">
      <w:r w:rsidRPr="00D00665">
        <w:t>The Victorian Funds Management Corporation (VFMC), the State</w:t>
      </w:r>
      <w:r>
        <w:t>’</w:t>
      </w:r>
      <w:r w:rsidRPr="00D00665">
        <w:t>s fund manager, applies a consolidated approach in managing the foreign currency exposure in accordance with investment risk management plans as approved by the Treasurer. VFMC</w:t>
      </w:r>
      <w:r>
        <w:t>’</w:t>
      </w:r>
      <w:r w:rsidRPr="00D00665">
        <w:t>s approach is to hedge approximately 50</w:t>
      </w:r>
      <w:r>
        <w:t> per cent</w:t>
      </w:r>
      <w:r w:rsidRPr="00D00665">
        <w:t xml:space="preserve"> of the foreign currency exposure arising from international equities, and to fully hedge foreign currency exposures arising from other offshore assets such as infrastructure, property and hedge funds.</w:t>
      </w:r>
    </w:p>
    <w:p w:rsidR="000B4A1E" w:rsidRPr="00D00665" w:rsidRDefault="000B4A1E" w:rsidP="00517E51">
      <w:r w:rsidRPr="00D00665">
        <w:t>TCV is the State</w:t>
      </w:r>
      <w:r>
        <w:t>’</w:t>
      </w:r>
      <w:r w:rsidRPr="00D00665">
        <w:t>s central borrowing authority and part of its funding program is comprised of foreign currency borrowings. The State</w:t>
      </w:r>
      <w:r>
        <w:t>’</w:t>
      </w:r>
      <w:r w:rsidRPr="00D00665">
        <w:t xml:space="preserve">s policy is to hedge any material foreign currency exposures arising from borrowings. TCV uses foreign exchange options, spot and forward foreign exchange rate contracts in the management of offshore borrowings. </w:t>
      </w:r>
    </w:p>
    <w:p w:rsidR="000B4A1E" w:rsidRPr="00D00665" w:rsidRDefault="000B4A1E" w:rsidP="00517E51">
      <w:r w:rsidRPr="00D00665">
        <w:t>There has been no material change in the State</w:t>
      </w:r>
      <w:r>
        <w:t>’</w:t>
      </w:r>
      <w:r w:rsidRPr="00D00665">
        <w:t>s exposure to foreign currency risk or the manner in which it manages and measures the risk from the previous reporting period.</w:t>
      </w:r>
    </w:p>
    <w:p w:rsidR="000B4A1E" w:rsidRPr="00D00665" w:rsidRDefault="000B4A1E" w:rsidP="00517E51">
      <w:pPr>
        <w:pStyle w:val="Heading5a"/>
      </w:pPr>
      <w:r w:rsidRPr="00D00665">
        <w:t>Foreign currency sensitivity analysis</w:t>
      </w:r>
    </w:p>
    <w:p w:rsidR="000B4A1E" w:rsidRPr="00D00665" w:rsidRDefault="000B4A1E" w:rsidP="00517E51">
      <w:r w:rsidRPr="00D00665">
        <w:t>The State has analysed the possible effects of feasible change in exchange rates against the Australian dollar on its financial position and result using the following assumptions:</w:t>
      </w:r>
    </w:p>
    <w:p w:rsidR="000B4A1E" w:rsidRPr="00D00665" w:rsidRDefault="000B4A1E" w:rsidP="00517E51">
      <w:pPr>
        <w:pStyle w:val="BulletText"/>
      </w:pPr>
      <w:r w:rsidRPr="00D00665">
        <w:t>exposure to the pool of foreign currencies for both derivative and non</w:t>
      </w:r>
      <w:r w:rsidRPr="00D00665">
        <w:noBreakHyphen/>
        <w:t>derivative instruments at the reporting date, and the stipulated change taking place at the beginning of the financial year are held constant throughout the reporting period; and</w:t>
      </w:r>
    </w:p>
    <w:p w:rsidR="000B4A1E" w:rsidRPr="00D00665" w:rsidRDefault="000B4A1E" w:rsidP="00517E51">
      <w:pPr>
        <w:pStyle w:val="BulletText"/>
      </w:pPr>
      <w:r w:rsidRPr="00D00665">
        <w:t>based on historic movements, future expectations and management</w:t>
      </w:r>
      <w:r>
        <w:t>’</w:t>
      </w:r>
      <w:r w:rsidRPr="00D00665">
        <w:t>s knowledge and experience of the foreign currency markets, the State has assessed that it may be exposed to an increase or decrease of 15</w:t>
      </w:r>
      <w:r>
        <w:t> per cent</w:t>
      </w:r>
      <w:r w:rsidRPr="00D00665">
        <w:t xml:space="preserve"> against the Australian dollar (2012: 15</w:t>
      </w:r>
      <w:r>
        <w:t> per cent</w:t>
      </w:r>
      <w:r w:rsidRPr="00D00665">
        <w:t>).</w:t>
      </w:r>
    </w:p>
    <w:p w:rsidR="000B4A1E" w:rsidRPr="00D00665" w:rsidRDefault="000B4A1E" w:rsidP="00517E51">
      <w:pPr>
        <w:pStyle w:val="Heading2NotesContd"/>
      </w:pPr>
      <w:r w:rsidRPr="00D00665">
        <w:br w:type="page"/>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D00665" w:rsidRDefault="000B4A1E" w:rsidP="00517E51">
      <w:r w:rsidRPr="00D00665">
        <w:t>With all other variables held constant, the impact of a 15</w:t>
      </w:r>
      <w:r>
        <w:t> per cent</w:t>
      </w:r>
      <w:r w:rsidRPr="00D00665">
        <w:t xml:space="preserve"> increase or decrease in exchange rates on economic flows and net assets at 30 June 2013 is $111.5</w:t>
      </w:r>
      <w:r>
        <w:t> million</w:t>
      </w:r>
      <w:r w:rsidRPr="00D00665">
        <w:t xml:space="preserve"> decrease/$143.3</w:t>
      </w:r>
      <w:r>
        <w:t> million</w:t>
      </w:r>
      <w:r w:rsidRPr="00D00665">
        <w:t xml:space="preserve"> increase (2012: $43.8</w:t>
      </w:r>
      <w:r>
        <w:t> million</w:t>
      </w:r>
      <w:r w:rsidRPr="00D00665">
        <w:t xml:space="preserve"> decrease/$96.4</w:t>
      </w:r>
      <w:r>
        <w:t> million</w:t>
      </w:r>
      <w:r w:rsidRPr="00D00665">
        <w:t xml:space="preserve"> increase). </w:t>
      </w:r>
    </w:p>
    <w:p w:rsidR="000B4A1E" w:rsidRPr="00D00665" w:rsidRDefault="000B4A1E" w:rsidP="00517E51">
      <w:r w:rsidRPr="00D00665">
        <w:t>The State</w:t>
      </w:r>
      <w:r>
        <w:t>’</w:t>
      </w:r>
      <w:r w:rsidRPr="00D00665">
        <w:t>s exposure to direct foreign currency risk has no material impact on the net result from transactions.</w:t>
      </w:r>
    </w:p>
    <w:p w:rsidR="000B4A1E" w:rsidRPr="00D00665" w:rsidRDefault="000B4A1E" w:rsidP="00517E51">
      <w:pPr>
        <w:pStyle w:val="Heading5"/>
      </w:pPr>
      <w:r w:rsidRPr="00D00665">
        <w:t>(h)</w:t>
      </w:r>
      <w:r w:rsidRPr="00D00665">
        <w:tab/>
        <w:t>Equity price risk</w:t>
      </w:r>
    </w:p>
    <w:p w:rsidR="000B4A1E" w:rsidRPr="00D00665" w:rsidRDefault="000B4A1E" w:rsidP="00517E51">
      <w:pPr>
        <w:pStyle w:val="Heading5a"/>
      </w:pPr>
      <w:r w:rsidRPr="00D00665">
        <w:t>Equity price risk management</w:t>
      </w:r>
    </w:p>
    <w:p w:rsidR="000B4A1E" w:rsidRPr="00D00665" w:rsidRDefault="000B4A1E" w:rsidP="00517E51">
      <w:r w:rsidRPr="00D00665">
        <w:t>The State is exposed to equity price risk from Australian and international investments in equities and managed investment schemes. Such investments are allocated and traded to match investment  objectives appropriate to the State</w:t>
      </w:r>
      <w:r>
        <w:t>’</w:t>
      </w:r>
      <w:r w:rsidRPr="00D00665">
        <w:t xml:space="preserve">s liabilities. The State limits its equity price risk through diversifying its investment portfolio. This is determined by VFMC and reflected in the Investment Risk Management Plan approved by the Treasurer, and in accordance with the </w:t>
      </w:r>
      <w:r w:rsidRPr="00D00665">
        <w:rPr>
          <w:i/>
        </w:rPr>
        <w:t>Borrowing and Investments Powers Act 1987</w:t>
      </w:r>
      <w:r w:rsidRPr="00D00665">
        <w:t xml:space="preserve"> (BIP Act) and the prudential supervisory policies and framework of the State.</w:t>
      </w:r>
    </w:p>
    <w:p w:rsidR="000B4A1E" w:rsidRPr="00D00665" w:rsidRDefault="000B4A1E" w:rsidP="00517E51">
      <w:pPr>
        <w:pStyle w:val="Heading5a"/>
      </w:pPr>
      <w:r w:rsidRPr="00D00665">
        <w:t>Equity price sensitivity analysis</w:t>
      </w:r>
    </w:p>
    <w:p w:rsidR="000B4A1E" w:rsidRPr="00D00665" w:rsidRDefault="000B4A1E" w:rsidP="00517E51">
      <w:r w:rsidRPr="00D00665">
        <w:t>The State has analysed the possible effects of feasible changes in equity prices on its financial position and result using the following assumptions:</w:t>
      </w:r>
    </w:p>
    <w:p w:rsidR="000B4A1E" w:rsidRPr="00D00665" w:rsidRDefault="000B4A1E" w:rsidP="00517E51">
      <w:pPr>
        <w:pStyle w:val="BulletText"/>
      </w:pPr>
      <w:r w:rsidRPr="00D00665">
        <w:t>exposure to equity securities for both derivative and non</w:t>
      </w:r>
      <w:r w:rsidRPr="00D00665">
        <w:noBreakHyphen/>
        <w:t>derivative instruments at the reporting date, and the stipulated change taking place at the beginning of the financial year are held constant throughout the reporting period;</w:t>
      </w:r>
    </w:p>
    <w:p w:rsidR="000B4A1E" w:rsidRPr="00D00665" w:rsidRDefault="000B4A1E" w:rsidP="00517E51">
      <w:pPr>
        <w:pStyle w:val="BulletText"/>
      </w:pPr>
      <w:r w:rsidRPr="00D00665">
        <w:t>based on historic movements, future expectations and management</w:t>
      </w:r>
      <w:r>
        <w:t>’s knowledge and experience of </w:t>
      </w:r>
      <w:r w:rsidRPr="00D00665">
        <w:t>the volatility of the equity markets, the State has assessed that it may be exposed to a reasonably possible increase or decrease of 15</w:t>
      </w:r>
      <w:r>
        <w:t> per cent</w:t>
      </w:r>
      <w:r w:rsidRPr="00D00665">
        <w:t xml:space="preserve"> to equity prices (2012: increase or decrease of 15</w:t>
      </w:r>
      <w:r>
        <w:t> per cent</w:t>
      </w:r>
      <w:r w:rsidRPr="00D00665">
        <w:t>); and</w:t>
      </w:r>
    </w:p>
    <w:p w:rsidR="000B4A1E" w:rsidRPr="00D00665" w:rsidRDefault="000B4A1E" w:rsidP="00517E51">
      <w:pPr>
        <w:pStyle w:val="BulletText"/>
      </w:pPr>
      <w:r w:rsidRPr="00D00665">
        <w:t>with all other variables held constant, the impact of a 15</w:t>
      </w:r>
      <w:r>
        <w:t> per cent</w:t>
      </w:r>
      <w:r w:rsidRPr="00D00665">
        <w:t xml:space="preserve"> increase or decrease in listed equities on economic flows and net assets at 30 June 2013 is $</w:t>
      </w:r>
      <w:r>
        <w:t>372 million</w:t>
      </w:r>
      <w:r w:rsidRPr="00D00665">
        <w:t xml:space="preserve"> increase/$</w:t>
      </w:r>
      <w:r>
        <w:t>372 million</w:t>
      </w:r>
      <w:r w:rsidRPr="00D00665">
        <w:t xml:space="preserve"> decrease (2012: $360.3</w:t>
      </w:r>
      <w:r>
        <w:t> million</w:t>
      </w:r>
      <w:r w:rsidRPr="00D00665">
        <w:t xml:space="preserve"> increase/$346.9</w:t>
      </w:r>
      <w:r>
        <w:t> million</w:t>
      </w:r>
      <w:r w:rsidRPr="00D00665">
        <w:t xml:space="preserve"> decrease) and from unlisted equities is $1 036.1</w:t>
      </w:r>
      <w:r>
        <w:t> million</w:t>
      </w:r>
      <w:r w:rsidRPr="00D00665">
        <w:t xml:space="preserve"> increase/$1 136.2</w:t>
      </w:r>
      <w:r>
        <w:t> million</w:t>
      </w:r>
      <w:r w:rsidRPr="00D00665">
        <w:t xml:space="preserve"> decrease (2012: $799.4</w:t>
      </w:r>
      <w:r>
        <w:t> million</w:t>
      </w:r>
      <w:r w:rsidRPr="00D00665">
        <w:t xml:space="preserve"> increase/$799.4</w:t>
      </w:r>
      <w:r>
        <w:t> million</w:t>
      </w:r>
      <w:r w:rsidRPr="00D00665">
        <w:t xml:space="preserve"> decrease).</w:t>
      </w:r>
    </w:p>
    <w:p w:rsidR="000B4A1E" w:rsidRPr="00D00665" w:rsidRDefault="000B4A1E" w:rsidP="00517E51">
      <w:r w:rsidRPr="00D00665">
        <w:t>The State</w:t>
      </w:r>
      <w:r>
        <w:t>’</w:t>
      </w:r>
      <w:r w:rsidRPr="00D00665">
        <w:t>s exposure to equity price sensitivity has no direct impact on the net result from transactions.</w:t>
      </w:r>
    </w:p>
    <w:p w:rsidR="000B4A1E" w:rsidRPr="00D00665" w:rsidRDefault="000B4A1E" w:rsidP="00517E51">
      <w:r w:rsidRPr="00D00665">
        <w:t>There has been no material change in the State</w:t>
      </w:r>
      <w:r>
        <w:t>’</w:t>
      </w:r>
      <w:r w:rsidRPr="00D00665">
        <w:t>s exposure to equity price risk or the manner in which it manages and measures the risk from the previous reporting period.</w:t>
      </w:r>
    </w:p>
    <w:p w:rsidR="000B4A1E" w:rsidRPr="00D00665" w:rsidRDefault="000B4A1E" w:rsidP="00517E51">
      <w:pPr>
        <w:pStyle w:val="Heading5"/>
      </w:pPr>
      <w:r w:rsidRPr="00D00665">
        <w:t>(i)</w:t>
      </w:r>
      <w:r w:rsidRPr="00D00665">
        <w:tab/>
        <w:t>Credit risk</w:t>
      </w:r>
    </w:p>
    <w:p w:rsidR="000B4A1E" w:rsidRPr="00D00665" w:rsidRDefault="000B4A1E" w:rsidP="00517E51">
      <w:r w:rsidRPr="00D00665">
        <w:t>Credit risk refers to the possibility that a borrower will default on its financial obligations as and when they fall due. The State</w:t>
      </w:r>
      <w:r>
        <w:t>’</w:t>
      </w:r>
      <w:r w:rsidRPr="00D00665">
        <w:t>s exposure to credit risk mainly arises through its investments in fixed interest instruments. Most of the State</w:t>
      </w:r>
      <w:r>
        <w:t>’</w:t>
      </w:r>
      <w:r w:rsidRPr="00D00665">
        <w:t>s investments and derivatives are centrally managed by TCV and VFMC. Limits are set both in terms of the quality and amount of credit exposure in accordance with the BIP Act and the prudential supervisory policies and framework of the State.</w:t>
      </w:r>
    </w:p>
    <w:p w:rsidR="000B4A1E" w:rsidRPr="00D00665" w:rsidRDefault="000B4A1E" w:rsidP="00517E51">
      <w:r w:rsidRPr="00D00665">
        <w:t>The State does not have any significant credit risk exposure to any single counterparty or to any group of counterparties having similar characteristics.</w:t>
      </w:r>
    </w:p>
    <w:p w:rsidR="000B4A1E" w:rsidRPr="00D00665" w:rsidRDefault="000B4A1E" w:rsidP="00517E51">
      <w:r w:rsidRPr="00D00665">
        <w:t>The State</w:t>
      </w:r>
      <w:r>
        <w:t>’</w:t>
      </w:r>
      <w:r w:rsidRPr="00D00665">
        <w:t xml:space="preserve">s maximum exposure to credit risk, without taking account of the value of any collateral obtained at the reporting date, in relation to each class of recognised financial asset, is the carrying amount of those assets as recognised in the balance sheet. </w:t>
      </w:r>
    </w:p>
    <w:p w:rsidR="000B4A1E" w:rsidRPr="00D00665" w:rsidRDefault="000B4A1E" w:rsidP="00517E51">
      <w:r w:rsidRPr="00D00665">
        <w:t>There has been no material change to the State</w:t>
      </w:r>
      <w:r>
        <w:t>’</w:t>
      </w:r>
      <w:r w:rsidRPr="00D00665">
        <w:t>s credit risk profile in 2012</w:t>
      </w:r>
      <w:r w:rsidRPr="00D00665">
        <w:noBreakHyphen/>
        <w:t>13.</w:t>
      </w:r>
    </w:p>
    <w:p w:rsidR="000B4A1E" w:rsidRPr="00D00665" w:rsidRDefault="000B4A1E" w:rsidP="00517E51">
      <w:pPr>
        <w:pStyle w:val="Heading2NotesContd"/>
      </w:pPr>
      <w:r w:rsidRPr="00D00665">
        <w:br w:type="page"/>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D00665" w:rsidRDefault="000B4A1E" w:rsidP="00517E51">
      <w:pPr>
        <w:pStyle w:val="Heading5"/>
      </w:pPr>
      <w:r w:rsidRPr="00D00665">
        <w:t>(j)</w:t>
      </w:r>
      <w:r w:rsidRPr="00D00665">
        <w:tab/>
        <w:t>Liquidity risk</w:t>
      </w:r>
    </w:p>
    <w:p w:rsidR="000B4A1E" w:rsidRPr="00D00665" w:rsidRDefault="000B4A1E" w:rsidP="00517E51">
      <w:r w:rsidRPr="00D00665">
        <w:t>Liquidity risk arises from being unable to meet financial obligations as they fall due. The State is exposed to liquidity risk mainly through the maturity of its external borrowings raised by TCV and the requirement to fund cash deficits. Liquidity management policy has three main components as follows.</w:t>
      </w:r>
    </w:p>
    <w:p w:rsidR="000B4A1E" w:rsidRPr="00D00665" w:rsidRDefault="000B4A1E" w:rsidP="00517E51">
      <w:pPr>
        <w:pStyle w:val="Heading5a"/>
      </w:pPr>
      <w:r w:rsidRPr="00D00665">
        <w:t>Short term liquidity management and control</w:t>
      </w:r>
    </w:p>
    <w:p w:rsidR="000B4A1E" w:rsidRPr="00D00665" w:rsidRDefault="000B4A1E" w:rsidP="00517E51">
      <w:r w:rsidRPr="00D00665">
        <w:t>The State</w:t>
      </w:r>
      <w:r>
        <w:t>’</w:t>
      </w:r>
      <w:r w:rsidRPr="00D00665">
        <w:t>s central treasury, TCV, is responsible for ensuring that the State</w:t>
      </w:r>
      <w:r>
        <w:t>’</w:t>
      </w:r>
      <w:r w:rsidRPr="00D00665">
        <w:t xml:space="preserve">s liquidity requirements can be met at all times. </w:t>
      </w:r>
    </w:p>
    <w:p w:rsidR="000B4A1E" w:rsidRPr="00D00665" w:rsidRDefault="000B4A1E" w:rsidP="00517E51">
      <w:r w:rsidRPr="00D00665">
        <w:t>From 1 June 2012 TCV introduced an enhanced liquidity policy to assist the Government manage the whole of Victorian government liquidity strategy and improve TCV</w:t>
      </w:r>
      <w:r>
        <w:t>’</w:t>
      </w:r>
      <w:r w:rsidRPr="00D00665">
        <w:t>s operational and medium to long</w:t>
      </w:r>
      <w:r w:rsidRPr="00D00665">
        <w:noBreakHyphen/>
        <w:t>term liquidity management. The policy introduced daily measurement of the whole of Victorian government liquidity ratio which measures TCV</w:t>
      </w:r>
      <w:r>
        <w:t>’</w:t>
      </w:r>
      <w:r w:rsidRPr="00D00665">
        <w:t xml:space="preserve">s liquid assets (after discounting to reflect potential loss of value in the event of a quick sale) versus twelve months of debt and interest obligations. </w:t>
      </w:r>
    </w:p>
    <w:p w:rsidR="000B4A1E" w:rsidRPr="00D00665" w:rsidRDefault="000B4A1E" w:rsidP="00517E51">
      <w:r w:rsidRPr="00D00665">
        <w:t xml:space="preserve">The new policy also introduced daily </w:t>
      </w:r>
      <w:r>
        <w:t>‘</w:t>
      </w:r>
      <w:r w:rsidRPr="00D00665">
        <w:t>going concern</w:t>
      </w:r>
      <w:r>
        <w:t>’</w:t>
      </w:r>
      <w:r w:rsidRPr="00D00665">
        <w:t xml:space="preserve"> net and cumulative cash flow limits to manage short</w:t>
      </w:r>
      <w:r w:rsidRPr="00D00665">
        <w:noBreakHyphen/>
        <w:t xml:space="preserve">term liquidity exposures during normal operating liquidity conditions and the monitoring of </w:t>
      </w:r>
      <w:r>
        <w:t>‘</w:t>
      </w:r>
      <w:r w:rsidRPr="00D00665">
        <w:t>going concern</w:t>
      </w:r>
      <w:r>
        <w:t>’</w:t>
      </w:r>
      <w:r w:rsidRPr="00D00665">
        <w:t xml:space="preserve"> and </w:t>
      </w:r>
      <w:r>
        <w:t>‘</w:t>
      </w:r>
      <w:r w:rsidRPr="00D00665">
        <w:t>liquidity stress</w:t>
      </w:r>
      <w:r>
        <w:t>’</w:t>
      </w:r>
      <w:r w:rsidRPr="00D00665">
        <w:t xml:space="preserve"> scenario cash flows out to 12 months. </w:t>
      </w:r>
    </w:p>
    <w:p w:rsidR="000B4A1E" w:rsidRPr="00D00665" w:rsidRDefault="000B4A1E" w:rsidP="00517E51">
      <w:r w:rsidRPr="00D00665">
        <w:t>As at 30 June 2013, the whole of Victorian government liquidity ratio stood at 117</w:t>
      </w:r>
      <w:r>
        <w:t> per cent</w:t>
      </w:r>
      <w:r w:rsidRPr="00D00665">
        <w:t xml:space="preserve"> against a limit of 80</w:t>
      </w:r>
      <w:r>
        <w:t> per cent</w:t>
      </w:r>
      <w:r w:rsidRPr="00D00665">
        <w:t>.</w:t>
      </w:r>
    </w:p>
    <w:p w:rsidR="000B4A1E" w:rsidRPr="00D00665" w:rsidRDefault="000B4A1E" w:rsidP="00517E51">
      <w:pPr>
        <w:pStyle w:val="Heading5a"/>
      </w:pPr>
      <w:r w:rsidRPr="00D00665">
        <w:t>Long term liquidity management monitoring</w:t>
      </w:r>
    </w:p>
    <w:p w:rsidR="000B4A1E" w:rsidRPr="00D00665" w:rsidRDefault="000B4A1E" w:rsidP="00517E51">
      <w:r w:rsidRPr="00D00665">
        <w:t>The State</w:t>
      </w:r>
      <w:r>
        <w:t>’</w:t>
      </w:r>
      <w:r w:rsidRPr="00D00665">
        <w:t>s policy on long term management of liquidity primarily focuses on the diversification of funding sources and maturities.</w:t>
      </w:r>
    </w:p>
    <w:p w:rsidR="000B4A1E" w:rsidRPr="00D00665" w:rsidRDefault="000B4A1E" w:rsidP="00517E51">
      <w:pPr>
        <w:pStyle w:val="Heading5a"/>
      </w:pPr>
      <w:r w:rsidRPr="00D00665">
        <w:t>Managing a liquidity crisis</w:t>
      </w:r>
    </w:p>
    <w:p w:rsidR="000B4A1E" w:rsidRPr="00D00665" w:rsidRDefault="000B4A1E" w:rsidP="00517E51">
      <w:r w:rsidRPr="00D00665">
        <w:t xml:space="preserve">In the event of a liquidity crisis, the State has in place liquidity crisis management plans to manage liquidity conditions. The liquidity crisis management plans are a set of protocols established to </w:t>
      </w:r>
      <w:r w:rsidR="00405D0E">
        <w:t xml:space="preserve">respond to specific conditions </w:t>
      </w:r>
      <w:r w:rsidRPr="00D00665">
        <w:t>during a crisis.</w:t>
      </w:r>
    </w:p>
    <w:p w:rsidR="000B4A1E" w:rsidRPr="00D00665" w:rsidRDefault="000B4A1E" w:rsidP="00517E51">
      <w:pPr>
        <w:pStyle w:val="Heading5a"/>
      </w:pPr>
      <w:r w:rsidRPr="00D00665">
        <w:t>Maturity analysis of financial liabilities</w:t>
      </w:r>
    </w:p>
    <w:p w:rsidR="000B4A1E" w:rsidRPr="00D00665" w:rsidRDefault="000B4A1E" w:rsidP="00517E51">
      <w:r w:rsidRPr="00D00665">
        <w:t>Disclosed are details of the State</w:t>
      </w:r>
      <w:r>
        <w:t>’</w:t>
      </w:r>
      <w:r w:rsidRPr="00D00665">
        <w:t>s maturity analysis for its derivative and non</w:t>
      </w:r>
      <w:r w:rsidRPr="00D00665">
        <w:noBreakHyphen/>
        <w:t>derivative financial liabilities. The table includes both interest and principal cash flows, and has been based on the undiscounted cash flows of financial liabilities based on the earliest date on which the State may be required to pay.</w:t>
      </w:r>
    </w:p>
    <w:p w:rsidR="000B4A1E" w:rsidRPr="00D00665" w:rsidRDefault="000B4A1E" w:rsidP="00517E51">
      <w:pPr>
        <w:pStyle w:val="Heading2NotesContd"/>
      </w:pPr>
      <w:r w:rsidRPr="00D00665">
        <w:br w:type="page"/>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D00665" w:rsidRDefault="000B4A1E" w:rsidP="00517E51">
      <w:pPr>
        <w:pStyle w:val="Heading5"/>
      </w:pPr>
      <w:r w:rsidRPr="00D00665">
        <w:t>(k)</w:t>
      </w:r>
      <w:r w:rsidRPr="00D00665">
        <w:tab/>
        <w:t>Undiscounted maturity analysis of financial liabilities</w:t>
      </w:r>
    </w:p>
    <w:p w:rsidR="000B4A1E" w:rsidRPr="003E2DBE" w:rsidRDefault="000B4A1E" w:rsidP="00517E51">
      <w:pPr>
        <w:pStyle w:val="million"/>
      </w:pPr>
      <w:r w:rsidRPr="00D00665">
        <w:t>($</w:t>
      </w:r>
      <w:r>
        <w:t> million</w:t>
      </w:r>
      <w:r w:rsidRPr="00D00665">
        <w:t>)</w:t>
      </w:r>
      <w:bookmarkStart w:id="136" w:name="RANGE!C420:J446"/>
      <w:bookmarkStart w:id="137" w:name="RANGE!C412:J438"/>
      <w:bookmarkStart w:id="138" w:name="RANGE!C406:J432"/>
      <w:bookmarkStart w:id="139" w:name="RANGE!C398:J424"/>
      <w:bookmarkStart w:id="140" w:name="RANGE!C370:J396"/>
      <w:bookmarkStart w:id="141" w:name="RANGE!C369:J395"/>
      <w:bookmarkStart w:id="142" w:name="RANGE!C396:J422"/>
      <w:bookmarkStart w:id="143" w:name="RANGE!C410:J436"/>
    </w:p>
    <w:tbl>
      <w:tblPr>
        <w:tblW w:w="9648" w:type="dxa"/>
        <w:tblInd w:w="29" w:type="dxa"/>
        <w:tblCellMar>
          <w:left w:w="43" w:type="dxa"/>
          <w:right w:w="43" w:type="dxa"/>
        </w:tblCellMar>
        <w:tblLook w:val="04A0" w:firstRow="1" w:lastRow="0" w:firstColumn="1" w:lastColumn="0" w:noHBand="0" w:noVBand="1"/>
      </w:tblPr>
      <w:tblGrid>
        <w:gridCol w:w="2444"/>
        <w:gridCol w:w="982"/>
        <w:gridCol w:w="1037"/>
        <w:gridCol w:w="141"/>
        <w:gridCol w:w="106"/>
        <w:gridCol w:w="884"/>
        <w:gridCol w:w="943"/>
        <w:gridCol w:w="1037"/>
        <w:gridCol w:w="1037"/>
        <w:gridCol w:w="825"/>
        <w:gridCol w:w="106"/>
        <w:gridCol w:w="106"/>
      </w:tblGrid>
      <w:tr w:rsidR="000B4A1E" w:rsidRPr="003E2DBE" w:rsidTr="00517E51">
        <w:trPr>
          <w:divId w:val="1936400275"/>
        </w:trPr>
        <w:tc>
          <w:tcPr>
            <w:tcW w:w="2444"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headingLeft"/>
              <w:rPr>
                <w:sz w:val="20"/>
                <w:szCs w:val="20"/>
                <w:lang w:eastAsia="en-AU"/>
              </w:rPr>
            </w:pPr>
            <w:r w:rsidRPr="003E2DBE">
              <w:rPr>
                <w:sz w:val="20"/>
                <w:szCs w:val="20"/>
                <w:lang w:eastAsia="en-AU"/>
              </w:rPr>
              <w:t xml:space="preserve"> </w:t>
            </w:r>
            <w:bookmarkEnd w:id="136"/>
          </w:p>
        </w:tc>
        <w:tc>
          <w:tcPr>
            <w:tcW w:w="982"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
              <w:rPr>
                <w:sz w:val="20"/>
                <w:szCs w:val="20"/>
                <w:lang w:eastAsia="en-AU"/>
              </w:rPr>
            </w:pPr>
            <w:r w:rsidRPr="003E2DBE">
              <w:rPr>
                <w:sz w:val="20"/>
                <w:szCs w:val="20"/>
                <w:lang w:eastAsia="en-AU"/>
              </w:rPr>
              <w:t xml:space="preserve"> </w:t>
            </w:r>
          </w:p>
        </w:tc>
        <w:tc>
          <w:tcPr>
            <w:tcW w:w="1037"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
              <w:rPr>
                <w:sz w:val="20"/>
                <w:szCs w:val="20"/>
                <w:lang w:eastAsia="en-AU"/>
              </w:rPr>
            </w:pPr>
            <w:r w:rsidRPr="003E2DBE">
              <w:rPr>
                <w:sz w:val="20"/>
                <w:szCs w:val="20"/>
                <w:lang w:eastAsia="en-AU"/>
              </w:rPr>
              <w:t xml:space="preserve"> </w:t>
            </w:r>
          </w:p>
        </w:tc>
        <w:tc>
          <w:tcPr>
            <w:tcW w:w="141" w:type="dxa"/>
            <w:tcBorders>
              <w:top w:val="single" w:sz="4" w:space="0" w:color="auto"/>
              <w:left w:val="nil"/>
              <w:bottom w:val="single" w:sz="4" w:space="0" w:color="auto"/>
              <w:right w:val="nil"/>
            </w:tcBorders>
            <w:shd w:val="clear" w:color="auto" w:fill="000000"/>
            <w:noWrap/>
            <w:hideMark/>
          </w:tcPr>
          <w:p w:rsidR="000B4A1E" w:rsidRPr="003E2DBE" w:rsidRDefault="000B4A1E" w:rsidP="00517E51">
            <w:pPr>
              <w:pStyle w:val="TabletextheadingCentred"/>
              <w:rPr>
                <w:sz w:val="20"/>
                <w:szCs w:val="20"/>
                <w:lang w:eastAsia="en-AU"/>
              </w:rPr>
            </w:pPr>
            <w:r w:rsidRPr="003E2DBE">
              <w:rPr>
                <w:sz w:val="20"/>
                <w:szCs w:val="20"/>
                <w:lang w:eastAsia="en-AU"/>
              </w:rPr>
              <w:t xml:space="preserve"> </w:t>
            </w:r>
          </w:p>
        </w:tc>
        <w:tc>
          <w:tcPr>
            <w:tcW w:w="106" w:type="dxa"/>
            <w:tcBorders>
              <w:top w:val="single" w:sz="4" w:space="0" w:color="auto"/>
              <w:left w:val="nil"/>
              <w:bottom w:val="single" w:sz="4" w:space="0" w:color="auto"/>
              <w:right w:val="nil"/>
            </w:tcBorders>
            <w:shd w:val="clear" w:color="auto" w:fill="000000"/>
            <w:noWrap/>
            <w:hideMark/>
          </w:tcPr>
          <w:p w:rsidR="000B4A1E" w:rsidRPr="003E2DBE" w:rsidRDefault="000B4A1E" w:rsidP="00517E51">
            <w:pPr>
              <w:pStyle w:val="TabletextheadingCentred"/>
              <w:rPr>
                <w:sz w:val="20"/>
                <w:szCs w:val="20"/>
                <w:lang w:eastAsia="en-AU"/>
              </w:rPr>
            </w:pPr>
            <w:r w:rsidRPr="003E2DBE">
              <w:rPr>
                <w:sz w:val="20"/>
                <w:szCs w:val="20"/>
                <w:lang w:eastAsia="en-AU"/>
              </w:rPr>
              <w:t xml:space="preserve"> </w:t>
            </w:r>
          </w:p>
        </w:tc>
        <w:tc>
          <w:tcPr>
            <w:tcW w:w="4726" w:type="dxa"/>
            <w:gridSpan w:val="5"/>
            <w:tcBorders>
              <w:top w:val="single" w:sz="4" w:space="0" w:color="auto"/>
              <w:left w:val="nil"/>
              <w:bottom w:val="single" w:sz="4" w:space="0" w:color="auto"/>
              <w:right w:val="nil"/>
            </w:tcBorders>
            <w:shd w:val="clear" w:color="auto" w:fill="000000"/>
            <w:noWrap/>
            <w:vAlign w:val="bottom"/>
            <w:hideMark/>
          </w:tcPr>
          <w:p w:rsidR="000B4A1E" w:rsidRPr="003E2DBE" w:rsidRDefault="000B4A1E" w:rsidP="00517E51">
            <w:pPr>
              <w:pStyle w:val="TabletextheadingCentred"/>
              <w:rPr>
                <w:sz w:val="20"/>
                <w:szCs w:val="20"/>
                <w:lang w:eastAsia="en-AU"/>
              </w:rPr>
            </w:pPr>
            <w:r w:rsidRPr="003E2DBE">
              <w:rPr>
                <w:sz w:val="20"/>
                <w:szCs w:val="20"/>
                <w:lang w:eastAsia="en-AU"/>
              </w:rPr>
              <w:t>Contractual maturity</w:t>
            </w:r>
          </w:p>
        </w:tc>
        <w:tc>
          <w:tcPr>
            <w:tcW w:w="106" w:type="dxa"/>
            <w:tcBorders>
              <w:top w:val="single" w:sz="4" w:space="0" w:color="auto"/>
              <w:left w:val="nil"/>
              <w:bottom w:val="single" w:sz="4" w:space="0" w:color="auto"/>
              <w:right w:val="nil"/>
            </w:tcBorders>
            <w:shd w:val="clear" w:color="auto" w:fill="000000"/>
            <w:noWrap/>
            <w:vAlign w:val="bottom"/>
            <w:hideMark/>
          </w:tcPr>
          <w:p w:rsidR="000B4A1E" w:rsidRPr="003E2DBE" w:rsidRDefault="000B4A1E" w:rsidP="00517E51">
            <w:pPr>
              <w:pStyle w:val="TabletextheadingCentred"/>
              <w:rPr>
                <w:sz w:val="20"/>
                <w:szCs w:val="20"/>
                <w:lang w:eastAsia="en-AU"/>
              </w:rPr>
            </w:pPr>
            <w:r w:rsidRPr="003E2DBE">
              <w:rPr>
                <w:sz w:val="20"/>
                <w:szCs w:val="20"/>
                <w:lang w:eastAsia="en-AU"/>
              </w:rPr>
              <w:t xml:space="preserve"> </w:t>
            </w:r>
          </w:p>
        </w:tc>
        <w:tc>
          <w:tcPr>
            <w:tcW w:w="106" w:type="dxa"/>
            <w:tcBorders>
              <w:top w:val="single" w:sz="4" w:space="0" w:color="auto"/>
              <w:left w:val="nil"/>
              <w:bottom w:val="single" w:sz="4" w:space="0" w:color="auto"/>
              <w:right w:val="single" w:sz="4" w:space="0" w:color="auto"/>
            </w:tcBorders>
            <w:shd w:val="clear" w:color="auto" w:fill="000000"/>
            <w:noWrap/>
            <w:vAlign w:val="bottom"/>
            <w:hideMark/>
          </w:tcPr>
          <w:p w:rsidR="000B4A1E" w:rsidRPr="003E2DBE" w:rsidRDefault="000B4A1E" w:rsidP="00517E51">
            <w:pPr>
              <w:pStyle w:val="TabletextheadingCentred"/>
              <w:rPr>
                <w:sz w:val="20"/>
                <w:szCs w:val="20"/>
                <w:lang w:eastAsia="en-AU"/>
              </w:rPr>
            </w:pPr>
            <w:r w:rsidRPr="003E2DBE">
              <w:rPr>
                <w:sz w:val="20"/>
                <w:szCs w:val="20"/>
                <w:lang w:eastAsia="en-AU"/>
              </w:rPr>
              <w:t xml:space="preserve"> </w:t>
            </w:r>
          </w:p>
        </w:tc>
      </w:tr>
      <w:tr w:rsidR="000B4A1E" w:rsidRPr="003E2DBE" w:rsidTr="00517E51">
        <w:trPr>
          <w:divId w:val="1936400275"/>
        </w:trPr>
        <w:tc>
          <w:tcPr>
            <w:tcW w:w="2444" w:type="dxa"/>
            <w:tcBorders>
              <w:top w:val="nil"/>
              <w:left w:val="single" w:sz="4" w:space="0" w:color="auto"/>
              <w:bottom w:val="single" w:sz="4" w:space="0" w:color="auto"/>
              <w:right w:val="nil"/>
            </w:tcBorders>
            <w:shd w:val="clear" w:color="auto" w:fill="000000"/>
            <w:vAlign w:val="bottom"/>
            <w:hideMark/>
          </w:tcPr>
          <w:p w:rsidR="000B4A1E" w:rsidRPr="003E2DBE" w:rsidRDefault="000B4A1E" w:rsidP="00517E51">
            <w:pPr>
              <w:pStyle w:val="TabletextheadingLeft"/>
              <w:rPr>
                <w:sz w:val="20"/>
                <w:szCs w:val="20"/>
                <w:lang w:eastAsia="en-AU"/>
              </w:rPr>
            </w:pPr>
            <w:r w:rsidRPr="003E2DBE">
              <w:rPr>
                <w:sz w:val="20"/>
                <w:szCs w:val="20"/>
                <w:lang w:eastAsia="en-AU"/>
              </w:rPr>
              <w:t>State of Victoria</w:t>
            </w:r>
            <w:r w:rsidRPr="003E2DBE">
              <w:rPr>
                <w:sz w:val="20"/>
                <w:szCs w:val="20"/>
                <w:lang w:eastAsia="en-AU"/>
              </w:rPr>
              <w:br/>
              <w:t>2013</w:t>
            </w:r>
          </w:p>
        </w:tc>
        <w:tc>
          <w:tcPr>
            <w:tcW w:w="982"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sz w:val="20"/>
                <w:szCs w:val="20"/>
                <w:lang w:eastAsia="en-AU"/>
              </w:rPr>
            </w:pPr>
            <w:r w:rsidRPr="003E2DBE">
              <w:rPr>
                <w:sz w:val="20"/>
                <w:szCs w:val="20"/>
                <w:lang w:eastAsia="en-AU"/>
              </w:rPr>
              <w:t>Carrying</w:t>
            </w:r>
            <w:r w:rsidRPr="003E2DBE">
              <w:rPr>
                <w:sz w:val="20"/>
                <w:szCs w:val="20"/>
                <w:lang w:eastAsia="en-AU"/>
              </w:rPr>
              <w:br/>
              <w:t>amount</w:t>
            </w:r>
          </w:p>
        </w:tc>
        <w:tc>
          <w:tcPr>
            <w:tcW w:w="1037"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sz w:val="20"/>
                <w:szCs w:val="20"/>
                <w:lang w:eastAsia="en-AU"/>
              </w:rPr>
            </w:pPr>
            <w:r w:rsidRPr="003E2DBE">
              <w:rPr>
                <w:sz w:val="20"/>
                <w:szCs w:val="20"/>
                <w:lang w:eastAsia="en-AU"/>
              </w:rPr>
              <w:t>Nominal</w:t>
            </w:r>
            <w:r w:rsidRPr="003E2DBE">
              <w:rPr>
                <w:sz w:val="20"/>
                <w:szCs w:val="20"/>
                <w:lang w:eastAsia="en-AU"/>
              </w:rPr>
              <w:br/>
              <w:t xml:space="preserve">amount </w:t>
            </w:r>
            <w:r w:rsidRPr="003E2DBE">
              <w:rPr>
                <w:sz w:val="20"/>
                <w:szCs w:val="20"/>
                <w:vertAlign w:val="superscript"/>
                <w:lang w:eastAsia="en-AU"/>
              </w:rPr>
              <w:t>(a)</w:t>
            </w:r>
          </w:p>
        </w:tc>
        <w:tc>
          <w:tcPr>
            <w:tcW w:w="1131" w:type="dxa"/>
            <w:gridSpan w:val="3"/>
            <w:tcBorders>
              <w:top w:val="nil"/>
              <w:left w:val="nil"/>
              <w:bottom w:val="single" w:sz="4" w:space="0" w:color="auto"/>
              <w:right w:val="nil"/>
            </w:tcBorders>
            <w:shd w:val="clear" w:color="auto" w:fill="000000"/>
            <w:hideMark/>
          </w:tcPr>
          <w:p w:rsidR="000B4A1E" w:rsidRPr="003E2DBE" w:rsidRDefault="000B4A1E" w:rsidP="00517E51">
            <w:pPr>
              <w:pStyle w:val="Tabletextheading"/>
              <w:rPr>
                <w:sz w:val="20"/>
                <w:szCs w:val="20"/>
                <w:lang w:eastAsia="en-AU"/>
              </w:rPr>
            </w:pPr>
            <w:r w:rsidRPr="003E2DBE">
              <w:rPr>
                <w:sz w:val="20"/>
                <w:szCs w:val="20"/>
                <w:lang w:eastAsia="en-AU"/>
              </w:rPr>
              <w:br/>
              <w:t>0-3 m</w:t>
            </w:r>
            <w:r>
              <w:rPr>
                <w:sz w:val="20"/>
                <w:szCs w:val="20"/>
                <w:lang w:eastAsia="en-AU"/>
              </w:rPr>
              <w:t>on</w:t>
            </w:r>
            <w:r w:rsidRPr="003E2DBE">
              <w:rPr>
                <w:sz w:val="20"/>
                <w:szCs w:val="20"/>
                <w:lang w:eastAsia="en-AU"/>
              </w:rPr>
              <w:t>ths</w:t>
            </w:r>
          </w:p>
        </w:tc>
        <w:tc>
          <w:tcPr>
            <w:tcW w:w="943"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sz w:val="20"/>
                <w:szCs w:val="20"/>
                <w:lang w:eastAsia="en-AU"/>
              </w:rPr>
            </w:pPr>
            <w:r w:rsidRPr="003E2DBE">
              <w:rPr>
                <w:sz w:val="20"/>
                <w:szCs w:val="20"/>
                <w:lang w:eastAsia="en-AU"/>
              </w:rPr>
              <w:t>3 m</w:t>
            </w:r>
            <w:r>
              <w:rPr>
                <w:sz w:val="20"/>
                <w:szCs w:val="20"/>
                <w:lang w:eastAsia="en-AU"/>
              </w:rPr>
              <w:t>on</w:t>
            </w:r>
            <w:r w:rsidRPr="003E2DBE">
              <w:rPr>
                <w:sz w:val="20"/>
                <w:szCs w:val="20"/>
                <w:lang w:eastAsia="en-AU"/>
              </w:rPr>
              <w:t>ths</w:t>
            </w:r>
            <w:r w:rsidRPr="003E2DBE">
              <w:rPr>
                <w:sz w:val="20"/>
                <w:szCs w:val="20"/>
                <w:lang w:eastAsia="en-AU"/>
              </w:rPr>
              <w:br/>
              <w:t>-1 y</w:t>
            </w:r>
            <w:r>
              <w:rPr>
                <w:sz w:val="20"/>
                <w:szCs w:val="20"/>
                <w:lang w:eastAsia="en-AU"/>
              </w:rPr>
              <w:t>ea</w:t>
            </w:r>
            <w:r w:rsidRPr="003E2DBE">
              <w:rPr>
                <w:sz w:val="20"/>
                <w:szCs w:val="20"/>
                <w:lang w:eastAsia="en-AU"/>
              </w:rPr>
              <w:t>r</w:t>
            </w:r>
          </w:p>
        </w:tc>
        <w:tc>
          <w:tcPr>
            <w:tcW w:w="1037" w:type="dxa"/>
            <w:tcBorders>
              <w:top w:val="nil"/>
              <w:left w:val="nil"/>
              <w:bottom w:val="single" w:sz="4" w:space="0" w:color="auto"/>
              <w:right w:val="nil"/>
            </w:tcBorders>
            <w:shd w:val="clear" w:color="auto" w:fill="000000"/>
            <w:vAlign w:val="bottom"/>
            <w:hideMark/>
          </w:tcPr>
          <w:p w:rsidR="000B4A1E" w:rsidRPr="003E2DBE" w:rsidRDefault="000B4A1E" w:rsidP="00517E51">
            <w:pPr>
              <w:pStyle w:val="Tabletextheading"/>
              <w:rPr>
                <w:sz w:val="20"/>
                <w:szCs w:val="20"/>
                <w:lang w:eastAsia="en-AU"/>
              </w:rPr>
            </w:pPr>
            <w:r w:rsidRPr="003E2DBE">
              <w:rPr>
                <w:sz w:val="20"/>
                <w:szCs w:val="20"/>
                <w:lang w:eastAsia="en-AU"/>
              </w:rPr>
              <w:br/>
              <w:t>1-2 y</w:t>
            </w:r>
            <w:r>
              <w:rPr>
                <w:sz w:val="20"/>
                <w:szCs w:val="20"/>
                <w:lang w:eastAsia="en-AU"/>
              </w:rPr>
              <w:t>ea</w:t>
            </w:r>
            <w:r w:rsidRPr="003E2DBE">
              <w:rPr>
                <w:sz w:val="20"/>
                <w:szCs w:val="20"/>
                <w:lang w:eastAsia="en-AU"/>
              </w:rPr>
              <w:t>rs</w:t>
            </w:r>
          </w:p>
        </w:tc>
        <w:tc>
          <w:tcPr>
            <w:tcW w:w="1037" w:type="dxa"/>
            <w:tcBorders>
              <w:top w:val="nil"/>
              <w:left w:val="nil"/>
              <w:bottom w:val="single" w:sz="4" w:space="0" w:color="auto"/>
              <w:right w:val="nil"/>
            </w:tcBorders>
            <w:shd w:val="clear" w:color="auto" w:fill="000000"/>
            <w:vAlign w:val="bottom"/>
            <w:hideMark/>
          </w:tcPr>
          <w:p w:rsidR="000B4A1E" w:rsidRPr="003E2DBE" w:rsidRDefault="000B4A1E" w:rsidP="00517E51">
            <w:pPr>
              <w:pStyle w:val="Tabletextheading"/>
              <w:rPr>
                <w:iCs/>
                <w:sz w:val="20"/>
                <w:szCs w:val="20"/>
                <w:lang w:eastAsia="en-AU"/>
              </w:rPr>
            </w:pPr>
            <w:r w:rsidRPr="003E2DBE">
              <w:rPr>
                <w:iCs/>
                <w:sz w:val="20"/>
                <w:szCs w:val="20"/>
                <w:lang w:eastAsia="en-AU"/>
              </w:rPr>
              <w:br/>
              <w:t>2-5 y</w:t>
            </w:r>
            <w:r>
              <w:rPr>
                <w:iCs/>
                <w:sz w:val="20"/>
                <w:szCs w:val="20"/>
                <w:lang w:eastAsia="en-AU"/>
              </w:rPr>
              <w:t>ea</w:t>
            </w:r>
            <w:r w:rsidRPr="003E2DBE">
              <w:rPr>
                <w:iCs/>
                <w:sz w:val="20"/>
                <w:szCs w:val="20"/>
                <w:lang w:eastAsia="en-AU"/>
              </w:rPr>
              <w:t>rs</w:t>
            </w:r>
          </w:p>
        </w:tc>
        <w:tc>
          <w:tcPr>
            <w:tcW w:w="1037" w:type="dxa"/>
            <w:gridSpan w:val="3"/>
            <w:tcBorders>
              <w:top w:val="nil"/>
              <w:left w:val="nil"/>
              <w:bottom w:val="single" w:sz="4" w:space="0" w:color="auto"/>
              <w:right w:val="single" w:sz="4" w:space="0" w:color="auto"/>
            </w:tcBorders>
            <w:shd w:val="clear" w:color="auto" w:fill="000000"/>
            <w:vAlign w:val="bottom"/>
            <w:hideMark/>
          </w:tcPr>
          <w:p w:rsidR="000B4A1E" w:rsidRPr="003E2DBE" w:rsidRDefault="000B4A1E" w:rsidP="00517E51">
            <w:pPr>
              <w:pStyle w:val="Tabletextheading"/>
              <w:rPr>
                <w:iCs/>
                <w:sz w:val="20"/>
                <w:szCs w:val="20"/>
                <w:lang w:eastAsia="en-AU"/>
              </w:rPr>
            </w:pPr>
            <w:r w:rsidRPr="003E2DBE">
              <w:rPr>
                <w:iCs/>
                <w:sz w:val="20"/>
                <w:szCs w:val="20"/>
                <w:lang w:eastAsia="en-AU"/>
              </w:rPr>
              <w:br/>
              <w:t>5+ y</w:t>
            </w:r>
            <w:r>
              <w:rPr>
                <w:iCs/>
                <w:sz w:val="20"/>
                <w:szCs w:val="20"/>
                <w:lang w:eastAsia="en-AU"/>
              </w:rPr>
              <w:t>ea</w:t>
            </w:r>
            <w:r w:rsidRPr="003E2DBE">
              <w:rPr>
                <w:iCs/>
                <w:sz w:val="20"/>
                <w:szCs w:val="20"/>
                <w:lang w:eastAsia="en-AU"/>
              </w:rPr>
              <w:t>rs</w:t>
            </w:r>
          </w:p>
        </w:tc>
      </w:tr>
      <w:tr w:rsidR="000B4A1E" w:rsidRPr="003E2DBE" w:rsidTr="00517E51">
        <w:trPr>
          <w:divId w:val="1936400275"/>
        </w:trPr>
        <w:tc>
          <w:tcPr>
            <w:tcW w:w="244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0"/>
                <w:szCs w:val="20"/>
                <w:lang w:eastAsia="en-AU"/>
              </w:rPr>
            </w:pPr>
            <w:r w:rsidRPr="003E2DBE">
              <w:rPr>
                <w:sz w:val="20"/>
                <w:szCs w:val="20"/>
                <w:lang w:eastAsia="en-AU"/>
              </w:rPr>
              <w:t>Payables and advances</w:t>
            </w:r>
          </w:p>
        </w:tc>
        <w:tc>
          <w:tcPr>
            <w:tcW w:w="98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6 </w:t>
            </w:r>
            <w:r w:rsidRPr="003E2DBE">
              <w:rPr>
                <w:rFonts w:cs="Calibri"/>
                <w:sz w:val="20"/>
                <w:szCs w:val="20"/>
                <w:lang w:eastAsia="en-AU"/>
              </w:rPr>
              <w:t>866.4</w:t>
            </w:r>
          </w:p>
        </w:tc>
        <w:tc>
          <w:tcPr>
            <w:tcW w:w="1037"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6 </w:t>
            </w:r>
            <w:r w:rsidRPr="003E2DBE">
              <w:rPr>
                <w:rFonts w:cs="Calibri"/>
                <w:sz w:val="20"/>
                <w:szCs w:val="20"/>
                <w:lang w:eastAsia="en-AU"/>
              </w:rPr>
              <w:t>905.3</w:t>
            </w:r>
          </w:p>
        </w:tc>
        <w:tc>
          <w:tcPr>
            <w:tcW w:w="113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6 </w:t>
            </w:r>
            <w:r w:rsidRPr="003E2DBE">
              <w:rPr>
                <w:rFonts w:cs="Calibri"/>
                <w:sz w:val="20"/>
                <w:szCs w:val="20"/>
                <w:lang w:eastAsia="en-AU"/>
              </w:rPr>
              <w:t>114.6</w:t>
            </w:r>
          </w:p>
        </w:tc>
        <w:tc>
          <w:tcPr>
            <w:tcW w:w="94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568.4</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68.4</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74.4</w:t>
            </w:r>
          </w:p>
        </w:tc>
        <w:tc>
          <w:tcPr>
            <w:tcW w:w="1037"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79.5</w:t>
            </w:r>
          </w:p>
        </w:tc>
      </w:tr>
      <w:tr w:rsidR="000B4A1E" w:rsidRPr="003E2DBE" w:rsidTr="00517E51">
        <w:trPr>
          <w:divId w:val="1936400275"/>
        </w:trPr>
        <w:tc>
          <w:tcPr>
            <w:tcW w:w="244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b/>
                <w:bCs/>
                <w:sz w:val="20"/>
                <w:szCs w:val="22"/>
                <w:lang w:eastAsia="en-AU"/>
              </w:rPr>
            </w:pPr>
            <w:r w:rsidRPr="003E2DBE">
              <w:rPr>
                <w:b/>
                <w:bCs/>
                <w:sz w:val="20"/>
                <w:szCs w:val="20"/>
                <w:lang w:eastAsia="en-AU"/>
              </w:rPr>
              <w:t>Interest-bearing</w:t>
            </w:r>
            <w:r w:rsidRPr="003E2DBE">
              <w:rPr>
                <w:rFonts w:cs="Calibri"/>
                <w:b/>
                <w:bCs/>
                <w:sz w:val="20"/>
                <w:szCs w:val="22"/>
                <w:lang w:eastAsia="en-AU"/>
              </w:rPr>
              <w:t xml:space="preserve"> liabilities:</w:t>
            </w:r>
          </w:p>
        </w:tc>
        <w:tc>
          <w:tcPr>
            <w:tcW w:w="982" w:type="dxa"/>
            <w:tcBorders>
              <w:top w:val="nil"/>
              <w:left w:val="nil"/>
              <w:bottom w:val="nil"/>
              <w:right w:val="nil"/>
            </w:tcBorders>
            <w:shd w:val="clear" w:color="auto" w:fill="auto"/>
            <w:noWrap/>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037" w:type="dxa"/>
            <w:tcBorders>
              <w:top w:val="nil"/>
              <w:left w:val="nil"/>
              <w:bottom w:val="nil"/>
              <w:right w:val="nil"/>
            </w:tcBorders>
            <w:shd w:val="clear" w:color="auto" w:fill="auto"/>
            <w:noWrap/>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131" w:type="dxa"/>
            <w:gridSpan w:val="3"/>
            <w:tcBorders>
              <w:top w:val="nil"/>
              <w:left w:val="nil"/>
              <w:bottom w:val="nil"/>
              <w:right w:val="nil"/>
            </w:tcBorders>
            <w:shd w:val="clear" w:color="auto" w:fill="auto"/>
            <w:noWrap/>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943" w:type="dxa"/>
            <w:tcBorders>
              <w:top w:val="nil"/>
              <w:left w:val="nil"/>
              <w:bottom w:val="nil"/>
              <w:right w:val="nil"/>
            </w:tcBorders>
            <w:shd w:val="clear" w:color="auto" w:fill="auto"/>
            <w:noWrap/>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037"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r>
      <w:tr w:rsidR="000B4A1E" w:rsidRPr="003E2DBE" w:rsidTr="00517E51">
        <w:trPr>
          <w:divId w:val="1936400275"/>
        </w:trPr>
        <w:tc>
          <w:tcPr>
            <w:tcW w:w="24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 w:val="20"/>
                <w:szCs w:val="22"/>
                <w:lang w:eastAsia="en-AU"/>
              </w:rPr>
            </w:pPr>
            <w:r w:rsidRPr="003E2DBE">
              <w:rPr>
                <w:sz w:val="20"/>
                <w:szCs w:val="20"/>
                <w:lang w:eastAsia="en-AU"/>
              </w:rPr>
              <w:t>Domestic</w:t>
            </w:r>
            <w:r w:rsidRPr="003E2DBE">
              <w:rPr>
                <w:rFonts w:cs="Calibri"/>
                <w:sz w:val="20"/>
                <w:szCs w:val="22"/>
                <w:lang w:eastAsia="en-AU"/>
              </w:rPr>
              <w:t xml:space="preserve"> borrowings</w:t>
            </w:r>
          </w:p>
        </w:tc>
        <w:tc>
          <w:tcPr>
            <w:tcW w:w="98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37 </w:t>
            </w:r>
            <w:r w:rsidRPr="003E2DBE">
              <w:rPr>
                <w:rFonts w:cs="Calibri"/>
                <w:sz w:val="20"/>
                <w:szCs w:val="20"/>
                <w:lang w:eastAsia="en-AU"/>
              </w:rPr>
              <w:t>106.7</w:t>
            </w:r>
          </w:p>
        </w:tc>
        <w:tc>
          <w:tcPr>
            <w:tcW w:w="1037"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47 </w:t>
            </w:r>
            <w:r w:rsidRPr="003E2DBE">
              <w:rPr>
                <w:rFonts w:cs="Calibri"/>
                <w:sz w:val="20"/>
                <w:szCs w:val="20"/>
                <w:lang w:eastAsia="en-AU"/>
              </w:rPr>
              <w:t>381.2</w:t>
            </w:r>
          </w:p>
        </w:tc>
        <w:tc>
          <w:tcPr>
            <w:tcW w:w="113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63.1</w:t>
            </w:r>
          </w:p>
        </w:tc>
        <w:tc>
          <w:tcPr>
            <w:tcW w:w="94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2 </w:t>
            </w:r>
            <w:r w:rsidRPr="003E2DBE">
              <w:rPr>
                <w:rFonts w:cs="Calibri"/>
                <w:sz w:val="20"/>
                <w:szCs w:val="20"/>
                <w:lang w:eastAsia="en-AU"/>
              </w:rPr>
              <w:t>814.3</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4 </w:t>
            </w:r>
            <w:r w:rsidRPr="003E2DBE">
              <w:rPr>
                <w:rFonts w:cs="Calibri"/>
                <w:sz w:val="20"/>
                <w:szCs w:val="20"/>
                <w:lang w:eastAsia="en-AU"/>
              </w:rPr>
              <w:t>928.0</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10 </w:t>
            </w:r>
            <w:r w:rsidRPr="003E2DBE">
              <w:rPr>
                <w:rFonts w:cs="Calibri"/>
                <w:sz w:val="20"/>
                <w:szCs w:val="20"/>
                <w:lang w:eastAsia="en-AU"/>
              </w:rPr>
              <w:t>973.9</w:t>
            </w:r>
          </w:p>
        </w:tc>
        <w:tc>
          <w:tcPr>
            <w:tcW w:w="1037"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28 </w:t>
            </w:r>
            <w:r w:rsidRPr="003E2DBE">
              <w:rPr>
                <w:rFonts w:cs="Calibri"/>
                <w:sz w:val="20"/>
                <w:szCs w:val="20"/>
                <w:lang w:eastAsia="en-AU"/>
              </w:rPr>
              <w:t>601.9</w:t>
            </w:r>
          </w:p>
        </w:tc>
      </w:tr>
      <w:tr w:rsidR="000B4A1E" w:rsidRPr="003E2DBE" w:rsidTr="00517E51">
        <w:trPr>
          <w:divId w:val="1936400275"/>
        </w:trPr>
        <w:tc>
          <w:tcPr>
            <w:tcW w:w="24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 w:val="20"/>
                <w:szCs w:val="22"/>
                <w:lang w:eastAsia="en-AU"/>
              </w:rPr>
            </w:pPr>
            <w:r w:rsidRPr="003E2DBE">
              <w:rPr>
                <w:sz w:val="20"/>
                <w:szCs w:val="20"/>
                <w:lang w:eastAsia="en-AU"/>
              </w:rPr>
              <w:t xml:space="preserve">Foreign </w:t>
            </w:r>
            <w:r w:rsidRPr="003E2DBE">
              <w:rPr>
                <w:rFonts w:cs="Calibri"/>
                <w:sz w:val="20"/>
                <w:szCs w:val="22"/>
                <w:lang w:eastAsia="en-AU"/>
              </w:rPr>
              <w:t>currency borrowings</w:t>
            </w:r>
          </w:p>
        </w:tc>
        <w:tc>
          <w:tcPr>
            <w:tcW w:w="98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531.0</w:t>
            </w:r>
          </w:p>
        </w:tc>
        <w:tc>
          <w:tcPr>
            <w:tcW w:w="1037"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579.8</w:t>
            </w:r>
          </w:p>
        </w:tc>
        <w:tc>
          <w:tcPr>
            <w:tcW w:w="113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439.8</w:t>
            </w:r>
          </w:p>
        </w:tc>
        <w:tc>
          <w:tcPr>
            <w:tcW w:w="94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2.2</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2.2</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6.7</w:t>
            </w:r>
          </w:p>
        </w:tc>
        <w:tc>
          <w:tcPr>
            <w:tcW w:w="1037"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128.8</w:t>
            </w:r>
          </w:p>
        </w:tc>
      </w:tr>
      <w:tr w:rsidR="000B4A1E" w:rsidRPr="003E2DBE" w:rsidTr="00517E51">
        <w:trPr>
          <w:divId w:val="1936400275"/>
        </w:trPr>
        <w:tc>
          <w:tcPr>
            <w:tcW w:w="24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 w:val="20"/>
                <w:szCs w:val="22"/>
                <w:lang w:eastAsia="en-AU"/>
              </w:rPr>
            </w:pPr>
            <w:r w:rsidRPr="003E2DBE">
              <w:rPr>
                <w:sz w:val="20"/>
                <w:szCs w:val="20"/>
                <w:lang w:eastAsia="en-AU"/>
              </w:rPr>
              <w:t>Finance lease liabilities</w:t>
            </w:r>
          </w:p>
        </w:tc>
        <w:tc>
          <w:tcPr>
            <w:tcW w:w="98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8 </w:t>
            </w:r>
            <w:r w:rsidRPr="003E2DBE">
              <w:rPr>
                <w:rFonts w:cs="Calibri"/>
                <w:sz w:val="20"/>
                <w:szCs w:val="22"/>
                <w:lang w:eastAsia="en-AU"/>
              </w:rPr>
              <w:t>860.3</w:t>
            </w:r>
          </w:p>
        </w:tc>
        <w:tc>
          <w:tcPr>
            <w:tcW w:w="1037"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11 </w:t>
            </w:r>
            <w:r w:rsidRPr="003E2DBE">
              <w:rPr>
                <w:rFonts w:cs="Calibri"/>
                <w:sz w:val="20"/>
                <w:szCs w:val="22"/>
                <w:lang w:eastAsia="en-AU"/>
              </w:rPr>
              <w:t>096.5</w:t>
            </w:r>
          </w:p>
        </w:tc>
        <w:tc>
          <w:tcPr>
            <w:tcW w:w="113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 415.9</w:t>
            </w:r>
          </w:p>
        </w:tc>
        <w:tc>
          <w:tcPr>
            <w:tcW w:w="94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 307.6</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 534.4</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1 </w:t>
            </w:r>
            <w:r w:rsidRPr="003E2DBE">
              <w:rPr>
                <w:rFonts w:cs="Calibri"/>
                <w:sz w:val="20"/>
                <w:szCs w:val="22"/>
                <w:lang w:eastAsia="en-AU"/>
              </w:rPr>
              <w:t>210.5</w:t>
            </w:r>
          </w:p>
        </w:tc>
        <w:tc>
          <w:tcPr>
            <w:tcW w:w="1037"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8 </w:t>
            </w:r>
            <w:r w:rsidRPr="003E2DBE">
              <w:rPr>
                <w:rFonts w:cs="Calibri"/>
                <w:sz w:val="20"/>
                <w:szCs w:val="22"/>
                <w:lang w:eastAsia="en-AU"/>
              </w:rPr>
              <w:t>628.2</w:t>
            </w:r>
          </w:p>
        </w:tc>
      </w:tr>
      <w:tr w:rsidR="000B4A1E" w:rsidRPr="003E2DBE" w:rsidTr="00517E51">
        <w:trPr>
          <w:divId w:val="1936400275"/>
        </w:trPr>
        <w:tc>
          <w:tcPr>
            <w:tcW w:w="24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 w:val="20"/>
                <w:szCs w:val="22"/>
                <w:lang w:eastAsia="en-AU"/>
              </w:rPr>
            </w:pPr>
            <w:r w:rsidRPr="003E2DBE">
              <w:rPr>
                <w:sz w:val="20"/>
                <w:szCs w:val="20"/>
                <w:lang w:eastAsia="en-AU"/>
              </w:rPr>
              <w:t xml:space="preserve">Derivative </w:t>
            </w:r>
            <w:r w:rsidRPr="003E2DBE">
              <w:rPr>
                <w:rFonts w:cs="Calibri"/>
                <w:sz w:val="20"/>
                <w:szCs w:val="20"/>
                <w:lang w:eastAsia="en-AU"/>
              </w:rPr>
              <w:t xml:space="preserve">financial </w:t>
            </w:r>
            <w:r w:rsidRPr="003E2DBE">
              <w:rPr>
                <w:rFonts w:cs="Calibri"/>
                <w:sz w:val="20"/>
                <w:szCs w:val="22"/>
                <w:lang w:eastAsia="en-AU"/>
              </w:rPr>
              <w:t>liabilities</w:t>
            </w:r>
          </w:p>
        </w:tc>
        <w:tc>
          <w:tcPr>
            <w:tcW w:w="98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1 </w:t>
            </w:r>
            <w:r w:rsidRPr="003E2DBE">
              <w:rPr>
                <w:rFonts w:cs="Calibri"/>
                <w:sz w:val="20"/>
                <w:szCs w:val="20"/>
                <w:lang w:eastAsia="en-AU"/>
              </w:rPr>
              <w:t>049.0</w:t>
            </w:r>
          </w:p>
        </w:tc>
        <w:tc>
          <w:tcPr>
            <w:tcW w:w="1037"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475.6</w:t>
            </w:r>
          </w:p>
        </w:tc>
        <w:tc>
          <w:tcPr>
            <w:tcW w:w="113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383.1</w:t>
            </w:r>
          </w:p>
        </w:tc>
        <w:tc>
          <w:tcPr>
            <w:tcW w:w="94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31.6</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20.3</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14.3</w:t>
            </w:r>
          </w:p>
        </w:tc>
        <w:tc>
          <w:tcPr>
            <w:tcW w:w="1037"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26.3</w:t>
            </w:r>
          </w:p>
        </w:tc>
      </w:tr>
      <w:tr w:rsidR="000B4A1E" w:rsidRPr="003E2DBE" w:rsidTr="00517E51">
        <w:trPr>
          <w:divId w:val="1936400275"/>
        </w:trPr>
        <w:tc>
          <w:tcPr>
            <w:tcW w:w="2444"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text"/>
              <w:rPr>
                <w:b/>
                <w:bCs/>
                <w:sz w:val="20"/>
                <w:szCs w:val="20"/>
                <w:lang w:eastAsia="en-AU"/>
              </w:rPr>
            </w:pPr>
            <w:r w:rsidRPr="003E2DBE">
              <w:rPr>
                <w:b/>
                <w:bCs/>
                <w:sz w:val="20"/>
                <w:szCs w:val="20"/>
                <w:lang w:eastAsia="en-AU"/>
              </w:rPr>
              <w:t>Total</w:t>
            </w:r>
          </w:p>
        </w:tc>
        <w:tc>
          <w:tcPr>
            <w:tcW w:w="982"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 w:val="20"/>
                <w:szCs w:val="20"/>
                <w:lang w:eastAsia="en-AU"/>
              </w:rPr>
            </w:pPr>
            <w:r w:rsidRPr="003E2DBE">
              <w:rPr>
                <w:b/>
                <w:bCs/>
                <w:sz w:val="20"/>
                <w:szCs w:val="20"/>
                <w:lang w:eastAsia="en-AU"/>
              </w:rPr>
              <w:t xml:space="preserve">54 </w:t>
            </w:r>
            <w:r w:rsidRPr="003E2DBE">
              <w:rPr>
                <w:rFonts w:cs="Calibri"/>
                <w:b/>
                <w:bCs/>
                <w:sz w:val="20"/>
                <w:szCs w:val="20"/>
                <w:lang w:eastAsia="en-AU"/>
              </w:rPr>
              <w:t>413.4</w:t>
            </w:r>
          </w:p>
        </w:tc>
        <w:tc>
          <w:tcPr>
            <w:tcW w:w="1037"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 w:val="20"/>
                <w:szCs w:val="20"/>
                <w:lang w:eastAsia="en-AU"/>
              </w:rPr>
            </w:pPr>
            <w:r w:rsidRPr="003E2DBE">
              <w:rPr>
                <w:b/>
                <w:bCs/>
                <w:sz w:val="20"/>
                <w:szCs w:val="20"/>
                <w:lang w:eastAsia="en-AU"/>
              </w:rPr>
              <w:t xml:space="preserve">66 </w:t>
            </w:r>
            <w:r w:rsidRPr="003E2DBE">
              <w:rPr>
                <w:rFonts w:cs="Calibri"/>
                <w:b/>
                <w:bCs/>
                <w:sz w:val="20"/>
                <w:szCs w:val="20"/>
                <w:lang w:eastAsia="en-AU"/>
              </w:rPr>
              <w:t>438.4</w:t>
            </w:r>
          </w:p>
        </w:tc>
        <w:tc>
          <w:tcPr>
            <w:tcW w:w="1131" w:type="dxa"/>
            <w:gridSpan w:val="3"/>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 w:val="20"/>
                <w:szCs w:val="20"/>
                <w:lang w:eastAsia="en-AU"/>
              </w:rPr>
            </w:pPr>
            <w:r w:rsidRPr="003E2DBE">
              <w:rPr>
                <w:b/>
                <w:bCs/>
                <w:sz w:val="20"/>
                <w:szCs w:val="20"/>
                <w:lang w:eastAsia="en-AU"/>
              </w:rPr>
              <w:t xml:space="preserve">7 </w:t>
            </w:r>
            <w:r w:rsidRPr="003E2DBE">
              <w:rPr>
                <w:rFonts w:cs="Calibri"/>
                <w:b/>
                <w:bCs/>
                <w:sz w:val="20"/>
                <w:szCs w:val="20"/>
                <w:lang w:eastAsia="en-AU"/>
              </w:rPr>
              <w:t>416.4</w:t>
            </w:r>
          </w:p>
        </w:tc>
        <w:tc>
          <w:tcPr>
            <w:tcW w:w="943" w:type="dxa"/>
            <w:tcBorders>
              <w:top w:val="single" w:sz="4" w:space="0" w:color="auto"/>
              <w:left w:val="nil"/>
              <w:bottom w:val="single" w:sz="4" w:space="0" w:color="auto"/>
              <w:right w:val="nil"/>
            </w:tcBorders>
            <w:shd w:val="clear" w:color="auto" w:fill="auto"/>
            <w:noWrap/>
            <w:hideMark/>
          </w:tcPr>
          <w:p w:rsidR="000B4A1E" w:rsidRPr="003E2DBE" w:rsidRDefault="000B4A1E" w:rsidP="00517E51">
            <w:pPr>
              <w:pStyle w:val="TableofFigures"/>
              <w:rPr>
                <w:rFonts w:cs="Calibri"/>
                <w:b/>
                <w:bCs/>
                <w:sz w:val="20"/>
                <w:szCs w:val="22"/>
                <w:lang w:eastAsia="en-AU"/>
              </w:rPr>
            </w:pPr>
            <w:r w:rsidRPr="003E2DBE">
              <w:rPr>
                <w:b/>
                <w:bCs/>
                <w:sz w:val="20"/>
                <w:szCs w:val="20"/>
                <w:lang w:eastAsia="en-AU"/>
              </w:rPr>
              <w:t xml:space="preserve">3 </w:t>
            </w:r>
            <w:r w:rsidRPr="003E2DBE">
              <w:rPr>
                <w:rFonts w:cs="Calibri"/>
                <w:b/>
                <w:bCs/>
                <w:sz w:val="20"/>
                <w:szCs w:val="20"/>
                <w:lang w:eastAsia="en-AU"/>
              </w:rPr>
              <w:t>724.2</w:t>
            </w:r>
          </w:p>
        </w:tc>
        <w:tc>
          <w:tcPr>
            <w:tcW w:w="1037"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 w:val="20"/>
                <w:szCs w:val="22"/>
                <w:lang w:eastAsia="en-AU"/>
              </w:rPr>
            </w:pPr>
            <w:r w:rsidRPr="003E2DBE">
              <w:rPr>
                <w:b/>
                <w:bCs/>
                <w:sz w:val="20"/>
                <w:szCs w:val="20"/>
                <w:lang w:eastAsia="en-AU"/>
              </w:rPr>
              <w:t xml:space="preserve">5 </w:t>
            </w:r>
            <w:r w:rsidRPr="003E2DBE">
              <w:rPr>
                <w:rFonts w:cs="Calibri"/>
                <w:b/>
                <w:bCs/>
                <w:sz w:val="20"/>
                <w:szCs w:val="20"/>
                <w:lang w:eastAsia="en-AU"/>
              </w:rPr>
              <w:t>553.3</w:t>
            </w:r>
          </w:p>
        </w:tc>
        <w:tc>
          <w:tcPr>
            <w:tcW w:w="1037"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 w:val="20"/>
                <w:szCs w:val="22"/>
                <w:lang w:eastAsia="en-AU"/>
              </w:rPr>
            </w:pPr>
            <w:r w:rsidRPr="003E2DBE">
              <w:rPr>
                <w:b/>
                <w:bCs/>
                <w:sz w:val="20"/>
                <w:szCs w:val="20"/>
                <w:lang w:eastAsia="en-AU"/>
              </w:rPr>
              <w:t xml:space="preserve">12 </w:t>
            </w:r>
            <w:r w:rsidRPr="003E2DBE">
              <w:rPr>
                <w:rFonts w:cs="Calibri"/>
                <w:b/>
                <w:bCs/>
                <w:sz w:val="20"/>
                <w:szCs w:val="20"/>
                <w:lang w:eastAsia="en-AU"/>
              </w:rPr>
              <w:t>279.8</w:t>
            </w:r>
          </w:p>
        </w:tc>
        <w:tc>
          <w:tcPr>
            <w:tcW w:w="1037" w:type="dxa"/>
            <w:gridSpan w:val="3"/>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 w:val="20"/>
                <w:szCs w:val="22"/>
                <w:lang w:eastAsia="en-AU"/>
              </w:rPr>
            </w:pPr>
            <w:r w:rsidRPr="003E2DBE">
              <w:rPr>
                <w:b/>
                <w:bCs/>
                <w:sz w:val="20"/>
                <w:szCs w:val="20"/>
                <w:lang w:eastAsia="en-AU"/>
              </w:rPr>
              <w:t xml:space="preserve">37 </w:t>
            </w:r>
            <w:r w:rsidRPr="003E2DBE">
              <w:rPr>
                <w:rFonts w:cs="Calibri"/>
                <w:b/>
                <w:bCs/>
                <w:sz w:val="20"/>
                <w:szCs w:val="20"/>
                <w:lang w:eastAsia="en-AU"/>
              </w:rPr>
              <w:t>464.7</w:t>
            </w:r>
          </w:p>
        </w:tc>
      </w:tr>
      <w:tr w:rsidR="000B4A1E" w:rsidRPr="003E2DBE" w:rsidTr="00517E51">
        <w:trPr>
          <w:divId w:val="1936400275"/>
        </w:trPr>
        <w:tc>
          <w:tcPr>
            <w:tcW w:w="2444"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sz w:val="20"/>
                <w:szCs w:val="20"/>
                <w:lang w:eastAsia="en-AU"/>
              </w:rPr>
            </w:pPr>
            <w:r w:rsidRPr="003E2DBE">
              <w:rPr>
                <w:b/>
                <w:bCs/>
                <w:sz w:val="20"/>
                <w:szCs w:val="20"/>
                <w:lang w:eastAsia="en-AU"/>
              </w:rPr>
              <w:t xml:space="preserve">  </w:t>
            </w:r>
          </w:p>
        </w:tc>
        <w:tc>
          <w:tcPr>
            <w:tcW w:w="982" w:type="dxa"/>
            <w:tcBorders>
              <w:top w:val="nil"/>
              <w:left w:val="nil"/>
              <w:bottom w:val="nil"/>
              <w:right w:val="nil"/>
            </w:tcBorders>
            <w:shd w:val="clear" w:color="auto" w:fill="auto"/>
            <w:noWrap/>
            <w:hideMark/>
          </w:tcPr>
          <w:p w:rsidR="000B4A1E" w:rsidRPr="003E2DBE" w:rsidRDefault="000B4A1E" w:rsidP="00517E51">
            <w:pPr>
              <w:pStyle w:val="TableofFigures"/>
              <w:rPr>
                <w:b/>
                <w:bCs/>
                <w:sz w:val="20"/>
                <w:szCs w:val="20"/>
                <w:lang w:eastAsia="en-AU"/>
              </w:rPr>
            </w:pPr>
            <w:r w:rsidRPr="003E2DBE">
              <w:rPr>
                <w:b/>
                <w:bCs/>
                <w:sz w:val="20"/>
                <w:szCs w:val="20"/>
                <w:lang w:eastAsia="en-AU"/>
              </w:rPr>
              <w:t xml:space="preserve">  </w:t>
            </w:r>
          </w:p>
        </w:tc>
        <w:tc>
          <w:tcPr>
            <w:tcW w:w="1037" w:type="dxa"/>
            <w:tcBorders>
              <w:top w:val="nil"/>
              <w:left w:val="nil"/>
              <w:bottom w:val="nil"/>
              <w:right w:val="nil"/>
            </w:tcBorders>
            <w:shd w:val="clear" w:color="auto" w:fill="auto"/>
            <w:noWrap/>
            <w:hideMark/>
          </w:tcPr>
          <w:p w:rsidR="000B4A1E" w:rsidRPr="003E2DBE" w:rsidRDefault="000B4A1E" w:rsidP="00517E51">
            <w:pPr>
              <w:pStyle w:val="TableofFigures"/>
              <w:rPr>
                <w:b/>
                <w:bCs/>
                <w:sz w:val="20"/>
                <w:szCs w:val="20"/>
                <w:lang w:eastAsia="en-AU"/>
              </w:rPr>
            </w:pPr>
            <w:r w:rsidRPr="003E2DBE">
              <w:rPr>
                <w:b/>
                <w:bCs/>
                <w:sz w:val="20"/>
                <w:szCs w:val="20"/>
                <w:lang w:eastAsia="en-AU"/>
              </w:rPr>
              <w:t xml:space="preserve">  </w:t>
            </w:r>
          </w:p>
        </w:tc>
        <w:tc>
          <w:tcPr>
            <w:tcW w:w="1131" w:type="dxa"/>
            <w:gridSpan w:val="3"/>
            <w:tcBorders>
              <w:top w:val="nil"/>
              <w:left w:val="nil"/>
              <w:bottom w:val="nil"/>
              <w:right w:val="nil"/>
            </w:tcBorders>
            <w:shd w:val="clear" w:color="auto" w:fill="auto"/>
            <w:noWrap/>
            <w:hideMark/>
          </w:tcPr>
          <w:p w:rsidR="000B4A1E" w:rsidRPr="003E2DBE" w:rsidRDefault="000B4A1E" w:rsidP="00517E51">
            <w:pPr>
              <w:pStyle w:val="TableofFigures"/>
              <w:rPr>
                <w:b/>
                <w:bCs/>
                <w:sz w:val="20"/>
                <w:szCs w:val="20"/>
                <w:lang w:eastAsia="en-AU"/>
              </w:rPr>
            </w:pPr>
            <w:r w:rsidRPr="003E2DBE">
              <w:rPr>
                <w:b/>
                <w:bCs/>
                <w:sz w:val="20"/>
                <w:szCs w:val="20"/>
                <w:lang w:eastAsia="en-AU"/>
              </w:rPr>
              <w:t xml:space="preserve">  </w:t>
            </w:r>
          </w:p>
        </w:tc>
        <w:tc>
          <w:tcPr>
            <w:tcW w:w="943" w:type="dxa"/>
            <w:tcBorders>
              <w:top w:val="nil"/>
              <w:left w:val="nil"/>
              <w:bottom w:val="nil"/>
              <w:right w:val="nil"/>
            </w:tcBorders>
            <w:shd w:val="clear" w:color="auto" w:fill="auto"/>
            <w:noWrap/>
            <w:hideMark/>
          </w:tcPr>
          <w:p w:rsidR="000B4A1E" w:rsidRPr="003E2DBE" w:rsidRDefault="000B4A1E" w:rsidP="00517E51">
            <w:pPr>
              <w:pStyle w:val="TableofFigures"/>
              <w:rPr>
                <w:b/>
                <w:bCs/>
                <w:sz w:val="20"/>
                <w:szCs w:val="20"/>
                <w:lang w:eastAsia="en-AU"/>
              </w:rPr>
            </w:pPr>
            <w:r w:rsidRPr="003E2DBE">
              <w:rPr>
                <w:b/>
                <w:bCs/>
                <w:sz w:val="20"/>
                <w:szCs w:val="20"/>
                <w:lang w:eastAsia="en-AU"/>
              </w:rPr>
              <w:t xml:space="preserve">  </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b/>
                <w:bCs/>
                <w:sz w:val="20"/>
                <w:szCs w:val="20"/>
                <w:lang w:eastAsia="en-AU"/>
              </w:rPr>
            </w:pPr>
            <w:r w:rsidRPr="003E2DBE">
              <w:rPr>
                <w:b/>
                <w:bCs/>
                <w:sz w:val="20"/>
                <w:szCs w:val="20"/>
                <w:lang w:eastAsia="en-AU"/>
              </w:rPr>
              <w:t xml:space="preserve">  </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b/>
                <w:bCs/>
                <w:sz w:val="20"/>
                <w:szCs w:val="20"/>
                <w:lang w:eastAsia="en-AU"/>
              </w:rPr>
            </w:pPr>
            <w:r w:rsidRPr="003E2DBE">
              <w:rPr>
                <w:b/>
                <w:bCs/>
                <w:sz w:val="20"/>
                <w:szCs w:val="20"/>
                <w:lang w:eastAsia="en-AU"/>
              </w:rPr>
              <w:t xml:space="preserve">  </w:t>
            </w:r>
          </w:p>
        </w:tc>
        <w:tc>
          <w:tcPr>
            <w:tcW w:w="1037"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b/>
                <w:bCs/>
                <w:sz w:val="20"/>
                <w:szCs w:val="20"/>
                <w:lang w:eastAsia="en-AU"/>
              </w:rPr>
            </w:pPr>
            <w:r w:rsidRPr="003E2DBE">
              <w:rPr>
                <w:b/>
                <w:bCs/>
                <w:sz w:val="20"/>
                <w:szCs w:val="20"/>
                <w:lang w:eastAsia="en-AU"/>
              </w:rPr>
              <w:t xml:space="preserve">  </w:t>
            </w:r>
          </w:p>
        </w:tc>
      </w:tr>
      <w:tr w:rsidR="000B4A1E" w:rsidRPr="003E2DBE" w:rsidTr="00517E51">
        <w:trPr>
          <w:divId w:val="1936400275"/>
        </w:trPr>
        <w:tc>
          <w:tcPr>
            <w:tcW w:w="2444" w:type="dxa"/>
            <w:tcBorders>
              <w:top w:val="nil"/>
              <w:left w:val="nil"/>
              <w:bottom w:val="nil"/>
              <w:right w:val="nil"/>
            </w:tcBorders>
            <w:shd w:val="clear" w:color="000000" w:fill="000000"/>
            <w:noWrap/>
            <w:vAlign w:val="bottom"/>
            <w:hideMark/>
          </w:tcPr>
          <w:p w:rsidR="000B4A1E" w:rsidRPr="003E2DBE" w:rsidRDefault="000B4A1E" w:rsidP="00517E51">
            <w:pPr>
              <w:pStyle w:val="TabletextheadingLeft"/>
              <w:rPr>
                <w:sz w:val="20"/>
                <w:szCs w:val="20"/>
                <w:lang w:eastAsia="en-AU"/>
              </w:rPr>
            </w:pPr>
            <w:r w:rsidRPr="003E2DBE">
              <w:rPr>
                <w:sz w:val="20"/>
                <w:szCs w:val="20"/>
                <w:lang w:eastAsia="en-AU"/>
              </w:rPr>
              <w:t>2012</w:t>
            </w:r>
          </w:p>
        </w:tc>
        <w:tc>
          <w:tcPr>
            <w:tcW w:w="982" w:type="dxa"/>
            <w:tcBorders>
              <w:top w:val="single" w:sz="4" w:space="0" w:color="auto"/>
              <w:left w:val="nil"/>
              <w:bottom w:val="nil"/>
              <w:right w:val="nil"/>
            </w:tcBorders>
            <w:shd w:val="clear" w:color="000000" w:fill="000000"/>
            <w:noWrap/>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037" w:type="dxa"/>
            <w:tcBorders>
              <w:top w:val="single" w:sz="4" w:space="0" w:color="auto"/>
              <w:left w:val="nil"/>
              <w:bottom w:val="nil"/>
              <w:right w:val="nil"/>
            </w:tcBorders>
            <w:shd w:val="clear" w:color="000000" w:fill="000000"/>
            <w:noWrap/>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131" w:type="dxa"/>
            <w:gridSpan w:val="3"/>
            <w:tcBorders>
              <w:top w:val="single" w:sz="4" w:space="0" w:color="auto"/>
              <w:left w:val="nil"/>
              <w:bottom w:val="nil"/>
              <w:right w:val="nil"/>
            </w:tcBorders>
            <w:shd w:val="clear" w:color="000000" w:fill="000000"/>
            <w:noWrap/>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943" w:type="dxa"/>
            <w:tcBorders>
              <w:top w:val="single" w:sz="4" w:space="0" w:color="auto"/>
              <w:left w:val="nil"/>
              <w:bottom w:val="nil"/>
              <w:right w:val="nil"/>
            </w:tcBorders>
            <w:shd w:val="clear" w:color="000000" w:fill="000000"/>
            <w:noWrap/>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037" w:type="dxa"/>
            <w:tcBorders>
              <w:top w:val="single" w:sz="4" w:space="0" w:color="auto"/>
              <w:left w:val="nil"/>
              <w:bottom w:val="nil"/>
              <w:right w:val="nil"/>
            </w:tcBorders>
            <w:shd w:val="clear" w:color="000000" w:fill="000000"/>
            <w:noWrap/>
            <w:vAlign w:val="bottom"/>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037" w:type="dxa"/>
            <w:tcBorders>
              <w:top w:val="single" w:sz="4" w:space="0" w:color="auto"/>
              <w:left w:val="nil"/>
              <w:bottom w:val="nil"/>
              <w:right w:val="nil"/>
            </w:tcBorders>
            <w:shd w:val="clear" w:color="000000" w:fill="000000"/>
            <w:noWrap/>
            <w:vAlign w:val="bottom"/>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037" w:type="dxa"/>
            <w:gridSpan w:val="3"/>
            <w:tcBorders>
              <w:top w:val="single" w:sz="4" w:space="0" w:color="auto"/>
              <w:left w:val="nil"/>
              <w:bottom w:val="nil"/>
              <w:right w:val="nil"/>
            </w:tcBorders>
            <w:shd w:val="clear" w:color="000000" w:fill="000000"/>
            <w:noWrap/>
            <w:vAlign w:val="bottom"/>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r>
      <w:tr w:rsidR="000B4A1E" w:rsidRPr="003E2DBE" w:rsidTr="00517E51">
        <w:trPr>
          <w:divId w:val="1936400275"/>
        </w:trPr>
        <w:tc>
          <w:tcPr>
            <w:tcW w:w="244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 w:val="20"/>
                <w:szCs w:val="20"/>
                <w:lang w:eastAsia="en-AU"/>
              </w:rPr>
            </w:pPr>
            <w:r w:rsidRPr="003E2DBE">
              <w:rPr>
                <w:sz w:val="20"/>
                <w:szCs w:val="20"/>
                <w:lang w:eastAsia="en-AU"/>
              </w:rPr>
              <w:t xml:space="preserve">Payables </w:t>
            </w:r>
            <w:r w:rsidRPr="003E2DBE">
              <w:rPr>
                <w:rFonts w:cs="Calibri"/>
                <w:sz w:val="20"/>
                <w:szCs w:val="20"/>
                <w:lang w:eastAsia="en-AU"/>
              </w:rPr>
              <w:t>and advances</w:t>
            </w:r>
          </w:p>
        </w:tc>
        <w:tc>
          <w:tcPr>
            <w:tcW w:w="98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3 </w:t>
            </w:r>
            <w:r w:rsidRPr="003E2DBE">
              <w:rPr>
                <w:rFonts w:cs="Calibri"/>
                <w:sz w:val="20"/>
                <w:szCs w:val="20"/>
                <w:lang w:eastAsia="en-AU"/>
              </w:rPr>
              <w:t>826.2</w:t>
            </w:r>
          </w:p>
        </w:tc>
        <w:tc>
          <w:tcPr>
            <w:tcW w:w="1037"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3 </w:t>
            </w:r>
            <w:r w:rsidRPr="003E2DBE">
              <w:rPr>
                <w:rFonts w:cs="Calibri"/>
                <w:sz w:val="20"/>
                <w:szCs w:val="20"/>
                <w:lang w:eastAsia="en-AU"/>
              </w:rPr>
              <w:t>826.2</w:t>
            </w:r>
          </w:p>
        </w:tc>
        <w:tc>
          <w:tcPr>
            <w:tcW w:w="113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2 </w:t>
            </w:r>
            <w:r w:rsidRPr="003E2DBE">
              <w:rPr>
                <w:rFonts w:cs="Calibri"/>
                <w:sz w:val="20"/>
                <w:szCs w:val="20"/>
                <w:lang w:eastAsia="en-AU"/>
              </w:rPr>
              <w:t>644.2</w:t>
            </w:r>
          </w:p>
        </w:tc>
        <w:tc>
          <w:tcPr>
            <w:tcW w:w="94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77.8</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190.3</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735.0</w:t>
            </w:r>
          </w:p>
        </w:tc>
        <w:tc>
          <w:tcPr>
            <w:tcW w:w="1037"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178.9</w:t>
            </w:r>
          </w:p>
        </w:tc>
      </w:tr>
      <w:tr w:rsidR="000B4A1E" w:rsidRPr="003E2DBE" w:rsidTr="00517E51">
        <w:trPr>
          <w:divId w:val="1936400275"/>
        </w:trPr>
        <w:tc>
          <w:tcPr>
            <w:tcW w:w="244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b/>
                <w:bCs/>
                <w:sz w:val="20"/>
                <w:szCs w:val="20"/>
                <w:lang w:eastAsia="en-AU"/>
              </w:rPr>
            </w:pPr>
            <w:r w:rsidRPr="003E2DBE">
              <w:rPr>
                <w:b/>
                <w:bCs/>
                <w:sz w:val="20"/>
                <w:szCs w:val="20"/>
                <w:lang w:eastAsia="en-AU"/>
              </w:rPr>
              <w:t xml:space="preserve">Interest-bearing </w:t>
            </w:r>
            <w:r w:rsidRPr="003E2DBE">
              <w:rPr>
                <w:rFonts w:cs="Calibri"/>
                <w:b/>
                <w:bCs/>
                <w:sz w:val="20"/>
                <w:szCs w:val="20"/>
                <w:lang w:eastAsia="en-AU"/>
              </w:rPr>
              <w:t>liabilities:</w:t>
            </w:r>
          </w:p>
        </w:tc>
        <w:tc>
          <w:tcPr>
            <w:tcW w:w="982" w:type="dxa"/>
            <w:tcBorders>
              <w:top w:val="nil"/>
              <w:left w:val="nil"/>
              <w:bottom w:val="nil"/>
              <w:right w:val="nil"/>
            </w:tcBorders>
            <w:shd w:val="clear" w:color="auto" w:fill="auto"/>
            <w:noWrap/>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037" w:type="dxa"/>
            <w:tcBorders>
              <w:top w:val="nil"/>
              <w:left w:val="nil"/>
              <w:bottom w:val="nil"/>
              <w:right w:val="nil"/>
            </w:tcBorders>
            <w:shd w:val="clear" w:color="auto" w:fill="auto"/>
            <w:noWrap/>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131" w:type="dxa"/>
            <w:gridSpan w:val="3"/>
            <w:tcBorders>
              <w:top w:val="nil"/>
              <w:left w:val="nil"/>
              <w:bottom w:val="nil"/>
              <w:right w:val="nil"/>
            </w:tcBorders>
            <w:shd w:val="clear" w:color="auto" w:fill="auto"/>
            <w:noWrap/>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943" w:type="dxa"/>
            <w:tcBorders>
              <w:top w:val="nil"/>
              <w:left w:val="nil"/>
              <w:bottom w:val="nil"/>
              <w:right w:val="nil"/>
            </w:tcBorders>
            <w:shd w:val="clear" w:color="auto" w:fill="auto"/>
            <w:noWrap/>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c>
          <w:tcPr>
            <w:tcW w:w="1037"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sz w:val="20"/>
                <w:szCs w:val="20"/>
                <w:lang w:eastAsia="en-AU"/>
              </w:rPr>
            </w:pPr>
            <w:r w:rsidRPr="003E2DBE">
              <w:rPr>
                <w:sz w:val="20"/>
                <w:szCs w:val="20"/>
                <w:lang w:eastAsia="en-AU"/>
              </w:rPr>
              <w:t xml:space="preserve"> </w:t>
            </w:r>
          </w:p>
        </w:tc>
      </w:tr>
      <w:tr w:rsidR="000B4A1E" w:rsidRPr="003E2DBE" w:rsidTr="00517E51">
        <w:trPr>
          <w:divId w:val="1936400275"/>
        </w:trPr>
        <w:tc>
          <w:tcPr>
            <w:tcW w:w="244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 w:val="20"/>
                <w:szCs w:val="22"/>
                <w:lang w:eastAsia="en-AU"/>
              </w:rPr>
            </w:pPr>
            <w:r w:rsidRPr="003E2DBE">
              <w:rPr>
                <w:sz w:val="20"/>
                <w:szCs w:val="20"/>
                <w:lang w:eastAsia="en-AU"/>
              </w:rPr>
              <w:t xml:space="preserve">Domestic </w:t>
            </w:r>
            <w:r w:rsidRPr="003E2DBE">
              <w:rPr>
                <w:rFonts w:cs="Calibri"/>
                <w:sz w:val="20"/>
                <w:szCs w:val="22"/>
                <w:lang w:eastAsia="en-AU"/>
              </w:rPr>
              <w:t>borrowings</w:t>
            </w:r>
          </w:p>
        </w:tc>
        <w:tc>
          <w:tcPr>
            <w:tcW w:w="98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34 </w:t>
            </w:r>
            <w:r w:rsidRPr="003E2DBE">
              <w:rPr>
                <w:rFonts w:cs="Calibri"/>
                <w:sz w:val="20"/>
                <w:szCs w:val="20"/>
                <w:lang w:eastAsia="en-AU"/>
              </w:rPr>
              <w:t>403.8</w:t>
            </w:r>
          </w:p>
        </w:tc>
        <w:tc>
          <w:tcPr>
            <w:tcW w:w="1037"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45 </w:t>
            </w:r>
            <w:r w:rsidRPr="003E2DBE">
              <w:rPr>
                <w:rFonts w:cs="Calibri"/>
                <w:sz w:val="20"/>
                <w:szCs w:val="20"/>
                <w:lang w:eastAsia="en-AU"/>
              </w:rPr>
              <w:t>792.0</w:t>
            </w:r>
          </w:p>
        </w:tc>
        <w:tc>
          <w:tcPr>
            <w:tcW w:w="113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3 </w:t>
            </w:r>
            <w:r w:rsidRPr="003E2DBE">
              <w:rPr>
                <w:rFonts w:cs="Calibri"/>
                <w:sz w:val="20"/>
                <w:szCs w:val="20"/>
                <w:lang w:eastAsia="en-AU"/>
              </w:rPr>
              <w:t>302.9</w:t>
            </w:r>
          </w:p>
        </w:tc>
        <w:tc>
          <w:tcPr>
            <w:tcW w:w="94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3 </w:t>
            </w:r>
            <w:r w:rsidRPr="003E2DBE">
              <w:rPr>
                <w:rFonts w:cs="Calibri"/>
                <w:sz w:val="20"/>
                <w:szCs w:val="20"/>
                <w:lang w:eastAsia="en-AU"/>
              </w:rPr>
              <w:t>939.3</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2 </w:t>
            </w:r>
            <w:r w:rsidRPr="003E2DBE">
              <w:rPr>
                <w:rFonts w:cs="Calibri"/>
                <w:sz w:val="20"/>
                <w:szCs w:val="20"/>
                <w:lang w:eastAsia="en-AU"/>
              </w:rPr>
              <w:t>516.6</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12 </w:t>
            </w:r>
            <w:r w:rsidRPr="003E2DBE">
              <w:rPr>
                <w:rFonts w:cs="Calibri"/>
                <w:sz w:val="20"/>
                <w:szCs w:val="20"/>
                <w:lang w:eastAsia="en-AU"/>
              </w:rPr>
              <w:t>573.8</w:t>
            </w:r>
          </w:p>
        </w:tc>
        <w:tc>
          <w:tcPr>
            <w:tcW w:w="1037"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23 </w:t>
            </w:r>
            <w:r w:rsidRPr="003E2DBE">
              <w:rPr>
                <w:rFonts w:cs="Calibri"/>
                <w:sz w:val="20"/>
                <w:szCs w:val="20"/>
                <w:lang w:eastAsia="en-AU"/>
              </w:rPr>
              <w:t>459.5</w:t>
            </w:r>
          </w:p>
        </w:tc>
      </w:tr>
      <w:tr w:rsidR="000B4A1E" w:rsidRPr="003E2DBE" w:rsidTr="00517E51">
        <w:trPr>
          <w:divId w:val="1936400275"/>
        </w:trPr>
        <w:tc>
          <w:tcPr>
            <w:tcW w:w="244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 w:val="20"/>
                <w:szCs w:val="22"/>
                <w:lang w:eastAsia="en-AU"/>
              </w:rPr>
            </w:pPr>
            <w:r w:rsidRPr="003E2DBE">
              <w:rPr>
                <w:sz w:val="20"/>
                <w:szCs w:val="20"/>
                <w:lang w:eastAsia="en-AU"/>
              </w:rPr>
              <w:t xml:space="preserve">Foreign </w:t>
            </w:r>
            <w:r w:rsidRPr="003E2DBE">
              <w:rPr>
                <w:rFonts w:cs="Calibri"/>
                <w:sz w:val="20"/>
                <w:szCs w:val="22"/>
                <w:lang w:eastAsia="en-AU"/>
              </w:rPr>
              <w:t>currency borrowings</w:t>
            </w:r>
          </w:p>
        </w:tc>
        <w:tc>
          <w:tcPr>
            <w:tcW w:w="98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1 </w:t>
            </w:r>
            <w:r w:rsidRPr="003E2DBE">
              <w:rPr>
                <w:rFonts w:cs="Calibri"/>
                <w:sz w:val="20"/>
                <w:szCs w:val="20"/>
                <w:lang w:eastAsia="en-AU"/>
              </w:rPr>
              <w:t>272.8</w:t>
            </w:r>
          </w:p>
        </w:tc>
        <w:tc>
          <w:tcPr>
            <w:tcW w:w="1037"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1 </w:t>
            </w:r>
            <w:r w:rsidRPr="003E2DBE">
              <w:rPr>
                <w:rFonts w:cs="Calibri"/>
                <w:sz w:val="20"/>
                <w:szCs w:val="20"/>
                <w:lang w:eastAsia="en-AU"/>
              </w:rPr>
              <w:t>325.3</w:t>
            </w:r>
          </w:p>
        </w:tc>
        <w:tc>
          <w:tcPr>
            <w:tcW w:w="113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296.0</w:t>
            </w:r>
          </w:p>
        </w:tc>
        <w:tc>
          <w:tcPr>
            <w:tcW w:w="94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871.2</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2.5</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7.5</w:t>
            </w:r>
          </w:p>
        </w:tc>
        <w:tc>
          <w:tcPr>
            <w:tcW w:w="1037"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148.0</w:t>
            </w:r>
          </w:p>
        </w:tc>
      </w:tr>
      <w:tr w:rsidR="000B4A1E" w:rsidRPr="003E2DBE" w:rsidTr="00517E51">
        <w:trPr>
          <w:divId w:val="1936400275"/>
        </w:trPr>
        <w:tc>
          <w:tcPr>
            <w:tcW w:w="244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 w:val="20"/>
                <w:szCs w:val="22"/>
                <w:lang w:eastAsia="en-AU"/>
              </w:rPr>
            </w:pPr>
            <w:r w:rsidRPr="003E2DBE">
              <w:rPr>
                <w:sz w:val="20"/>
                <w:szCs w:val="20"/>
                <w:lang w:eastAsia="en-AU"/>
              </w:rPr>
              <w:t xml:space="preserve">Finance </w:t>
            </w:r>
            <w:r w:rsidRPr="003E2DBE">
              <w:rPr>
                <w:rFonts w:cs="Calibri"/>
                <w:sz w:val="20"/>
                <w:szCs w:val="22"/>
                <w:lang w:eastAsia="en-AU"/>
              </w:rPr>
              <w:t>lease liabilities</w:t>
            </w:r>
          </w:p>
        </w:tc>
        <w:tc>
          <w:tcPr>
            <w:tcW w:w="982"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3 </w:t>
            </w:r>
            <w:r w:rsidRPr="003E2DBE">
              <w:rPr>
                <w:rFonts w:cs="Calibri"/>
                <w:sz w:val="20"/>
                <w:szCs w:val="20"/>
                <w:lang w:eastAsia="en-AU"/>
              </w:rPr>
              <w:t>511.2</w:t>
            </w:r>
          </w:p>
        </w:tc>
        <w:tc>
          <w:tcPr>
            <w:tcW w:w="1037"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3 </w:t>
            </w:r>
            <w:r w:rsidRPr="003E2DBE">
              <w:rPr>
                <w:rFonts w:cs="Calibri"/>
                <w:sz w:val="20"/>
                <w:szCs w:val="20"/>
                <w:lang w:eastAsia="en-AU"/>
              </w:rPr>
              <w:t>928.7</w:t>
            </w:r>
          </w:p>
        </w:tc>
        <w:tc>
          <w:tcPr>
            <w:tcW w:w="1131"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42.9</w:t>
            </w:r>
          </w:p>
        </w:tc>
        <w:tc>
          <w:tcPr>
            <w:tcW w:w="94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127.0</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160.7</w:t>
            </w:r>
          </w:p>
        </w:tc>
        <w:tc>
          <w:tcPr>
            <w:tcW w:w="1037"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703.5</w:t>
            </w:r>
          </w:p>
        </w:tc>
        <w:tc>
          <w:tcPr>
            <w:tcW w:w="1037" w:type="dxa"/>
            <w:gridSpan w:val="3"/>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2 </w:t>
            </w:r>
            <w:r w:rsidRPr="003E2DBE">
              <w:rPr>
                <w:rFonts w:cs="Calibri"/>
                <w:sz w:val="20"/>
                <w:szCs w:val="20"/>
                <w:lang w:eastAsia="en-AU"/>
              </w:rPr>
              <w:t>894.6</w:t>
            </w:r>
          </w:p>
        </w:tc>
      </w:tr>
      <w:tr w:rsidR="000B4A1E" w:rsidRPr="003E2DBE" w:rsidTr="00517E51">
        <w:trPr>
          <w:divId w:val="1936400275"/>
        </w:trPr>
        <w:tc>
          <w:tcPr>
            <w:tcW w:w="244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rFonts w:cs="Calibri"/>
                <w:sz w:val="20"/>
                <w:szCs w:val="20"/>
                <w:lang w:eastAsia="en-AU"/>
              </w:rPr>
            </w:pPr>
            <w:r w:rsidRPr="003E2DBE">
              <w:rPr>
                <w:sz w:val="20"/>
                <w:szCs w:val="20"/>
                <w:lang w:eastAsia="en-AU"/>
              </w:rPr>
              <w:t xml:space="preserve">Derivative financial </w:t>
            </w:r>
            <w:r w:rsidRPr="003E2DBE">
              <w:rPr>
                <w:rFonts w:cs="Calibri"/>
                <w:sz w:val="20"/>
                <w:szCs w:val="20"/>
                <w:lang w:eastAsia="en-AU"/>
              </w:rPr>
              <w:t>liabilities</w:t>
            </w:r>
          </w:p>
        </w:tc>
        <w:tc>
          <w:tcPr>
            <w:tcW w:w="982"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1 </w:t>
            </w:r>
            <w:r w:rsidRPr="003E2DBE">
              <w:rPr>
                <w:rFonts w:cs="Calibri"/>
                <w:sz w:val="20"/>
                <w:szCs w:val="20"/>
                <w:lang w:eastAsia="en-AU"/>
              </w:rPr>
              <w:t>620.7</w:t>
            </w:r>
          </w:p>
        </w:tc>
        <w:tc>
          <w:tcPr>
            <w:tcW w:w="1037"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486.0</w:t>
            </w:r>
          </w:p>
        </w:tc>
        <w:tc>
          <w:tcPr>
            <w:tcW w:w="1131" w:type="dxa"/>
            <w:gridSpan w:val="3"/>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20"/>
                <w:szCs w:val="22"/>
                <w:lang w:eastAsia="en-AU"/>
              </w:rPr>
            </w:pPr>
            <w:r w:rsidRPr="003E2DBE">
              <w:rPr>
                <w:sz w:val="20"/>
                <w:szCs w:val="20"/>
                <w:lang w:eastAsia="en-AU"/>
              </w:rPr>
              <w:t xml:space="preserve">( </w:t>
            </w:r>
            <w:r w:rsidRPr="003E2DBE">
              <w:rPr>
                <w:rFonts w:cs="Calibri"/>
                <w:sz w:val="20"/>
                <w:szCs w:val="20"/>
                <w:lang w:eastAsia="en-AU"/>
              </w:rPr>
              <w:t>2.7</w:t>
            </w:r>
            <w:r w:rsidRPr="003E2DBE">
              <w:rPr>
                <w:rFonts w:cs="Calibri"/>
                <w:sz w:val="20"/>
                <w:szCs w:val="22"/>
                <w:lang w:eastAsia="en-AU"/>
              </w:rPr>
              <w:t>)</w:t>
            </w:r>
          </w:p>
        </w:tc>
        <w:tc>
          <w:tcPr>
            <w:tcW w:w="943"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90.0</w:t>
            </w:r>
          </w:p>
        </w:tc>
        <w:tc>
          <w:tcPr>
            <w:tcW w:w="1037"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59.6</w:t>
            </w:r>
          </w:p>
        </w:tc>
        <w:tc>
          <w:tcPr>
            <w:tcW w:w="1037"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94.9</w:t>
            </w:r>
          </w:p>
        </w:tc>
        <w:tc>
          <w:tcPr>
            <w:tcW w:w="1037" w:type="dxa"/>
            <w:gridSpan w:val="3"/>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 w:val="20"/>
                <w:szCs w:val="20"/>
                <w:lang w:eastAsia="en-AU"/>
              </w:rPr>
            </w:pPr>
            <w:r w:rsidRPr="003E2DBE">
              <w:rPr>
                <w:sz w:val="20"/>
                <w:szCs w:val="20"/>
                <w:lang w:eastAsia="en-AU"/>
              </w:rPr>
              <w:t xml:space="preserve"> 244.3</w:t>
            </w:r>
          </w:p>
        </w:tc>
      </w:tr>
      <w:tr w:rsidR="000B4A1E" w:rsidRPr="003E2DBE" w:rsidTr="00517E51">
        <w:trPr>
          <w:divId w:val="1936400275"/>
        </w:trPr>
        <w:tc>
          <w:tcPr>
            <w:tcW w:w="244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sz w:val="20"/>
                <w:szCs w:val="20"/>
                <w:lang w:eastAsia="en-AU"/>
              </w:rPr>
            </w:pPr>
            <w:r w:rsidRPr="003E2DBE">
              <w:rPr>
                <w:b/>
                <w:bCs/>
                <w:sz w:val="20"/>
                <w:szCs w:val="20"/>
                <w:lang w:eastAsia="en-AU"/>
              </w:rPr>
              <w:t>Total</w:t>
            </w:r>
          </w:p>
        </w:tc>
        <w:tc>
          <w:tcPr>
            <w:tcW w:w="982"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0"/>
                <w:szCs w:val="20"/>
                <w:lang w:eastAsia="en-AU"/>
              </w:rPr>
            </w:pPr>
            <w:r w:rsidRPr="003E2DBE">
              <w:rPr>
                <w:b/>
                <w:bCs/>
                <w:sz w:val="20"/>
                <w:szCs w:val="20"/>
                <w:lang w:eastAsia="en-AU"/>
              </w:rPr>
              <w:t xml:space="preserve">44 </w:t>
            </w:r>
            <w:r w:rsidRPr="003E2DBE">
              <w:rPr>
                <w:rFonts w:cs="Calibri"/>
                <w:b/>
                <w:bCs/>
                <w:sz w:val="20"/>
                <w:szCs w:val="20"/>
                <w:lang w:eastAsia="en-AU"/>
              </w:rPr>
              <w:t>634.6</w:t>
            </w:r>
          </w:p>
        </w:tc>
        <w:tc>
          <w:tcPr>
            <w:tcW w:w="1037"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0"/>
                <w:szCs w:val="20"/>
                <w:lang w:eastAsia="en-AU"/>
              </w:rPr>
            </w:pPr>
            <w:r w:rsidRPr="003E2DBE">
              <w:rPr>
                <w:b/>
                <w:bCs/>
                <w:sz w:val="20"/>
                <w:szCs w:val="20"/>
                <w:lang w:eastAsia="en-AU"/>
              </w:rPr>
              <w:t xml:space="preserve">55 </w:t>
            </w:r>
            <w:r w:rsidRPr="003E2DBE">
              <w:rPr>
                <w:rFonts w:cs="Calibri"/>
                <w:b/>
                <w:bCs/>
                <w:sz w:val="20"/>
                <w:szCs w:val="20"/>
                <w:lang w:eastAsia="en-AU"/>
              </w:rPr>
              <w:t>358.1</w:t>
            </w:r>
          </w:p>
        </w:tc>
        <w:tc>
          <w:tcPr>
            <w:tcW w:w="1131" w:type="dxa"/>
            <w:gridSpan w:val="3"/>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0"/>
                <w:szCs w:val="20"/>
                <w:lang w:eastAsia="en-AU"/>
              </w:rPr>
            </w:pPr>
            <w:r w:rsidRPr="003E2DBE">
              <w:rPr>
                <w:b/>
                <w:bCs/>
                <w:sz w:val="20"/>
                <w:szCs w:val="20"/>
                <w:lang w:eastAsia="en-AU"/>
              </w:rPr>
              <w:t xml:space="preserve">6 </w:t>
            </w:r>
            <w:r w:rsidRPr="003E2DBE">
              <w:rPr>
                <w:rFonts w:cs="Calibri"/>
                <w:b/>
                <w:bCs/>
                <w:sz w:val="20"/>
                <w:szCs w:val="20"/>
                <w:lang w:eastAsia="en-AU"/>
              </w:rPr>
              <w:t>283.2</w:t>
            </w:r>
          </w:p>
        </w:tc>
        <w:tc>
          <w:tcPr>
            <w:tcW w:w="943"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0"/>
                <w:szCs w:val="20"/>
                <w:lang w:eastAsia="en-AU"/>
              </w:rPr>
            </w:pPr>
            <w:r w:rsidRPr="003E2DBE">
              <w:rPr>
                <w:b/>
                <w:bCs/>
                <w:sz w:val="20"/>
                <w:szCs w:val="20"/>
                <w:lang w:eastAsia="en-AU"/>
              </w:rPr>
              <w:t xml:space="preserve">5 </w:t>
            </w:r>
            <w:r w:rsidRPr="003E2DBE">
              <w:rPr>
                <w:rFonts w:cs="Calibri"/>
                <w:b/>
                <w:bCs/>
                <w:sz w:val="20"/>
                <w:szCs w:val="20"/>
                <w:lang w:eastAsia="en-AU"/>
              </w:rPr>
              <w:t>105.2</w:t>
            </w:r>
          </w:p>
        </w:tc>
        <w:tc>
          <w:tcPr>
            <w:tcW w:w="1037"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0"/>
                <w:szCs w:val="20"/>
                <w:lang w:eastAsia="en-AU"/>
              </w:rPr>
            </w:pPr>
            <w:r w:rsidRPr="003E2DBE">
              <w:rPr>
                <w:b/>
                <w:bCs/>
                <w:sz w:val="20"/>
                <w:szCs w:val="20"/>
                <w:lang w:eastAsia="en-AU"/>
              </w:rPr>
              <w:t xml:space="preserve">2 </w:t>
            </w:r>
            <w:r w:rsidRPr="003E2DBE">
              <w:rPr>
                <w:rFonts w:cs="Calibri"/>
                <w:b/>
                <w:bCs/>
                <w:sz w:val="20"/>
                <w:szCs w:val="20"/>
                <w:lang w:eastAsia="en-AU"/>
              </w:rPr>
              <w:t>929.7</w:t>
            </w:r>
          </w:p>
        </w:tc>
        <w:tc>
          <w:tcPr>
            <w:tcW w:w="1037"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0"/>
                <w:szCs w:val="20"/>
                <w:lang w:eastAsia="en-AU"/>
              </w:rPr>
            </w:pPr>
            <w:r w:rsidRPr="003E2DBE">
              <w:rPr>
                <w:b/>
                <w:bCs/>
                <w:sz w:val="20"/>
                <w:szCs w:val="20"/>
                <w:lang w:eastAsia="en-AU"/>
              </w:rPr>
              <w:t xml:space="preserve">14 </w:t>
            </w:r>
            <w:r w:rsidRPr="003E2DBE">
              <w:rPr>
                <w:rFonts w:cs="Calibri"/>
                <w:b/>
                <w:bCs/>
                <w:sz w:val="20"/>
                <w:szCs w:val="20"/>
                <w:lang w:eastAsia="en-AU"/>
              </w:rPr>
              <w:t>114.7</w:t>
            </w:r>
          </w:p>
        </w:tc>
        <w:tc>
          <w:tcPr>
            <w:tcW w:w="1037" w:type="dxa"/>
            <w:gridSpan w:val="3"/>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 w:val="20"/>
                <w:szCs w:val="20"/>
                <w:lang w:eastAsia="en-AU"/>
              </w:rPr>
            </w:pPr>
            <w:r w:rsidRPr="003E2DBE">
              <w:rPr>
                <w:b/>
                <w:bCs/>
                <w:sz w:val="20"/>
                <w:szCs w:val="20"/>
                <w:lang w:eastAsia="en-AU"/>
              </w:rPr>
              <w:t xml:space="preserve">26 </w:t>
            </w:r>
            <w:r w:rsidRPr="003E2DBE">
              <w:rPr>
                <w:rFonts w:cs="Calibri"/>
                <w:b/>
                <w:bCs/>
                <w:sz w:val="20"/>
                <w:szCs w:val="20"/>
                <w:lang w:eastAsia="en-AU"/>
              </w:rPr>
              <w:t>925.3</w:t>
            </w:r>
          </w:p>
        </w:tc>
      </w:tr>
    </w:tbl>
    <w:bookmarkEnd w:id="137"/>
    <w:bookmarkEnd w:id="138"/>
    <w:bookmarkEnd w:id="139"/>
    <w:bookmarkEnd w:id="140"/>
    <w:bookmarkEnd w:id="141"/>
    <w:bookmarkEnd w:id="142"/>
    <w:bookmarkEnd w:id="143"/>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Represents undiscounted nominal amount.</w:t>
      </w:r>
    </w:p>
    <w:p w:rsidR="000B4A1E" w:rsidRPr="00D00665" w:rsidRDefault="000B4A1E" w:rsidP="00517E51"/>
    <w:p w:rsidR="000B4A1E" w:rsidRPr="00D00665" w:rsidRDefault="000B4A1E" w:rsidP="00517E51"/>
    <w:p w:rsidR="000B4A1E" w:rsidRPr="00D00665" w:rsidRDefault="000B4A1E">
      <w:pPr>
        <w:spacing w:after="0"/>
        <w:rPr>
          <w:rFonts w:ascii="Calibri" w:hAnsi="Calibri"/>
          <w:i/>
          <w:sz w:val="20"/>
          <w:szCs w:val="18"/>
        </w:rPr>
      </w:pPr>
      <w:r w:rsidRPr="00D00665">
        <w:br w:type="page"/>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3621B7" w:rsidRDefault="000B4A1E" w:rsidP="00517E51">
      <w:pPr>
        <w:pStyle w:val="million"/>
      </w:pPr>
      <w:r w:rsidRPr="00D00665">
        <w:t>($</w:t>
      </w:r>
      <w:r>
        <w:t> million)</w:t>
      </w:r>
    </w:p>
    <w:tbl>
      <w:tblPr>
        <w:tblW w:w="9648" w:type="dxa"/>
        <w:tblInd w:w="29" w:type="dxa"/>
        <w:tblLayout w:type="fixed"/>
        <w:tblCellMar>
          <w:left w:w="43" w:type="dxa"/>
          <w:right w:w="43" w:type="dxa"/>
        </w:tblCellMar>
        <w:tblLook w:val="0000" w:firstRow="0" w:lastRow="0" w:firstColumn="0" w:lastColumn="0" w:noHBand="0" w:noVBand="0"/>
      </w:tblPr>
      <w:tblGrid>
        <w:gridCol w:w="2534"/>
        <w:gridCol w:w="892"/>
        <w:gridCol w:w="1037"/>
        <w:gridCol w:w="236"/>
        <w:gridCol w:w="265"/>
        <w:gridCol w:w="630"/>
        <w:gridCol w:w="943"/>
        <w:gridCol w:w="1037"/>
        <w:gridCol w:w="1037"/>
        <w:gridCol w:w="493"/>
        <w:gridCol w:w="270"/>
        <w:gridCol w:w="274"/>
      </w:tblGrid>
      <w:tr w:rsidR="000B4A1E" w:rsidRPr="003621B7" w:rsidTr="00517E51">
        <w:trPr>
          <w:cantSplit/>
        </w:trPr>
        <w:tc>
          <w:tcPr>
            <w:tcW w:w="2534" w:type="dxa"/>
            <w:tcBorders>
              <w:top w:val="single" w:sz="4" w:space="0" w:color="auto"/>
              <w:left w:val="single" w:sz="4" w:space="0" w:color="auto"/>
              <w:right w:val="nil"/>
            </w:tcBorders>
            <w:shd w:val="clear" w:color="auto" w:fill="000000"/>
          </w:tcPr>
          <w:p w:rsidR="000B4A1E" w:rsidRPr="003621B7" w:rsidRDefault="000B4A1E" w:rsidP="00517E51">
            <w:pPr>
              <w:pStyle w:val="TabletextheadingLeft"/>
              <w:rPr>
                <w:rFonts w:eastAsiaTheme="minorEastAsia"/>
                <w:sz w:val="20"/>
                <w:lang w:eastAsia="en-AU"/>
              </w:rPr>
            </w:pPr>
            <w:r w:rsidRPr="003621B7">
              <w:rPr>
                <w:rFonts w:eastAsiaTheme="minorEastAsia"/>
                <w:sz w:val="20"/>
                <w:lang w:eastAsia="en-AU"/>
              </w:rPr>
              <w:t>General</w:t>
            </w:r>
          </w:p>
        </w:tc>
        <w:tc>
          <w:tcPr>
            <w:tcW w:w="892" w:type="dxa"/>
            <w:tcBorders>
              <w:top w:val="single" w:sz="4" w:space="0" w:color="auto"/>
              <w:left w:val="nil"/>
              <w:right w:val="nil"/>
            </w:tcBorders>
            <w:shd w:val="clear" w:color="auto" w:fill="000000"/>
          </w:tcPr>
          <w:p w:rsidR="000B4A1E" w:rsidRPr="003621B7" w:rsidRDefault="000B4A1E" w:rsidP="00517E51">
            <w:pPr>
              <w:pStyle w:val="Tabletextheading"/>
              <w:rPr>
                <w:rFonts w:eastAsiaTheme="minorEastAsia"/>
                <w:sz w:val="20"/>
                <w:lang w:eastAsia="en-AU"/>
              </w:rPr>
            </w:pPr>
            <w:r w:rsidRPr="003621B7">
              <w:rPr>
                <w:rFonts w:eastAsiaTheme="minorEastAsia"/>
                <w:sz w:val="20"/>
                <w:lang w:eastAsia="en-AU"/>
              </w:rPr>
              <w:t xml:space="preserve"> </w:t>
            </w:r>
          </w:p>
        </w:tc>
        <w:tc>
          <w:tcPr>
            <w:tcW w:w="1037" w:type="dxa"/>
            <w:tcBorders>
              <w:top w:val="single" w:sz="4" w:space="0" w:color="auto"/>
              <w:left w:val="nil"/>
              <w:right w:val="nil"/>
            </w:tcBorders>
            <w:shd w:val="clear" w:color="auto" w:fill="000000"/>
          </w:tcPr>
          <w:p w:rsidR="000B4A1E" w:rsidRPr="003621B7" w:rsidRDefault="000B4A1E" w:rsidP="00517E51">
            <w:pPr>
              <w:pStyle w:val="Tabletextheading"/>
              <w:rPr>
                <w:rFonts w:eastAsiaTheme="minorEastAsia"/>
                <w:sz w:val="20"/>
                <w:lang w:eastAsia="en-AU"/>
              </w:rPr>
            </w:pPr>
            <w:r w:rsidRPr="003621B7">
              <w:rPr>
                <w:rFonts w:eastAsiaTheme="minorEastAsia"/>
                <w:sz w:val="20"/>
                <w:lang w:eastAsia="en-AU"/>
              </w:rPr>
              <w:t xml:space="preserve">  </w:t>
            </w:r>
          </w:p>
        </w:tc>
        <w:tc>
          <w:tcPr>
            <w:tcW w:w="236" w:type="dxa"/>
            <w:tcBorders>
              <w:top w:val="single" w:sz="4" w:space="0" w:color="auto"/>
              <w:left w:val="nil"/>
              <w:right w:val="nil"/>
            </w:tcBorders>
            <w:shd w:val="clear" w:color="auto" w:fill="000000"/>
          </w:tcPr>
          <w:p w:rsidR="000B4A1E" w:rsidRPr="003621B7" w:rsidRDefault="000B4A1E" w:rsidP="00517E51">
            <w:pPr>
              <w:pStyle w:val="Tabletextheading"/>
              <w:jc w:val="center"/>
              <w:rPr>
                <w:rFonts w:eastAsiaTheme="minorEastAsia"/>
                <w:sz w:val="20"/>
                <w:lang w:eastAsia="en-AU"/>
              </w:rPr>
            </w:pPr>
          </w:p>
        </w:tc>
        <w:tc>
          <w:tcPr>
            <w:tcW w:w="265" w:type="dxa"/>
            <w:tcBorders>
              <w:top w:val="single" w:sz="4" w:space="0" w:color="auto"/>
              <w:left w:val="nil"/>
              <w:right w:val="nil"/>
            </w:tcBorders>
            <w:shd w:val="clear" w:color="auto" w:fill="000000"/>
          </w:tcPr>
          <w:p w:rsidR="000B4A1E" w:rsidRPr="003621B7" w:rsidRDefault="000B4A1E" w:rsidP="00517E51">
            <w:pPr>
              <w:pStyle w:val="Tabletextheading"/>
              <w:jc w:val="center"/>
              <w:rPr>
                <w:rFonts w:eastAsiaTheme="minorEastAsia"/>
                <w:sz w:val="20"/>
                <w:lang w:eastAsia="en-AU"/>
              </w:rPr>
            </w:pPr>
          </w:p>
        </w:tc>
        <w:tc>
          <w:tcPr>
            <w:tcW w:w="4140" w:type="dxa"/>
            <w:gridSpan w:val="5"/>
            <w:tcBorders>
              <w:top w:val="single" w:sz="4" w:space="0" w:color="auto"/>
              <w:left w:val="nil"/>
              <w:right w:val="nil"/>
            </w:tcBorders>
            <w:shd w:val="clear" w:color="auto" w:fill="000000"/>
          </w:tcPr>
          <w:p w:rsidR="000B4A1E" w:rsidRPr="003621B7" w:rsidRDefault="000B4A1E" w:rsidP="00517E51">
            <w:pPr>
              <w:pStyle w:val="Tabletextheading"/>
              <w:jc w:val="center"/>
              <w:rPr>
                <w:rFonts w:eastAsiaTheme="minorEastAsia"/>
                <w:sz w:val="20"/>
                <w:lang w:eastAsia="en-AU"/>
              </w:rPr>
            </w:pPr>
            <w:r w:rsidRPr="003621B7">
              <w:rPr>
                <w:rFonts w:eastAsiaTheme="minorEastAsia"/>
                <w:sz w:val="20"/>
                <w:lang w:eastAsia="en-AU"/>
              </w:rPr>
              <w:t>Contractual maturity</w:t>
            </w:r>
          </w:p>
        </w:tc>
        <w:tc>
          <w:tcPr>
            <w:tcW w:w="270" w:type="dxa"/>
            <w:tcBorders>
              <w:top w:val="single" w:sz="4" w:space="0" w:color="auto"/>
              <w:left w:val="nil"/>
              <w:right w:val="nil"/>
            </w:tcBorders>
            <w:shd w:val="clear" w:color="auto" w:fill="000000"/>
          </w:tcPr>
          <w:p w:rsidR="000B4A1E" w:rsidRPr="003621B7" w:rsidRDefault="000B4A1E" w:rsidP="00517E51">
            <w:pPr>
              <w:pStyle w:val="Tabletextheading"/>
              <w:jc w:val="center"/>
              <w:rPr>
                <w:rFonts w:eastAsiaTheme="minorEastAsia"/>
                <w:sz w:val="20"/>
                <w:lang w:eastAsia="en-AU"/>
              </w:rPr>
            </w:pPr>
          </w:p>
        </w:tc>
        <w:tc>
          <w:tcPr>
            <w:tcW w:w="274" w:type="dxa"/>
            <w:tcBorders>
              <w:top w:val="single" w:sz="4" w:space="0" w:color="auto"/>
              <w:left w:val="nil"/>
              <w:right w:val="single" w:sz="4" w:space="0" w:color="auto"/>
            </w:tcBorders>
            <w:shd w:val="clear" w:color="auto" w:fill="000000"/>
          </w:tcPr>
          <w:p w:rsidR="000B4A1E" w:rsidRPr="003621B7" w:rsidRDefault="000B4A1E" w:rsidP="00517E51">
            <w:pPr>
              <w:pStyle w:val="Tabletextheading"/>
              <w:jc w:val="center"/>
              <w:rPr>
                <w:rFonts w:eastAsiaTheme="minorEastAsia"/>
                <w:sz w:val="20"/>
                <w:lang w:eastAsia="en-AU"/>
              </w:rPr>
            </w:pPr>
          </w:p>
        </w:tc>
      </w:tr>
      <w:tr w:rsidR="000B4A1E" w:rsidRPr="003621B7" w:rsidTr="00517E51">
        <w:trPr>
          <w:cantSplit/>
        </w:trPr>
        <w:tc>
          <w:tcPr>
            <w:tcW w:w="2534" w:type="dxa"/>
            <w:tcBorders>
              <w:left w:val="single" w:sz="4" w:space="0" w:color="auto"/>
              <w:bottom w:val="single" w:sz="4" w:space="0" w:color="auto"/>
              <w:right w:val="nil"/>
            </w:tcBorders>
            <w:shd w:val="clear" w:color="auto" w:fill="000000"/>
          </w:tcPr>
          <w:p w:rsidR="000B4A1E" w:rsidRPr="003621B7" w:rsidRDefault="000B4A1E" w:rsidP="00517E51">
            <w:pPr>
              <w:pStyle w:val="TabletextheadingLeft"/>
              <w:rPr>
                <w:rFonts w:eastAsiaTheme="minorEastAsia"/>
                <w:sz w:val="20"/>
                <w:lang w:eastAsia="en-AU"/>
              </w:rPr>
            </w:pPr>
            <w:r w:rsidRPr="003621B7">
              <w:rPr>
                <w:rFonts w:eastAsiaTheme="minorEastAsia"/>
                <w:sz w:val="20"/>
                <w:lang w:eastAsia="en-AU"/>
              </w:rPr>
              <w:t xml:space="preserve">government sector </w:t>
            </w:r>
          </w:p>
          <w:p w:rsidR="000B4A1E" w:rsidRPr="003621B7" w:rsidRDefault="000B4A1E" w:rsidP="00517E51">
            <w:pPr>
              <w:pStyle w:val="TabletextheadingLeft"/>
              <w:rPr>
                <w:rFonts w:eastAsiaTheme="minorEastAsia"/>
                <w:sz w:val="20"/>
                <w:lang w:eastAsia="en-AU"/>
              </w:rPr>
            </w:pPr>
            <w:r w:rsidRPr="003621B7">
              <w:rPr>
                <w:rFonts w:eastAsiaTheme="minorEastAsia"/>
                <w:sz w:val="20"/>
                <w:lang w:eastAsia="en-AU"/>
              </w:rPr>
              <w:t>2013</w:t>
            </w:r>
          </w:p>
        </w:tc>
        <w:tc>
          <w:tcPr>
            <w:tcW w:w="892" w:type="dxa"/>
            <w:tcBorders>
              <w:left w:val="nil"/>
              <w:bottom w:val="single" w:sz="4" w:space="0" w:color="auto"/>
              <w:right w:val="nil"/>
            </w:tcBorders>
            <w:shd w:val="clear" w:color="auto" w:fill="000000"/>
          </w:tcPr>
          <w:p w:rsidR="000B4A1E" w:rsidRPr="003621B7" w:rsidRDefault="000B4A1E" w:rsidP="00517E51">
            <w:pPr>
              <w:pStyle w:val="Tabletextheading"/>
              <w:rPr>
                <w:rFonts w:eastAsiaTheme="minorEastAsia"/>
                <w:sz w:val="20"/>
                <w:lang w:eastAsia="en-AU"/>
              </w:rPr>
            </w:pPr>
            <w:r w:rsidRPr="003621B7">
              <w:rPr>
                <w:rFonts w:eastAsiaTheme="minorEastAsia"/>
                <w:sz w:val="20"/>
                <w:lang w:eastAsia="en-AU"/>
              </w:rPr>
              <w:t>Carrying</w:t>
            </w:r>
          </w:p>
          <w:p w:rsidR="000B4A1E" w:rsidRPr="003621B7" w:rsidRDefault="000B4A1E" w:rsidP="00517E51">
            <w:pPr>
              <w:pStyle w:val="Tabletextheading"/>
              <w:rPr>
                <w:rFonts w:eastAsiaTheme="minorEastAsia"/>
                <w:sz w:val="20"/>
                <w:lang w:eastAsia="en-AU"/>
              </w:rPr>
            </w:pPr>
            <w:r w:rsidRPr="003621B7">
              <w:rPr>
                <w:rFonts w:eastAsiaTheme="minorEastAsia"/>
                <w:sz w:val="20"/>
                <w:lang w:eastAsia="en-AU"/>
              </w:rPr>
              <w:t>amount</w:t>
            </w:r>
          </w:p>
        </w:tc>
        <w:tc>
          <w:tcPr>
            <w:tcW w:w="1037" w:type="dxa"/>
            <w:tcBorders>
              <w:left w:val="nil"/>
              <w:bottom w:val="single" w:sz="4" w:space="0" w:color="auto"/>
              <w:right w:val="nil"/>
            </w:tcBorders>
            <w:shd w:val="clear" w:color="auto" w:fill="000000"/>
          </w:tcPr>
          <w:p w:rsidR="000B4A1E" w:rsidRPr="003621B7" w:rsidRDefault="000B4A1E" w:rsidP="00517E51">
            <w:pPr>
              <w:pStyle w:val="Tabletextheading"/>
              <w:rPr>
                <w:rFonts w:eastAsiaTheme="minorEastAsia"/>
                <w:sz w:val="20"/>
                <w:lang w:eastAsia="en-AU"/>
              </w:rPr>
            </w:pPr>
            <w:r w:rsidRPr="003621B7">
              <w:rPr>
                <w:rFonts w:eastAsiaTheme="minorEastAsia"/>
                <w:sz w:val="20"/>
                <w:lang w:eastAsia="en-AU"/>
              </w:rPr>
              <w:t>Nominal</w:t>
            </w:r>
          </w:p>
          <w:p w:rsidR="000B4A1E" w:rsidRPr="003621B7" w:rsidRDefault="000B4A1E" w:rsidP="00517E51">
            <w:pPr>
              <w:pStyle w:val="Tabletextheading"/>
              <w:rPr>
                <w:rFonts w:eastAsiaTheme="minorEastAsia"/>
                <w:sz w:val="20"/>
                <w:vertAlign w:val="superscript"/>
                <w:lang w:eastAsia="en-AU"/>
              </w:rPr>
            </w:pPr>
            <w:r w:rsidRPr="003621B7">
              <w:rPr>
                <w:rFonts w:eastAsiaTheme="minorEastAsia"/>
                <w:sz w:val="20"/>
                <w:lang w:eastAsia="en-AU"/>
              </w:rPr>
              <w:t xml:space="preserve">amount </w:t>
            </w:r>
            <w:r w:rsidRPr="003621B7">
              <w:rPr>
                <w:rFonts w:eastAsiaTheme="minorEastAsia"/>
                <w:sz w:val="20"/>
                <w:vertAlign w:val="superscript"/>
                <w:lang w:eastAsia="en-AU"/>
              </w:rPr>
              <w:t>(a)</w:t>
            </w:r>
          </w:p>
        </w:tc>
        <w:tc>
          <w:tcPr>
            <w:tcW w:w="1131" w:type="dxa"/>
            <w:gridSpan w:val="3"/>
            <w:tcBorders>
              <w:left w:val="nil"/>
              <w:bottom w:val="single" w:sz="4" w:space="0" w:color="auto"/>
              <w:right w:val="nil"/>
            </w:tcBorders>
            <w:shd w:val="clear" w:color="auto" w:fill="000000"/>
          </w:tcPr>
          <w:p w:rsidR="000B4A1E" w:rsidRPr="003621B7" w:rsidRDefault="000B4A1E" w:rsidP="00517E51">
            <w:pPr>
              <w:pStyle w:val="Tabletextheading"/>
              <w:rPr>
                <w:rFonts w:eastAsiaTheme="minorEastAsia"/>
                <w:sz w:val="20"/>
                <w:lang w:eastAsia="en-AU"/>
              </w:rPr>
            </w:pPr>
          </w:p>
          <w:p w:rsidR="000B4A1E" w:rsidRPr="003621B7" w:rsidRDefault="000B4A1E" w:rsidP="00517E51">
            <w:pPr>
              <w:pStyle w:val="Tabletextheading"/>
              <w:rPr>
                <w:rFonts w:eastAsiaTheme="minorEastAsia"/>
                <w:sz w:val="20"/>
                <w:lang w:eastAsia="en-AU"/>
              </w:rPr>
            </w:pPr>
            <w:r w:rsidRPr="003621B7">
              <w:rPr>
                <w:rFonts w:eastAsiaTheme="minorEastAsia"/>
                <w:sz w:val="20"/>
                <w:lang w:eastAsia="en-AU"/>
              </w:rPr>
              <w:t>0-3 m</w:t>
            </w:r>
            <w:r>
              <w:rPr>
                <w:rFonts w:eastAsiaTheme="minorEastAsia"/>
                <w:sz w:val="20"/>
                <w:lang w:eastAsia="en-AU"/>
              </w:rPr>
              <w:t>on</w:t>
            </w:r>
            <w:r w:rsidRPr="003621B7">
              <w:rPr>
                <w:rFonts w:eastAsiaTheme="minorEastAsia"/>
                <w:sz w:val="20"/>
                <w:lang w:eastAsia="en-AU"/>
              </w:rPr>
              <w:t>ths</w:t>
            </w:r>
          </w:p>
        </w:tc>
        <w:tc>
          <w:tcPr>
            <w:tcW w:w="943" w:type="dxa"/>
            <w:tcBorders>
              <w:left w:val="nil"/>
              <w:bottom w:val="single" w:sz="4" w:space="0" w:color="auto"/>
              <w:right w:val="nil"/>
            </w:tcBorders>
            <w:shd w:val="clear" w:color="auto" w:fill="000000"/>
          </w:tcPr>
          <w:p w:rsidR="000B4A1E" w:rsidRPr="003621B7" w:rsidRDefault="000B4A1E" w:rsidP="00517E51">
            <w:pPr>
              <w:pStyle w:val="Tabletextheading"/>
              <w:rPr>
                <w:rFonts w:eastAsiaTheme="minorEastAsia"/>
                <w:sz w:val="20"/>
                <w:lang w:eastAsia="en-AU"/>
              </w:rPr>
            </w:pPr>
            <w:r w:rsidRPr="003621B7">
              <w:rPr>
                <w:rFonts w:eastAsiaTheme="minorEastAsia"/>
                <w:sz w:val="20"/>
                <w:lang w:eastAsia="en-AU"/>
              </w:rPr>
              <w:t>3 m</w:t>
            </w:r>
            <w:r>
              <w:rPr>
                <w:rFonts w:eastAsiaTheme="minorEastAsia"/>
                <w:sz w:val="20"/>
                <w:lang w:eastAsia="en-AU"/>
              </w:rPr>
              <w:t>on</w:t>
            </w:r>
            <w:r w:rsidRPr="003621B7">
              <w:rPr>
                <w:rFonts w:eastAsiaTheme="minorEastAsia"/>
                <w:sz w:val="20"/>
                <w:lang w:eastAsia="en-AU"/>
              </w:rPr>
              <w:t>ths</w:t>
            </w:r>
          </w:p>
          <w:p w:rsidR="000B4A1E" w:rsidRPr="003621B7" w:rsidRDefault="000B4A1E" w:rsidP="00517E51">
            <w:pPr>
              <w:pStyle w:val="Tabletextheading"/>
              <w:rPr>
                <w:rFonts w:eastAsiaTheme="minorEastAsia"/>
                <w:sz w:val="20"/>
                <w:lang w:eastAsia="en-AU"/>
              </w:rPr>
            </w:pPr>
            <w:r w:rsidRPr="003621B7">
              <w:rPr>
                <w:rFonts w:eastAsiaTheme="minorEastAsia"/>
                <w:sz w:val="20"/>
                <w:lang w:eastAsia="en-AU"/>
              </w:rPr>
              <w:t>-1 y</w:t>
            </w:r>
            <w:r>
              <w:rPr>
                <w:rFonts w:eastAsiaTheme="minorEastAsia"/>
                <w:sz w:val="20"/>
                <w:lang w:eastAsia="en-AU"/>
              </w:rPr>
              <w:t>ea</w:t>
            </w:r>
            <w:r w:rsidRPr="003621B7">
              <w:rPr>
                <w:rFonts w:eastAsiaTheme="minorEastAsia"/>
                <w:sz w:val="20"/>
                <w:lang w:eastAsia="en-AU"/>
              </w:rPr>
              <w:t>r</w:t>
            </w:r>
          </w:p>
        </w:tc>
        <w:tc>
          <w:tcPr>
            <w:tcW w:w="1037" w:type="dxa"/>
            <w:tcBorders>
              <w:left w:val="nil"/>
              <w:bottom w:val="single" w:sz="4" w:space="0" w:color="auto"/>
              <w:right w:val="nil"/>
            </w:tcBorders>
            <w:shd w:val="clear" w:color="auto" w:fill="000000"/>
          </w:tcPr>
          <w:p w:rsidR="000B4A1E" w:rsidRPr="003621B7" w:rsidRDefault="000B4A1E" w:rsidP="00517E51">
            <w:pPr>
              <w:pStyle w:val="Tabletextheading"/>
              <w:rPr>
                <w:rFonts w:eastAsiaTheme="minorEastAsia"/>
                <w:sz w:val="20"/>
                <w:lang w:eastAsia="en-AU"/>
              </w:rPr>
            </w:pPr>
          </w:p>
          <w:p w:rsidR="000B4A1E" w:rsidRPr="003621B7" w:rsidRDefault="000B4A1E" w:rsidP="00517E51">
            <w:pPr>
              <w:pStyle w:val="Tabletextheading"/>
              <w:rPr>
                <w:rFonts w:eastAsiaTheme="minorEastAsia"/>
                <w:sz w:val="20"/>
                <w:lang w:eastAsia="en-AU"/>
              </w:rPr>
            </w:pPr>
            <w:r w:rsidRPr="003621B7">
              <w:rPr>
                <w:rFonts w:eastAsiaTheme="minorEastAsia"/>
                <w:sz w:val="20"/>
                <w:lang w:eastAsia="en-AU"/>
              </w:rPr>
              <w:t>1-2 y</w:t>
            </w:r>
            <w:r>
              <w:rPr>
                <w:rFonts w:eastAsiaTheme="minorEastAsia"/>
                <w:sz w:val="20"/>
                <w:lang w:eastAsia="en-AU"/>
              </w:rPr>
              <w:t>ea</w:t>
            </w:r>
            <w:r w:rsidRPr="003621B7">
              <w:rPr>
                <w:rFonts w:eastAsiaTheme="minorEastAsia"/>
                <w:sz w:val="20"/>
                <w:lang w:eastAsia="en-AU"/>
              </w:rPr>
              <w:t>rs</w:t>
            </w:r>
          </w:p>
        </w:tc>
        <w:tc>
          <w:tcPr>
            <w:tcW w:w="1037" w:type="dxa"/>
            <w:tcBorders>
              <w:left w:val="nil"/>
              <w:bottom w:val="single" w:sz="4" w:space="0" w:color="auto"/>
              <w:right w:val="nil"/>
            </w:tcBorders>
            <w:shd w:val="clear" w:color="auto" w:fill="000000"/>
          </w:tcPr>
          <w:p w:rsidR="000B4A1E" w:rsidRPr="003621B7" w:rsidRDefault="000B4A1E" w:rsidP="00517E51">
            <w:pPr>
              <w:pStyle w:val="Tabletextheading"/>
              <w:rPr>
                <w:rFonts w:eastAsiaTheme="minorEastAsia"/>
                <w:iCs/>
                <w:sz w:val="20"/>
                <w:lang w:eastAsia="en-AU"/>
              </w:rPr>
            </w:pPr>
          </w:p>
          <w:p w:rsidR="000B4A1E" w:rsidRPr="003621B7" w:rsidRDefault="000B4A1E" w:rsidP="00517E51">
            <w:pPr>
              <w:pStyle w:val="Tabletextheading"/>
              <w:rPr>
                <w:rFonts w:eastAsiaTheme="minorEastAsia"/>
                <w:iCs/>
                <w:sz w:val="20"/>
                <w:lang w:eastAsia="en-AU"/>
              </w:rPr>
            </w:pPr>
            <w:r w:rsidRPr="003621B7">
              <w:rPr>
                <w:rFonts w:eastAsiaTheme="minorEastAsia"/>
                <w:iCs/>
                <w:sz w:val="20"/>
                <w:lang w:eastAsia="en-AU"/>
              </w:rPr>
              <w:t>2-5 y</w:t>
            </w:r>
            <w:r>
              <w:rPr>
                <w:rFonts w:eastAsiaTheme="minorEastAsia"/>
                <w:iCs/>
                <w:sz w:val="20"/>
                <w:lang w:eastAsia="en-AU"/>
              </w:rPr>
              <w:t>ea</w:t>
            </w:r>
            <w:r w:rsidRPr="003621B7">
              <w:rPr>
                <w:rFonts w:eastAsiaTheme="minorEastAsia"/>
                <w:iCs/>
                <w:sz w:val="20"/>
                <w:lang w:eastAsia="en-AU"/>
              </w:rPr>
              <w:t>rs</w:t>
            </w:r>
          </w:p>
        </w:tc>
        <w:tc>
          <w:tcPr>
            <w:tcW w:w="1037" w:type="dxa"/>
            <w:gridSpan w:val="3"/>
            <w:tcBorders>
              <w:left w:val="nil"/>
              <w:bottom w:val="single" w:sz="4" w:space="0" w:color="auto"/>
              <w:right w:val="single" w:sz="4" w:space="0" w:color="auto"/>
            </w:tcBorders>
            <w:shd w:val="clear" w:color="auto" w:fill="000000"/>
          </w:tcPr>
          <w:p w:rsidR="000B4A1E" w:rsidRPr="003621B7" w:rsidRDefault="000B4A1E" w:rsidP="00517E51">
            <w:pPr>
              <w:pStyle w:val="Tabletextheading"/>
              <w:rPr>
                <w:rFonts w:eastAsiaTheme="minorEastAsia"/>
                <w:iCs/>
                <w:sz w:val="20"/>
                <w:lang w:eastAsia="en-AU"/>
              </w:rPr>
            </w:pPr>
          </w:p>
          <w:p w:rsidR="000B4A1E" w:rsidRPr="003621B7" w:rsidRDefault="000B4A1E" w:rsidP="00517E51">
            <w:pPr>
              <w:pStyle w:val="Tabletextheading"/>
              <w:rPr>
                <w:rFonts w:eastAsiaTheme="minorEastAsia"/>
                <w:iCs/>
                <w:sz w:val="20"/>
                <w:lang w:eastAsia="en-AU"/>
              </w:rPr>
            </w:pPr>
            <w:r w:rsidRPr="003621B7">
              <w:rPr>
                <w:rFonts w:eastAsiaTheme="minorEastAsia"/>
                <w:iCs/>
                <w:sz w:val="20"/>
                <w:lang w:eastAsia="en-AU"/>
              </w:rPr>
              <w:t>5+ y</w:t>
            </w:r>
            <w:r>
              <w:rPr>
                <w:rFonts w:eastAsiaTheme="minorEastAsia"/>
                <w:iCs/>
                <w:sz w:val="20"/>
                <w:lang w:eastAsia="en-AU"/>
              </w:rPr>
              <w:t>ea</w:t>
            </w:r>
            <w:r w:rsidRPr="003621B7">
              <w:rPr>
                <w:rFonts w:eastAsiaTheme="minorEastAsia"/>
                <w:iCs/>
                <w:sz w:val="20"/>
                <w:lang w:eastAsia="en-AU"/>
              </w:rPr>
              <w:t>rs</w:t>
            </w:r>
          </w:p>
        </w:tc>
      </w:tr>
      <w:tr w:rsidR="000B4A1E" w:rsidRPr="003621B7" w:rsidTr="00517E51">
        <w:trPr>
          <w:cantSplit/>
        </w:trPr>
        <w:tc>
          <w:tcPr>
            <w:tcW w:w="2534" w:type="dxa"/>
            <w:tcBorders>
              <w:top w:val="single" w:sz="4" w:space="0" w:color="auto"/>
              <w:left w:val="nil"/>
              <w:bottom w:val="nil"/>
              <w:right w:val="nil"/>
            </w:tcBorders>
          </w:tcPr>
          <w:p w:rsidR="000B4A1E" w:rsidRPr="003621B7" w:rsidRDefault="000B4A1E" w:rsidP="00517E51">
            <w:pPr>
              <w:pStyle w:val="Tabletext"/>
              <w:rPr>
                <w:rFonts w:eastAsiaTheme="minorEastAsia"/>
                <w:color w:val="000000"/>
                <w:sz w:val="20"/>
                <w:lang w:eastAsia="en-AU"/>
              </w:rPr>
            </w:pPr>
            <w:r w:rsidRPr="003621B7">
              <w:rPr>
                <w:rFonts w:eastAsiaTheme="minorEastAsia"/>
                <w:color w:val="000000"/>
                <w:sz w:val="20"/>
                <w:lang w:eastAsia="en-AU"/>
              </w:rPr>
              <w:t>Payables and advances</w:t>
            </w:r>
          </w:p>
        </w:tc>
        <w:tc>
          <w:tcPr>
            <w:tcW w:w="892" w:type="dxa"/>
            <w:tcBorders>
              <w:top w:val="single" w:sz="4" w:space="0" w:color="auto"/>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4 062.0</w:t>
            </w:r>
          </w:p>
        </w:tc>
        <w:tc>
          <w:tcPr>
            <w:tcW w:w="1037" w:type="dxa"/>
            <w:tcBorders>
              <w:top w:val="single" w:sz="4" w:space="0" w:color="auto"/>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4 457.2</w:t>
            </w:r>
          </w:p>
        </w:tc>
        <w:tc>
          <w:tcPr>
            <w:tcW w:w="1131" w:type="dxa"/>
            <w:gridSpan w:val="3"/>
            <w:tcBorders>
              <w:top w:val="single" w:sz="4" w:space="0" w:color="auto"/>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3 513.7</w:t>
            </w:r>
          </w:p>
        </w:tc>
        <w:tc>
          <w:tcPr>
            <w:tcW w:w="943" w:type="dxa"/>
            <w:tcBorders>
              <w:top w:val="single" w:sz="4" w:space="0" w:color="auto"/>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468.9</w:t>
            </w:r>
          </w:p>
        </w:tc>
        <w:tc>
          <w:tcPr>
            <w:tcW w:w="1037" w:type="dxa"/>
            <w:tcBorders>
              <w:top w:val="single" w:sz="4" w:space="0" w:color="auto"/>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117.6</w:t>
            </w:r>
          </w:p>
        </w:tc>
        <w:tc>
          <w:tcPr>
            <w:tcW w:w="1037" w:type="dxa"/>
            <w:tcBorders>
              <w:top w:val="single" w:sz="4" w:space="0" w:color="auto"/>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226.0</w:t>
            </w:r>
          </w:p>
        </w:tc>
        <w:tc>
          <w:tcPr>
            <w:tcW w:w="1037" w:type="dxa"/>
            <w:gridSpan w:val="3"/>
            <w:tcBorders>
              <w:top w:val="single" w:sz="4" w:space="0" w:color="auto"/>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131.0</w:t>
            </w:r>
          </w:p>
        </w:tc>
      </w:tr>
      <w:tr w:rsidR="000B4A1E" w:rsidRPr="003621B7" w:rsidTr="00517E51">
        <w:trPr>
          <w:cantSplit/>
        </w:trPr>
        <w:tc>
          <w:tcPr>
            <w:tcW w:w="2534" w:type="dxa"/>
            <w:tcBorders>
              <w:top w:val="nil"/>
              <w:left w:val="nil"/>
              <w:bottom w:val="nil"/>
              <w:right w:val="nil"/>
            </w:tcBorders>
          </w:tcPr>
          <w:p w:rsidR="000B4A1E" w:rsidRPr="003621B7" w:rsidRDefault="000B4A1E" w:rsidP="00517E51">
            <w:pPr>
              <w:pStyle w:val="Tabletext"/>
              <w:rPr>
                <w:rFonts w:eastAsiaTheme="minorEastAsia"/>
                <w:b/>
                <w:bCs/>
                <w:color w:val="000000"/>
                <w:sz w:val="20"/>
                <w:lang w:eastAsia="en-AU"/>
              </w:rPr>
            </w:pPr>
            <w:r w:rsidRPr="003621B7">
              <w:rPr>
                <w:rFonts w:eastAsiaTheme="minorEastAsia"/>
                <w:b/>
                <w:bCs/>
                <w:color w:val="000000"/>
                <w:sz w:val="20"/>
                <w:lang w:eastAsia="en-AU"/>
              </w:rPr>
              <w:t>Interest-bearing liabilities:</w:t>
            </w:r>
          </w:p>
        </w:tc>
        <w:tc>
          <w:tcPr>
            <w:tcW w:w="892"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c>
          <w:tcPr>
            <w:tcW w:w="1131"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c>
          <w:tcPr>
            <w:tcW w:w="943"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c>
          <w:tcPr>
            <w:tcW w:w="1037"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r>
      <w:tr w:rsidR="000B4A1E" w:rsidRPr="003621B7" w:rsidTr="00517E51">
        <w:trPr>
          <w:cantSplit/>
        </w:trPr>
        <w:tc>
          <w:tcPr>
            <w:tcW w:w="2534" w:type="dxa"/>
            <w:tcBorders>
              <w:top w:val="nil"/>
              <w:left w:val="nil"/>
              <w:bottom w:val="nil"/>
              <w:right w:val="nil"/>
            </w:tcBorders>
          </w:tcPr>
          <w:p w:rsidR="000B4A1E" w:rsidRPr="003621B7" w:rsidRDefault="000B4A1E" w:rsidP="00517E51">
            <w:pPr>
              <w:pStyle w:val="Tabletext"/>
              <w:rPr>
                <w:rFonts w:eastAsiaTheme="minorEastAsia"/>
                <w:color w:val="000000"/>
                <w:sz w:val="20"/>
                <w:lang w:eastAsia="en-AU"/>
              </w:rPr>
            </w:pPr>
            <w:r w:rsidRPr="003621B7">
              <w:rPr>
                <w:rFonts w:eastAsiaTheme="minorEastAsia"/>
                <w:color w:val="000000"/>
                <w:sz w:val="20"/>
                <w:lang w:eastAsia="en-AU"/>
              </w:rPr>
              <w:t>Domestic borrowings</w:t>
            </w:r>
          </w:p>
        </w:tc>
        <w:tc>
          <w:tcPr>
            <w:tcW w:w="892"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23 303.0</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23 281.0</w:t>
            </w:r>
          </w:p>
        </w:tc>
        <w:tc>
          <w:tcPr>
            <w:tcW w:w="1131"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1 721.7</w:t>
            </w:r>
          </w:p>
        </w:tc>
        <w:tc>
          <w:tcPr>
            <w:tcW w:w="943"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13.0</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1 030.8</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4 908.9</w:t>
            </w:r>
          </w:p>
        </w:tc>
        <w:tc>
          <w:tcPr>
            <w:tcW w:w="1037"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15 606.7</w:t>
            </w:r>
          </w:p>
        </w:tc>
      </w:tr>
      <w:tr w:rsidR="000B4A1E" w:rsidRPr="003621B7" w:rsidTr="00517E51">
        <w:trPr>
          <w:cantSplit/>
        </w:trPr>
        <w:tc>
          <w:tcPr>
            <w:tcW w:w="2534" w:type="dxa"/>
            <w:tcBorders>
              <w:top w:val="nil"/>
              <w:left w:val="nil"/>
              <w:bottom w:val="nil"/>
              <w:right w:val="nil"/>
            </w:tcBorders>
            <w:shd w:val="solid" w:color="FFFFFF" w:fill="auto"/>
          </w:tcPr>
          <w:p w:rsidR="000B4A1E" w:rsidRPr="003621B7" w:rsidRDefault="000B4A1E" w:rsidP="00517E51">
            <w:pPr>
              <w:pStyle w:val="Tabletext"/>
              <w:rPr>
                <w:rFonts w:eastAsiaTheme="minorEastAsia"/>
                <w:color w:val="000000"/>
                <w:sz w:val="20"/>
                <w:lang w:eastAsia="en-AU"/>
              </w:rPr>
            </w:pPr>
            <w:r w:rsidRPr="003621B7">
              <w:rPr>
                <w:rFonts w:eastAsiaTheme="minorEastAsia"/>
                <w:color w:val="000000"/>
                <w:sz w:val="20"/>
                <w:lang w:eastAsia="en-AU"/>
              </w:rPr>
              <w:t>Foreign currency borrowings</w:t>
            </w:r>
          </w:p>
        </w:tc>
        <w:tc>
          <w:tcPr>
            <w:tcW w:w="892" w:type="dxa"/>
            <w:tcBorders>
              <w:top w:val="nil"/>
              <w:left w:val="nil"/>
              <w:bottom w:val="nil"/>
              <w:right w:val="nil"/>
            </w:tcBorders>
          </w:tcPr>
          <w:p w:rsidR="000B4A1E" w:rsidRPr="003621B7" w:rsidRDefault="000B4A1E" w:rsidP="00517E51">
            <w:pPr>
              <w:pStyle w:val="TableofFigures"/>
              <w:rPr>
                <w:rFonts w:eastAsiaTheme="minorEastAsia"/>
                <w:color w:val="0000FF"/>
                <w:sz w:val="20"/>
                <w:lang w:eastAsia="en-AU"/>
              </w:rPr>
            </w:pPr>
            <w:r w:rsidRPr="003621B7">
              <w:rPr>
                <w:rFonts w:eastAsiaTheme="minorEastAsia"/>
                <w:color w:val="0000FF"/>
                <w:sz w:val="20"/>
                <w:lang w:eastAsia="en-AU"/>
              </w:rPr>
              <w:t>..</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FF"/>
                <w:sz w:val="20"/>
                <w:lang w:eastAsia="en-AU"/>
              </w:rPr>
            </w:pPr>
            <w:r w:rsidRPr="003621B7">
              <w:rPr>
                <w:rFonts w:eastAsiaTheme="minorEastAsia"/>
                <w:color w:val="0000FF"/>
                <w:sz w:val="20"/>
                <w:lang w:eastAsia="en-AU"/>
              </w:rPr>
              <w:t>..</w:t>
            </w:r>
          </w:p>
        </w:tc>
        <w:tc>
          <w:tcPr>
            <w:tcW w:w="1131" w:type="dxa"/>
            <w:gridSpan w:val="3"/>
            <w:tcBorders>
              <w:top w:val="nil"/>
              <w:left w:val="nil"/>
              <w:bottom w:val="nil"/>
              <w:right w:val="nil"/>
            </w:tcBorders>
          </w:tcPr>
          <w:p w:rsidR="000B4A1E" w:rsidRPr="003621B7" w:rsidRDefault="000B4A1E" w:rsidP="00517E51">
            <w:pPr>
              <w:pStyle w:val="TableofFigures"/>
              <w:rPr>
                <w:rFonts w:eastAsiaTheme="minorEastAsia"/>
                <w:color w:val="0000FF"/>
                <w:sz w:val="20"/>
                <w:lang w:eastAsia="en-AU"/>
              </w:rPr>
            </w:pPr>
            <w:r w:rsidRPr="003621B7">
              <w:rPr>
                <w:rFonts w:eastAsiaTheme="minorEastAsia"/>
                <w:color w:val="0000FF"/>
                <w:sz w:val="20"/>
                <w:lang w:eastAsia="en-AU"/>
              </w:rPr>
              <w:t>..</w:t>
            </w:r>
          </w:p>
        </w:tc>
        <w:tc>
          <w:tcPr>
            <w:tcW w:w="943" w:type="dxa"/>
            <w:tcBorders>
              <w:top w:val="nil"/>
              <w:left w:val="nil"/>
              <w:bottom w:val="nil"/>
              <w:right w:val="nil"/>
            </w:tcBorders>
          </w:tcPr>
          <w:p w:rsidR="000B4A1E" w:rsidRPr="003621B7" w:rsidRDefault="000B4A1E" w:rsidP="00517E51">
            <w:pPr>
              <w:pStyle w:val="TableofFigures"/>
              <w:rPr>
                <w:rFonts w:eastAsiaTheme="minorEastAsia"/>
                <w:color w:val="0000FF"/>
                <w:sz w:val="20"/>
                <w:lang w:eastAsia="en-AU"/>
              </w:rPr>
            </w:pPr>
            <w:r w:rsidRPr="003621B7">
              <w:rPr>
                <w:rFonts w:eastAsiaTheme="minorEastAsia"/>
                <w:color w:val="0000FF"/>
                <w:sz w:val="20"/>
                <w:lang w:eastAsia="en-AU"/>
              </w:rPr>
              <w:t>..</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FF"/>
                <w:sz w:val="20"/>
                <w:lang w:eastAsia="en-AU"/>
              </w:rPr>
            </w:pPr>
            <w:r w:rsidRPr="003621B7">
              <w:rPr>
                <w:rFonts w:eastAsiaTheme="minorEastAsia"/>
                <w:color w:val="0000FF"/>
                <w:sz w:val="20"/>
                <w:lang w:eastAsia="en-AU"/>
              </w:rPr>
              <w:t>..</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FF"/>
                <w:sz w:val="20"/>
                <w:lang w:eastAsia="en-AU"/>
              </w:rPr>
            </w:pPr>
            <w:r w:rsidRPr="003621B7">
              <w:rPr>
                <w:rFonts w:eastAsiaTheme="minorEastAsia"/>
                <w:color w:val="0000FF"/>
                <w:sz w:val="20"/>
                <w:lang w:eastAsia="en-AU"/>
              </w:rPr>
              <w:t>..</w:t>
            </w:r>
          </w:p>
        </w:tc>
        <w:tc>
          <w:tcPr>
            <w:tcW w:w="1037" w:type="dxa"/>
            <w:gridSpan w:val="3"/>
            <w:tcBorders>
              <w:top w:val="nil"/>
              <w:left w:val="nil"/>
              <w:bottom w:val="nil"/>
              <w:right w:val="nil"/>
            </w:tcBorders>
          </w:tcPr>
          <w:p w:rsidR="000B4A1E" w:rsidRPr="003621B7" w:rsidRDefault="000B4A1E" w:rsidP="00517E51">
            <w:pPr>
              <w:pStyle w:val="TableofFigures"/>
              <w:rPr>
                <w:rFonts w:eastAsiaTheme="minorEastAsia"/>
                <w:color w:val="0000FF"/>
                <w:sz w:val="20"/>
                <w:lang w:eastAsia="en-AU"/>
              </w:rPr>
            </w:pPr>
            <w:r w:rsidRPr="003621B7">
              <w:rPr>
                <w:rFonts w:eastAsiaTheme="minorEastAsia"/>
                <w:color w:val="0000FF"/>
                <w:sz w:val="20"/>
                <w:lang w:eastAsia="en-AU"/>
              </w:rPr>
              <w:t>..</w:t>
            </w:r>
          </w:p>
        </w:tc>
      </w:tr>
      <w:tr w:rsidR="000B4A1E" w:rsidRPr="003621B7" w:rsidTr="00517E51">
        <w:trPr>
          <w:cantSplit/>
        </w:trPr>
        <w:tc>
          <w:tcPr>
            <w:tcW w:w="2534" w:type="dxa"/>
            <w:tcBorders>
              <w:top w:val="nil"/>
              <w:left w:val="nil"/>
              <w:bottom w:val="nil"/>
              <w:right w:val="nil"/>
            </w:tcBorders>
            <w:shd w:val="solid" w:color="FFFFFF" w:fill="auto"/>
          </w:tcPr>
          <w:p w:rsidR="000B4A1E" w:rsidRPr="003621B7" w:rsidRDefault="000B4A1E" w:rsidP="00517E51">
            <w:pPr>
              <w:pStyle w:val="Tabletext"/>
              <w:rPr>
                <w:rFonts w:eastAsiaTheme="minorEastAsia"/>
                <w:color w:val="000000"/>
                <w:sz w:val="20"/>
                <w:lang w:eastAsia="en-AU"/>
              </w:rPr>
            </w:pPr>
            <w:r w:rsidRPr="003621B7">
              <w:rPr>
                <w:rFonts w:eastAsiaTheme="minorEastAsia"/>
                <w:color w:val="000000"/>
                <w:sz w:val="20"/>
                <w:lang w:eastAsia="en-AU"/>
              </w:rPr>
              <w:t>Finance lease liabilities</w:t>
            </w:r>
          </w:p>
        </w:tc>
        <w:tc>
          <w:tcPr>
            <w:tcW w:w="892"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8 033.3</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10 311.9</w:t>
            </w:r>
          </w:p>
        </w:tc>
        <w:tc>
          <w:tcPr>
            <w:tcW w:w="1131"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402.4</w:t>
            </w:r>
          </w:p>
        </w:tc>
        <w:tc>
          <w:tcPr>
            <w:tcW w:w="943"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259.5</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461.6</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933.4</w:t>
            </w:r>
          </w:p>
        </w:tc>
        <w:tc>
          <w:tcPr>
            <w:tcW w:w="1037"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8 255.0</w:t>
            </w:r>
          </w:p>
        </w:tc>
      </w:tr>
      <w:tr w:rsidR="000B4A1E" w:rsidRPr="003621B7" w:rsidTr="00517E51">
        <w:trPr>
          <w:cantSplit/>
        </w:trPr>
        <w:tc>
          <w:tcPr>
            <w:tcW w:w="2534" w:type="dxa"/>
            <w:tcBorders>
              <w:top w:val="nil"/>
              <w:left w:val="nil"/>
              <w:bottom w:val="nil"/>
              <w:right w:val="nil"/>
            </w:tcBorders>
            <w:shd w:val="solid" w:color="FFFFFF" w:fill="auto"/>
          </w:tcPr>
          <w:p w:rsidR="000B4A1E" w:rsidRPr="003621B7" w:rsidRDefault="000B4A1E" w:rsidP="00517E51">
            <w:pPr>
              <w:pStyle w:val="Tabletext"/>
              <w:rPr>
                <w:rFonts w:eastAsiaTheme="minorEastAsia"/>
                <w:color w:val="000000"/>
                <w:sz w:val="20"/>
                <w:lang w:eastAsia="en-AU"/>
              </w:rPr>
            </w:pPr>
            <w:r w:rsidRPr="003621B7">
              <w:rPr>
                <w:rFonts w:eastAsiaTheme="minorEastAsia"/>
                <w:color w:val="000000"/>
                <w:sz w:val="20"/>
                <w:lang w:eastAsia="en-AU"/>
              </w:rPr>
              <w:t>Derivative financial liabilities</w:t>
            </w:r>
          </w:p>
        </w:tc>
        <w:tc>
          <w:tcPr>
            <w:tcW w:w="892"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9.0</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9.0</w:t>
            </w:r>
          </w:p>
        </w:tc>
        <w:tc>
          <w:tcPr>
            <w:tcW w:w="1131"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0.1</w:t>
            </w:r>
          </w:p>
        </w:tc>
        <w:tc>
          <w:tcPr>
            <w:tcW w:w="943"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c>
          <w:tcPr>
            <w:tcW w:w="1037"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8.9</w:t>
            </w:r>
          </w:p>
        </w:tc>
      </w:tr>
      <w:tr w:rsidR="000B4A1E" w:rsidRPr="003621B7" w:rsidTr="00517E51">
        <w:trPr>
          <w:cantSplit/>
        </w:trPr>
        <w:tc>
          <w:tcPr>
            <w:tcW w:w="2534" w:type="dxa"/>
            <w:tcBorders>
              <w:top w:val="single" w:sz="6" w:space="0" w:color="auto"/>
              <w:left w:val="nil"/>
              <w:bottom w:val="single" w:sz="6" w:space="0" w:color="auto"/>
              <w:right w:val="nil"/>
            </w:tcBorders>
          </w:tcPr>
          <w:p w:rsidR="000B4A1E" w:rsidRPr="003621B7" w:rsidRDefault="000B4A1E" w:rsidP="00517E51">
            <w:pPr>
              <w:pStyle w:val="Tabletext"/>
              <w:rPr>
                <w:rFonts w:eastAsiaTheme="minorEastAsia"/>
                <w:b/>
                <w:bCs/>
                <w:color w:val="000000"/>
                <w:sz w:val="20"/>
                <w:lang w:eastAsia="en-AU"/>
              </w:rPr>
            </w:pPr>
            <w:r w:rsidRPr="003621B7">
              <w:rPr>
                <w:rFonts w:eastAsiaTheme="minorEastAsia"/>
                <w:b/>
                <w:bCs/>
                <w:color w:val="000000"/>
                <w:sz w:val="20"/>
                <w:lang w:eastAsia="en-AU"/>
              </w:rPr>
              <w:t xml:space="preserve">Total </w:t>
            </w:r>
          </w:p>
        </w:tc>
        <w:tc>
          <w:tcPr>
            <w:tcW w:w="892" w:type="dxa"/>
            <w:tcBorders>
              <w:top w:val="single" w:sz="6" w:space="0" w:color="auto"/>
              <w:left w:val="nil"/>
              <w:bottom w:val="single" w:sz="6"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35 407.3</w:t>
            </w:r>
          </w:p>
        </w:tc>
        <w:tc>
          <w:tcPr>
            <w:tcW w:w="1037" w:type="dxa"/>
            <w:tcBorders>
              <w:top w:val="single" w:sz="6" w:space="0" w:color="auto"/>
              <w:left w:val="nil"/>
              <w:bottom w:val="single" w:sz="6"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38 059.1</w:t>
            </w:r>
          </w:p>
        </w:tc>
        <w:tc>
          <w:tcPr>
            <w:tcW w:w="1131" w:type="dxa"/>
            <w:gridSpan w:val="3"/>
            <w:tcBorders>
              <w:top w:val="single" w:sz="6" w:space="0" w:color="auto"/>
              <w:left w:val="nil"/>
              <w:bottom w:val="single" w:sz="6"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5 637.9</w:t>
            </w:r>
          </w:p>
        </w:tc>
        <w:tc>
          <w:tcPr>
            <w:tcW w:w="943" w:type="dxa"/>
            <w:tcBorders>
              <w:top w:val="single" w:sz="6" w:space="0" w:color="auto"/>
              <w:left w:val="nil"/>
              <w:bottom w:val="single" w:sz="6"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 xml:space="preserve"> 741.3</w:t>
            </w:r>
          </w:p>
        </w:tc>
        <w:tc>
          <w:tcPr>
            <w:tcW w:w="1037" w:type="dxa"/>
            <w:tcBorders>
              <w:top w:val="single" w:sz="6" w:space="0" w:color="auto"/>
              <w:left w:val="nil"/>
              <w:bottom w:val="single" w:sz="6"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1 610.0</w:t>
            </w:r>
          </w:p>
        </w:tc>
        <w:tc>
          <w:tcPr>
            <w:tcW w:w="1037" w:type="dxa"/>
            <w:tcBorders>
              <w:top w:val="single" w:sz="6" w:space="0" w:color="auto"/>
              <w:left w:val="nil"/>
              <w:bottom w:val="single" w:sz="6"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6 068.4</w:t>
            </w:r>
          </w:p>
        </w:tc>
        <w:tc>
          <w:tcPr>
            <w:tcW w:w="1037" w:type="dxa"/>
            <w:gridSpan w:val="3"/>
            <w:tcBorders>
              <w:top w:val="single" w:sz="6" w:space="0" w:color="auto"/>
              <w:left w:val="nil"/>
              <w:bottom w:val="single" w:sz="6"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24 001.6</w:t>
            </w:r>
          </w:p>
        </w:tc>
      </w:tr>
      <w:tr w:rsidR="000B4A1E" w:rsidRPr="003621B7" w:rsidTr="00517E51">
        <w:trPr>
          <w:trHeight w:hRule="exact" w:val="120"/>
        </w:trPr>
        <w:tc>
          <w:tcPr>
            <w:tcW w:w="2534" w:type="dxa"/>
            <w:tcBorders>
              <w:top w:val="nil"/>
              <w:left w:val="nil"/>
              <w:bottom w:val="nil"/>
              <w:right w:val="nil"/>
            </w:tcBorders>
          </w:tcPr>
          <w:p w:rsidR="000B4A1E" w:rsidRPr="003621B7" w:rsidRDefault="000B4A1E" w:rsidP="00517E51">
            <w:pPr>
              <w:pStyle w:val="Tabletext"/>
              <w:rPr>
                <w:rFonts w:eastAsiaTheme="minorEastAsia"/>
                <w:b/>
                <w:bCs/>
                <w:color w:val="000000"/>
                <w:sz w:val="20"/>
                <w:lang w:eastAsia="en-AU"/>
              </w:rPr>
            </w:pPr>
            <w:r w:rsidRPr="003621B7">
              <w:rPr>
                <w:rFonts w:eastAsiaTheme="minorEastAsia"/>
                <w:b/>
                <w:bCs/>
                <w:color w:val="000000"/>
                <w:sz w:val="20"/>
                <w:lang w:eastAsia="en-AU"/>
              </w:rPr>
              <w:t xml:space="preserve">  </w:t>
            </w:r>
          </w:p>
        </w:tc>
        <w:tc>
          <w:tcPr>
            <w:tcW w:w="892" w:type="dxa"/>
            <w:tcBorders>
              <w:top w:val="single" w:sz="6" w:space="0" w:color="auto"/>
              <w:left w:val="nil"/>
              <w:bottom w:val="nil"/>
              <w:right w:val="nil"/>
            </w:tcBorders>
          </w:tcPr>
          <w:p w:rsidR="000B4A1E" w:rsidRPr="003621B7" w:rsidRDefault="000B4A1E" w:rsidP="00517E51">
            <w:pPr>
              <w:pStyle w:val="TableofFigures"/>
              <w:rPr>
                <w:rFonts w:eastAsiaTheme="minorEastAsia"/>
                <w:b/>
                <w:bCs/>
                <w:color w:val="0000FF"/>
                <w:sz w:val="20"/>
                <w:lang w:eastAsia="en-AU"/>
              </w:rPr>
            </w:pPr>
            <w:r w:rsidRPr="003621B7">
              <w:rPr>
                <w:rFonts w:eastAsiaTheme="minorEastAsia"/>
                <w:b/>
                <w:bCs/>
                <w:color w:val="0000FF"/>
                <w:sz w:val="20"/>
                <w:lang w:eastAsia="en-AU"/>
              </w:rPr>
              <w:t xml:space="preserve">  </w:t>
            </w:r>
          </w:p>
        </w:tc>
        <w:tc>
          <w:tcPr>
            <w:tcW w:w="1037" w:type="dxa"/>
            <w:tcBorders>
              <w:top w:val="single" w:sz="6" w:space="0" w:color="auto"/>
              <w:left w:val="nil"/>
              <w:bottom w:val="nil"/>
              <w:right w:val="nil"/>
            </w:tcBorders>
          </w:tcPr>
          <w:p w:rsidR="000B4A1E" w:rsidRPr="003621B7" w:rsidRDefault="000B4A1E" w:rsidP="00517E51">
            <w:pPr>
              <w:pStyle w:val="TableofFigures"/>
              <w:rPr>
                <w:rFonts w:eastAsiaTheme="minorEastAsia"/>
                <w:b/>
                <w:bCs/>
                <w:color w:val="0000FF"/>
                <w:sz w:val="20"/>
                <w:lang w:eastAsia="en-AU"/>
              </w:rPr>
            </w:pPr>
            <w:r w:rsidRPr="003621B7">
              <w:rPr>
                <w:rFonts w:eastAsiaTheme="minorEastAsia"/>
                <w:b/>
                <w:bCs/>
                <w:color w:val="0000FF"/>
                <w:sz w:val="20"/>
                <w:lang w:eastAsia="en-AU"/>
              </w:rPr>
              <w:t xml:space="preserve">  </w:t>
            </w:r>
          </w:p>
        </w:tc>
        <w:tc>
          <w:tcPr>
            <w:tcW w:w="1131" w:type="dxa"/>
            <w:gridSpan w:val="3"/>
            <w:tcBorders>
              <w:top w:val="single" w:sz="6" w:space="0" w:color="auto"/>
              <w:left w:val="nil"/>
              <w:bottom w:val="nil"/>
              <w:right w:val="nil"/>
            </w:tcBorders>
          </w:tcPr>
          <w:p w:rsidR="000B4A1E" w:rsidRPr="003621B7" w:rsidRDefault="000B4A1E" w:rsidP="00517E51">
            <w:pPr>
              <w:pStyle w:val="TableofFigures"/>
              <w:rPr>
                <w:rFonts w:eastAsiaTheme="minorEastAsia"/>
                <w:b/>
                <w:bCs/>
                <w:color w:val="0000FF"/>
                <w:sz w:val="20"/>
                <w:lang w:eastAsia="en-AU"/>
              </w:rPr>
            </w:pPr>
            <w:r w:rsidRPr="003621B7">
              <w:rPr>
                <w:rFonts w:eastAsiaTheme="minorEastAsia"/>
                <w:b/>
                <w:bCs/>
                <w:color w:val="0000FF"/>
                <w:sz w:val="20"/>
                <w:lang w:eastAsia="en-AU"/>
              </w:rPr>
              <w:t xml:space="preserve">  </w:t>
            </w:r>
          </w:p>
        </w:tc>
        <w:tc>
          <w:tcPr>
            <w:tcW w:w="943" w:type="dxa"/>
            <w:tcBorders>
              <w:top w:val="single" w:sz="6" w:space="0" w:color="auto"/>
              <w:left w:val="nil"/>
              <w:bottom w:val="nil"/>
              <w:right w:val="nil"/>
            </w:tcBorders>
          </w:tcPr>
          <w:p w:rsidR="000B4A1E" w:rsidRPr="003621B7" w:rsidRDefault="000B4A1E" w:rsidP="00517E51">
            <w:pPr>
              <w:pStyle w:val="TableofFigures"/>
              <w:rPr>
                <w:rFonts w:eastAsiaTheme="minorEastAsia"/>
                <w:b/>
                <w:bCs/>
                <w:color w:val="0000FF"/>
                <w:sz w:val="20"/>
                <w:lang w:eastAsia="en-AU"/>
              </w:rPr>
            </w:pPr>
            <w:r w:rsidRPr="003621B7">
              <w:rPr>
                <w:rFonts w:eastAsiaTheme="minorEastAsia"/>
                <w:b/>
                <w:bCs/>
                <w:color w:val="0000FF"/>
                <w:sz w:val="20"/>
                <w:lang w:eastAsia="en-AU"/>
              </w:rPr>
              <w:t xml:space="preserve">  </w:t>
            </w:r>
          </w:p>
        </w:tc>
        <w:tc>
          <w:tcPr>
            <w:tcW w:w="1037" w:type="dxa"/>
            <w:tcBorders>
              <w:top w:val="single" w:sz="6" w:space="0" w:color="auto"/>
              <w:left w:val="nil"/>
              <w:bottom w:val="nil"/>
              <w:right w:val="nil"/>
            </w:tcBorders>
          </w:tcPr>
          <w:p w:rsidR="000B4A1E" w:rsidRPr="003621B7" w:rsidRDefault="000B4A1E" w:rsidP="00517E51">
            <w:pPr>
              <w:pStyle w:val="TableofFigures"/>
              <w:rPr>
                <w:rFonts w:eastAsiaTheme="minorEastAsia"/>
                <w:b/>
                <w:bCs/>
                <w:color w:val="0000FF"/>
                <w:sz w:val="20"/>
                <w:lang w:eastAsia="en-AU"/>
              </w:rPr>
            </w:pPr>
            <w:r w:rsidRPr="003621B7">
              <w:rPr>
                <w:rFonts w:eastAsiaTheme="minorEastAsia"/>
                <w:b/>
                <w:bCs/>
                <w:color w:val="0000FF"/>
                <w:sz w:val="20"/>
                <w:lang w:eastAsia="en-AU"/>
              </w:rPr>
              <w:t xml:space="preserve">  </w:t>
            </w:r>
          </w:p>
        </w:tc>
        <w:tc>
          <w:tcPr>
            <w:tcW w:w="1037" w:type="dxa"/>
            <w:tcBorders>
              <w:top w:val="single" w:sz="6" w:space="0" w:color="auto"/>
              <w:left w:val="nil"/>
              <w:bottom w:val="nil"/>
              <w:right w:val="nil"/>
            </w:tcBorders>
          </w:tcPr>
          <w:p w:rsidR="000B4A1E" w:rsidRPr="003621B7" w:rsidRDefault="000B4A1E" w:rsidP="00517E51">
            <w:pPr>
              <w:pStyle w:val="TableofFigures"/>
              <w:rPr>
                <w:rFonts w:eastAsiaTheme="minorEastAsia"/>
                <w:b/>
                <w:bCs/>
                <w:color w:val="0000FF"/>
                <w:sz w:val="20"/>
                <w:lang w:eastAsia="en-AU"/>
              </w:rPr>
            </w:pPr>
            <w:r w:rsidRPr="003621B7">
              <w:rPr>
                <w:rFonts w:eastAsiaTheme="minorEastAsia"/>
                <w:b/>
                <w:bCs/>
                <w:color w:val="0000FF"/>
                <w:sz w:val="20"/>
                <w:lang w:eastAsia="en-AU"/>
              </w:rPr>
              <w:t xml:space="preserve">  </w:t>
            </w:r>
          </w:p>
        </w:tc>
        <w:tc>
          <w:tcPr>
            <w:tcW w:w="1037" w:type="dxa"/>
            <w:gridSpan w:val="3"/>
            <w:tcBorders>
              <w:top w:val="single" w:sz="6" w:space="0" w:color="auto"/>
              <w:left w:val="nil"/>
              <w:bottom w:val="nil"/>
              <w:right w:val="nil"/>
            </w:tcBorders>
          </w:tcPr>
          <w:p w:rsidR="000B4A1E" w:rsidRPr="003621B7" w:rsidRDefault="000B4A1E" w:rsidP="00517E51">
            <w:pPr>
              <w:pStyle w:val="TableofFigures"/>
              <w:rPr>
                <w:rFonts w:eastAsiaTheme="minorEastAsia"/>
                <w:b/>
                <w:bCs/>
                <w:color w:val="0000FF"/>
                <w:sz w:val="20"/>
                <w:lang w:eastAsia="en-AU"/>
              </w:rPr>
            </w:pPr>
            <w:r w:rsidRPr="003621B7">
              <w:rPr>
                <w:rFonts w:eastAsiaTheme="minorEastAsia"/>
                <w:b/>
                <w:bCs/>
                <w:color w:val="0000FF"/>
                <w:sz w:val="20"/>
                <w:lang w:eastAsia="en-AU"/>
              </w:rPr>
              <w:t xml:space="preserve">  </w:t>
            </w:r>
          </w:p>
        </w:tc>
      </w:tr>
      <w:tr w:rsidR="000B4A1E" w:rsidRPr="003621B7" w:rsidTr="00517E51">
        <w:trPr>
          <w:cantSplit/>
        </w:trPr>
        <w:tc>
          <w:tcPr>
            <w:tcW w:w="2534" w:type="dxa"/>
            <w:tcBorders>
              <w:top w:val="nil"/>
              <w:left w:val="nil"/>
              <w:bottom w:val="nil"/>
              <w:right w:val="nil"/>
            </w:tcBorders>
            <w:shd w:val="solid" w:color="000000" w:fill="auto"/>
          </w:tcPr>
          <w:p w:rsidR="000B4A1E" w:rsidRPr="003621B7" w:rsidRDefault="000B4A1E" w:rsidP="00517E51">
            <w:pPr>
              <w:pStyle w:val="Tabletext"/>
              <w:rPr>
                <w:rFonts w:eastAsiaTheme="minorEastAsia"/>
                <w:sz w:val="20"/>
                <w:lang w:eastAsia="en-AU"/>
              </w:rPr>
            </w:pPr>
            <w:r w:rsidRPr="003621B7">
              <w:rPr>
                <w:rFonts w:eastAsiaTheme="minorEastAsia"/>
                <w:sz w:val="20"/>
                <w:lang w:eastAsia="en-AU"/>
              </w:rPr>
              <w:t>2012</w:t>
            </w:r>
          </w:p>
        </w:tc>
        <w:tc>
          <w:tcPr>
            <w:tcW w:w="892" w:type="dxa"/>
            <w:tcBorders>
              <w:top w:val="single" w:sz="6" w:space="0" w:color="auto"/>
              <w:left w:val="nil"/>
              <w:bottom w:val="nil"/>
              <w:right w:val="nil"/>
            </w:tcBorders>
            <w:shd w:val="solid" w:color="000000" w:fill="auto"/>
          </w:tcPr>
          <w:p w:rsidR="000B4A1E" w:rsidRPr="003621B7" w:rsidRDefault="000B4A1E" w:rsidP="00517E51">
            <w:pPr>
              <w:pStyle w:val="TableofFigures"/>
              <w:rPr>
                <w:rFonts w:eastAsiaTheme="minorEastAsia"/>
                <w:color w:val="FF0000"/>
                <w:sz w:val="20"/>
                <w:lang w:eastAsia="en-AU"/>
              </w:rPr>
            </w:pPr>
            <w:r w:rsidRPr="003621B7">
              <w:rPr>
                <w:rFonts w:eastAsiaTheme="minorEastAsia"/>
                <w:color w:val="FF0000"/>
                <w:sz w:val="20"/>
                <w:lang w:eastAsia="en-AU"/>
              </w:rPr>
              <w:t xml:space="preserve"> </w:t>
            </w:r>
          </w:p>
        </w:tc>
        <w:tc>
          <w:tcPr>
            <w:tcW w:w="1037" w:type="dxa"/>
            <w:tcBorders>
              <w:top w:val="single" w:sz="6" w:space="0" w:color="auto"/>
              <w:left w:val="nil"/>
              <w:bottom w:val="nil"/>
              <w:right w:val="nil"/>
            </w:tcBorders>
            <w:shd w:val="solid" w:color="000000" w:fill="auto"/>
          </w:tcPr>
          <w:p w:rsidR="000B4A1E" w:rsidRPr="003621B7" w:rsidRDefault="000B4A1E" w:rsidP="00517E51">
            <w:pPr>
              <w:pStyle w:val="TableofFigures"/>
              <w:rPr>
                <w:rFonts w:eastAsiaTheme="minorEastAsia"/>
                <w:color w:val="FF0000"/>
                <w:sz w:val="20"/>
                <w:lang w:eastAsia="en-AU"/>
              </w:rPr>
            </w:pPr>
            <w:r w:rsidRPr="003621B7">
              <w:rPr>
                <w:rFonts w:eastAsiaTheme="minorEastAsia"/>
                <w:color w:val="FF0000"/>
                <w:sz w:val="20"/>
                <w:lang w:eastAsia="en-AU"/>
              </w:rPr>
              <w:t xml:space="preserve"> </w:t>
            </w:r>
          </w:p>
        </w:tc>
        <w:tc>
          <w:tcPr>
            <w:tcW w:w="1131" w:type="dxa"/>
            <w:gridSpan w:val="3"/>
            <w:tcBorders>
              <w:top w:val="single" w:sz="6" w:space="0" w:color="auto"/>
              <w:left w:val="nil"/>
              <w:bottom w:val="nil"/>
              <w:right w:val="nil"/>
            </w:tcBorders>
            <w:shd w:val="solid" w:color="000000" w:fill="auto"/>
          </w:tcPr>
          <w:p w:rsidR="000B4A1E" w:rsidRPr="003621B7" w:rsidRDefault="000B4A1E" w:rsidP="00517E51">
            <w:pPr>
              <w:pStyle w:val="TableofFigures"/>
              <w:rPr>
                <w:rFonts w:eastAsiaTheme="minorEastAsia"/>
                <w:color w:val="FF0000"/>
                <w:sz w:val="20"/>
                <w:lang w:eastAsia="en-AU"/>
              </w:rPr>
            </w:pPr>
            <w:r w:rsidRPr="003621B7">
              <w:rPr>
                <w:rFonts w:eastAsiaTheme="minorEastAsia"/>
                <w:color w:val="FF0000"/>
                <w:sz w:val="20"/>
                <w:lang w:eastAsia="en-AU"/>
              </w:rPr>
              <w:t xml:space="preserve"> </w:t>
            </w:r>
          </w:p>
        </w:tc>
        <w:tc>
          <w:tcPr>
            <w:tcW w:w="943" w:type="dxa"/>
            <w:tcBorders>
              <w:top w:val="single" w:sz="6" w:space="0" w:color="auto"/>
              <w:left w:val="nil"/>
              <w:bottom w:val="nil"/>
              <w:right w:val="nil"/>
            </w:tcBorders>
            <w:shd w:val="solid" w:color="000000" w:fill="auto"/>
          </w:tcPr>
          <w:p w:rsidR="000B4A1E" w:rsidRPr="003621B7" w:rsidRDefault="000B4A1E" w:rsidP="00517E51">
            <w:pPr>
              <w:pStyle w:val="TableofFigures"/>
              <w:rPr>
                <w:rFonts w:eastAsiaTheme="minorEastAsia"/>
                <w:color w:val="FF0000"/>
                <w:sz w:val="20"/>
                <w:lang w:eastAsia="en-AU"/>
              </w:rPr>
            </w:pPr>
            <w:r w:rsidRPr="003621B7">
              <w:rPr>
                <w:rFonts w:eastAsiaTheme="minorEastAsia"/>
                <w:color w:val="FF0000"/>
                <w:sz w:val="20"/>
                <w:lang w:eastAsia="en-AU"/>
              </w:rPr>
              <w:t xml:space="preserve"> </w:t>
            </w:r>
          </w:p>
        </w:tc>
        <w:tc>
          <w:tcPr>
            <w:tcW w:w="1037" w:type="dxa"/>
            <w:tcBorders>
              <w:top w:val="single" w:sz="6" w:space="0" w:color="auto"/>
              <w:left w:val="nil"/>
              <w:bottom w:val="nil"/>
              <w:right w:val="nil"/>
            </w:tcBorders>
            <w:shd w:val="solid" w:color="000000" w:fill="auto"/>
          </w:tcPr>
          <w:p w:rsidR="000B4A1E" w:rsidRPr="003621B7" w:rsidRDefault="000B4A1E" w:rsidP="00517E51">
            <w:pPr>
              <w:pStyle w:val="TableofFigures"/>
              <w:rPr>
                <w:rFonts w:eastAsiaTheme="minorEastAsia"/>
                <w:color w:val="FF0000"/>
                <w:sz w:val="20"/>
                <w:lang w:eastAsia="en-AU"/>
              </w:rPr>
            </w:pPr>
            <w:r w:rsidRPr="003621B7">
              <w:rPr>
                <w:rFonts w:eastAsiaTheme="minorEastAsia"/>
                <w:color w:val="FF0000"/>
                <w:sz w:val="20"/>
                <w:lang w:eastAsia="en-AU"/>
              </w:rPr>
              <w:t xml:space="preserve">  </w:t>
            </w:r>
          </w:p>
        </w:tc>
        <w:tc>
          <w:tcPr>
            <w:tcW w:w="1037" w:type="dxa"/>
            <w:tcBorders>
              <w:top w:val="single" w:sz="6" w:space="0" w:color="auto"/>
              <w:left w:val="nil"/>
              <w:bottom w:val="nil"/>
              <w:right w:val="nil"/>
            </w:tcBorders>
            <w:shd w:val="solid" w:color="000000" w:fill="auto"/>
          </w:tcPr>
          <w:p w:rsidR="000B4A1E" w:rsidRPr="003621B7" w:rsidRDefault="000B4A1E" w:rsidP="00517E51">
            <w:pPr>
              <w:pStyle w:val="TableofFigures"/>
              <w:rPr>
                <w:rFonts w:eastAsiaTheme="minorEastAsia"/>
                <w:color w:val="FF0000"/>
                <w:sz w:val="20"/>
                <w:lang w:eastAsia="en-AU"/>
              </w:rPr>
            </w:pPr>
            <w:r w:rsidRPr="003621B7">
              <w:rPr>
                <w:rFonts w:eastAsiaTheme="minorEastAsia"/>
                <w:color w:val="FF0000"/>
                <w:sz w:val="20"/>
                <w:lang w:eastAsia="en-AU"/>
              </w:rPr>
              <w:t xml:space="preserve">  </w:t>
            </w:r>
          </w:p>
        </w:tc>
        <w:tc>
          <w:tcPr>
            <w:tcW w:w="1037" w:type="dxa"/>
            <w:gridSpan w:val="3"/>
            <w:tcBorders>
              <w:top w:val="single" w:sz="6" w:space="0" w:color="auto"/>
              <w:left w:val="nil"/>
              <w:bottom w:val="nil"/>
              <w:right w:val="nil"/>
            </w:tcBorders>
            <w:shd w:val="solid" w:color="000000" w:fill="auto"/>
          </w:tcPr>
          <w:p w:rsidR="000B4A1E" w:rsidRPr="003621B7" w:rsidRDefault="000B4A1E" w:rsidP="00517E51">
            <w:pPr>
              <w:pStyle w:val="TableofFigures"/>
              <w:rPr>
                <w:rFonts w:eastAsiaTheme="minorEastAsia"/>
                <w:color w:val="FF0000"/>
                <w:sz w:val="20"/>
                <w:lang w:eastAsia="en-AU"/>
              </w:rPr>
            </w:pPr>
            <w:r w:rsidRPr="003621B7">
              <w:rPr>
                <w:rFonts w:eastAsiaTheme="minorEastAsia"/>
                <w:color w:val="FF0000"/>
                <w:sz w:val="20"/>
                <w:lang w:eastAsia="en-AU"/>
              </w:rPr>
              <w:t xml:space="preserve">  </w:t>
            </w:r>
          </w:p>
        </w:tc>
      </w:tr>
      <w:tr w:rsidR="000B4A1E" w:rsidRPr="003621B7" w:rsidTr="00517E51">
        <w:trPr>
          <w:cantSplit/>
        </w:trPr>
        <w:tc>
          <w:tcPr>
            <w:tcW w:w="2534" w:type="dxa"/>
            <w:tcBorders>
              <w:top w:val="nil"/>
              <w:left w:val="nil"/>
              <w:bottom w:val="nil"/>
              <w:right w:val="nil"/>
            </w:tcBorders>
          </w:tcPr>
          <w:p w:rsidR="000B4A1E" w:rsidRPr="003621B7" w:rsidRDefault="000B4A1E" w:rsidP="00517E51">
            <w:pPr>
              <w:pStyle w:val="Tabletext"/>
              <w:rPr>
                <w:rFonts w:eastAsiaTheme="minorEastAsia"/>
                <w:color w:val="000000"/>
                <w:sz w:val="20"/>
                <w:lang w:eastAsia="en-AU"/>
              </w:rPr>
            </w:pPr>
            <w:r w:rsidRPr="003621B7">
              <w:rPr>
                <w:rFonts w:eastAsiaTheme="minorEastAsia"/>
                <w:color w:val="000000"/>
                <w:sz w:val="20"/>
                <w:lang w:eastAsia="en-AU"/>
              </w:rPr>
              <w:t>Payables and advances</w:t>
            </w:r>
          </w:p>
        </w:tc>
        <w:tc>
          <w:tcPr>
            <w:tcW w:w="892"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3 147.8</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3 147.8</w:t>
            </w:r>
          </w:p>
        </w:tc>
        <w:tc>
          <w:tcPr>
            <w:tcW w:w="1131"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2 395.3</w:t>
            </w:r>
          </w:p>
        </w:tc>
        <w:tc>
          <w:tcPr>
            <w:tcW w:w="943"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308.3</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63.7</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274.0</w:t>
            </w:r>
          </w:p>
        </w:tc>
        <w:tc>
          <w:tcPr>
            <w:tcW w:w="1037"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106.5</w:t>
            </w:r>
          </w:p>
        </w:tc>
      </w:tr>
      <w:tr w:rsidR="000B4A1E" w:rsidRPr="003621B7" w:rsidTr="00517E51">
        <w:trPr>
          <w:cantSplit/>
        </w:trPr>
        <w:tc>
          <w:tcPr>
            <w:tcW w:w="2534" w:type="dxa"/>
            <w:tcBorders>
              <w:top w:val="nil"/>
              <w:left w:val="nil"/>
              <w:bottom w:val="nil"/>
              <w:right w:val="nil"/>
            </w:tcBorders>
          </w:tcPr>
          <w:p w:rsidR="000B4A1E" w:rsidRPr="003621B7" w:rsidRDefault="000B4A1E" w:rsidP="00517E51">
            <w:pPr>
              <w:pStyle w:val="Tabletext"/>
              <w:rPr>
                <w:rFonts w:eastAsiaTheme="minorEastAsia"/>
                <w:b/>
                <w:bCs/>
                <w:color w:val="000000"/>
                <w:sz w:val="20"/>
                <w:lang w:eastAsia="en-AU"/>
              </w:rPr>
            </w:pPr>
            <w:r w:rsidRPr="003621B7">
              <w:rPr>
                <w:rFonts w:eastAsiaTheme="minorEastAsia"/>
                <w:b/>
                <w:bCs/>
                <w:color w:val="000000"/>
                <w:sz w:val="20"/>
                <w:lang w:eastAsia="en-AU"/>
              </w:rPr>
              <w:t>Interest-bearing liabilities:</w:t>
            </w:r>
          </w:p>
        </w:tc>
        <w:tc>
          <w:tcPr>
            <w:tcW w:w="892"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c>
          <w:tcPr>
            <w:tcW w:w="1131"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c>
          <w:tcPr>
            <w:tcW w:w="943"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c>
          <w:tcPr>
            <w:tcW w:w="1037"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w:t>
            </w:r>
          </w:p>
        </w:tc>
      </w:tr>
      <w:tr w:rsidR="000B4A1E" w:rsidRPr="003621B7" w:rsidTr="00517E51">
        <w:trPr>
          <w:cantSplit/>
        </w:trPr>
        <w:tc>
          <w:tcPr>
            <w:tcW w:w="2534" w:type="dxa"/>
            <w:tcBorders>
              <w:top w:val="nil"/>
              <w:left w:val="nil"/>
              <w:bottom w:val="nil"/>
              <w:right w:val="nil"/>
            </w:tcBorders>
          </w:tcPr>
          <w:p w:rsidR="000B4A1E" w:rsidRPr="003621B7" w:rsidRDefault="000B4A1E" w:rsidP="00517E51">
            <w:pPr>
              <w:pStyle w:val="Tabletext"/>
              <w:rPr>
                <w:rFonts w:eastAsiaTheme="minorEastAsia"/>
                <w:color w:val="000000"/>
                <w:sz w:val="20"/>
                <w:lang w:eastAsia="en-AU"/>
              </w:rPr>
            </w:pPr>
            <w:r w:rsidRPr="003621B7">
              <w:rPr>
                <w:rFonts w:eastAsiaTheme="minorEastAsia"/>
                <w:color w:val="000000"/>
                <w:sz w:val="20"/>
                <w:lang w:eastAsia="en-AU"/>
              </w:rPr>
              <w:t>Domestic borrowings</w:t>
            </w:r>
          </w:p>
        </w:tc>
        <w:tc>
          <w:tcPr>
            <w:tcW w:w="892"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19 679.2</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19 681.0</w:t>
            </w:r>
          </w:p>
        </w:tc>
        <w:tc>
          <w:tcPr>
            <w:tcW w:w="1131"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507.5</w:t>
            </w:r>
          </w:p>
        </w:tc>
        <w:tc>
          <w:tcPr>
            <w:tcW w:w="943"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1 496.4</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1 142.0</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3 288.3</w:t>
            </w:r>
          </w:p>
        </w:tc>
        <w:tc>
          <w:tcPr>
            <w:tcW w:w="1037"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13 246.8</w:t>
            </w:r>
          </w:p>
        </w:tc>
      </w:tr>
      <w:tr w:rsidR="000B4A1E" w:rsidRPr="003621B7" w:rsidTr="00517E51">
        <w:trPr>
          <w:cantSplit/>
        </w:trPr>
        <w:tc>
          <w:tcPr>
            <w:tcW w:w="2534" w:type="dxa"/>
            <w:tcBorders>
              <w:top w:val="nil"/>
              <w:left w:val="nil"/>
              <w:bottom w:val="nil"/>
              <w:right w:val="nil"/>
            </w:tcBorders>
          </w:tcPr>
          <w:p w:rsidR="000B4A1E" w:rsidRPr="003621B7" w:rsidRDefault="000B4A1E" w:rsidP="00517E51">
            <w:pPr>
              <w:pStyle w:val="Tabletext"/>
              <w:rPr>
                <w:rFonts w:eastAsiaTheme="minorEastAsia"/>
                <w:color w:val="000000"/>
                <w:sz w:val="20"/>
                <w:lang w:eastAsia="en-AU"/>
              </w:rPr>
            </w:pPr>
            <w:r w:rsidRPr="003621B7">
              <w:rPr>
                <w:rFonts w:eastAsiaTheme="minorEastAsia"/>
                <w:color w:val="000000"/>
                <w:sz w:val="20"/>
                <w:lang w:eastAsia="en-AU"/>
              </w:rPr>
              <w:t>Foreign currency borrowings</w:t>
            </w:r>
          </w:p>
        </w:tc>
        <w:tc>
          <w:tcPr>
            <w:tcW w:w="892"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c>
          <w:tcPr>
            <w:tcW w:w="1131"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c>
          <w:tcPr>
            <w:tcW w:w="943"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c>
          <w:tcPr>
            <w:tcW w:w="1037"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r>
      <w:tr w:rsidR="000B4A1E" w:rsidRPr="003621B7" w:rsidTr="00517E51">
        <w:trPr>
          <w:cantSplit/>
        </w:trPr>
        <w:tc>
          <w:tcPr>
            <w:tcW w:w="2534" w:type="dxa"/>
            <w:tcBorders>
              <w:top w:val="nil"/>
              <w:left w:val="nil"/>
              <w:bottom w:val="nil"/>
              <w:right w:val="nil"/>
            </w:tcBorders>
          </w:tcPr>
          <w:p w:rsidR="000B4A1E" w:rsidRPr="003621B7" w:rsidRDefault="000B4A1E" w:rsidP="00517E51">
            <w:pPr>
              <w:pStyle w:val="Tabletext"/>
              <w:rPr>
                <w:rFonts w:eastAsiaTheme="minorEastAsia"/>
                <w:color w:val="000000"/>
                <w:sz w:val="20"/>
                <w:lang w:eastAsia="en-AU"/>
              </w:rPr>
            </w:pPr>
            <w:r w:rsidRPr="003621B7">
              <w:rPr>
                <w:rFonts w:eastAsiaTheme="minorEastAsia"/>
                <w:color w:val="000000"/>
                <w:sz w:val="20"/>
                <w:lang w:eastAsia="en-AU"/>
              </w:rPr>
              <w:t>Finance lease liabilities</w:t>
            </w:r>
          </w:p>
        </w:tc>
        <w:tc>
          <w:tcPr>
            <w:tcW w:w="892"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2 678.7</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3 096.1</w:t>
            </w:r>
          </w:p>
        </w:tc>
        <w:tc>
          <w:tcPr>
            <w:tcW w:w="1131"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28.5</w:t>
            </w:r>
          </w:p>
        </w:tc>
        <w:tc>
          <w:tcPr>
            <w:tcW w:w="943"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85.6</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104.8</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491.0</w:t>
            </w:r>
          </w:p>
        </w:tc>
        <w:tc>
          <w:tcPr>
            <w:tcW w:w="1037"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2 386.2</w:t>
            </w:r>
          </w:p>
        </w:tc>
      </w:tr>
      <w:tr w:rsidR="000B4A1E" w:rsidRPr="003621B7" w:rsidTr="00517E51">
        <w:trPr>
          <w:cantSplit/>
        </w:trPr>
        <w:tc>
          <w:tcPr>
            <w:tcW w:w="2534" w:type="dxa"/>
            <w:tcBorders>
              <w:top w:val="nil"/>
              <w:left w:val="nil"/>
              <w:bottom w:val="nil"/>
              <w:right w:val="nil"/>
            </w:tcBorders>
          </w:tcPr>
          <w:p w:rsidR="000B4A1E" w:rsidRPr="003621B7" w:rsidRDefault="000B4A1E" w:rsidP="00517E51">
            <w:pPr>
              <w:pStyle w:val="Tabletext"/>
              <w:rPr>
                <w:rFonts w:eastAsiaTheme="minorEastAsia"/>
                <w:color w:val="000000"/>
                <w:sz w:val="20"/>
                <w:lang w:eastAsia="en-AU"/>
              </w:rPr>
            </w:pPr>
            <w:r w:rsidRPr="003621B7">
              <w:rPr>
                <w:rFonts w:eastAsiaTheme="minorEastAsia"/>
                <w:color w:val="000000"/>
                <w:sz w:val="20"/>
                <w:lang w:eastAsia="en-AU"/>
              </w:rPr>
              <w:t>Derivative financial liabilities</w:t>
            </w:r>
          </w:p>
        </w:tc>
        <w:tc>
          <w:tcPr>
            <w:tcW w:w="892"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36.0</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36.0</w:t>
            </w:r>
          </w:p>
        </w:tc>
        <w:tc>
          <w:tcPr>
            <w:tcW w:w="1131"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c>
          <w:tcPr>
            <w:tcW w:w="943"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c>
          <w:tcPr>
            <w:tcW w:w="1037" w:type="dxa"/>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w:t>
            </w:r>
          </w:p>
        </w:tc>
        <w:tc>
          <w:tcPr>
            <w:tcW w:w="1037" w:type="dxa"/>
            <w:gridSpan w:val="3"/>
            <w:tcBorders>
              <w:top w:val="nil"/>
              <w:left w:val="nil"/>
              <w:bottom w:val="nil"/>
              <w:right w:val="nil"/>
            </w:tcBorders>
          </w:tcPr>
          <w:p w:rsidR="000B4A1E" w:rsidRPr="003621B7" w:rsidRDefault="000B4A1E" w:rsidP="00517E51">
            <w:pPr>
              <w:pStyle w:val="TableofFigures"/>
              <w:rPr>
                <w:rFonts w:eastAsiaTheme="minorEastAsia"/>
                <w:color w:val="000000"/>
                <w:sz w:val="20"/>
                <w:lang w:eastAsia="en-AU"/>
              </w:rPr>
            </w:pPr>
            <w:r w:rsidRPr="003621B7">
              <w:rPr>
                <w:rFonts w:eastAsiaTheme="minorEastAsia"/>
                <w:color w:val="000000"/>
                <w:sz w:val="20"/>
                <w:lang w:eastAsia="en-AU"/>
              </w:rPr>
              <w:t xml:space="preserve"> 36.0</w:t>
            </w:r>
          </w:p>
        </w:tc>
      </w:tr>
      <w:tr w:rsidR="000B4A1E" w:rsidRPr="003621B7" w:rsidTr="00517E51">
        <w:trPr>
          <w:cantSplit/>
        </w:trPr>
        <w:tc>
          <w:tcPr>
            <w:tcW w:w="2534" w:type="dxa"/>
            <w:tcBorders>
              <w:top w:val="single" w:sz="6" w:space="0" w:color="auto"/>
              <w:left w:val="nil"/>
              <w:bottom w:val="single" w:sz="12" w:space="0" w:color="auto"/>
              <w:right w:val="nil"/>
            </w:tcBorders>
          </w:tcPr>
          <w:p w:rsidR="000B4A1E" w:rsidRPr="003621B7" w:rsidRDefault="000B4A1E" w:rsidP="00517E51">
            <w:pPr>
              <w:pStyle w:val="Tabletext"/>
              <w:rPr>
                <w:rFonts w:eastAsiaTheme="minorEastAsia"/>
                <w:b/>
                <w:bCs/>
                <w:color w:val="000000"/>
                <w:sz w:val="20"/>
                <w:lang w:eastAsia="en-AU"/>
              </w:rPr>
            </w:pPr>
            <w:r w:rsidRPr="003621B7">
              <w:rPr>
                <w:rFonts w:eastAsiaTheme="minorEastAsia"/>
                <w:b/>
                <w:bCs/>
                <w:color w:val="000000"/>
                <w:sz w:val="20"/>
                <w:lang w:eastAsia="en-AU"/>
              </w:rPr>
              <w:t>Total</w:t>
            </w:r>
          </w:p>
        </w:tc>
        <w:tc>
          <w:tcPr>
            <w:tcW w:w="892" w:type="dxa"/>
            <w:tcBorders>
              <w:top w:val="single" w:sz="6" w:space="0" w:color="auto"/>
              <w:left w:val="nil"/>
              <w:bottom w:val="single" w:sz="12"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25 541.6</w:t>
            </w:r>
          </w:p>
        </w:tc>
        <w:tc>
          <w:tcPr>
            <w:tcW w:w="1037" w:type="dxa"/>
            <w:tcBorders>
              <w:top w:val="single" w:sz="6" w:space="0" w:color="auto"/>
              <w:left w:val="nil"/>
              <w:bottom w:val="single" w:sz="12"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25 960.9</w:t>
            </w:r>
          </w:p>
        </w:tc>
        <w:tc>
          <w:tcPr>
            <w:tcW w:w="1131" w:type="dxa"/>
            <w:gridSpan w:val="3"/>
            <w:tcBorders>
              <w:top w:val="single" w:sz="6" w:space="0" w:color="auto"/>
              <w:left w:val="nil"/>
              <w:bottom w:val="single" w:sz="12"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2 931.3</w:t>
            </w:r>
          </w:p>
        </w:tc>
        <w:tc>
          <w:tcPr>
            <w:tcW w:w="943" w:type="dxa"/>
            <w:tcBorders>
              <w:top w:val="single" w:sz="6" w:space="0" w:color="auto"/>
              <w:left w:val="nil"/>
              <w:bottom w:val="single" w:sz="12"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1 890.2</w:t>
            </w:r>
          </w:p>
        </w:tc>
        <w:tc>
          <w:tcPr>
            <w:tcW w:w="1037" w:type="dxa"/>
            <w:tcBorders>
              <w:top w:val="single" w:sz="6" w:space="0" w:color="auto"/>
              <w:left w:val="nil"/>
              <w:bottom w:val="single" w:sz="12"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1 310.5</w:t>
            </w:r>
          </w:p>
        </w:tc>
        <w:tc>
          <w:tcPr>
            <w:tcW w:w="1037" w:type="dxa"/>
            <w:tcBorders>
              <w:top w:val="single" w:sz="6" w:space="0" w:color="auto"/>
              <w:left w:val="nil"/>
              <w:bottom w:val="single" w:sz="12"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4 053.3</w:t>
            </w:r>
          </w:p>
        </w:tc>
        <w:tc>
          <w:tcPr>
            <w:tcW w:w="1037" w:type="dxa"/>
            <w:gridSpan w:val="3"/>
            <w:tcBorders>
              <w:top w:val="single" w:sz="6" w:space="0" w:color="auto"/>
              <w:left w:val="nil"/>
              <w:bottom w:val="single" w:sz="12" w:space="0" w:color="auto"/>
              <w:right w:val="nil"/>
            </w:tcBorders>
          </w:tcPr>
          <w:p w:rsidR="000B4A1E" w:rsidRPr="003621B7" w:rsidRDefault="000B4A1E" w:rsidP="00517E51">
            <w:pPr>
              <w:pStyle w:val="TableofFigures"/>
              <w:rPr>
                <w:rFonts w:eastAsiaTheme="minorEastAsia"/>
                <w:b/>
                <w:bCs/>
                <w:color w:val="000000"/>
                <w:sz w:val="20"/>
                <w:lang w:eastAsia="en-AU"/>
              </w:rPr>
            </w:pPr>
            <w:r w:rsidRPr="003621B7">
              <w:rPr>
                <w:rFonts w:eastAsiaTheme="minorEastAsia"/>
                <w:b/>
                <w:bCs/>
                <w:color w:val="000000"/>
                <w:sz w:val="20"/>
                <w:lang w:eastAsia="en-AU"/>
              </w:rPr>
              <w:t>15 775.5</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Represents undiscounted nominal amount.</w:t>
      </w:r>
    </w:p>
    <w:p w:rsidR="000B4A1E" w:rsidRPr="00D00665" w:rsidRDefault="000B4A1E" w:rsidP="00517E51"/>
    <w:p w:rsidR="000B4A1E" w:rsidRPr="00D00665" w:rsidRDefault="000B4A1E">
      <w:pPr>
        <w:spacing w:after="0"/>
      </w:pPr>
    </w:p>
    <w:p w:rsidR="000B4A1E" w:rsidRPr="00D00665" w:rsidRDefault="000B4A1E" w:rsidP="00517E51">
      <w:r w:rsidRPr="00D00665">
        <w:t>Finance lease liabilities are payable as follows:</w:t>
      </w:r>
    </w:p>
    <w:p w:rsidR="000B4A1E" w:rsidRPr="003E2DBE" w:rsidRDefault="000B4A1E" w:rsidP="00517E51">
      <w:pPr>
        <w:pStyle w:val="million"/>
      </w:pPr>
      <w:r w:rsidRPr="00D00665">
        <w:t>($</w:t>
      </w:r>
      <w:r>
        <w:t> million</w:t>
      </w:r>
      <w:r w:rsidRPr="00D00665">
        <w:t>)</w:t>
      </w:r>
      <w:bookmarkStart w:id="144" w:name="RANGE!C489:G508"/>
      <w:bookmarkStart w:id="145" w:name="RANGE!C481:G500"/>
      <w:bookmarkStart w:id="146" w:name="RANGE!C475:G494"/>
      <w:bookmarkStart w:id="147" w:name="RANGE!C467:G486"/>
      <w:bookmarkStart w:id="148" w:name="RANGE!C432:G451"/>
      <w:bookmarkStart w:id="149" w:name="RANGE!C431:G450"/>
      <w:bookmarkStart w:id="150" w:name="RANGE!C463:G482"/>
      <w:bookmarkStart w:id="151" w:name="RANGE!C479:G498"/>
    </w:p>
    <w:tbl>
      <w:tblPr>
        <w:tblW w:w="9627" w:type="dxa"/>
        <w:tblInd w:w="29" w:type="dxa"/>
        <w:tblCellMar>
          <w:left w:w="43" w:type="dxa"/>
          <w:right w:w="43" w:type="dxa"/>
        </w:tblCellMar>
        <w:tblLook w:val="04A0" w:firstRow="1" w:lastRow="0" w:firstColumn="1" w:lastColumn="0" w:noHBand="0" w:noVBand="1"/>
      </w:tblPr>
      <w:tblGrid>
        <w:gridCol w:w="5143"/>
        <w:gridCol w:w="106"/>
        <w:gridCol w:w="1015"/>
        <w:gridCol w:w="1121"/>
        <w:gridCol w:w="106"/>
        <w:gridCol w:w="1015"/>
        <w:gridCol w:w="1121"/>
      </w:tblGrid>
      <w:tr w:rsidR="000B4A1E" w:rsidRPr="003E2DBE" w:rsidTr="00C212AB">
        <w:trPr>
          <w:divId w:val="1354771015"/>
        </w:trPr>
        <w:tc>
          <w:tcPr>
            <w:tcW w:w="5143"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bookmarkEnd w:id="144"/>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2136"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br/>
              <w:t>State of Victoria</w:t>
            </w:r>
          </w:p>
        </w:tc>
        <w:tc>
          <w:tcPr>
            <w:tcW w:w="106"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2136" w:type="dxa"/>
            <w:gridSpan w:val="2"/>
            <w:tcBorders>
              <w:top w:val="single" w:sz="4" w:space="0" w:color="auto"/>
              <w:left w:val="nil"/>
              <w:bottom w:val="nil"/>
              <w:right w:val="single" w:sz="4"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General </w:t>
            </w:r>
            <w:r w:rsidRPr="003E2DBE">
              <w:rPr>
                <w:lang w:eastAsia="en-AU"/>
              </w:rPr>
              <w:br/>
              <w:t>government sector</w:t>
            </w:r>
          </w:p>
        </w:tc>
      </w:tr>
      <w:tr w:rsidR="000B4A1E" w:rsidRPr="003E2DBE" w:rsidTr="00C212AB">
        <w:trPr>
          <w:divId w:val="1354771015"/>
        </w:trPr>
        <w:tc>
          <w:tcPr>
            <w:tcW w:w="5143"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1" w:type="dxa"/>
            <w:gridSpan w:val="2"/>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2013</w:t>
            </w:r>
          </w:p>
        </w:tc>
        <w:tc>
          <w:tcPr>
            <w:tcW w:w="1121"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2012</w:t>
            </w:r>
          </w:p>
        </w:tc>
        <w:tc>
          <w:tcPr>
            <w:tcW w:w="1121" w:type="dxa"/>
            <w:gridSpan w:val="2"/>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2013</w:t>
            </w:r>
          </w:p>
        </w:tc>
        <w:tc>
          <w:tcPr>
            <w:tcW w:w="1121" w:type="dxa"/>
            <w:tcBorders>
              <w:top w:val="nil"/>
              <w:left w:val="nil"/>
              <w:bottom w:val="single" w:sz="4" w:space="0" w:color="auto"/>
              <w:right w:val="single" w:sz="4" w:space="0" w:color="auto"/>
            </w:tcBorders>
            <w:shd w:val="clear" w:color="auto" w:fill="000000"/>
            <w:hideMark/>
          </w:tcPr>
          <w:p w:rsidR="000B4A1E" w:rsidRPr="003E2DBE" w:rsidRDefault="000B4A1E" w:rsidP="00517E51">
            <w:pPr>
              <w:pStyle w:val="Tabletextheading"/>
              <w:rPr>
                <w:lang w:eastAsia="en-AU"/>
              </w:rPr>
            </w:pPr>
            <w:r w:rsidRPr="003E2DBE">
              <w:rPr>
                <w:lang w:eastAsia="en-AU"/>
              </w:rPr>
              <w:t>2012</w:t>
            </w:r>
          </w:p>
        </w:tc>
      </w:tr>
      <w:tr w:rsidR="000B4A1E" w:rsidRPr="003E2DBE" w:rsidTr="00C212AB">
        <w:trPr>
          <w:divId w:val="1354771015"/>
        </w:trPr>
        <w:tc>
          <w:tcPr>
            <w:tcW w:w="5143"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Less than 1 year</w:t>
            </w:r>
          </w:p>
        </w:tc>
        <w:tc>
          <w:tcPr>
            <w:tcW w:w="1121"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723.5</w:t>
            </w:r>
          </w:p>
        </w:tc>
        <w:tc>
          <w:tcPr>
            <w:tcW w:w="112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277.3</w:t>
            </w:r>
          </w:p>
        </w:tc>
        <w:tc>
          <w:tcPr>
            <w:tcW w:w="1121"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661.9</w:t>
            </w:r>
          </w:p>
        </w:tc>
        <w:tc>
          <w:tcPr>
            <w:tcW w:w="112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146.6</w:t>
            </w:r>
          </w:p>
        </w:tc>
      </w:tr>
      <w:tr w:rsidR="000B4A1E" w:rsidRPr="003E2DBE" w:rsidTr="00C212AB">
        <w:trPr>
          <w:divId w:val="1354771015"/>
        </w:trPr>
        <w:tc>
          <w:tcPr>
            <w:tcW w:w="5143"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1</w:t>
            </w:r>
            <w:r w:rsidRPr="003E2DBE">
              <w:rPr>
                <w:rFonts w:cs="Calibri"/>
                <w:szCs w:val="22"/>
                <w:lang w:eastAsia="en-AU"/>
              </w:rPr>
              <w:t xml:space="preserve"> year but less than 5 years</w:t>
            </w:r>
          </w:p>
        </w:tc>
        <w:tc>
          <w:tcPr>
            <w:tcW w:w="1121"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744.8</w:t>
            </w:r>
          </w:p>
        </w:tc>
        <w:tc>
          <w:tcPr>
            <w:tcW w:w="112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391.1</w:t>
            </w:r>
          </w:p>
        </w:tc>
        <w:tc>
          <w:tcPr>
            <w:tcW w:w="1121"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395.0</w:t>
            </w:r>
          </w:p>
        </w:tc>
        <w:tc>
          <w:tcPr>
            <w:tcW w:w="112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727.0</w:t>
            </w:r>
          </w:p>
        </w:tc>
      </w:tr>
      <w:tr w:rsidR="000B4A1E" w:rsidRPr="003E2DBE" w:rsidTr="00C212AB">
        <w:trPr>
          <w:divId w:val="1354771015"/>
        </w:trPr>
        <w:tc>
          <w:tcPr>
            <w:tcW w:w="5143"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5</w:t>
            </w:r>
            <w:r w:rsidRPr="003E2DBE">
              <w:rPr>
                <w:rFonts w:cs="Calibri"/>
                <w:szCs w:val="22"/>
                <w:lang w:eastAsia="en-AU"/>
              </w:rPr>
              <w:t xml:space="preserve"> years or more</w:t>
            </w:r>
          </w:p>
        </w:tc>
        <w:tc>
          <w:tcPr>
            <w:tcW w:w="1121"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8 </w:t>
            </w:r>
            <w:r w:rsidRPr="003E2DBE">
              <w:rPr>
                <w:rFonts w:cs="Calibri"/>
                <w:szCs w:val="22"/>
                <w:lang w:eastAsia="en-AU"/>
              </w:rPr>
              <w:t>628.2</w:t>
            </w:r>
          </w:p>
        </w:tc>
        <w:tc>
          <w:tcPr>
            <w:tcW w:w="112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477.1</w:t>
            </w:r>
          </w:p>
        </w:tc>
        <w:tc>
          <w:tcPr>
            <w:tcW w:w="1121"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8 </w:t>
            </w:r>
            <w:r w:rsidRPr="003E2DBE">
              <w:rPr>
                <w:rFonts w:cs="Calibri"/>
                <w:szCs w:val="22"/>
                <w:lang w:eastAsia="en-AU"/>
              </w:rPr>
              <w:t>255.0</w:t>
            </w:r>
          </w:p>
        </w:tc>
        <w:tc>
          <w:tcPr>
            <w:tcW w:w="1121"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022.5</w:t>
            </w:r>
          </w:p>
        </w:tc>
      </w:tr>
      <w:tr w:rsidR="000B4A1E" w:rsidRPr="003E2DBE" w:rsidTr="00C212AB">
        <w:trPr>
          <w:divId w:val="1354771015"/>
        </w:trPr>
        <w:tc>
          <w:tcPr>
            <w:tcW w:w="5143" w:type="dxa"/>
            <w:tcBorders>
              <w:top w:val="single" w:sz="4" w:space="0" w:color="auto"/>
              <w:left w:val="nil"/>
              <w:bottom w:val="nil"/>
              <w:right w:val="nil"/>
            </w:tcBorders>
            <w:shd w:val="clear" w:color="auto" w:fill="auto"/>
            <w:noWrap/>
            <w:vAlign w:val="bottom"/>
            <w:hideMark/>
          </w:tcPr>
          <w:p w:rsidR="000B4A1E" w:rsidRPr="003E2DBE" w:rsidRDefault="000B4A1E" w:rsidP="00517E51">
            <w:pPr>
              <w:pStyle w:val="Tabletext"/>
              <w:rPr>
                <w:rFonts w:cs="Calibri"/>
                <w:b/>
                <w:bCs/>
                <w:szCs w:val="22"/>
                <w:lang w:eastAsia="en-AU"/>
              </w:rPr>
            </w:pPr>
            <w:r w:rsidRPr="003E2DBE">
              <w:rPr>
                <w:b/>
                <w:bCs/>
                <w:lang w:eastAsia="en-AU"/>
              </w:rPr>
              <w:t xml:space="preserve">Minimum </w:t>
            </w:r>
            <w:r w:rsidRPr="003E2DBE">
              <w:rPr>
                <w:rFonts w:cs="Calibri"/>
                <w:b/>
                <w:bCs/>
                <w:szCs w:val="22"/>
                <w:lang w:eastAsia="en-AU"/>
              </w:rPr>
              <w:t>lease payments</w:t>
            </w:r>
          </w:p>
        </w:tc>
        <w:tc>
          <w:tcPr>
            <w:tcW w:w="1121" w:type="dxa"/>
            <w:gridSpan w:val="2"/>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11 </w:t>
            </w:r>
            <w:r w:rsidRPr="003E2DBE">
              <w:rPr>
                <w:rFonts w:cs="Calibri"/>
                <w:b/>
                <w:bCs/>
                <w:szCs w:val="22"/>
                <w:lang w:eastAsia="en-AU"/>
              </w:rPr>
              <w:t>096.5</w:t>
            </w:r>
          </w:p>
        </w:tc>
        <w:tc>
          <w:tcPr>
            <w:tcW w:w="1121" w:type="dxa"/>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6 </w:t>
            </w:r>
            <w:r w:rsidRPr="003E2DBE">
              <w:rPr>
                <w:rFonts w:cs="Calibri"/>
                <w:b/>
                <w:bCs/>
                <w:szCs w:val="22"/>
                <w:lang w:eastAsia="en-AU"/>
              </w:rPr>
              <w:t>145.4</w:t>
            </w:r>
          </w:p>
        </w:tc>
        <w:tc>
          <w:tcPr>
            <w:tcW w:w="1121" w:type="dxa"/>
            <w:gridSpan w:val="2"/>
            <w:tcBorders>
              <w:top w:val="single" w:sz="4" w:space="0" w:color="auto"/>
              <w:left w:val="nil"/>
              <w:bottom w:val="nil"/>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10 </w:t>
            </w:r>
            <w:r w:rsidRPr="003E2DBE">
              <w:rPr>
                <w:rFonts w:cs="Calibri"/>
                <w:b/>
                <w:bCs/>
                <w:szCs w:val="22"/>
                <w:lang w:eastAsia="en-AU"/>
              </w:rPr>
              <w:t>311.9</w:t>
            </w:r>
          </w:p>
        </w:tc>
        <w:tc>
          <w:tcPr>
            <w:tcW w:w="1121" w:type="dxa"/>
            <w:tcBorders>
              <w:top w:val="single" w:sz="4" w:space="0" w:color="auto"/>
              <w:left w:val="nil"/>
              <w:bottom w:val="nil"/>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896.1</w:t>
            </w:r>
          </w:p>
        </w:tc>
      </w:tr>
      <w:tr w:rsidR="000B4A1E" w:rsidRPr="003E2DBE" w:rsidTr="00C212AB">
        <w:trPr>
          <w:divId w:val="1354771015"/>
        </w:trPr>
        <w:tc>
          <w:tcPr>
            <w:tcW w:w="5143"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Future finance charges</w:t>
            </w:r>
          </w:p>
        </w:tc>
        <w:tc>
          <w:tcPr>
            <w:tcW w:w="1121"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236.1</w:t>
            </w:r>
          </w:p>
        </w:tc>
        <w:tc>
          <w:tcPr>
            <w:tcW w:w="1121"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634.3</w:t>
            </w:r>
          </w:p>
        </w:tc>
        <w:tc>
          <w:tcPr>
            <w:tcW w:w="1121"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278.6</w:t>
            </w:r>
          </w:p>
        </w:tc>
        <w:tc>
          <w:tcPr>
            <w:tcW w:w="1121"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217.5</w:t>
            </w:r>
          </w:p>
        </w:tc>
      </w:tr>
      <w:tr w:rsidR="000B4A1E" w:rsidRPr="003E2DBE" w:rsidTr="00C212AB">
        <w:trPr>
          <w:divId w:val="1354771015"/>
        </w:trPr>
        <w:tc>
          <w:tcPr>
            <w:tcW w:w="5143"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rFonts w:cs="Calibri"/>
                <w:b/>
                <w:bCs/>
                <w:szCs w:val="22"/>
                <w:lang w:eastAsia="en-AU"/>
              </w:rPr>
            </w:pPr>
            <w:r w:rsidRPr="003E2DBE">
              <w:rPr>
                <w:b/>
                <w:bCs/>
                <w:lang w:eastAsia="en-AU"/>
              </w:rPr>
              <w:t>Total</w:t>
            </w:r>
            <w:r w:rsidRPr="003E2DBE">
              <w:rPr>
                <w:rFonts w:cs="Calibri"/>
                <w:b/>
                <w:bCs/>
                <w:szCs w:val="22"/>
                <w:lang w:eastAsia="en-AU"/>
              </w:rPr>
              <w:t xml:space="preserve"> finance lease liabilities </w:t>
            </w:r>
            <w:r w:rsidRPr="003E2DBE">
              <w:rPr>
                <w:rFonts w:cs="Calibri"/>
                <w:b/>
                <w:bCs/>
                <w:szCs w:val="22"/>
                <w:vertAlign w:val="superscript"/>
                <w:lang w:eastAsia="en-AU"/>
              </w:rPr>
              <w:t>(a)</w:t>
            </w:r>
          </w:p>
        </w:tc>
        <w:tc>
          <w:tcPr>
            <w:tcW w:w="1121"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8 </w:t>
            </w:r>
            <w:r w:rsidRPr="003E2DBE">
              <w:rPr>
                <w:rFonts w:cs="Calibri"/>
                <w:b/>
                <w:bCs/>
                <w:szCs w:val="22"/>
                <w:lang w:eastAsia="en-AU"/>
              </w:rPr>
              <w:t>860.3</w:t>
            </w:r>
          </w:p>
        </w:tc>
        <w:tc>
          <w:tcPr>
            <w:tcW w:w="1121"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511.2</w:t>
            </w:r>
          </w:p>
        </w:tc>
        <w:tc>
          <w:tcPr>
            <w:tcW w:w="1121"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8 </w:t>
            </w:r>
            <w:r w:rsidRPr="003E2DBE">
              <w:rPr>
                <w:rFonts w:cs="Calibri"/>
                <w:b/>
                <w:bCs/>
                <w:szCs w:val="22"/>
                <w:lang w:eastAsia="en-AU"/>
              </w:rPr>
              <w:t>033.3</w:t>
            </w:r>
          </w:p>
        </w:tc>
        <w:tc>
          <w:tcPr>
            <w:tcW w:w="1121"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678.7</w:t>
            </w:r>
          </w:p>
        </w:tc>
      </w:tr>
    </w:tbl>
    <w:bookmarkEnd w:id="145"/>
    <w:bookmarkEnd w:id="146"/>
    <w:bookmarkEnd w:id="147"/>
    <w:bookmarkEnd w:id="148"/>
    <w:bookmarkEnd w:id="149"/>
    <w:bookmarkEnd w:id="150"/>
    <w:bookmarkEnd w:id="151"/>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The general government finance lease amount relates to the commissioning of the Victorian desalination plant, the Peninsula Link and the Biosciences Research Centre projects in 2012</w:t>
      </w:r>
      <w:r w:rsidRPr="00D00665">
        <w:noBreakHyphen/>
        <w:t>13.</w:t>
      </w:r>
    </w:p>
    <w:p w:rsidR="000B4A1E" w:rsidRPr="00D00665" w:rsidRDefault="000B4A1E" w:rsidP="00517E51"/>
    <w:p w:rsidR="000B4A1E" w:rsidRPr="00D00665" w:rsidRDefault="000B4A1E" w:rsidP="00517E51">
      <w:pPr>
        <w:pStyle w:val="Heading5"/>
      </w:pPr>
      <w:r w:rsidRPr="00D00665">
        <w:t>(l)</w:t>
      </w:r>
      <w:r w:rsidRPr="00D00665">
        <w:tab/>
        <w:t>Fair value of financial instruments</w:t>
      </w:r>
    </w:p>
    <w:p w:rsidR="000B4A1E" w:rsidRPr="00D00665" w:rsidRDefault="000B4A1E" w:rsidP="00517E51">
      <w:r w:rsidRPr="00D00665">
        <w:t>The fair values of the State</w:t>
      </w:r>
      <w:r>
        <w:t>’</w:t>
      </w:r>
      <w:r w:rsidRPr="00D00665">
        <w:t>s financial assets and liabilities are determined as follows:</w:t>
      </w:r>
    </w:p>
    <w:p w:rsidR="000B4A1E" w:rsidRPr="00D00665" w:rsidRDefault="000B4A1E" w:rsidP="00517E51">
      <w:pPr>
        <w:pStyle w:val="BulletText"/>
      </w:pPr>
      <w:r w:rsidRPr="00D00665">
        <w:t>the fair value of financial assets and financial liabilities with standard terms and conditions and traded in an active liquid market are determined with reference to quoted market prices. Financial instruments in this category include investments in equities, managed investment schemes and debt securities;</w:t>
      </w:r>
    </w:p>
    <w:p w:rsidR="000B4A1E" w:rsidRPr="00D00665" w:rsidRDefault="000B4A1E" w:rsidP="00517E51">
      <w:pPr>
        <w:pStyle w:val="BulletText"/>
      </w:pPr>
      <w:r w:rsidRPr="00D00665">
        <w:t>the fair value of other financial assets and financial liabilities (excluding derivative instruments) are determined in accordance with generally accepted pricing models based on discounted cash flow analysis, using prices from observable current market transactions; and</w:t>
      </w:r>
    </w:p>
    <w:p w:rsidR="000B4A1E" w:rsidRPr="00D00665" w:rsidRDefault="000B4A1E" w:rsidP="00517E51">
      <w:pPr>
        <w:pStyle w:val="BulletText"/>
      </w:pPr>
      <w:r w:rsidRPr="00D00665">
        <w:t>the fair value of derivative instruments, such as interest rate futures contracts, are calculated using quoted prices. Where such prices are not available, use is made of discounted cash flow analysis using the applicable yield curve for the duration of the instrument for non</w:t>
      </w:r>
      <w:r w:rsidRPr="00D00665">
        <w:noBreakHyphen/>
        <w:t>optional derivatives, and option pricing models for optional derivatives.</w:t>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D00665" w:rsidRDefault="000B4A1E" w:rsidP="00517E51">
      <w:r w:rsidRPr="00D00665">
        <w:t>Except as detailed in the following table, the carrying amounts of financial assets and financial liabilities recorded at amortised cost in the financial statements approximate their fair values.</w:t>
      </w:r>
    </w:p>
    <w:p w:rsidR="000B4A1E" w:rsidRPr="00D00665" w:rsidRDefault="000B4A1E" w:rsidP="00517E51">
      <w:pPr>
        <w:pStyle w:val="Heading5a"/>
      </w:pPr>
      <w:r w:rsidRPr="00D00665">
        <w:t>Fair value of financial instruments at amortised cost</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865"/>
        <w:gridCol w:w="1123"/>
        <w:gridCol w:w="262"/>
        <w:gridCol w:w="861"/>
        <w:gridCol w:w="1123"/>
      </w:tblGrid>
      <w:tr w:rsidR="000B4A1E" w:rsidRPr="003E2DBE" w:rsidTr="00517E51">
        <w:tc>
          <w:tcPr>
            <w:tcW w:w="5156"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58"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8"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2013</w:t>
            </w:r>
          </w:p>
        </w:tc>
        <w:tc>
          <w:tcPr>
            <w:tcW w:w="26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2012</w:t>
            </w:r>
          </w:p>
        </w:tc>
      </w:tr>
      <w:tr w:rsidR="000B4A1E" w:rsidRPr="003E2DBE" w:rsidTr="00517E51">
        <w:tc>
          <w:tcPr>
            <w:tcW w:w="5156"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i/>
                <w:iCs/>
                <w:lang w:eastAsia="en-AU"/>
              </w:rPr>
            </w:pPr>
          </w:p>
          <w:p w:rsidR="000B4A1E" w:rsidRPr="003E2DBE" w:rsidRDefault="000B4A1E" w:rsidP="00517E51">
            <w:pPr>
              <w:pStyle w:val="Tabletext"/>
              <w:rPr>
                <w:rFonts w:eastAsiaTheme="minorEastAsia"/>
                <w:i/>
                <w:iCs/>
                <w:lang w:eastAsia="en-AU"/>
              </w:rPr>
            </w:pPr>
            <w:r w:rsidRPr="003E2DBE">
              <w:rPr>
                <w:rFonts w:eastAsiaTheme="minorEastAsia"/>
                <w:i/>
                <w:iCs/>
                <w:lang w:eastAsia="en-AU"/>
              </w:rPr>
              <w:t>State of Victoria</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t>Carrying</w:t>
            </w:r>
            <w:r w:rsidRPr="003E2DBE">
              <w:rPr>
                <w:rFonts w:eastAsiaTheme="minorEastAsia"/>
                <w:lang w:eastAsia="en-AU"/>
              </w:rPr>
              <w:t xml:space="preserve"> </w:t>
            </w:r>
          </w:p>
          <w:p w:rsidR="000B4A1E" w:rsidRPr="003E2DBE" w:rsidRDefault="000B4A1E" w:rsidP="00517E51">
            <w:pPr>
              <w:pStyle w:val="Tabletextheading"/>
              <w:rPr>
                <w:rFonts w:eastAsiaTheme="minorEastAsia"/>
                <w:lang w:eastAsia="en-AU"/>
              </w:rPr>
            </w:pPr>
            <w:r w:rsidRPr="003E2DBE">
              <w:rPr>
                <w:rFonts w:eastAsiaTheme="minorEastAsia"/>
                <w:lang w:eastAsia="en-AU"/>
              </w:rPr>
              <w:t>amount</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Fair </w:t>
            </w:r>
          </w:p>
          <w:p w:rsidR="000B4A1E" w:rsidRPr="003E2DBE" w:rsidRDefault="000B4A1E" w:rsidP="00517E51">
            <w:pPr>
              <w:pStyle w:val="Tabletextheading"/>
              <w:rPr>
                <w:rFonts w:eastAsiaTheme="minorEastAsia"/>
                <w:lang w:eastAsia="en-AU"/>
              </w:rPr>
            </w:pPr>
            <w:r w:rsidRPr="003E2DBE">
              <w:rPr>
                <w:rFonts w:eastAsiaTheme="minorEastAsia"/>
                <w:lang w:eastAsia="en-AU"/>
              </w:rPr>
              <w:t>value</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Carrying </w:t>
            </w:r>
          </w:p>
          <w:p w:rsidR="000B4A1E" w:rsidRPr="003E2DBE" w:rsidRDefault="000B4A1E" w:rsidP="00517E51">
            <w:pPr>
              <w:pStyle w:val="Tabletextheading"/>
              <w:rPr>
                <w:rFonts w:eastAsiaTheme="minorEastAsia"/>
                <w:lang w:eastAsia="en-AU"/>
              </w:rPr>
            </w:pPr>
            <w:r w:rsidRPr="003E2DBE">
              <w:rPr>
                <w:rFonts w:eastAsiaTheme="minorEastAsia"/>
                <w:lang w:eastAsia="en-AU"/>
              </w:rPr>
              <w:t>amount</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Fair </w:t>
            </w:r>
          </w:p>
          <w:p w:rsidR="000B4A1E" w:rsidRPr="003E2DBE" w:rsidRDefault="000B4A1E" w:rsidP="00517E51">
            <w:pPr>
              <w:pStyle w:val="Tabletextheading"/>
              <w:rPr>
                <w:rFonts w:eastAsiaTheme="minorEastAsia"/>
                <w:lang w:eastAsia="en-AU"/>
              </w:rPr>
            </w:pPr>
            <w:r w:rsidRPr="003E2DBE">
              <w:rPr>
                <w:rFonts w:eastAsiaTheme="minorEastAsia"/>
                <w:lang w:eastAsia="en-AU"/>
              </w:rPr>
              <w:t>value</w:t>
            </w:r>
          </w:p>
        </w:tc>
      </w:tr>
      <w:tr w:rsidR="000B4A1E" w:rsidRPr="003E2DBE" w:rsidTr="00517E51">
        <w:tc>
          <w:tcPr>
            <w:tcW w:w="5156" w:type="dxa"/>
            <w:tcBorders>
              <w:top w:val="single" w:sz="4"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Financial assets</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vertAlign w:val="superscript"/>
                <w:lang w:eastAsia="en-AU"/>
              </w:rPr>
            </w:pPr>
            <w:r w:rsidRPr="003E2DBE">
              <w:rPr>
                <w:rFonts w:eastAsiaTheme="minorEastAsia"/>
                <w:lang w:eastAsia="en-AU"/>
              </w:rPr>
              <w:t xml:space="preserve">Non-current receivables </w:t>
            </w:r>
            <w:r w:rsidRPr="003E2DBE">
              <w:rPr>
                <w:rFonts w:eastAsiaTheme="minorEastAsia" w:cs="Calibri"/>
                <w:szCs w:val="22"/>
                <w:vertAlign w:val="superscript"/>
                <w:lang w:eastAsia="en-AU"/>
              </w:rPr>
              <w:t>(a)</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1 213.9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1 062.4</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1 213.9</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1 743.2</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Financial</w:t>
            </w:r>
            <w:r w:rsidRPr="003E2DBE">
              <w:rPr>
                <w:rFonts w:eastAsiaTheme="minorEastAsia" w:cs="Calibri"/>
                <w:b/>
                <w:bCs/>
                <w:szCs w:val="22"/>
                <w:lang w:eastAsia="en-AU"/>
              </w:rPr>
              <w:t xml:space="preserve"> liabilities</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r>
      <w:tr w:rsidR="000B4A1E" w:rsidRPr="003E2DBE" w:rsidTr="00517E51">
        <w:tc>
          <w:tcPr>
            <w:tcW w:w="5156" w:type="dxa"/>
            <w:tcBorders>
              <w:top w:val="nil"/>
              <w:left w:val="nil"/>
              <w:bottom w:val="single" w:sz="6" w:space="0" w:color="auto"/>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Finance</w:t>
            </w:r>
            <w:r w:rsidRPr="003E2DBE">
              <w:rPr>
                <w:rFonts w:eastAsiaTheme="minorEastAsia" w:cs="Calibri"/>
                <w:szCs w:val="22"/>
                <w:lang w:eastAsia="en-AU"/>
              </w:rPr>
              <w:t xml:space="preserve"> lease liabilities</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8 860.3</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5 508.3</w:t>
            </w:r>
          </w:p>
        </w:tc>
        <w:tc>
          <w:tcPr>
            <w:tcW w:w="1123" w:type="dxa"/>
            <w:gridSpan w:val="2"/>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3</w:t>
            </w:r>
            <w:r w:rsidRPr="003E2DBE">
              <w:rPr>
                <w:rFonts w:eastAsiaTheme="minorEastAsia" w:cs="Calibri"/>
                <w:szCs w:val="22"/>
                <w:lang w:eastAsia="en-AU"/>
              </w:rPr>
              <w:t xml:space="preserve"> 511.2</w:t>
            </w:r>
          </w:p>
        </w:tc>
        <w:tc>
          <w:tcPr>
            <w:tcW w:w="1123"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2</w:t>
            </w:r>
            <w:r w:rsidRPr="003E2DBE">
              <w:rPr>
                <w:rFonts w:eastAsiaTheme="minorEastAsia" w:cs="Calibri"/>
                <w:szCs w:val="22"/>
                <w:lang w:eastAsia="en-AU"/>
              </w:rPr>
              <w:t xml:space="preserve"> 241.9</w:t>
            </w:r>
          </w:p>
        </w:tc>
      </w:tr>
      <w:tr w:rsidR="000B4A1E" w:rsidRPr="003E2DBE" w:rsidTr="00517E51">
        <w:trPr>
          <w:trHeight w:hRule="exact" w:val="120"/>
        </w:trPr>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r>
      <w:tr w:rsidR="000B4A1E" w:rsidRPr="003E2DBE" w:rsidTr="00517E51">
        <w:tc>
          <w:tcPr>
            <w:tcW w:w="5156" w:type="dxa"/>
            <w:tcBorders>
              <w:top w:val="single" w:sz="6" w:space="0" w:color="auto"/>
              <w:left w:val="nil"/>
              <w:bottom w:val="nil"/>
              <w:right w:val="nil"/>
            </w:tcBorders>
            <w:shd w:val="solid" w:color="000000" w:fill="auto"/>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58"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8" w:type="dxa"/>
            <w:gridSpan w:val="2"/>
            <w:tcBorders>
              <w:top w:val="single" w:sz="6"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2013</w:t>
            </w:r>
          </w:p>
        </w:tc>
        <w:tc>
          <w:tcPr>
            <w:tcW w:w="262" w:type="dxa"/>
            <w:tcBorders>
              <w:top w:val="single" w:sz="6"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2"/>
            <w:tcBorders>
              <w:top w:val="single" w:sz="6" w:space="0" w:color="auto"/>
              <w:left w:val="nil"/>
              <w:bottom w:val="nil"/>
              <w:right w:val="nil"/>
            </w:tcBorders>
            <w:shd w:val="solid" w:color="000000" w:fill="auto"/>
          </w:tcPr>
          <w:p w:rsidR="000B4A1E" w:rsidRPr="003E2DBE" w:rsidRDefault="000B4A1E" w:rsidP="00517E51">
            <w:pPr>
              <w:pStyle w:val="TabletextheadingCentred"/>
              <w:rPr>
                <w:rFonts w:eastAsiaTheme="minorEastAsia"/>
                <w:lang w:eastAsia="en-AU"/>
              </w:rPr>
            </w:pPr>
            <w:r w:rsidRPr="003E2DBE">
              <w:rPr>
                <w:rFonts w:eastAsiaTheme="minorEastAsia"/>
                <w:lang w:eastAsia="en-AU"/>
              </w:rPr>
              <w:t>2012</w:t>
            </w:r>
          </w:p>
        </w:tc>
      </w:tr>
      <w:tr w:rsidR="000B4A1E" w:rsidRPr="003E2DBE" w:rsidTr="00517E51">
        <w:tc>
          <w:tcPr>
            <w:tcW w:w="5156" w:type="dxa"/>
            <w:tcBorders>
              <w:top w:val="nil"/>
              <w:left w:val="nil"/>
              <w:bottom w:val="single" w:sz="6" w:space="0" w:color="auto"/>
              <w:right w:val="nil"/>
            </w:tcBorders>
            <w:shd w:val="solid" w:color="000000" w:fill="auto"/>
          </w:tcPr>
          <w:p w:rsidR="000B4A1E" w:rsidRPr="003E2DBE" w:rsidRDefault="000B4A1E" w:rsidP="00517E51">
            <w:pPr>
              <w:pStyle w:val="Tabletext"/>
              <w:rPr>
                <w:rFonts w:eastAsiaTheme="minorEastAsia"/>
                <w:i/>
                <w:iCs/>
                <w:lang w:eastAsia="en-AU"/>
              </w:rPr>
            </w:pPr>
          </w:p>
          <w:p w:rsidR="000B4A1E" w:rsidRPr="003E2DBE" w:rsidRDefault="000B4A1E" w:rsidP="00517E51">
            <w:pPr>
              <w:pStyle w:val="Tabletext"/>
              <w:rPr>
                <w:rFonts w:eastAsiaTheme="minorEastAsia" w:cs="Calibri"/>
                <w:i/>
                <w:iCs/>
                <w:szCs w:val="22"/>
                <w:lang w:eastAsia="en-AU"/>
              </w:rPr>
            </w:pPr>
            <w:r w:rsidRPr="003E2DBE">
              <w:rPr>
                <w:rFonts w:eastAsiaTheme="minorEastAsia" w:cs="Calibri"/>
                <w:szCs w:val="22"/>
                <w:lang w:eastAsia="en-AU"/>
              </w:rPr>
              <w:t>General government sector</w:t>
            </w:r>
          </w:p>
        </w:tc>
        <w:tc>
          <w:tcPr>
            <w:tcW w:w="1123"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Carrying </w:t>
            </w:r>
          </w:p>
          <w:p w:rsidR="000B4A1E" w:rsidRPr="003E2DBE" w:rsidRDefault="000B4A1E" w:rsidP="00517E51">
            <w:pPr>
              <w:pStyle w:val="Tabletextheading"/>
              <w:rPr>
                <w:rFonts w:eastAsiaTheme="minorEastAsia" w:cs="Calibri"/>
                <w:iCs/>
                <w:szCs w:val="22"/>
                <w:lang w:eastAsia="en-AU"/>
              </w:rPr>
            </w:pPr>
            <w:r w:rsidRPr="003E2DBE">
              <w:rPr>
                <w:rFonts w:eastAsiaTheme="minorEastAsia" w:cs="Calibri"/>
                <w:szCs w:val="22"/>
                <w:lang w:eastAsia="en-AU"/>
              </w:rPr>
              <w:t>amount</w:t>
            </w:r>
          </w:p>
        </w:tc>
        <w:tc>
          <w:tcPr>
            <w:tcW w:w="1123" w:type="dxa"/>
            <w:tcBorders>
              <w:top w:val="nil"/>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Fair </w:t>
            </w:r>
          </w:p>
          <w:p w:rsidR="000B4A1E" w:rsidRPr="003E2DBE" w:rsidRDefault="000B4A1E" w:rsidP="00517E51">
            <w:pPr>
              <w:pStyle w:val="Tabletextheading"/>
              <w:rPr>
                <w:rFonts w:eastAsiaTheme="minorEastAsia" w:cs="Calibri"/>
                <w:iCs/>
                <w:szCs w:val="22"/>
                <w:lang w:eastAsia="en-AU"/>
              </w:rPr>
            </w:pPr>
            <w:r w:rsidRPr="003E2DBE">
              <w:rPr>
                <w:rFonts w:eastAsiaTheme="minorEastAsia" w:cs="Calibri"/>
                <w:szCs w:val="22"/>
                <w:lang w:eastAsia="en-AU"/>
              </w:rPr>
              <w:t>value</w:t>
            </w:r>
          </w:p>
        </w:tc>
        <w:tc>
          <w:tcPr>
            <w:tcW w:w="1123" w:type="dxa"/>
            <w:gridSpan w:val="2"/>
            <w:tcBorders>
              <w:top w:val="nil"/>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Carrying </w:t>
            </w:r>
          </w:p>
          <w:p w:rsidR="000B4A1E" w:rsidRPr="003E2DBE" w:rsidRDefault="000B4A1E" w:rsidP="00517E51">
            <w:pPr>
              <w:pStyle w:val="Tabletextheading"/>
              <w:rPr>
                <w:rFonts w:eastAsiaTheme="minorEastAsia" w:cs="Calibri"/>
                <w:iCs/>
                <w:szCs w:val="22"/>
                <w:lang w:eastAsia="en-AU"/>
              </w:rPr>
            </w:pPr>
            <w:r w:rsidRPr="003E2DBE">
              <w:rPr>
                <w:rFonts w:eastAsiaTheme="minorEastAsia" w:cs="Calibri"/>
                <w:szCs w:val="22"/>
                <w:lang w:eastAsia="en-AU"/>
              </w:rPr>
              <w:t>amount</w:t>
            </w:r>
          </w:p>
        </w:tc>
        <w:tc>
          <w:tcPr>
            <w:tcW w:w="1123" w:type="dxa"/>
            <w:tcBorders>
              <w:top w:val="nil"/>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Fair </w:t>
            </w:r>
          </w:p>
          <w:p w:rsidR="000B4A1E" w:rsidRPr="003E2DBE" w:rsidRDefault="000B4A1E" w:rsidP="00517E51">
            <w:pPr>
              <w:pStyle w:val="Tabletextheading"/>
              <w:rPr>
                <w:rFonts w:eastAsiaTheme="minorEastAsia" w:cs="Calibri"/>
                <w:iCs/>
                <w:szCs w:val="22"/>
                <w:lang w:eastAsia="en-AU"/>
              </w:rPr>
            </w:pPr>
            <w:r w:rsidRPr="003E2DBE">
              <w:rPr>
                <w:rFonts w:eastAsiaTheme="minorEastAsia" w:cs="Calibri"/>
                <w:szCs w:val="22"/>
                <w:lang w:eastAsia="en-AU"/>
              </w:rPr>
              <w:t>value</w:t>
            </w:r>
          </w:p>
        </w:tc>
      </w:tr>
      <w:tr w:rsidR="000B4A1E" w:rsidRPr="003E2DBE" w:rsidTr="00517E51">
        <w:tc>
          <w:tcPr>
            <w:tcW w:w="5156" w:type="dxa"/>
            <w:tcBorders>
              <w:top w:val="single" w:sz="6" w:space="0" w:color="auto"/>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Financial</w:t>
            </w:r>
            <w:r w:rsidRPr="003E2DBE">
              <w:rPr>
                <w:rFonts w:eastAsiaTheme="minorEastAsia" w:cs="Calibri"/>
                <w:b/>
                <w:bCs/>
                <w:szCs w:val="22"/>
                <w:lang w:eastAsia="en-AU"/>
              </w:rPr>
              <w:t xml:space="preserve"> assets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Non-current</w:t>
            </w:r>
            <w:r w:rsidRPr="003E2DBE">
              <w:rPr>
                <w:rFonts w:eastAsiaTheme="minorEastAsia" w:cs="Calibri"/>
                <w:szCs w:val="22"/>
                <w:lang w:eastAsia="en-AU"/>
              </w:rPr>
              <w:t xml:space="preserve"> receivables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706.0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4.6</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r w:rsidRPr="003E2DBE">
              <w:rPr>
                <w:rFonts w:eastAsiaTheme="minorEastAsia" w:cs="Calibri"/>
                <w:szCs w:val="22"/>
                <w:lang w:eastAsia="en-AU"/>
              </w:rPr>
              <w:t>470.0</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r w:rsidRPr="003E2DBE">
              <w:rPr>
                <w:rFonts w:eastAsiaTheme="minorEastAsia" w:cs="Calibri"/>
                <w:szCs w:val="22"/>
                <w:lang w:eastAsia="en-AU"/>
              </w:rPr>
              <w:t>749.0</w:t>
            </w:r>
          </w:p>
        </w:tc>
      </w:tr>
      <w:tr w:rsidR="000B4A1E" w:rsidRPr="003E2DBE" w:rsidTr="00517E51">
        <w:tc>
          <w:tcPr>
            <w:tcW w:w="5156" w:type="dxa"/>
            <w:tcBorders>
              <w:top w:val="nil"/>
              <w:left w:val="nil"/>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Financial</w:t>
            </w:r>
            <w:r w:rsidRPr="003E2DBE">
              <w:rPr>
                <w:rFonts w:eastAsiaTheme="minorEastAsia" w:cs="Calibri"/>
                <w:b/>
                <w:bCs/>
                <w:szCs w:val="22"/>
                <w:lang w:eastAsia="en-AU"/>
              </w:rPr>
              <w:t xml:space="preserve"> liabilities</w:t>
            </w:r>
          </w:p>
        </w:tc>
        <w:tc>
          <w:tcPr>
            <w:tcW w:w="1123" w:type="dxa"/>
            <w:gridSpan w:val="2"/>
            <w:tcBorders>
              <w:top w:val="nil"/>
              <w:left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gridSpan w:val="2"/>
            <w:tcBorders>
              <w:top w:val="nil"/>
              <w:left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123" w:type="dxa"/>
            <w:tcBorders>
              <w:top w:val="nil"/>
              <w:left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r>
      <w:tr w:rsidR="000B4A1E" w:rsidRPr="003E2DBE" w:rsidTr="00517E51">
        <w:tc>
          <w:tcPr>
            <w:tcW w:w="5156" w:type="dxa"/>
            <w:tcBorders>
              <w:top w:val="nil"/>
              <w:left w:val="nil"/>
              <w:bottom w:val="single" w:sz="12" w:space="0" w:color="auto"/>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Finance </w:t>
            </w:r>
            <w:r w:rsidRPr="003E2DBE">
              <w:rPr>
                <w:rFonts w:eastAsiaTheme="minorEastAsia" w:cs="Calibri"/>
                <w:szCs w:val="22"/>
                <w:lang w:eastAsia="en-AU"/>
              </w:rPr>
              <w:t>lease liabilities</w:t>
            </w:r>
          </w:p>
        </w:tc>
        <w:tc>
          <w:tcPr>
            <w:tcW w:w="1123"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8 </w:t>
            </w:r>
            <w:r w:rsidRPr="003E2DBE">
              <w:rPr>
                <w:rFonts w:eastAsiaTheme="minorEastAsia" w:cs="Calibri"/>
                <w:szCs w:val="22"/>
                <w:lang w:eastAsia="en-AU"/>
              </w:rPr>
              <w:t>033.3</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5 </w:t>
            </w:r>
            <w:r w:rsidRPr="003E2DBE">
              <w:rPr>
                <w:rFonts w:eastAsiaTheme="minorEastAsia" w:cs="Calibri"/>
                <w:szCs w:val="22"/>
                <w:lang w:eastAsia="en-AU"/>
              </w:rPr>
              <w:t>385.6</w:t>
            </w:r>
          </w:p>
        </w:tc>
        <w:tc>
          <w:tcPr>
            <w:tcW w:w="1123" w:type="dxa"/>
            <w:gridSpan w:val="2"/>
            <w:tcBorders>
              <w:top w:val="nil"/>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2 </w:t>
            </w:r>
            <w:r w:rsidRPr="003E2DBE">
              <w:rPr>
                <w:rFonts w:eastAsiaTheme="minorEastAsia" w:cs="Calibri"/>
                <w:szCs w:val="22"/>
                <w:lang w:eastAsia="en-AU"/>
              </w:rPr>
              <w:t>678.7</w:t>
            </w:r>
          </w:p>
        </w:tc>
        <w:tc>
          <w:tcPr>
            <w:tcW w:w="1123" w:type="dxa"/>
            <w:tcBorders>
              <w:top w:val="nil"/>
              <w:left w:val="nil"/>
              <w:bottom w:val="single" w:sz="12" w:space="0" w:color="auto"/>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2 </w:t>
            </w:r>
            <w:r w:rsidRPr="003E2DBE">
              <w:rPr>
                <w:rFonts w:eastAsiaTheme="minorEastAsia" w:cs="Calibri"/>
                <w:szCs w:val="22"/>
                <w:lang w:eastAsia="en-AU"/>
              </w:rPr>
              <w:t>105.2</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The 2012 figures differ from that presented in the 2011</w:t>
      </w:r>
      <w:r w:rsidRPr="00D00665">
        <w:noBreakHyphen/>
        <w:t>12 Financial Report to more correctly reflect clarification of contractual statutory receivables</w:t>
      </w:r>
      <w:r>
        <w:t xml:space="preserve">. </w:t>
      </w:r>
      <w:r w:rsidRPr="00D00665">
        <w:t>Restated balances at 30 June 2012. Refer to Note 36 of the financial statements.</w:t>
      </w:r>
    </w:p>
    <w:p w:rsidR="000B4A1E" w:rsidRPr="00D00665" w:rsidRDefault="000B4A1E" w:rsidP="00517E51">
      <w:pPr>
        <w:pStyle w:val="Notes"/>
      </w:pPr>
    </w:p>
    <w:p w:rsidR="000B4A1E" w:rsidRPr="00D00665" w:rsidRDefault="000B4A1E" w:rsidP="00517E51">
      <w:pPr>
        <w:pStyle w:val="million"/>
      </w:pPr>
    </w:p>
    <w:p w:rsidR="000B4A1E" w:rsidRPr="00D00665" w:rsidRDefault="000B4A1E" w:rsidP="00517E51"/>
    <w:p w:rsidR="000B4A1E" w:rsidRPr="00D00665" w:rsidRDefault="000B4A1E" w:rsidP="00517E51">
      <w:pPr>
        <w:pStyle w:val="Heading5a"/>
      </w:pPr>
      <w:r w:rsidRPr="00D00665">
        <w:t>Credit quality of financial assets that are neither past due nor impaired</w:t>
      </w:r>
    </w:p>
    <w:p w:rsidR="000B4A1E" w:rsidRPr="003E2DBE" w:rsidRDefault="000B4A1E" w:rsidP="00517E51">
      <w:pPr>
        <w:pStyle w:val="million"/>
      </w:pPr>
      <w:r w:rsidRPr="00D00665">
        <w:t>($</w:t>
      </w:r>
      <w:r>
        <w:t> million</w:t>
      </w:r>
      <w:r w:rsidRPr="00D00665">
        <w:t>)</w:t>
      </w:r>
      <w:bookmarkStart w:id="152" w:name="RANGE!C566:G599"/>
      <w:bookmarkStart w:id="153" w:name="RANGE!C558:G591"/>
      <w:bookmarkStart w:id="154" w:name="RANGE!C552:G585"/>
      <w:bookmarkStart w:id="155" w:name="RANGE!C540:G573"/>
      <w:bookmarkStart w:id="156" w:name="RANGE!C493:G526"/>
      <w:bookmarkStart w:id="157" w:name="RANGE!C492:G525"/>
      <w:bookmarkStart w:id="158" w:name="RANGE!C533:G566"/>
      <w:bookmarkStart w:id="159" w:name="RANGE!C556:G589"/>
    </w:p>
    <w:tbl>
      <w:tblPr>
        <w:tblW w:w="9648" w:type="dxa"/>
        <w:tblInd w:w="29" w:type="dxa"/>
        <w:tblCellMar>
          <w:left w:w="43" w:type="dxa"/>
          <w:right w:w="43" w:type="dxa"/>
        </w:tblCellMar>
        <w:tblLook w:val="04A0" w:firstRow="1" w:lastRow="0" w:firstColumn="1" w:lastColumn="0" w:noHBand="0" w:noVBand="1"/>
      </w:tblPr>
      <w:tblGrid>
        <w:gridCol w:w="4784"/>
        <w:gridCol w:w="1260"/>
        <w:gridCol w:w="1358"/>
        <w:gridCol w:w="1123"/>
        <w:gridCol w:w="1123"/>
      </w:tblGrid>
      <w:tr w:rsidR="000B4A1E" w:rsidRPr="003E2DBE" w:rsidTr="00517E51">
        <w:trPr>
          <w:divId w:val="1796101615"/>
        </w:trPr>
        <w:tc>
          <w:tcPr>
            <w:tcW w:w="4784"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 xml:space="preserve"> </w:t>
            </w:r>
            <w:bookmarkEnd w:id="152"/>
          </w:p>
        </w:tc>
        <w:tc>
          <w:tcPr>
            <w:tcW w:w="1260"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1358"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Other</w:t>
            </w:r>
          </w:p>
        </w:tc>
        <w:tc>
          <w:tcPr>
            <w:tcW w:w="1123"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1123" w:type="dxa"/>
            <w:tcBorders>
              <w:top w:val="single" w:sz="4" w:space="0" w:color="auto"/>
              <w:left w:val="nil"/>
              <w:bottom w:val="nil"/>
              <w:right w:val="single" w:sz="4"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r>
      <w:tr w:rsidR="000B4A1E" w:rsidRPr="003E2DBE" w:rsidTr="00517E51">
        <w:trPr>
          <w:divId w:val="1796101615"/>
        </w:trPr>
        <w:tc>
          <w:tcPr>
            <w:tcW w:w="4784" w:type="dxa"/>
            <w:tcBorders>
              <w:top w:val="single" w:sz="4" w:space="0" w:color="auto"/>
              <w:left w:val="single" w:sz="4" w:space="0" w:color="auto"/>
              <w:bottom w:val="single" w:sz="4" w:space="0" w:color="auto"/>
              <w:right w:val="nil"/>
            </w:tcBorders>
            <w:shd w:val="clear" w:color="auto" w:fill="000000"/>
            <w:vAlign w:val="bottom"/>
            <w:hideMark/>
          </w:tcPr>
          <w:p w:rsidR="000B4A1E" w:rsidRPr="003E2DBE" w:rsidRDefault="000B4A1E" w:rsidP="00517E51">
            <w:pPr>
              <w:pStyle w:val="TabletextheadingLeft"/>
              <w:rPr>
                <w:iCs/>
                <w:lang w:eastAsia="en-AU"/>
              </w:rPr>
            </w:pPr>
            <w:r w:rsidRPr="003E2DBE">
              <w:rPr>
                <w:iCs/>
                <w:lang w:eastAsia="en-AU"/>
              </w:rPr>
              <w:br/>
              <w:t>State of Victoria</w:t>
            </w:r>
          </w:p>
        </w:tc>
        <w:tc>
          <w:tcPr>
            <w:tcW w:w="1260"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(AAA credit rating)</w:t>
            </w:r>
          </w:p>
        </w:tc>
        <w:tc>
          <w:tcPr>
            <w:tcW w:w="1358"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 xml:space="preserve">(min BBB </w:t>
            </w:r>
            <w:r w:rsidRPr="003E2DBE">
              <w:rPr>
                <w:lang w:eastAsia="en-AU"/>
              </w:rPr>
              <w:br/>
              <w:t>credit rating)</w:t>
            </w:r>
          </w:p>
        </w:tc>
        <w:tc>
          <w:tcPr>
            <w:tcW w:w="1123"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Other</w:t>
            </w:r>
            <w:r w:rsidRPr="003E2DBE">
              <w:rPr>
                <w:lang w:eastAsia="en-AU"/>
              </w:rPr>
              <w:br/>
              <w:t>(not rated)</w:t>
            </w:r>
          </w:p>
        </w:tc>
        <w:tc>
          <w:tcPr>
            <w:tcW w:w="1123" w:type="dxa"/>
            <w:tcBorders>
              <w:top w:val="nil"/>
              <w:left w:val="nil"/>
              <w:bottom w:val="single" w:sz="4" w:space="0" w:color="auto"/>
              <w:right w:val="single" w:sz="4" w:space="0" w:color="auto"/>
            </w:tcBorders>
            <w:shd w:val="clear" w:color="auto" w:fill="000000"/>
            <w:hideMark/>
          </w:tcPr>
          <w:p w:rsidR="000B4A1E" w:rsidRPr="003E2DBE" w:rsidRDefault="000B4A1E" w:rsidP="00517E51">
            <w:pPr>
              <w:pStyle w:val="Tabletextheading"/>
              <w:rPr>
                <w:lang w:eastAsia="en-AU"/>
              </w:rPr>
            </w:pPr>
            <w:r w:rsidRPr="003E2DBE">
              <w:rPr>
                <w:lang w:eastAsia="en-AU"/>
              </w:rPr>
              <w:br/>
              <w:t>Total</w:t>
            </w:r>
          </w:p>
        </w:tc>
      </w:tr>
      <w:tr w:rsidR="000B4A1E" w:rsidRPr="003E2DBE" w:rsidTr="00517E51">
        <w:trPr>
          <w:divId w:val="1796101615"/>
        </w:trPr>
        <w:tc>
          <w:tcPr>
            <w:tcW w:w="4784" w:type="dxa"/>
            <w:tcBorders>
              <w:top w:val="nil"/>
              <w:left w:val="single" w:sz="4" w:space="0" w:color="auto"/>
              <w:bottom w:val="single" w:sz="4" w:space="0" w:color="auto"/>
              <w:right w:val="nil"/>
            </w:tcBorders>
            <w:shd w:val="clear" w:color="000000" w:fill="000000"/>
            <w:noWrap/>
            <w:vAlign w:val="bottom"/>
            <w:hideMark/>
          </w:tcPr>
          <w:p w:rsidR="000B4A1E" w:rsidRPr="003E2DBE" w:rsidRDefault="000B4A1E" w:rsidP="00517E51">
            <w:pPr>
              <w:pStyle w:val="TabletextheadingLeft"/>
              <w:rPr>
                <w:iCs/>
                <w:lang w:eastAsia="en-AU"/>
              </w:rPr>
            </w:pPr>
            <w:r w:rsidRPr="003E2DBE">
              <w:rPr>
                <w:iCs/>
                <w:lang w:eastAsia="en-AU"/>
              </w:rPr>
              <w:t>2013</w:t>
            </w:r>
          </w:p>
        </w:tc>
        <w:tc>
          <w:tcPr>
            <w:tcW w:w="1260" w:type="dxa"/>
            <w:tcBorders>
              <w:top w:val="nil"/>
              <w:left w:val="nil"/>
              <w:bottom w:val="single" w:sz="4" w:space="0" w:color="auto"/>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358" w:type="dxa"/>
            <w:tcBorders>
              <w:top w:val="nil"/>
              <w:left w:val="nil"/>
              <w:bottom w:val="single" w:sz="4" w:space="0" w:color="auto"/>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single" w:sz="4" w:space="0" w:color="auto"/>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single" w:sz="4" w:space="0" w:color="auto"/>
              <w:right w:val="single" w:sz="4" w:space="0" w:color="auto"/>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1796101615"/>
        </w:trPr>
        <w:tc>
          <w:tcPr>
            <w:tcW w:w="4784" w:type="dxa"/>
            <w:tcBorders>
              <w:top w:val="nil"/>
              <w:left w:val="nil"/>
              <w:bottom w:val="nil"/>
              <w:right w:val="nil"/>
            </w:tcBorders>
            <w:shd w:val="clear" w:color="000000" w:fill="FFFFFF"/>
            <w:noWrap/>
            <w:vAlign w:val="bottom"/>
            <w:hideMark/>
          </w:tcPr>
          <w:p w:rsidR="000B4A1E" w:rsidRPr="003E2DBE" w:rsidRDefault="000B4A1E" w:rsidP="00517E51">
            <w:pPr>
              <w:pStyle w:val="Tabletext"/>
              <w:rPr>
                <w:b/>
                <w:lang w:eastAsia="en-AU"/>
              </w:rPr>
            </w:pPr>
            <w:r w:rsidRPr="003E2DBE">
              <w:rPr>
                <w:b/>
                <w:lang w:eastAsia="en-AU"/>
              </w:rPr>
              <w:t>Financial assets</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b/>
                <w:lang w:eastAsia="en-AU"/>
              </w:rPr>
            </w:pPr>
            <w:r w:rsidRPr="003E2DBE">
              <w:rPr>
                <w:b/>
                <w:lang w:eastAsia="en-AU"/>
              </w:rPr>
              <w:t xml:space="preserve">  </w:t>
            </w:r>
          </w:p>
        </w:tc>
        <w:tc>
          <w:tcPr>
            <w:tcW w:w="1358"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r>
      <w:tr w:rsidR="000B4A1E" w:rsidRPr="003E2DBE" w:rsidTr="00517E51">
        <w:trPr>
          <w:divId w:val="1796101615"/>
        </w:trPr>
        <w:tc>
          <w:tcPr>
            <w:tcW w:w="478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Cash and deposits</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532.3</w:t>
            </w:r>
          </w:p>
        </w:tc>
        <w:tc>
          <w:tcPr>
            <w:tcW w:w="1358"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321.1</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399.4</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6 </w:t>
            </w:r>
            <w:r w:rsidRPr="003E2DBE">
              <w:rPr>
                <w:rFonts w:cs="Calibri"/>
                <w:szCs w:val="22"/>
                <w:lang w:eastAsia="en-AU"/>
              </w:rPr>
              <w:t>252.9</w:t>
            </w:r>
          </w:p>
        </w:tc>
      </w:tr>
      <w:tr w:rsidR="000B4A1E" w:rsidRPr="003E2DBE" w:rsidTr="00517E51">
        <w:trPr>
          <w:divId w:val="1796101615"/>
        </w:trPr>
        <w:tc>
          <w:tcPr>
            <w:tcW w:w="478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Receivables</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059.1</w:t>
            </w:r>
          </w:p>
        </w:tc>
        <w:tc>
          <w:tcPr>
            <w:tcW w:w="1358"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444.7</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320.0</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823.9</w:t>
            </w:r>
          </w:p>
        </w:tc>
      </w:tr>
      <w:tr w:rsidR="000B4A1E" w:rsidRPr="003E2DBE" w:rsidTr="00517E51">
        <w:trPr>
          <w:divId w:val="1796101615"/>
        </w:trPr>
        <w:tc>
          <w:tcPr>
            <w:tcW w:w="478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Advances</w:t>
            </w:r>
            <w:r w:rsidRPr="003E2DBE">
              <w:rPr>
                <w:rFonts w:cs="Calibri"/>
                <w:szCs w:val="22"/>
                <w:lang w:eastAsia="en-AU"/>
              </w:rPr>
              <w:t xml:space="preserve"> paid</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Pr>
                <w:lang w:eastAsia="en-AU"/>
              </w:rPr>
              <w:t>..</w:t>
            </w:r>
          </w:p>
        </w:tc>
        <w:tc>
          <w:tcPr>
            <w:tcW w:w="1358"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1.0</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726.3</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727.3</w:t>
            </w:r>
          </w:p>
        </w:tc>
      </w:tr>
      <w:tr w:rsidR="000B4A1E" w:rsidRPr="003E2DBE" w:rsidTr="00517E51">
        <w:trPr>
          <w:divId w:val="1796101615"/>
        </w:trPr>
        <w:tc>
          <w:tcPr>
            <w:tcW w:w="478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Term </w:t>
            </w:r>
            <w:r w:rsidRPr="003E2DBE">
              <w:rPr>
                <w:rFonts w:cs="Calibri"/>
                <w:szCs w:val="22"/>
                <w:lang w:eastAsia="en-AU"/>
              </w:rPr>
              <w:t>deposits</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462.6</w:t>
            </w:r>
          </w:p>
        </w:tc>
        <w:tc>
          <w:tcPr>
            <w:tcW w:w="1358"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511.0</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123.6</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097.2</w:t>
            </w:r>
          </w:p>
        </w:tc>
      </w:tr>
      <w:tr w:rsidR="000B4A1E" w:rsidRPr="003E2DBE" w:rsidTr="00517E51">
        <w:trPr>
          <w:divId w:val="1796101615"/>
        </w:trPr>
        <w:tc>
          <w:tcPr>
            <w:tcW w:w="478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Debt </w:t>
            </w:r>
            <w:r w:rsidRPr="003E2DBE">
              <w:rPr>
                <w:rFonts w:cs="Calibri"/>
                <w:szCs w:val="22"/>
                <w:lang w:eastAsia="en-AU"/>
              </w:rPr>
              <w:t>securities</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582.8</w:t>
            </w:r>
          </w:p>
        </w:tc>
        <w:tc>
          <w:tcPr>
            <w:tcW w:w="1358"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6 </w:t>
            </w:r>
            <w:r w:rsidRPr="003E2DBE">
              <w:rPr>
                <w:rFonts w:cs="Calibri"/>
                <w:szCs w:val="22"/>
                <w:lang w:eastAsia="en-AU"/>
              </w:rPr>
              <w:t>362.6</w:t>
            </w:r>
          </w:p>
        </w:tc>
        <w:tc>
          <w:tcPr>
            <w:tcW w:w="1123"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239.9</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9 </w:t>
            </w:r>
            <w:r w:rsidRPr="003E2DBE">
              <w:rPr>
                <w:rFonts w:cs="Calibri"/>
                <w:szCs w:val="22"/>
                <w:lang w:eastAsia="en-AU"/>
              </w:rPr>
              <w:t>185.3</w:t>
            </w:r>
          </w:p>
        </w:tc>
      </w:tr>
      <w:tr w:rsidR="000B4A1E" w:rsidRPr="003E2DBE" w:rsidTr="00517E51">
        <w:trPr>
          <w:divId w:val="1796101615"/>
        </w:trPr>
        <w:tc>
          <w:tcPr>
            <w:tcW w:w="4784" w:type="dxa"/>
            <w:tcBorders>
              <w:top w:val="single" w:sz="4" w:space="0" w:color="auto"/>
              <w:left w:val="nil"/>
              <w:bottom w:val="single" w:sz="4" w:space="0" w:color="auto"/>
              <w:right w:val="nil"/>
            </w:tcBorders>
            <w:shd w:val="clear" w:color="000000" w:fill="FFFFFF"/>
            <w:noWrap/>
            <w:vAlign w:val="bottom"/>
            <w:hideMark/>
          </w:tcPr>
          <w:p w:rsidR="000B4A1E" w:rsidRPr="003E2DBE" w:rsidRDefault="000B4A1E" w:rsidP="00517E51">
            <w:pPr>
              <w:pStyle w:val="Tabletext"/>
              <w:rPr>
                <w:rFonts w:cs="Calibri"/>
                <w:b/>
                <w:bCs/>
                <w:szCs w:val="22"/>
                <w:lang w:eastAsia="en-AU"/>
              </w:rPr>
            </w:pPr>
            <w:r w:rsidRPr="003E2DBE">
              <w:rPr>
                <w:b/>
                <w:lang w:eastAsia="en-AU"/>
              </w:rPr>
              <w:t>Total</w:t>
            </w:r>
            <w:r w:rsidRPr="003E2DBE">
              <w:rPr>
                <w:rFonts w:cs="Calibri"/>
                <w:b/>
                <w:bCs/>
                <w:szCs w:val="22"/>
                <w:lang w:eastAsia="en-AU"/>
              </w:rPr>
              <w:t xml:space="preserve"> financial assets</w:t>
            </w:r>
          </w:p>
        </w:tc>
        <w:tc>
          <w:tcPr>
            <w:tcW w:w="1260"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8 </w:t>
            </w:r>
            <w:r w:rsidRPr="003E2DBE">
              <w:rPr>
                <w:rFonts w:cs="Calibri"/>
                <w:b/>
                <w:bCs/>
                <w:szCs w:val="22"/>
                <w:lang w:eastAsia="en-AU"/>
              </w:rPr>
              <w:t>636.8</w:t>
            </w:r>
          </w:p>
        </w:tc>
        <w:tc>
          <w:tcPr>
            <w:tcW w:w="1358"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8 </w:t>
            </w:r>
            <w:r w:rsidRPr="003E2DBE">
              <w:rPr>
                <w:rFonts w:cs="Calibri"/>
                <w:b/>
                <w:bCs/>
                <w:szCs w:val="22"/>
                <w:lang w:eastAsia="en-AU"/>
              </w:rPr>
              <w:t>640.4</w:t>
            </w:r>
          </w:p>
        </w:tc>
        <w:tc>
          <w:tcPr>
            <w:tcW w:w="1123"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2"/>
                <w:lang w:eastAsia="en-AU"/>
              </w:rPr>
              <w:t>809.2</w:t>
            </w:r>
          </w:p>
        </w:tc>
        <w:tc>
          <w:tcPr>
            <w:tcW w:w="1123"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21 </w:t>
            </w:r>
            <w:r w:rsidRPr="003E2DBE">
              <w:rPr>
                <w:rFonts w:cs="Calibri"/>
                <w:b/>
                <w:bCs/>
                <w:szCs w:val="22"/>
                <w:lang w:eastAsia="en-AU"/>
              </w:rPr>
              <w:t>086.5</w:t>
            </w:r>
          </w:p>
        </w:tc>
      </w:tr>
      <w:tr w:rsidR="000B4A1E" w:rsidRPr="003E2DBE" w:rsidTr="00517E51">
        <w:trPr>
          <w:divId w:val="1796101615"/>
          <w:trHeight w:hRule="exact" w:val="120"/>
        </w:trPr>
        <w:tc>
          <w:tcPr>
            <w:tcW w:w="478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b/>
                <w:bCs/>
                <w:szCs w:val="22"/>
                <w:lang w:eastAsia="en-AU"/>
              </w:rPr>
            </w:pPr>
            <w:r w:rsidRPr="003E2DBE">
              <w:rPr>
                <w:lang w:eastAsia="en-AU"/>
              </w:rPr>
              <w:t xml:space="preserve">   </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358" w:type="dxa"/>
            <w:tcBorders>
              <w:top w:val="nil"/>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1796101615"/>
        </w:trPr>
        <w:tc>
          <w:tcPr>
            <w:tcW w:w="4784" w:type="dxa"/>
            <w:tcBorders>
              <w:top w:val="nil"/>
              <w:left w:val="nil"/>
              <w:bottom w:val="nil"/>
              <w:right w:val="nil"/>
            </w:tcBorders>
            <w:shd w:val="clear" w:color="000000" w:fill="000000"/>
            <w:noWrap/>
            <w:vAlign w:val="bottom"/>
            <w:hideMark/>
          </w:tcPr>
          <w:p w:rsidR="000B4A1E" w:rsidRPr="003E2DBE" w:rsidRDefault="000B4A1E" w:rsidP="00517E51">
            <w:pPr>
              <w:pStyle w:val="TabletextheadingLeft"/>
              <w:rPr>
                <w:lang w:eastAsia="en-AU"/>
              </w:rPr>
            </w:pPr>
            <w:r w:rsidRPr="003E2DBE">
              <w:rPr>
                <w:lang w:eastAsia="en-AU"/>
              </w:rPr>
              <w:t>2012</w:t>
            </w:r>
          </w:p>
        </w:tc>
        <w:tc>
          <w:tcPr>
            <w:tcW w:w="1260" w:type="dxa"/>
            <w:tcBorders>
              <w:top w:val="nil"/>
              <w:left w:val="nil"/>
              <w:bottom w:val="nil"/>
              <w:right w:val="nil"/>
            </w:tcBorders>
            <w:shd w:val="clear" w:color="000000" w:fill="000000"/>
            <w:noWrap/>
            <w:hideMark/>
          </w:tcPr>
          <w:p w:rsidR="000B4A1E" w:rsidRPr="003E2DBE" w:rsidRDefault="000B4A1E" w:rsidP="00517E51">
            <w:pPr>
              <w:pStyle w:val="TableofFigures"/>
              <w:rPr>
                <w:lang w:eastAsia="en-AU"/>
              </w:rPr>
            </w:pPr>
            <w:r w:rsidRPr="003E2DBE">
              <w:rPr>
                <w:lang w:eastAsia="en-AU"/>
              </w:rPr>
              <w:t xml:space="preserve">  </w:t>
            </w:r>
          </w:p>
        </w:tc>
        <w:tc>
          <w:tcPr>
            <w:tcW w:w="1358" w:type="dxa"/>
            <w:tcBorders>
              <w:top w:val="nil"/>
              <w:left w:val="nil"/>
              <w:bottom w:val="nil"/>
              <w:right w:val="nil"/>
            </w:tcBorders>
            <w:shd w:val="clear" w:color="000000" w:fill="000000"/>
            <w:noWrap/>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shd w:val="clear" w:color="000000" w:fill="000000"/>
            <w:noWrap/>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shd w:val="clear" w:color="000000" w:fill="000000"/>
            <w:noWrap/>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1796101615"/>
        </w:trPr>
        <w:tc>
          <w:tcPr>
            <w:tcW w:w="4784" w:type="dxa"/>
            <w:tcBorders>
              <w:top w:val="nil"/>
              <w:left w:val="nil"/>
              <w:bottom w:val="nil"/>
              <w:right w:val="nil"/>
            </w:tcBorders>
            <w:shd w:val="clear" w:color="000000" w:fill="FFFFFF"/>
            <w:noWrap/>
            <w:vAlign w:val="bottom"/>
            <w:hideMark/>
          </w:tcPr>
          <w:p w:rsidR="000B4A1E" w:rsidRPr="003E2DBE" w:rsidRDefault="000B4A1E" w:rsidP="00517E51">
            <w:pPr>
              <w:pStyle w:val="Tabletext"/>
              <w:rPr>
                <w:b/>
                <w:lang w:eastAsia="en-AU"/>
              </w:rPr>
            </w:pPr>
            <w:r w:rsidRPr="003E2DBE">
              <w:rPr>
                <w:b/>
                <w:lang w:eastAsia="en-AU"/>
              </w:rPr>
              <w:t>Financial assets</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b/>
                <w:lang w:eastAsia="en-AU"/>
              </w:rPr>
            </w:pPr>
            <w:r w:rsidRPr="003E2DBE">
              <w:rPr>
                <w:b/>
                <w:lang w:eastAsia="en-AU"/>
              </w:rPr>
              <w:t xml:space="preserve">  </w:t>
            </w:r>
          </w:p>
        </w:tc>
        <w:tc>
          <w:tcPr>
            <w:tcW w:w="1358"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r>
      <w:tr w:rsidR="000B4A1E" w:rsidRPr="003E2DBE" w:rsidTr="00517E51">
        <w:trPr>
          <w:divId w:val="1796101615"/>
        </w:trPr>
        <w:tc>
          <w:tcPr>
            <w:tcW w:w="478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 xml:space="preserve">Cash </w:t>
            </w:r>
            <w:r w:rsidRPr="003E2DBE">
              <w:rPr>
                <w:rFonts w:cs="Calibri"/>
                <w:szCs w:val="22"/>
                <w:lang w:eastAsia="en-AU"/>
              </w:rPr>
              <w:t>and deposits</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602.7</w:t>
            </w:r>
          </w:p>
        </w:tc>
        <w:tc>
          <w:tcPr>
            <w:tcW w:w="1358"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904.8</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548.2</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6 </w:t>
            </w:r>
            <w:r w:rsidRPr="003E2DBE">
              <w:rPr>
                <w:rFonts w:cs="Calibri"/>
                <w:szCs w:val="22"/>
                <w:lang w:eastAsia="en-AU"/>
              </w:rPr>
              <w:t>055.6</w:t>
            </w:r>
          </w:p>
        </w:tc>
      </w:tr>
      <w:tr w:rsidR="000B4A1E" w:rsidRPr="003E2DBE" w:rsidTr="00517E51">
        <w:trPr>
          <w:divId w:val="1796101615"/>
        </w:trPr>
        <w:tc>
          <w:tcPr>
            <w:tcW w:w="478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Receivables </w:t>
            </w:r>
            <w:r w:rsidRPr="003E2DBE">
              <w:rPr>
                <w:rFonts w:cs="Calibri"/>
                <w:szCs w:val="22"/>
                <w:vertAlign w:val="superscript"/>
                <w:lang w:eastAsia="en-AU"/>
              </w:rPr>
              <w:t>(a)</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802.2</w:t>
            </w:r>
          </w:p>
        </w:tc>
        <w:tc>
          <w:tcPr>
            <w:tcW w:w="1358"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396.5</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409.7</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608.3</w:t>
            </w:r>
          </w:p>
        </w:tc>
      </w:tr>
      <w:tr w:rsidR="000B4A1E" w:rsidRPr="003E2DBE" w:rsidTr="00517E51">
        <w:trPr>
          <w:divId w:val="1796101615"/>
        </w:trPr>
        <w:tc>
          <w:tcPr>
            <w:tcW w:w="478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Advances </w:t>
            </w:r>
            <w:r w:rsidRPr="003E2DBE">
              <w:rPr>
                <w:rFonts w:cs="Calibri"/>
                <w:szCs w:val="22"/>
                <w:lang w:eastAsia="en-AU"/>
              </w:rPr>
              <w:t>paid</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2.8</w:t>
            </w:r>
          </w:p>
        </w:tc>
        <w:tc>
          <w:tcPr>
            <w:tcW w:w="1358"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262.0</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354.7</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619.5</w:t>
            </w:r>
          </w:p>
        </w:tc>
      </w:tr>
      <w:tr w:rsidR="000B4A1E" w:rsidRPr="003E2DBE" w:rsidTr="00517E51">
        <w:trPr>
          <w:divId w:val="1796101615"/>
        </w:trPr>
        <w:tc>
          <w:tcPr>
            <w:tcW w:w="478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Term deposits</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150.0</w:t>
            </w:r>
          </w:p>
        </w:tc>
        <w:tc>
          <w:tcPr>
            <w:tcW w:w="1358"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901.7</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243.9</w:t>
            </w:r>
          </w:p>
        </w:tc>
        <w:tc>
          <w:tcPr>
            <w:tcW w:w="1123"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295.6</w:t>
            </w:r>
          </w:p>
        </w:tc>
      </w:tr>
      <w:tr w:rsidR="000B4A1E" w:rsidRPr="003E2DBE" w:rsidTr="00517E51">
        <w:trPr>
          <w:divId w:val="1796101615"/>
        </w:trPr>
        <w:tc>
          <w:tcPr>
            <w:tcW w:w="4784"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Debt </w:t>
            </w:r>
            <w:r w:rsidRPr="003E2DBE">
              <w:rPr>
                <w:rFonts w:cs="Calibri"/>
                <w:szCs w:val="22"/>
                <w:lang w:eastAsia="en-AU"/>
              </w:rPr>
              <w:t>securities</w:t>
            </w:r>
          </w:p>
        </w:tc>
        <w:tc>
          <w:tcPr>
            <w:tcW w:w="1260"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852.0</w:t>
            </w:r>
          </w:p>
        </w:tc>
        <w:tc>
          <w:tcPr>
            <w:tcW w:w="1358"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9 </w:t>
            </w:r>
            <w:r w:rsidRPr="003E2DBE">
              <w:rPr>
                <w:rFonts w:cs="Calibri"/>
                <w:szCs w:val="22"/>
                <w:lang w:eastAsia="en-AU"/>
              </w:rPr>
              <w:t>225.4</w:t>
            </w:r>
          </w:p>
        </w:tc>
        <w:tc>
          <w:tcPr>
            <w:tcW w:w="1123"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347.7</w:t>
            </w:r>
          </w:p>
        </w:tc>
        <w:tc>
          <w:tcPr>
            <w:tcW w:w="1123"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11 </w:t>
            </w:r>
            <w:r w:rsidRPr="003E2DBE">
              <w:rPr>
                <w:rFonts w:cs="Calibri"/>
                <w:szCs w:val="22"/>
                <w:lang w:eastAsia="en-AU"/>
              </w:rPr>
              <w:t>425.0</w:t>
            </w:r>
          </w:p>
        </w:tc>
      </w:tr>
      <w:tr w:rsidR="000B4A1E" w:rsidRPr="003E2DBE" w:rsidTr="00517E51">
        <w:trPr>
          <w:divId w:val="1796101615"/>
        </w:trPr>
        <w:tc>
          <w:tcPr>
            <w:tcW w:w="4784" w:type="dxa"/>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text"/>
              <w:rPr>
                <w:rFonts w:cs="Calibri"/>
                <w:b/>
                <w:bCs/>
                <w:szCs w:val="22"/>
                <w:lang w:eastAsia="en-AU"/>
              </w:rPr>
            </w:pPr>
            <w:r w:rsidRPr="003E2DBE">
              <w:rPr>
                <w:b/>
                <w:lang w:eastAsia="en-AU"/>
              </w:rPr>
              <w:t xml:space="preserve">Total </w:t>
            </w:r>
            <w:r w:rsidRPr="003E2DBE">
              <w:rPr>
                <w:rFonts w:cs="Calibri"/>
                <w:b/>
                <w:bCs/>
                <w:szCs w:val="22"/>
                <w:lang w:eastAsia="en-AU"/>
              </w:rPr>
              <w:t>financial assets</w:t>
            </w:r>
          </w:p>
        </w:tc>
        <w:tc>
          <w:tcPr>
            <w:tcW w:w="1260"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7 </w:t>
            </w:r>
            <w:r w:rsidRPr="003E2DBE">
              <w:rPr>
                <w:rFonts w:cs="Calibri"/>
                <w:b/>
                <w:bCs/>
                <w:szCs w:val="22"/>
                <w:lang w:eastAsia="en-AU"/>
              </w:rPr>
              <w:t>409.6</w:t>
            </w:r>
          </w:p>
        </w:tc>
        <w:tc>
          <w:tcPr>
            <w:tcW w:w="1358"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11 </w:t>
            </w:r>
            <w:r w:rsidRPr="003E2DBE">
              <w:rPr>
                <w:rFonts w:cs="Calibri"/>
                <w:b/>
                <w:bCs/>
                <w:szCs w:val="22"/>
                <w:lang w:eastAsia="en-AU"/>
              </w:rPr>
              <w:t>690.4</w:t>
            </w:r>
          </w:p>
        </w:tc>
        <w:tc>
          <w:tcPr>
            <w:tcW w:w="1123"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2"/>
                <w:lang w:eastAsia="en-AU"/>
              </w:rPr>
              <w:t>904.2</w:t>
            </w:r>
          </w:p>
        </w:tc>
        <w:tc>
          <w:tcPr>
            <w:tcW w:w="1123"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22 </w:t>
            </w:r>
            <w:r w:rsidRPr="003E2DBE">
              <w:rPr>
                <w:rFonts w:cs="Calibri"/>
                <w:b/>
                <w:bCs/>
                <w:szCs w:val="22"/>
                <w:lang w:eastAsia="en-AU"/>
              </w:rPr>
              <w:t>004.1</w:t>
            </w:r>
          </w:p>
        </w:tc>
      </w:tr>
    </w:tbl>
    <w:bookmarkEnd w:id="153"/>
    <w:bookmarkEnd w:id="154"/>
    <w:bookmarkEnd w:id="155"/>
    <w:bookmarkEnd w:id="156"/>
    <w:bookmarkEnd w:id="157"/>
    <w:bookmarkEnd w:id="158"/>
    <w:bookmarkEnd w:id="159"/>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The 2012 figures differ from that presented in the 2011</w:t>
      </w:r>
      <w:r w:rsidRPr="00D00665">
        <w:noBreakHyphen/>
        <w:t>12 Financial Report to more correctly reflect clarification of contractual statutory receivables</w:t>
      </w:r>
      <w:r>
        <w:t xml:space="preserve">. </w:t>
      </w:r>
    </w:p>
    <w:p w:rsidR="000B4A1E" w:rsidRPr="00D00665" w:rsidRDefault="000B4A1E" w:rsidP="00517E51">
      <w:pPr>
        <w:pStyle w:val="Notes"/>
      </w:pPr>
    </w:p>
    <w:p w:rsidR="000B4A1E" w:rsidRPr="00D00665" w:rsidRDefault="000B4A1E" w:rsidP="00517E51"/>
    <w:p w:rsidR="000B4A1E" w:rsidRPr="00D00665" w:rsidRDefault="000B4A1E">
      <w:pPr>
        <w:spacing w:after="0"/>
        <w:rPr>
          <w:rFonts w:ascii="Calibri" w:hAnsi="Calibri"/>
          <w:i/>
          <w:sz w:val="20"/>
          <w:szCs w:val="18"/>
        </w:rPr>
      </w:pPr>
      <w:r w:rsidRPr="00D00665">
        <w:br w:type="page"/>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3E2DBE" w:rsidRDefault="000B4A1E" w:rsidP="00517E51">
      <w:pPr>
        <w:pStyle w:val="million"/>
      </w:pPr>
      <w:r w:rsidRPr="00D00665">
        <w:t xml:space="preserve"> ($</w:t>
      </w:r>
      <w:r>
        <w:t> million</w:t>
      </w:r>
      <w:r w:rsidRPr="00D00665">
        <w:t>)</w:t>
      </w:r>
      <w:bookmarkStart w:id="160" w:name="RANGE!C611:I644"/>
      <w:bookmarkStart w:id="161" w:name="RANGE!C603:I636"/>
      <w:bookmarkStart w:id="162" w:name="RANGE!C596:I629"/>
      <w:bookmarkStart w:id="163" w:name="RANGE!C578:I611"/>
      <w:bookmarkStart w:id="164" w:name="RANGE!C528:I561"/>
      <w:bookmarkStart w:id="165" w:name="RANGE!C527:I560"/>
      <w:bookmarkStart w:id="166" w:name="RANGE!C568:I601"/>
      <w:bookmarkStart w:id="167" w:name="RANGE!C601:I634"/>
    </w:p>
    <w:tbl>
      <w:tblPr>
        <w:tblW w:w="9648" w:type="dxa"/>
        <w:tblInd w:w="29" w:type="dxa"/>
        <w:tblCellMar>
          <w:left w:w="43" w:type="dxa"/>
          <w:right w:w="43" w:type="dxa"/>
        </w:tblCellMar>
        <w:tblLook w:val="04A0" w:firstRow="1" w:lastRow="0" w:firstColumn="1" w:lastColumn="0" w:noHBand="0" w:noVBand="1"/>
      </w:tblPr>
      <w:tblGrid>
        <w:gridCol w:w="2174"/>
        <w:gridCol w:w="1260"/>
        <w:gridCol w:w="1440"/>
        <w:gridCol w:w="1170"/>
        <w:gridCol w:w="1358"/>
        <w:gridCol w:w="1123"/>
        <w:gridCol w:w="1123"/>
      </w:tblGrid>
      <w:tr w:rsidR="000B4A1E" w:rsidRPr="003E2DBE" w:rsidTr="00517E51">
        <w:trPr>
          <w:divId w:val="734202159"/>
        </w:trPr>
        <w:tc>
          <w:tcPr>
            <w:tcW w:w="2174"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 xml:space="preserve"> </w:t>
            </w:r>
            <w:bookmarkEnd w:id="160"/>
          </w:p>
        </w:tc>
        <w:tc>
          <w:tcPr>
            <w:tcW w:w="1260"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Government agencies</w:t>
            </w:r>
          </w:p>
        </w:tc>
        <w:tc>
          <w:tcPr>
            <w:tcW w:w="1440"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Government agencies</w:t>
            </w:r>
          </w:p>
        </w:tc>
        <w:tc>
          <w:tcPr>
            <w:tcW w:w="1170" w:type="dxa"/>
            <w:tcBorders>
              <w:top w:val="single" w:sz="4" w:space="0" w:color="auto"/>
              <w:left w:val="nil"/>
              <w:bottom w:val="nil"/>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 </w:t>
            </w:r>
          </w:p>
        </w:tc>
        <w:tc>
          <w:tcPr>
            <w:tcW w:w="1358" w:type="dxa"/>
            <w:tcBorders>
              <w:top w:val="single" w:sz="4" w:space="0" w:color="auto"/>
              <w:left w:val="nil"/>
              <w:bottom w:val="nil"/>
              <w:right w:val="nil"/>
            </w:tcBorders>
            <w:shd w:val="clear" w:color="auto" w:fill="000000"/>
            <w:hideMark/>
          </w:tcPr>
          <w:p w:rsidR="000B4A1E" w:rsidRPr="003E2DBE" w:rsidRDefault="000B4A1E" w:rsidP="00517E51">
            <w:pPr>
              <w:pStyle w:val="Tabletextheading"/>
              <w:rPr>
                <w:lang w:eastAsia="en-AU"/>
              </w:rPr>
            </w:pPr>
            <w:r w:rsidRPr="003E2DBE">
              <w:rPr>
                <w:lang w:eastAsia="en-AU"/>
              </w:rPr>
              <w:br/>
              <w:t>Other</w:t>
            </w:r>
          </w:p>
        </w:tc>
        <w:tc>
          <w:tcPr>
            <w:tcW w:w="1123"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t xml:space="preserve">  </w:t>
            </w:r>
          </w:p>
        </w:tc>
        <w:tc>
          <w:tcPr>
            <w:tcW w:w="1123" w:type="dxa"/>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
              <w:rPr>
                <w:lang w:eastAsia="en-AU"/>
              </w:rPr>
            </w:pPr>
            <w:r w:rsidRPr="003E2DBE">
              <w:rPr>
                <w:lang w:eastAsia="en-AU"/>
              </w:rPr>
              <w:t xml:space="preserve"> </w:t>
            </w:r>
          </w:p>
        </w:tc>
      </w:tr>
      <w:tr w:rsidR="000B4A1E" w:rsidRPr="003E2DBE" w:rsidTr="00517E51">
        <w:trPr>
          <w:divId w:val="734202159"/>
        </w:trPr>
        <w:tc>
          <w:tcPr>
            <w:tcW w:w="2174" w:type="dxa"/>
            <w:tcBorders>
              <w:top w:val="single" w:sz="4" w:space="0" w:color="auto"/>
              <w:left w:val="single" w:sz="4" w:space="0" w:color="auto"/>
              <w:bottom w:val="single" w:sz="4" w:space="0" w:color="auto"/>
              <w:right w:val="nil"/>
            </w:tcBorders>
            <w:shd w:val="clear" w:color="auto" w:fill="000000"/>
            <w:vAlign w:val="bottom"/>
            <w:hideMark/>
          </w:tcPr>
          <w:p w:rsidR="000B4A1E" w:rsidRPr="003E2DBE" w:rsidRDefault="000B4A1E" w:rsidP="00517E51">
            <w:pPr>
              <w:pStyle w:val="TabletextheadingLeft"/>
              <w:rPr>
                <w:iCs/>
                <w:lang w:eastAsia="en-AU"/>
              </w:rPr>
            </w:pPr>
            <w:r w:rsidRPr="003E2DBE">
              <w:rPr>
                <w:iCs/>
                <w:lang w:eastAsia="en-AU"/>
              </w:rPr>
              <w:t xml:space="preserve">General </w:t>
            </w:r>
            <w:r w:rsidRPr="003E2DBE">
              <w:rPr>
                <w:iCs/>
                <w:lang w:eastAsia="en-AU"/>
              </w:rPr>
              <w:br/>
              <w:t>government sector</w:t>
            </w:r>
          </w:p>
        </w:tc>
        <w:tc>
          <w:tcPr>
            <w:tcW w:w="1260"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(AAA credit rating)</w:t>
            </w:r>
          </w:p>
        </w:tc>
        <w:tc>
          <w:tcPr>
            <w:tcW w:w="1440"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(min BBB credit rating)</w:t>
            </w:r>
          </w:p>
        </w:tc>
        <w:tc>
          <w:tcPr>
            <w:tcW w:w="1170"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 xml:space="preserve"> (AAA credit rating)</w:t>
            </w:r>
          </w:p>
        </w:tc>
        <w:tc>
          <w:tcPr>
            <w:tcW w:w="1358"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(min BBB credit rating)</w:t>
            </w:r>
          </w:p>
        </w:tc>
        <w:tc>
          <w:tcPr>
            <w:tcW w:w="1123" w:type="dxa"/>
            <w:tcBorders>
              <w:top w:val="nil"/>
              <w:left w:val="nil"/>
              <w:bottom w:val="single" w:sz="4" w:space="0" w:color="auto"/>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br/>
              <w:t>(not rated)</w:t>
            </w:r>
          </w:p>
        </w:tc>
        <w:tc>
          <w:tcPr>
            <w:tcW w:w="1123" w:type="dxa"/>
            <w:tcBorders>
              <w:top w:val="nil"/>
              <w:left w:val="nil"/>
              <w:bottom w:val="single" w:sz="4" w:space="0" w:color="auto"/>
              <w:right w:val="single" w:sz="4" w:space="0" w:color="auto"/>
            </w:tcBorders>
            <w:shd w:val="clear" w:color="auto" w:fill="000000"/>
            <w:vAlign w:val="bottom"/>
            <w:hideMark/>
          </w:tcPr>
          <w:p w:rsidR="000B4A1E" w:rsidRPr="003E2DBE" w:rsidRDefault="000B4A1E" w:rsidP="00517E51">
            <w:pPr>
              <w:pStyle w:val="Tabletextheading"/>
              <w:rPr>
                <w:lang w:eastAsia="en-AU"/>
              </w:rPr>
            </w:pPr>
            <w:r w:rsidRPr="003E2DBE">
              <w:rPr>
                <w:lang w:eastAsia="en-AU"/>
              </w:rPr>
              <w:t xml:space="preserve">Total </w:t>
            </w:r>
          </w:p>
        </w:tc>
      </w:tr>
      <w:tr w:rsidR="000B4A1E" w:rsidRPr="003E2DBE" w:rsidTr="00517E51">
        <w:trPr>
          <w:divId w:val="734202159"/>
        </w:trPr>
        <w:tc>
          <w:tcPr>
            <w:tcW w:w="2174" w:type="dxa"/>
            <w:tcBorders>
              <w:top w:val="nil"/>
              <w:left w:val="single" w:sz="4" w:space="0" w:color="auto"/>
              <w:bottom w:val="single" w:sz="4" w:space="0" w:color="auto"/>
              <w:right w:val="nil"/>
            </w:tcBorders>
            <w:shd w:val="clear" w:color="000000" w:fill="000000"/>
            <w:noWrap/>
            <w:vAlign w:val="bottom"/>
            <w:hideMark/>
          </w:tcPr>
          <w:p w:rsidR="000B4A1E" w:rsidRPr="003E2DBE" w:rsidRDefault="000B4A1E" w:rsidP="00517E51">
            <w:pPr>
              <w:pStyle w:val="TabletextheadingLeft"/>
              <w:rPr>
                <w:iCs/>
                <w:lang w:eastAsia="en-AU"/>
              </w:rPr>
            </w:pPr>
            <w:r w:rsidRPr="003E2DBE">
              <w:rPr>
                <w:iCs/>
                <w:lang w:eastAsia="en-AU"/>
              </w:rPr>
              <w:t>2013</w:t>
            </w:r>
          </w:p>
        </w:tc>
        <w:tc>
          <w:tcPr>
            <w:tcW w:w="1260" w:type="dxa"/>
            <w:tcBorders>
              <w:top w:val="nil"/>
              <w:left w:val="nil"/>
              <w:bottom w:val="single" w:sz="4" w:space="0" w:color="auto"/>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440" w:type="dxa"/>
            <w:tcBorders>
              <w:top w:val="nil"/>
              <w:left w:val="nil"/>
              <w:bottom w:val="single" w:sz="4" w:space="0" w:color="auto"/>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170" w:type="dxa"/>
            <w:tcBorders>
              <w:top w:val="nil"/>
              <w:left w:val="nil"/>
              <w:bottom w:val="single" w:sz="4" w:space="0" w:color="auto"/>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358" w:type="dxa"/>
            <w:tcBorders>
              <w:top w:val="nil"/>
              <w:left w:val="nil"/>
              <w:bottom w:val="single" w:sz="4" w:space="0" w:color="auto"/>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single" w:sz="4" w:space="0" w:color="auto"/>
              <w:right w:val="nil"/>
            </w:tcBorders>
            <w:shd w:val="clear" w:color="000000" w:fill="000000"/>
            <w:vAlign w:val="bottom"/>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single" w:sz="4" w:space="0" w:color="auto"/>
              <w:right w:val="single" w:sz="4" w:space="0" w:color="auto"/>
            </w:tcBorders>
            <w:shd w:val="clear" w:color="000000" w:fill="000000"/>
            <w:vAlign w:val="bottom"/>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734202159"/>
        </w:trPr>
        <w:tc>
          <w:tcPr>
            <w:tcW w:w="2174" w:type="dxa"/>
            <w:tcBorders>
              <w:top w:val="nil"/>
              <w:left w:val="nil"/>
              <w:bottom w:val="nil"/>
              <w:right w:val="nil"/>
            </w:tcBorders>
            <w:shd w:val="clear" w:color="000000" w:fill="FFFFFF"/>
            <w:noWrap/>
            <w:vAlign w:val="bottom"/>
            <w:hideMark/>
          </w:tcPr>
          <w:p w:rsidR="000B4A1E" w:rsidRPr="003E2DBE" w:rsidRDefault="000B4A1E" w:rsidP="00517E51">
            <w:pPr>
              <w:pStyle w:val="Tabletext"/>
              <w:rPr>
                <w:b/>
                <w:lang w:eastAsia="en-AU"/>
              </w:rPr>
            </w:pPr>
            <w:r w:rsidRPr="003E2DBE">
              <w:rPr>
                <w:b/>
                <w:lang w:eastAsia="en-AU"/>
              </w:rPr>
              <w:t>Financial assets</w:t>
            </w:r>
          </w:p>
        </w:tc>
        <w:tc>
          <w:tcPr>
            <w:tcW w:w="1260"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440"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170"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358"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r>
      <w:tr w:rsidR="000B4A1E" w:rsidRPr="003E2DBE" w:rsidTr="00517E51">
        <w:trPr>
          <w:divId w:val="734202159"/>
        </w:trPr>
        <w:tc>
          <w:tcPr>
            <w:tcW w:w="217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Cash and deposits</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629.8</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479.5</w:t>
            </w:r>
          </w:p>
        </w:tc>
        <w:tc>
          <w:tcPr>
            <w:tcW w:w="1358"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468.5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384.1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962.0</w:t>
            </w:r>
          </w:p>
        </w:tc>
      </w:tr>
      <w:tr w:rsidR="000B4A1E" w:rsidRPr="003E2DBE" w:rsidTr="00517E51">
        <w:trPr>
          <w:divId w:val="734202159"/>
        </w:trPr>
        <w:tc>
          <w:tcPr>
            <w:tcW w:w="217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Receivables</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519.3</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23.2</w:t>
            </w:r>
          </w:p>
        </w:tc>
        <w:tc>
          <w:tcPr>
            <w:tcW w:w="1358"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29.5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600.5</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172.4</w:t>
            </w:r>
          </w:p>
        </w:tc>
      </w:tr>
      <w:tr w:rsidR="000B4A1E" w:rsidRPr="003E2DBE" w:rsidTr="00517E51">
        <w:trPr>
          <w:divId w:val="734202159"/>
        </w:trPr>
        <w:tc>
          <w:tcPr>
            <w:tcW w:w="217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Advances </w:t>
            </w:r>
            <w:r w:rsidRPr="003E2DBE">
              <w:rPr>
                <w:rFonts w:cs="Calibri"/>
                <w:szCs w:val="22"/>
                <w:lang w:eastAsia="en-AU"/>
              </w:rPr>
              <w:t>paid</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604.2</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Pr>
                <w:lang w:eastAsia="en-AU"/>
              </w:rPr>
              <w:t>..</w:t>
            </w:r>
          </w:p>
        </w:tc>
        <w:tc>
          <w:tcPr>
            <w:tcW w:w="1358"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22.6</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4 </w:t>
            </w:r>
            <w:r w:rsidRPr="003E2DBE">
              <w:rPr>
                <w:rFonts w:cs="Calibri"/>
                <w:szCs w:val="22"/>
                <w:lang w:eastAsia="en-AU"/>
              </w:rPr>
              <w:t>626.8</w:t>
            </w:r>
          </w:p>
        </w:tc>
      </w:tr>
      <w:tr w:rsidR="000B4A1E" w:rsidRPr="003E2DBE" w:rsidTr="00517E51">
        <w:trPr>
          <w:divId w:val="734202159"/>
        </w:trPr>
        <w:tc>
          <w:tcPr>
            <w:tcW w:w="217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Term </w:t>
            </w:r>
            <w:r w:rsidRPr="003E2DBE">
              <w:rPr>
                <w:rFonts w:cs="Calibri"/>
                <w:szCs w:val="22"/>
                <w:lang w:eastAsia="en-AU"/>
              </w:rPr>
              <w:t>deposits</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753.3</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304.3</w:t>
            </w:r>
          </w:p>
        </w:tc>
        <w:tc>
          <w:tcPr>
            <w:tcW w:w="1358"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489.3</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112.8</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2"/>
                <w:lang w:eastAsia="en-AU"/>
              </w:rPr>
              <w:t>659.7</w:t>
            </w:r>
          </w:p>
        </w:tc>
      </w:tr>
      <w:tr w:rsidR="000B4A1E" w:rsidRPr="003E2DBE" w:rsidTr="00517E51">
        <w:trPr>
          <w:divId w:val="734202159"/>
        </w:trPr>
        <w:tc>
          <w:tcPr>
            <w:tcW w:w="217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Debt </w:t>
            </w:r>
            <w:r w:rsidRPr="003E2DBE">
              <w:rPr>
                <w:rFonts w:cs="Calibri"/>
                <w:szCs w:val="22"/>
                <w:lang w:eastAsia="en-AU"/>
              </w:rPr>
              <w:t>securities</w:t>
            </w:r>
          </w:p>
        </w:tc>
        <w:tc>
          <w:tcPr>
            <w:tcW w:w="126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0.9</w:t>
            </w:r>
          </w:p>
        </w:tc>
        <w:tc>
          <w:tcPr>
            <w:tcW w:w="1358"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40.1</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0.7</w:t>
            </w:r>
          </w:p>
        </w:tc>
        <w:tc>
          <w:tcPr>
            <w:tcW w:w="1123"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41.7</w:t>
            </w:r>
          </w:p>
        </w:tc>
      </w:tr>
      <w:tr w:rsidR="000B4A1E" w:rsidRPr="003E2DBE" w:rsidTr="00517E51">
        <w:trPr>
          <w:divId w:val="734202159"/>
        </w:trPr>
        <w:tc>
          <w:tcPr>
            <w:tcW w:w="2174" w:type="dxa"/>
            <w:tcBorders>
              <w:top w:val="single" w:sz="4" w:space="0" w:color="auto"/>
              <w:left w:val="nil"/>
              <w:bottom w:val="single" w:sz="4" w:space="0" w:color="auto"/>
              <w:right w:val="nil"/>
            </w:tcBorders>
            <w:shd w:val="clear" w:color="000000" w:fill="FFFFFF"/>
            <w:noWrap/>
            <w:vAlign w:val="bottom"/>
            <w:hideMark/>
          </w:tcPr>
          <w:p w:rsidR="000B4A1E" w:rsidRPr="003E2DBE" w:rsidRDefault="000B4A1E" w:rsidP="00517E51">
            <w:pPr>
              <w:pStyle w:val="Tabletext"/>
              <w:rPr>
                <w:rFonts w:cs="Calibri"/>
                <w:b/>
                <w:bCs/>
                <w:szCs w:val="22"/>
                <w:lang w:eastAsia="en-AU"/>
              </w:rPr>
            </w:pPr>
            <w:r w:rsidRPr="003E2DBE">
              <w:rPr>
                <w:b/>
                <w:lang w:eastAsia="en-AU"/>
              </w:rPr>
              <w:t>Total</w:t>
            </w:r>
            <w:r w:rsidRPr="003E2DBE">
              <w:rPr>
                <w:rFonts w:cs="Calibri"/>
                <w:b/>
                <w:bCs/>
                <w:szCs w:val="22"/>
                <w:lang w:eastAsia="en-AU"/>
              </w:rPr>
              <w:t xml:space="preserve"> financial assets</w:t>
            </w:r>
          </w:p>
        </w:tc>
        <w:tc>
          <w:tcPr>
            <w:tcW w:w="1260"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8 </w:t>
            </w:r>
            <w:r w:rsidRPr="003E2DBE">
              <w:rPr>
                <w:rFonts w:cs="Calibri"/>
                <w:b/>
                <w:bCs/>
                <w:szCs w:val="22"/>
                <w:lang w:eastAsia="en-AU"/>
              </w:rPr>
              <w:t>506.6</w:t>
            </w:r>
          </w:p>
        </w:tc>
        <w:tc>
          <w:tcPr>
            <w:tcW w:w="1440"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w:t>
            </w:r>
          </w:p>
        </w:tc>
        <w:tc>
          <w:tcPr>
            <w:tcW w:w="1170"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808.0</w:t>
            </w:r>
          </w:p>
        </w:tc>
        <w:tc>
          <w:tcPr>
            <w:tcW w:w="1358"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027.4</w:t>
            </w:r>
          </w:p>
        </w:tc>
        <w:tc>
          <w:tcPr>
            <w:tcW w:w="1123" w:type="dxa"/>
            <w:tcBorders>
              <w:top w:val="single" w:sz="4" w:space="0" w:color="auto"/>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120.7</w:t>
            </w:r>
          </w:p>
        </w:tc>
        <w:tc>
          <w:tcPr>
            <w:tcW w:w="1123" w:type="dxa"/>
            <w:tcBorders>
              <w:top w:val="single" w:sz="4" w:space="0" w:color="auto"/>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12 </w:t>
            </w:r>
            <w:r w:rsidRPr="003E2DBE">
              <w:rPr>
                <w:rFonts w:cs="Calibri"/>
                <w:b/>
                <w:bCs/>
                <w:szCs w:val="22"/>
                <w:lang w:eastAsia="en-AU"/>
              </w:rPr>
              <w:t>462.7</w:t>
            </w:r>
          </w:p>
        </w:tc>
      </w:tr>
      <w:tr w:rsidR="000B4A1E" w:rsidRPr="003E2DBE" w:rsidTr="00517E51">
        <w:trPr>
          <w:divId w:val="734202159"/>
          <w:trHeight w:hRule="exact" w:val="120"/>
        </w:trPr>
        <w:tc>
          <w:tcPr>
            <w:tcW w:w="217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 xml:space="preserve"> </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440" w:type="dxa"/>
            <w:tcBorders>
              <w:top w:val="nil"/>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170" w:type="dxa"/>
            <w:tcBorders>
              <w:top w:val="nil"/>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358" w:type="dxa"/>
            <w:tcBorders>
              <w:top w:val="nil"/>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b/>
                <w:bCs/>
                <w:lang w:eastAsia="en-AU"/>
              </w:rPr>
            </w:pPr>
            <w:r w:rsidRPr="003E2DBE">
              <w:rPr>
                <w:b/>
                <w:bCs/>
                <w:lang w:eastAsia="en-AU"/>
              </w:rPr>
              <w:t xml:space="preserve">  </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734202159"/>
        </w:trPr>
        <w:tc>
          <w:tcPr>
            <w:tcW w:w="2174" w:type="dxa"/>
            <w:tcBorders>
              <w:top w:val="nil"/>
              <w:left w:val="nil"/>
              <w:bottom w:val="nil"/>
              <w:right w:val="nil"/>
            </w:tcBorders>
            <w:shd w:val="clear" w:color="000000" w:fill="000000"/>
            <w:noWrap/>
            <w:vAlign w:val="bottom"/>
            <w:hideMark/>
          </w:tcPr>
          <w:p w:rsidR="000B4A1E" w:rsidRPr="003E2DBE" w:rsidRDefault="000B4A1E" w:rsidP="00517E51">
            <w:pPr>
              <w:pStyle w:val="TabletextheadingLeft"/>
              <w:rPr>
                <w:lang w:eastAsia="en-AU"/>
              </w:rPr>
            </w:pPr>
            <w:r w:rsidRPr="003E2DBE">
              <w:rPr>
                <w:lang w:eastAsia="en-AU"/>
              </w:rPr>
              <w:t>2012</w:t>
            </w:r>
          </w:p>
        </w:tc>
        <w:tc>
          <w:tcPr>
            <w:tcW w:w="1260" w:type="dxa"/>
            <w:tcBorders>
              <w:top w:val="nil"/>
              <w:left w:val="nil"/>
              <w:bottom w:val="nil"/>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440" w:type="dxa"/>
            <w:tcBorders>
              <w:top w:val="nil"/>
              <w:left w:val="nil"/>
              <w:bottom w:val="nil"/>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170" w:type="dxa"/>
            <w:tcBorders>
              <w:top w:val="nil"/>
              <w:left w:val="nil"/>
              <w:bottom w:val="nil"/>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358" w:type="dxa"/>
            <w:tcBorders>
              <w:top w:val="nil"/>
              <w:left w:val="nil"/>
              <w:bottom w:val="nil"/>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shd w:val="clear" w:color="000000" w:fill="000000"/>
            <w:vAlign w:val="bottom"/>
            <w:hideMark/>
          </w:tcPr>
          <w:p w:rsidR="000B4A1E" w:rsidRPr="003E2DBE" w:rsidRDefault="000B4A1E" w:rsidP="00517E51">
            <w:pPr>
              <w:pStyle w:val="TableofFigures"/>
              <w:rPr>
                <w:lang w:eastAsia="en-AU"/>
              </w:rPr>
            </w:pPr>
            <w:r w:rsidRPr="003E2DBE">
              <w:rPr>
                <w:lang w:eastAsia="en-AU"/>
              </w:rPr>
              <w:t xml:space="preserve">  </w:t>
            </w:r>
          </w:p>
        </w:tc>
        <w:tc>
          <w:tcPr>
            <w:tcW w:w="1123" w:type="dxa"/>
            <w:tcBorders>
              <w:top w:val="nil"/>
              <w:left w:val="nil"/>
              <w:bottom w:val="nil"/>
              <w:right w:val="nil"/>
            </w:tcBorders>
            <w:shd w:val="clear" w:color="000000" w:fill="000000"/>
            <w:vAlign w:val="bottom"/>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734202159"/>
        </w:trPr>
        <w:tc>
          <w:tcPr>
            <w:tcW w:w="2174" w:type="dxa"/>
            <w:tcBorders>
              <w:top w:val="nil"/>
              <w:left w:val="nil"/>
              <w:bottom w:val="nil"/>
              <w:right w:val="nil"/>
            </w:tcBorders>
            <w:shd w:val="clear" w:color="000000" w:fill="FFFFFF"/>
            <w:noWrap/>
            <w:vAlign w:val="bottom"/>
            <w:hideMark/>
          </w:tcPr>
          <w:p w:rsidR="000B4A1E" w:rsidRPr="003E2DBE" w:rsidRDefault="000B4A1E" w:rsidP="00517E51">
            <w:pPr>
              <w:pStyle w:val="Tabletext"/>
              <w:rPr>
                <w:b/>
                <w:lang w:eastAsia="en-AU"/>
              </w:rPr>
            </w:pPr>
            <w:r w:rsidRPr="003E2DBE">
              <w:rPr>
                <w:b/>
                <w:lang w:eastAsia="en-AU"/>
              </w:rPr>
              <w:t>Financial assets</w:t>
            </w:r>
          </w:p>
        </w:tc>
        <w:tc>
          <w:tcPr>
            <w:tcW w:w="1260"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440"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170"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358"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c>
          <w:tcPr>
            <w:tcW w:w="1123" w:type="dxa"/>
            <w:tcBorders>
              <w:top w:val="nil"/>
              <w:left w:val="nil"/>
              <w:bottom w:val="nil"/>
              <w:right w:val="nil"/>
            </w:tcBorders>
            <w:shd w:val="clear" w:color="000000" w:fill="FFFFFF"/>
            <w:hideMark/>
          </w:tcPr>
          <w:p w:rsidR="000B4A1E" w:rsidRPr="003E2DBE" w:rsidRDefault="000B4A1E" w:rsidP="00517E51">
            <w:pPr>
              <w:pStyle w:val="TableofFigures"/>
              <w:rPr>
                <w:b/>
                <w:lang w:eastAsia="en-AU"/>
              </w:rPr>
            </w:pPr>
            <w:r w:rsidRPr="003E2DBE">
              <w:rPr>
                <w:b/>
                <w:lang w:eastAsia="en-AU"/>
              </w:rPr>
              <w:t xml:space="preserve">  </w:t>
            </w:r>
          </w:p>
        </w:tc>
      </w:tr>
      <w:tr w:rsidR="000B4A1E" w:rsidRPr="003E2DBE" w:rsidTr="00517E51">
        <w:trPr>
          <w:divId w:val="734202159"/>
        </w:trPr>
        <w:tc>
          <w:tcPr>
            <w:tcW w:w="217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Cash </w:t>
            </w:r>
            <w:r w:rsidRPr="003E2DBE">
              <w:rPr>
                <w:rFonts w:cs="Calibri"/>
                <w:szCs w:val="22"/>
                <w:lang w:eastAsia="en-AU"/>
              </w:rPr>
              <w:t>and deposits</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070.9</w:t>
            </w:r>
          </w:p>
        </w:tc>
        <w:tc>
          <w:tcPr>
            <w:tcW w:w="144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7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459.0</w:t>
            </w:r>
          </w:p>
        </w:tc>
        <w:tc>
          <w:tcPr>
            <w:tcW w:w="1358"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256.4</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215.0</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5 </w:t>
            </w:r>
            <w:r w:rsidRPr="003E2DBE">
              <w:rPr>
                <w:rFonts w:cs="Calibri"/>
                <w:szCs w:val="22"/>
                <w:lang w:eastAsia="en-AU"/>
              </w:rPr>
              <w:t>001.3</w:t>
            </w:r>
          </w:p>
        </w:tc>
      </w:tr>
      <w:tr w:rsidR="000B4A1E" w:rsidRPr="003E2DBE" w:rsidTr="00517E51">
        <w:trPr>
          <w:divId w:val="734202159"/>
        </w:trPr>
        <w:tc>
          <w:tcPr>
            <w:tcW w:w="217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Receivables</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637.0</w:t>
            </w:r>
          </w:p>
        </w:tc>
        <w:tc>
          <w:tcPr>
            <w:tcW w:w="144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7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56.6</w:t>
            </w:r>
          </w:p>
        </w:tc>
        <w:tc>
          <w:tcPr>
            <w:tcW w:w="1358"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16.8</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453.3</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163.7</w:t>
            </w:r>
          </w:p>
        </w:tc>
      </w:tr>
      <w:tr w:rsidR="000B4A1E" w:rsidRPr="003E2DBE" w:rsidTr="00517E51">
        <w:trPr>
          <w:divId w:val="734202159"/>
        </w:trPr>
        <w:tc>
          <w:tcPr>
            <w:tcW w:w="217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Advances </w:t>
            </w:r>
            <w:r w:rsidRPr="003E2DBE">
              <w:rPr>
                <w:rFonts w:cs="Calibri"/>
                <w:szCs w:val="22"/>
                <w:lang w:eastAsia="en-AU"/>
              </w:rPr>
              <w:t>paid</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276.4</w:t>
            </w:r>
          </w:p>
        </w:tc>
        <w:tc>
          <w:tcPr>
            <w:tcW w:w="144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7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358"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24.6</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301.0</w:t>
            </w:r>
          </w:p>
        </w:tc>
      </w:tr>
      <w:tr w:rsidR="000B4A1E" w:rsidRPr="003E2DBE" w:rsidTr="00517E51">
        <w:trPr>
          <w:divId w:val="734202159"/>
        </w:trPr>
        <w:tc>
          <w:tcPr>
            <w:tcW w:w="217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Term deposits</w:t>
            </w:r>
          </w:p>
        </w:tc>
        <w:tc>
          <w:tcPr>
            <w:tcW w:w="126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975.6</w:t>
            </w:r>
          </w:p>
        </w:tc>
        <w:tc>
          <w:tcPr>
            <w:tcW w:w="144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7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281.2</w:t>
            </w:r>
          </w:p>
        </w:tc>
        <w:tc>
          <w:tcPr>
            <w:tcW w:w="1358"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389.5</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115.1</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761.4</w:t>
            </w:r>
          </w:p>
        </w:tc>
      </w:tr>
      <w:tr w:rsidR="000B4A1E" w:rsidRPr="003E2DBE" w:rsidTr="00517E51">
        <w:trPr>
          <w:divId w:val="734202159"/>
        </w:trPr>
        <w:tc>
          <w:tcPr>
            <w:tcW w:w="2174"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Debt </w:t>
            </w:r>
            <w:r w:rsidRPr="003E2DBE">
              <w:rPr>
                <w:rFonts w:cs="Calibri"/>
                <w:szCs w:val="22"/>
                <w:lang w:eastAsia="en-AU"/>
              </w:rPr>
              <w:t>securities</w:t>
            </w:r>
          </w:p>
        </w:tc>
        <w:tc>
          <w:tcPr>
            <w:tcW w:w="1260"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Pr>
                <w:lang w:eastAsia="en-AU"/>
              </w:rPr>
              <w:t>..</w:t>
            </w:r>
          </w:p>
        </w:tc>
        <w:tc>
          <w:tcPr>
            <w:tcW w:w="1440"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170"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0.8</w:t>
            </w:r>
          </w:p>
        </w:tc>
        <w:tc>
          <w:tcPr>
            <w:tcW w:w="1358"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36.4</w:t>
            </w:r>
          </w:p>
        </w:tc>
        <w:tc>
          <w:tcPr>
            <w:tcW w:w="1123"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0.8</w:t>
            </w:r>
          </w:p>
        </w:tc>
        <w:tc>
          <w:tcPr>
            <w:tcW w:w="1123"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38.0</w:t>
            </w:r>
          </w:p>
        </w:tc>
      </w:tr>
      <w:tr w:rsidR="000B4A1E" w:rsidRPr="003E2DBE" w:rsidTr="00517E51">
        <w:trPr>
          <w:divId w:val="734202159"/>
        </w:trPr>
        <w:tc>
          <w:tcPr>
            <w:tcW w:w="2174" w:type="dxa"/>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text"/>
              <w:rPr>
                <w:rFonts w:cs="Calibri"/>
                <w:b/>
                <w:bCs/>
                <w:szCs w:val="22"/>
                <w:lang w:eastAsia="en-AU"/>
              </w:rPr>
            </w:pPr>
            <w:r w:rsidRPr="003E2DBE">
              <w:rPr>
                <w:b/>
                <w:lang w:eastAsia="en-AU"/>
              </w:rPr>
              <w:t xml:space="preserve">Total </w:t>
            </w:r>
            <w:r w:rsidRPr="003E2DBE">
              <w:rPr>
                <w:rFonts w:cs="Calibri"/>
                <w:b/>
                <w:bCs/>
                <w:szCs w:val="22"/>
                <w:lang w:eastAsia="en-AU"/>
              </w:rPr>
              <w:t>financial assets</w:t>
            </w:r>
          </w:p>
        </w:tc>
        <w:tc>
          <w:tcPr>
            <w:tcW w:w="1260"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960.0</w:t>
            </w:r>
          </w:p>
        </w:tc>
        <w:tc>
          <w:tcPr>
            <w:tcW w:w="1440"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w:t>
            </w:r>
          </w:p>
        </w:tc>
        <w:tc>
          <w:tcPr>
            <w:tcW w:w="1170"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1 </w:t>
            </w:r>
            <w:r w:rsidRPr="003E2DBE">
              <w:rPr>
                <w:rFonts w:cs="Calibri"/>
                <w:b/>
                <w:bCs/>
                <w:szCs w:val="22"/>
                <w:lang w:eastAsia="en-AU"/>
              </w:rPr>
              <w:t>797.7</w:t>
            </w:r>
          </w:p>
        </w:tc>
        <w:tc>
          <w:tcPr>
            <w:tcW w:w="1358"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699.1</w:t>
            </w:r>
          </w:p>
        </w:tc>
        <w:tc>
          <w:tcPr>
            <w:tcW w:w="1123" w:type="dxa"/>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808.8</w:t>
            </w:r>
          </w:p>
        </w:tc>
        <w:tc>
          <w:tcPr>
            <w:tcW w:w="1123" w:type="dxa"/>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8 </w:t>
            </w:r>
            <w:r w:rsidRPr="003E2DBE">
              <w:rPr>
                <w:rFonts w:cs="Calibri"/>
                <w:b/>
                <w:bCs/>
                <w:szCs w:val="22"/>
                <w:lang w:eastAsia="en-AU"/>
              </w:rPr>
              <w:t>265.5</w:t>
            </w:r>
          </w:p>
        </w:tc>
      </w:tr>
      <w:bookmarkEnd w:id="161"/>
      <w:bookmarkEnd w:id="162"/>
      <w:bookmarkEnd w:id="163"/>
      <w:bookmarkEnd w:id="164"/>
      <w:bookmarkEnd w:id="165"/>
      <w:bookmarkEnd w:id="166"/>
      <w:bookmarkEnd w:id="167"/>
    </w:tbl>
    <w:p w:rsidR="000B4A1E" w:rsidRPr="00D00665" w:rsidRDefault="000B4A1E" w:rsidP="00517E51">
      <w:pPr>
        <w:pStyle w:val="Notes"/>
      </w:pPr>
    </w:p>
    <w:p w:rsidR="000B4A1E" w:rsidRPr="00D00665" w:rsidRDefault="000B4A1E" w:rsidP="00517E51"/>
    <w:p w:rsidR="000B4A1E" w:rsidRPr="00D00665" w:rsidRDefault="000B4A1E" w:rsidP="00517E51">
      <w:pPr>
        <w:pStyle w:val="Heading5a"/>
      </w:pPr>
      <w:r w:rsidRPr="00D00665">
        <w:t>Financial assets measured at fair value</w:t>
      </w:r>
    </w:p>
    <w:p w:rsidR="000B4A1E" w:rsidRPr="003E2DBE" w:rsidRDefault="000B4A1E" w:rsidP="00517E51">
      <w:pPr>
        <w:pStyle w:val="million"/>
        <w:rPr>
          <w:b/>
          <w:bCs/>
          <w:sz w:val="16"/>
          <w:lang w:val="en-US"/>
        </w:rPr>
      </w:pPr>
      <w:r w:rsidRPr="00D00665">
        <w:t>($</w:t>
      </w:r>
      <w:r>
        <w:t> million</w:t>
      </w:r>
      <w:r w:rsidRPr="00D00665">
        <w:t>)</w:t>
      </w:r>
      <w:bookmarkStart w:id="168" w:name="RANGE!C657:G677"/>
      <w:bookmarkStart w:id="169" w:name="RANGE!C649:G669"/>
      <w:bookmarkStart w:id="170" w:name="RANGE!C647:G667"/>
      <w:bookmarkStart w:id="171" w:name="RANGE!C642:G658"/>
      <w:bookmarkStart w:id="172" w:name="RANGE!C624:G640"/>
      <w:bookmarkStart w:id="173" w:name="RANGE!C553:G569"/>
      <w:bookmarkStart w:id="174" w:name="RANGE!C567:G583"/>
      <w:bookmarkStart w:id="175" w:name="RANGE!C566:G582"/>
      <w:bookmarkStart w:id="176" w:name="RANGE!C614:G630"/>
      <w:bookmarkStart w:id="177" w:name="RANGE!C647:G663"/>
    </w:p>
    <w:tbl>
      <w:tblPr>
        <w:tblW w:w="9659" w:type="dxa"/>
        <w:tblInd w:w="29" w:type="dxa"/>
        <w:tblCellMar>
          <w:left w:w="43" w:type="dxa"/>
          <w:right w:w="43" w:type="dxa"/>
        </w:tblCellMar>
        <w:tblLook w:val="04A0" w:firstRow="1" w:lastRow="0" w:firstColumn="1" w:lastColumn="0" w:noHBand="0" w:noVBand="1"/>
      </w:tblPr>
      <w:tblGrid>
        <w:gridCol w:w="4658"/>
        <w:gridCol w:w="1574"/>
        <w:gridCol w:w="235"/>
        <w:gridCol w:w="1017"/>
        <w:gridCol w:w="1080"/>
        <w:gridCol w:w="780"/>
        <w:gridCol w:w="315"/>
      </w:tblGrid>
      <w:tr w:rsidR="000B4A1E" w:rsidRPr="003E2DBE" w:rsidTr="00517E51">
        <w:trPr>
          <w:divId w:val="556163946"/>
        </w:trPr>
        <w:tc>
          <w:tcPr>
            <w:tcW w:w="4658" w:type="dxa"/>
            <w:tcBorders>
              <w:top w:val="single" w:sz="12" w:space="0" w:color="auto"/>
              <w:left w:val="single" w:sz="12" w:space="0" w:color="auto"/>
              <w:bottom w:val="nil"/>
              <w:right w:val="nil"/>
            </w:tcBorders>
            <w:shd w:val="clear" w:color="auto" w:fill="000000"/>
            <w:vAlign w:val="bottom"/>
            <w:hideMark/>
          </w:tcPr>
          <w:p w:rsidR="000B4A1E" w:rsidRPr="003E2DBE" w:rsidRDefault="000B4A1E" w:rsidP="00517E51">
            <w:pPr>
              <w:pStyle w:val="TabletextheadingLeft"/>
              <w:rPr>
                <w:rFonts w:cs="Calibri"/>
                <w:b/>
                <w:bCs/>
                <w:iCs/>
                <w:szCs w:val="22"/>
                <w:lang w:eastAsia="en-AU"/>
              </w:rPr>
            </w:pPr>
            <w:r w:rsidRPr="003E2DBE">
              <w:rPr>
                <w:lang w:eastAsia="en-AU"/>
              </w:rPr>
              <w:br/>
              <w:t xml:space="preserve">State of Victoria </w:t>
            </w:r>
            <w:bookmarkEnd w:id="168"/>
          </w:p>
        </w:tc>
        <w:tc>
          <w:tcPr>
            <w:tcW w:w="1574" w:type="dxa"/>
            <w:tcBorders>
              <w:top w:val="single" w:sz="12" w:space="0" w:color="auto"/>
              <w:left w:val="nil"/>
              <w:bottom w:val="nil"/>
              <w:right w:val="nil"/>
            </w:tcBorders>
            <w:shd w:val="clear" w:color="auto" w:fill="000000"/>
            <w:hideMark/>
          </w:tcPr>
          <w:p w:rsidR="000B4A1E" w:rsidRPr="003E2DBE" w:rsidRDefault="000B4A1E" w:rsidP="00517E51">
            <w:pPr>
              <w:pStyle w:val="Tabletextheading"/>
              <w:rPr>
                <w:lang w:eastAsia="en-AU"/>
              </w:rPr>
            </w:pPr>
            <w:r w:rsidRPr="003E2DBE">
              <w:rPr>
                <w:lang w:eastAsia="en-AU"/>
              </w:rPr>
              <w:t xml:space="preserve">Carrying </w:t>
            </w:r>
            <w:r w:rsidRPr="003E2DBE">
              <w:rPr>
                <w:lang w:eastAsia="en-AU"/>
              </w:rPr>
              <w:br/>
              <w:t>amount as at</w:t>
            </w:r>
          </w:p>
        </w:tc>
        <w:tc>
          <w:tcPr>
            <w:tcW w:w="235" w:type="dxa"/>
            <w:tcBorders>
              <w:top w:val="single" w:sz="12" w:space="0" w:color="auto"/>
              <w:left w:val="nil"/>
              <w:bottom w:val="nil"/>
              <w:right w:val="nil"/>
            </w:tcBorders>
            <w:shd w:val="clear" w:color="auto" w:fill="000000"/>
            <w:noWrap/>
            <w:hideMark/>
          </w:tcPr>
          <w:p w:rsidR="000B4A1E" w:rsidRPr="003E2DBE" w:rsidRDefault="000B4A1E" w:rsidP="00517E51">
            <w:pPr>
              <w:pStyle w:val="TabletextheadingCentred"/>
              <w:rPr>
                <w:lang w:eastAsia="en-AU"/>
              </w:rPr>
            </w:pPr>
            <w:r w:rsidRPr="003E2DBE">
              <w:rPr>
                <w:lang w:eastAsia="en-AU"/>
              </w:rPr>
              <w:t xml:space="preserve"> </w:t>
            </w:r>
          </w:p>
        </w:tc>
        <w:tc>
          <w:tcPr>
            <w:tcW w:w="2877" w:type="dxa"/>
            <w:gridSpan w:val="3"/>
            <w:tcBorders>
              <w:top w:val="single" w:sz="12"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Fair value measurement at </w:t>
            </w:r>
            <w:r w:rsidRPr="003E2DBE">
              <w:rPr>
                <w:lang w:eastAsia="en-AU"/>
              </w:rPr>
              <w:br/>
              <w:t>end of reporting period using:</w:t>
            </w:r>
          </w:p>
        </w:tc>
        <w:tc>
          <w:tcPr>
            <w:tcW w:w="315" w:type="dxa"/>
            <w:tcBorders>
              <w:top w:val="single" w:sz="12" w:space="0" w:color="auto"/>
              <w:left w:val="nil"/>
              <w:bottom w:val="nil"/>
              <w:right w:val="single" w:sz="12" w:space="0" w:color="auto"/>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 </w:t>
            </w:r>
          </w:p>
        </w:tc>
      </w:tr>
      <w:tr w:rsidR="000B4A1E" w:rsidRPr="003E2DBE" w:rsidTr="00517E51">
        <w:trPr>
          <w:divId w:val="556163946"/>
        </w:trPr>
        <w:tc>
          <w:tcPr>
            <w:tcW w:w="4658" w:type="dxa"/>
            <w:tcBorders>
              <w:top w:val="single" w:sz="4" w:space="0" w:color="auto"/>
              <w:left w:val="single" w:sz="12" w:space="0" w:color="auto"/>
              <w:bottom w:val="single" w:sz="12" w:space="0" w:color="auto"/>
              <w:right w:val="nil"/>
            </w:tcBorders>
            <w:shd w:val="clear" w:color="auto" w:fill="000000"/>
            <w:vAlign w:val="bottom"/>
            <w:hideMark/>
          </w:tcPr>
          <w:p w:rsidR="000B4A1E" w:rsidRPr="003E2DBE" w:rsidRDefault="000B4A1E" w:rsidP="00517E51">
            <w:pPr>
              <w:pStyle w:val="TabletextheadingLeft"/>
              <w:rPr>
                <w:lang w:eastAsia="en-AU"/>
              </w:rPr>
            </w:pPr>
            <w:r w:rsidRPr="003E2DBE">
              <w:rPr>
                <w:lang w:eastAsia="en-AU"/>
              </w:rPr>
              <w:t>2013</w:t>
            </w:r>
          </w:p>
        </w:tc>
        <w:tc>
          <w:tcPr>
            <w:tcW w:w="1574" w:type="dxa"/>
            <w:tcBorders>
              <w:top w:val="nil"/>
              <w:left w:val="nil"/>
              <w:bottom w:val="single" w:sz="12"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 xml:space="preserve">30 June </w:t>
            </w:r>
          </w:p>
        </w:tc>
        <w:tc>
          <w:tcPr>
            <w:tcW w:w="1252" w:type="dxa"/>
            <w:gridSpan w:val="2"/>
            <w:tcBorders>
              <w:top w:val="nil"/>
              <w:left w:val="nil"/>
              <w:bottom w:val="single" w:sz="12"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Level 1 </w:t>
            </w:r>
            <w:r w:rsidRPr="003E2DBE">
              <w:rPr>
                <w:vertAlign w:val="superscript"/>
                <w:lang w:eastAsia="en-AU"/>
              </w:rPr>
              <w:t>(a)</w:t>
            </w:r>
          </w:p>
        </w:tc>
        <w:tc>
          <w:tcPr>
            <w:tcW w:w="1080" w:type="dxa"/>
            <w:tcBorders>
              <w:top w:val="nil"/>
              <w:left w:val="nil"/>
              <w:bottom w:val="single" w:sz="12" w:space="0" w:color="auto"/>
              <w:right w:val="nil"/>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Level 2 </w:t>
            </w:r>
            <w:r w:rsidRPr="003E2DBE">
              <w:rPr>
                <w:vertAlign w:val="superscript"/>
                <w:lang w:eastAsia="en-AU"/>
              </w:rPr>
              <w:t>(b)</w:t>
            </w:r>
          </w:p>
        </w:tc>
        <w:tc>
          <w:tcPr>
            <w:tcW w:w="1095" w:type="dxa"/>
            <w:gridSpan w:val="2"/>
            <w:tcBorders>
              <w:top w:val="nil"/>
              <w:left w:val="nil"/>
              <w:bottom w:val="single" w:sz="12" w:space="0" w:color="auto"/>
              <w:right w:val="single" w:sz="12" w:space="0" w:color="auto"/>
            </w:tcBorders>
            <w:shd w:val="clear" w:color="auto" w:fill="000000"/>
            <w:noWrap/>
            <w:hideMark/>
          </w:tcPr>
          <w:p w:rsidR="000B4A1E" w:rsidRPr="003E2DBE" w:rsidRDefault="000B4A1E" w:rsidP="00517E51">
            <w:pPr>
              <w:pStyle w:val="Tabletextheading"/>
              <w:rPr>
                <w:lang w:eastAsia="en-AU"/>
              </w:rPr>
            </w:pPr>
            <w:r w:rsidRPr="003E2DBE">
              <w:rPr>
                <w:lang w:eastAsia="en-AU"/>
              </w:rPr>
              <w:t xml:space="preserve">Level 3 </w:t>
            </w:r>
            <w:r w:rsidRPr="003E2DBE">
              <w:rPr>
                <w:vertAlign w:val="superscript"/>
                <w:lang w:eastAsia="en-AU"/>
              </w:rPr>
              <w:t>(c)</w:t>
            </w:r>
          </w:p>
        </w:tc>
      </w:tr>
      <w:tr w:rsidR="000B4A1E" w:rsidRPr="003E2DBE" w:rsidTr="00517E51">
        <w:trPr>
          <w:divId w:val="556163946"/>
        </w:trPr>
        <w:tc>
          <w:tcPr>
            <w:tcW w:w="4658" w:type="dxa"/>
            <w:tcBorders>
              <w:top w:val="single" w:sz="12" w:space="0" w:color="auto"/>
              <w:left w:val="nil"/>
              <w:bottom w:val="nil"/>
              <w:right w:val="nil"/>
            </w:tcBorders>
            <w:shd w:val="clear" w:color="000000" w:fill="FFFFFF"/>
            <w:noWrap/>
            <w:vAlign w:val="bottom"/>
            <w:hideMark/>
          </w:tcPr>
          <w:p w:rsidR="000B4A1E" w:rsidRPr="003E2DBE" w:rsidRDefault="000B4A1E" w:rsidP="00517E51">
            <w:pPr>
              <w:pStyle w:val="Tabletext"/>
              <w:rPr>
                <w:b/>
                <w:lang w:eastAsia="en-AU"/>
              </w:rPr>
            </w:pPr>
            <w:r w:rsidRPr="003E2DBE">
              <w:rPr>
                <w:b/>
                <w:lang w:eastAsia="en-AU"/>
              </w:rPr>
              <w:t>Financial assets</w:t>
            </w:r>
          </w:p>
        </w:tc>
        <w:tc>
          <w:tcPr>
            <w:tcW w:w="1574" w:type="dxa"/>
            <w:tcBorders>
              <w:top w:val="single" w:sz="12" w:space="0" w:color="auto"/>
              <w:left w:val="nil"/>
              <w:bottom w:val="nil"/>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 xml:space="preserve"> </w:t>
            </w:r>
          </w:p>
        </w:tc>
        <w:tc>
          <w:tcPr>
            <w:tcW w:w="1252" w:type="dxa"/>
            <w:gridSpan w:val="2"/>
            <w:tcBorders>
              <w:top w:val="single" w:sz="12" w:space="0" w:color="auto"/>
              <w:left w:val="nil"/>
              <w:bottom w:val="nil"/>
              <w:right w:val="nil"/>
            </w:tcBorders>
            <w:shd w:val="clear" w:color="000000" w:fill="FFFFFF"/>
            <w:hideMark/>
          </w:tcPr>
          <w:p w:rsidR="000B4A1E" w:rsidRPr="003E2DBE" w:rsidRDefault="000B4A1E" w:rsidP="00517E51">
            <w:pPr>
              <w:pStyle w:val="TableofFigures"/>
              <w:rPr>
                <w:lang w:eastAsia="en-AU"/>
              </w:rPr>
            </w:pPr>
            <w:r w:rsidRPr="003E2DBE">
              <w:rPr>
                <w:lang w:eastAsia="en-AU"/>
              </w:rPr>
              <w:t xml:space="preserve"> </w:t>
            </w:r>
          </w:p>
        </w:tc>
        <w:tc>
          <w:tcPr>
            <w:tcW w:w="1080" w:type="dxa"/>
            <w:tcBorders>
              <w:top w:val="single" w:sz="12" w:space="0" w:color="auto"/>
              <w:left w:val="nil"/>
              <w:bottom w:val="nil"/>
              <w:right w:val="nil"/>
            </w:tcBorders>
            <w:shd w:val="clear" w:color="000000" w:fill="FFFFFF"/>
            <w:hideMark/>
          </w:tcPr>
          <w:p w:rsidR="000B4A1E" w:rsidRPr="003E2DBE" w:rsidRDefault="000B4A1E" w:rsidP="00517E51">
            <w:pPr>
              <w:pStyle w:val="TableofFigures"/>
              <w:rPr>
                <w:lang w:eastAsia="en-AU"/>
              </w:rPr>
            </w:pPr>
            <w:r w:rsidRPr="003E2DBE">
              <w:rPr>
                <w:lang w:eastAsia="en-AU"/>
              </w:rPr>
              <w:t xml:space="preserve"> </w:t>
            </w:r>
          </w:p>
        </w:tc>
        <w:tc>
          <w:tcPr>
            <w:tcW w:w="1095" w:type="dxa"/>
            <w:gridSpan w:val="2"/>
            <w:tcBorders>
              <w:top w:val="single" w:sz="12" w:space="0" w:color="auto"/>
              <w:left w:val="nil"/>
              <w:bottom w:val="nil"/>
              <w:right w:val="nil"/>
            </w:tcBorders>
            <w:shd w:val="clear" w:color="000000" w:fill="FFFFFF"/>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556163946"/>
        </w:trPr>
        <w:tc>
          <w:tcPr>
            <w:tcW w:w="4658"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Cash</w:t>
            </w:r>
          </w:p>
        </w:tc>
        <w:tc>
          <w:tcPr>
            <w:tcW w:w="1574"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3</w:t>
            </w:r>
            <w:r w:rsidRPr="003E2DBE">
              <w:rPr>
                <w:rFonts w:cs="Calibri"/>
                <w:szCs w:val="22"/>
                <w:lang w:eastAsia="en-AU"/>
              </w:rPr>
              <w:t xml:space="preserve"> 008.2</w:t>
            </w:r>
          </w:p>
        </w:tc>
        <w:tc>
          <w:tcPr>
            <w:tcW w:w="1252"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3</w:t>
            </w:r>
            <w:r w:rsidRPr="003E2DBE">
              <w:rPr>
                <w:rFonts w:cs="Calibri"/>
                <w:szCs w:val="22"/>
                <w:lang w:eastAsia="en-AU"/>
              </w:rPr>
              <w:t xml:space="preserve"> 008.2</w:t>
            </w:r>
          </w:p>
        </w:tc>
        <w:tc>
          <w:tcPr>
            <w:tcW w:w="108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09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r>
      <w:tr w:rsidR="000B4A1E" w:rsidRPr="003E2DBE" w:rsidTr="00517E51">
        <w:trPr>
          <w:divId w:val="556163946"/>
        </w:trPr>
        <w:tc>
          <w:tcPr>
            <w:tcW w:w="4658"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Receivables</w:t>
            </w:r>
            <w:r w:rsidRPr="003E2DBE">
              <w:rPr>
                <w:rFonts w:cs="Calibri"/>
                <w:szCs w:val="22"/>
                <w:lang w:eastAsia="en-AU"/>
              </w:rPr>
              <w:t xml:space="preserve"> held in investment schemes</w:t>
            </w:r>
          </w:p>
        </w:tc>
        <w:tc>
          <w:tcPr>
            <w:tcW w:w="1574"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415.2</w:t>
            </w:r>
          </w:p>
        </w:tc>
        <w:tc>
          <w:tcPr>
            <w:tcW w:w="1252"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395.0</w:t>
            </w:r>
          </w:p>
        </w:tc>
        <w:tc>
          <w:tcPr>
            <w:tcW w:w="108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20.2</w:t>
            </w:r>
          </w:p>
        </w:tc>
        <w:tc>
          <w:tcPr>
            <w:tcW w:w="109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r>
      <w:tr w:rsidR="000B4A1E" w:rsidRPr="003E2DBE" w:rsidTr="00517E51">
        <w:trPr>
          <w:divId w:val="556163946"/>
        </w:trPr>
        <w:tc>
          <w:tcPr>
            <w:tcW w:w="4658"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Derivative assets</w:t>
            </w:r>
          </w:p>
        </w:tc>
        <w:tc>
          <w:tcPr>
            <w:tcW w:w="1574" w:type="dxa"/>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713.8</w:t>
            </w:r>
          </w:p>
        </w:tc>
        <w:tc>
          <w:tcPr>
            <w:tcW w:w="1252" w:type="dxa"/>
            <w:gridSpan w:val="2"/>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Pr>
                <w:lang w:eastAsia="en-AU"/>
              </w:rPr>
              <w:t>..</w:t>
            </w:r>
          </w:p>
        </w:tc>
        <w:tc>
          <w:tcPr>
            <w:tcW w:w="1080" w:type="dxa"/>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713.7</w:t>
            </w:r>
          </w:p>
        </w:tc>
        <w:tc>
          <w:tcPr>
            <w:tcW w:w="1095" w:type="dxa"/>
            <w:gridSpan w:val="2"/>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w:t>
            </w:r>
          </w:p>
        </w:tc>
      </w:tr>
      <w:tr w:rsidR="000B4A1E" w:rsidRPr="003E2DBE" w:rsidTr="00517E51">
        <w:trPr>
          <w:divId w:val="556163946"/>
        </w:trPr>
        <w:tc>
          <w:tcPr>
            <w:tcW w:w="4658"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Equities and managed investment schemes</w:t>
            </w:r>
          </w:p>
        </w:tc>
        <w:tc>
          <w:tcPr>
            <w:tcW w:w="1574"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14 972.3</w:t>
            </w:r>
          </w:p>
        </w:tc>
        <w:tc>
          <w:tcPr>
            <w:tcW w:w="1252"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4 227.2</w:t>
            </w:r>
          </w:p>
        </w:tc>
        <w:tc>
          <w:tcPr>
            <w:tcW w:w="108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6 432.1</w:t>
            </w:r>
          </w:p>
        </w:tc>
        <w:tc>
          <w:tcPr>
            <w:tcW w:w="1095"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4 312.9</w:t>
            </w:r>
          </w:p>
        </w:tc>
      </w:tr>
      <w:tr w:rsidR="000B4A1E" w:rsidRPr="003E2DBE" w:rsidTr="00517E51">
        <w:trPr>
          <w:divId w:val="556163946"/>
        </w:trPr>
        <w:tc>
          <w:tcPr>
            <w:tcW w:w="4658"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Debt securities at fair value</w:t>
            </w:r>
          </w:p>
        </w:tc>
        <w:tc>
          <w:tcPr>
            <w:tcW w:w="1574"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9 185.3</w:t>
            </w:r>
          </w:p>
        </w:tc>
        <w:tc>
          <w:tcPr>
            <w:tcW w:w="1252"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1 694.3</w:t>
            </w:r>
          </w:p>
        </w:tc>
        <w:tc>
          <w:tcPr>
            <w:tcW w:w="108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7 374.9</w:t>
            </w:r>
          </w:p>
        </w:tc>
        <w:tc>
          <w:tcPr>
            <w:tcW w:w="1095" w:type="dxa"/>
            <w:gridSpan w:val="2"/>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116.0</w:t>
            </w:r>
          </w:p>
        </w:tc>
      </w:tr>
      <w:tr w:rsidR="000B4A1E" w:rsidRPr="003E2DBE" w:rsidTr="00517E51">
        <w:trPr>
          <w:divId w:val="556163946"/>
        </w:trPr>
        <w:tc>
          <w:tcPr>
            <w:tcW w:w="4658" w:type="dxa"/>
            <w:tcBorders>
              <w:top w:val="single" w:sz="4" w:space="0" w:color="auto"/>
              <w:left w:val="nil"/>
              <w:bottom w:val="single" w:sz="4" w:space="0" w:color="auto"/>
              <w:right w:val="nil"/>
            </w:tcBorders>
            <w:shd w:val="clear" w:color="000000" w:fill="FFFFFF"/>
            <w:noWrap/>
            <w:vAlign w:val="bottom"/>
            <w:hideMark/>
          </w:tcPr>
          <w:p w:rsidR="000B4A1E" w:rsidRPr="003E2DBE" w:rsidRDefault="000B4A1E" w:rsidP="00517E51">
            <w:pPr>
              <w:pStyle w:val="Tabletext"/>
              <w:rPr>
                <w:rFonts w:cs="Calibri"/>
                <w:b/>
                <w:bCs/>
                <w:szCs w:val="22"/>
                <w:lang w:eastAsia="en-AU"/>
              </w:rPr>
            </w:pPr>
            <w:r w:rsidRPr="003E2DBE">
              <w:rPr>
                <w:b/>
                <w:lang w:eastAsia="en-AU"/>
              </w:rPr>
              <w:t xml:space="preserve">Total </w:t>
            </w:r>
            <w:r w:rsidRPr="003E2DBE">
              <w:rPr>
                <w:rFonts w:cs="Calibri"/>
                <w:b/>
                <w:bCs/>
                <w:szCs w:val="22"/>
                <w:lang w:eastAsia="en-AU"/>
              </w:rPr>
              <w:t>financial assets</w:t>
            </w:r>
          </w:p>
        </w:tc>
        <w:tc>
          <w:tcPr>
            <w:tcW w:w="1574"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28 294.7</w:t>
            </w:r>
          </w:p>
        </w:tc>
        <w:tc>
          <w:tcPr>
            <w:tcW w:w="1252" w:type="dxa"/>
            <w:gridSpan w:val="2"/>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9 324.8</w:t>
            </w:r>
          </w:p>
        </w:tc>
        <w:tc>
          <w:tcPr>
            <w:tcW w:w="1080" w:type="dxa"/>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14 540.9</w:t>
            </w:r>
          </w:p>
        </w:tc>
        <w:tc>
          <w:tcPr>
            <w:tcW w:w="1095" w:type="dxa"/>
            <w:gridSpan w:val="2"/>
            <w:tcBorders>
              <w:top w:val="single" w:sz="4" w:space="0" w:color="auto"/>
              <w:left w:val="nil"/>
              <w:bottom w:val="single" w:sz="4"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4 429.0</w:t>
            </w:r>
          </w:p>
        </w:tc>
      </w:tr>
      <w:tr w:rsidR="000B4A1E" w:rsidRPr="003E2DBE" w:rsidTr="00517E51">
        <w:trPr>
          <w:divId w:val="556163946"/>
          <w:trHeight w:hRule="exact" w:val="120"/>
        </w:trPr>
        <w:tc>
          <w:tcPr>
            <w:tcW w:w="4658"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 xml:space="preserve"> </w:t>
            </w:r>
          </w:p>
        </w:tc>
        <w:tc>
          <w:tcPr>
            <w:tcW w:w="1574" w:type="dxa"/>
            <w:tcBorders>
              <w:top w:val="nil"/>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252"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080" w:type="dxa"/>
            <w:tcBorders>
              <w:top w:val="nil"/>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095"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556163946"/>
        </w:trPr>
        <w:tc>
          <w:tcPr>
            <w:tcW w:w="4658" w:type="dxa"/>
            <w:tcBorders>
              <w:top w:val="nil"/>
              <w:left w:val="nil"/>
              <w:bottom w:val="nil"/>
              <w:right w:val="nil"/>
            </w:tcBorders>
            <w:shd w:val="clear" w:color="000000" w:fill="000000"/>
            <w:noWrap/>
            <w:vAlign w:val="bottom"/>
            <w:hideMark/>
          </w:tcPr>
          <w:p w:rsidR="000B4A1E" w:rsidRPr="003E2DBE" w:rsidRDefault="000B4A1E" w:rsidP="00517E51">
            <w:pPr>
              <w:pStyle w:val="TabletextheadingLeft"/>
              <w:rPr>
                <w:lang w:eastAsia="en-AU"/>
              </w:rPr>
            </w:pPr>
            <w:r w:rsidRPr="003E2DBE">
              <w:rPr>
                <w:lang w:eastAsia="en-AU"/>
              </w:rPr>
              <w:t>2012</w:t>
            </w:r>
          </w:p>
        </w:tc>
        <w:tc>
          <w:tcPr>
            <w:tcW w:w="1574" w:type="dxa"/>
            <w:tcBorders>
              <w:top w:val="nil"/>
              <w:left w:val="nil"/>
              <w:bottom w:val="nil"/>
              <w:right w:val="nil"/>
            </w:tcBorders>
            <w:shd w:val="clear" w:color="000000" w:fill="000000"/>
            <w:noWrap/>
            <w:hideMark/>
          </w:tcPr>
          <w:p w:rsidR="000B4A1E" w:rsidRPr="003E2DBE" w:rsidRDefault="000B4A1E" w:rsidP="00517E51">
            <w:pPr>
              <w:pStyle w:val="TableofFigures"/>
              <w:rPr>
                <w:b/>
                <w:bCs/>
                <w:lang w:eastAsia="en-AU"/>
              </w:rPr>
            </w:pPr>
            <w:r w:rsidRPr="003E2DBE">
              <w:rPr>
                <w:b/>
                <w:bCs/>
                <w:lang w:eastAsia="en-AU"/>
              </w:rPr>
              <w:t xml:space="preserve"> </w:t>
            </w:r>
          </w:p>
        </w:tc>
        <w:tc>
          <w:tcPr>
            <w:tcW w:w="1252" w:type="dxa"/>
            <w:gridSpan w:val="2"/>
            <w:tcBorders>
              <w:top w:val="nil"/>
              <w:left w:val="nil"/>
              <w:bottom w:val="nil"/>
              <w:right w:val="nil"/>
            </w:tcBorders>
            <w:shd w:val="clear" w:color="000000" w:fill="000000"/>
            <w:hideMark/>
          </w:tcPr>
          <w:p w:rsidR="000B4A1E" w:rsidRPr="003E2DBE" w:rsidRDefault="000B4A1E" w:rsidP="00517E51">
            <w:pPr>
              <w:pStyle w:val="TableofFigures"/>
              <w:rPr>
                <w:b/>
                <w:bCs/>
                <w:lang w:eastAsia="en-AU"/>
              </w:rPr>
            </w:pPr>
            <w:r w:rsidRPr="003E2DBE">
              <w:rPr>
                <w:b/>
                <w:bCs/>
                <w:lang w:eastAsia="en-AU"/>
              </w:rPr>
              <w:t xml:space="preserve"> </w:t>
            </w:r>
          </w:p>
        </w:tc>
        <w:tc>
          <w:tcPr>
            <w:tcW w:w="1080" w:type="dxa"/>
            <w:tcBorders>
              <w:top w:val="nil"/>
              <w:left w:val="nil"/>
              <w:bottom w:val="nil"/>
              <w:right w:val="nil"/>
            </w:tcBorders>
            <w:shd w:val="clear" w:color="000000" w:fill="000000"/>
            <w:hideMark/>
          </w:tcPr>
          <w:p w:rsidR="000B4A1E" w:rsidRPr="003E2DBE" w:rsidRDefault="000B4A1E" w:rsidP="00517E51">
            <w:pPr>
              <w:pStyle w:val="TableofFigures"/>
              <w:rPr>
                <w:b/>
                <w:bCs/>
                <w:lang w:eastAsia="en-AU"/>
              </w:rPr>
            </w:pPr>
            <w:r w:rsidRPr="003E2DBE">
              <w:rPr>
                <w:b/>
                <w:bCs/>
                <w:lang w:eastAsia="en-AU"/>
              </w:rPr>
              <w:t xml:space="preserve"> </w:t>
            </w:r>
          </w:p>
        </w:tc>
        <w:tc>
          <w:tcPr>
            <w:tcW w:w="1095" w:type="dxa"/>
            <w:gridSpan w:val="2"/>
            <w:tcBorders>
              <w:top w:val="nil"/>
              <w:left w:val="nil"/>
              <w:bottom w:val="nil"/>
              <w:right w:val="nil"/>
            </w:tcBorders>
            <w:shd w:val="clear" w:color="000000" w:fill="000000"/>
            <w:noWrap/>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556163946"/>
        </w:trPr>
        <w:tc>
          <w:tcPr>
            <w:tcW w:w="4658" w:type="dxa"/>
            <w:tcBorders>
              <w:top w:val="nil"/>
              <w:left w:val="nil"/>
              <w:bottom w:val="nil"/>
              <w:right w:val="nil"/>
            </w:tcBorders>
            <w:shd w:val="clear" w:color="000000" w:fill="FFFFFF"/>
            <w:noWrap/>
            <w:vAlign w:val="bottom"/>
            <w:hideMark/>
          </w:tcPr>
          <w:p w:rsidR="000B4A1E" w:rsidRPr="003E2DBE" w:rsidRDefault="000B4A1E" w:rsidP="00517E51">
            <w:pPr>
              <w:pStyle w:val="Tabletext"/>
              <w:rPr>
                <w:b/>
                <w:lang w:eastAsia="en-AU"/>
              </w:rPr>
            </w:pPr>
            <w:r w:rsidRPr="003E2DBE">
              <w:rPr>
                <w:b/>
                <w:lang w:eastAsia="en-AU"/>
              </w:rPr>
              <w:t>Financial assets</w:t>
            </w:r>
          </w:p>
        </w:tc>
        <w:tc>
          <w:tcPr>
            <w:tcW w:w="1574" w:type="dxa"/>
            <w:tcBorders>
              <w:top w:val="nil"/>
              <w:left w:val="nil"/>
              <w:bottom w:val="nil"/>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 xml:space="preserve"> </w:t>
            </w:r>
          </w:p>
        </w:tc>
        <w:tc>
          <w:tcPr>
            <w:tcW w:w="1252" w:type="dxa"/>
            <w:gridSpan w:val="2"/>
            <w:tcBorders>
              <w:top w:val="nil"/>
              <w:left w:val="nil"/>
              <w:bottom w:val="nil"/>
              <w:right w:val="nil"/>
            </w:tcBorders>
            <w:shd w:val="clear" w:color="000000" w:fill="FFFFFF"/>
            <w:hideMark/>
          </w:tcPr>
          <w:p w:rsidR="000B4A1E" w:rsidRPr="003E2DBE" w:rsidRDefault="000B4A1E" w:rsidP="00517E51">
            <w:pPr>
              <w:pStyle w:val="TableofFigures"/>
              <w:rPr>
                <w:lang w:eastAsia="en-AU"/>
              </w:rPr>
            </w:pPr>
            <w:r w:rsidRPr="003E2DBE">
              <w:rPr>
                <w:lang w:eastAsia="en-AU"/>
              </w:rPr>
              <w:t xml:space="preserve"> </w:t>
            </w:r>
          </w:p>
        </w:tc>
        <w:tc>
          <w:tcPr>
            <w:tcW w:w="1080" w:type="dxa"/>
            <w:tcBorders>
              <w:top w:val="nil"/>
              <w:left w:val="nil"/>
              <w:bottom w:val="nil"/>
              <w:right w:val="nil"/>
            </w:tcBorders>
            <w:shd w:val="clear" w:color="000000" w:fill="FFFFFF"/>
            <w:hideMark/>
          </w:tcPr>
          <w:p w:rsidR="000B4A1E" w:rsidRPr="003E2DBE" w:rsidRDefault="000B4A1E" w:rsidP="00517E51">
            <w:pPr>
              <w:pStyle w:val="TableofFigures"/>
              <w:rPr>
                <w:lang w:eastAsia="en-AU"/>
              </w:rPr>
            </w:pPr>
            <w:r w:rsidRPr="003E2DBE">
              <w:rPr>
                <w:lang w:eastAsia="en-AU"/>
              </w:rPr>
              <w:t xml:space="preserve"> </w:t>
            </w:r>
          </w:p>
        </w:tc>
        <w:tc>
          <w:tcPr>
            <w:tcW w:w="1095" w:type="dxa"/>
            <w:gridSpan w:val="2"/>
            <w:tcBorders>
              <w:top w:val="nil"/>
              <w:left w:val="nil"/>
              <w:bottom w:val="nil"/>
              <w:right w:val="nil"/>
            </w:tcBorders>
            <w:shd w:val="clear" w:color="000000" w:fill="FFFFFF"/>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556163946"/>
        </w:trPr>
        <w:tc>
          <w:tcPr>
            <w:tcW w:w="4658"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Cash</w:t>
            </w:r>
          </w:p>
        </w:tc>
        <w:tc>
          <w:tcPr>
            <w:tcW w:w="1574"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3</w:t>
            </w:r>
            <w:r w:rsidRPr="003E2DBE">
              <w:rPr>
                <w:rFonts w:cs="Calibri"/>
                <w:szCs w:val="22"/>
                <w:lang w:eastAsia="en-AU"/>
              </w:rPr>
              <w:t xml:space="preserve"> 121.2</w:t>
            </w:r>
          </w:p>
        </w:tc>
        <w:tc>
          <w:tcPr>
            <w:tcW w:w="1252"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3</w:t>
            </w:r>
            <w:r w:rsidRPr="003E2DBE">
              <w:rPr>
                <w:rFonts w:cs="Calibri"/>
                <w:szCs w:val="22"/>
                <w:lang w:eastAsia="en-AU"/>
              </w:rPr>
              <w:t xml:space="preserve"> 121.2</w:t>
            </w:r>
          </w:p>
        </w:tc>
        <w:tc>
          <w:tcPr>
            <w:tcW w:w="108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095"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r>
      <w:tr w:rsidR="000B4A1E" w:rsidRPr="003E2DBE" w:rsidTr="00517E51">
        <w:trPr>
          <w:divId w:val="556163946"/>
        </w:trPr>
        <w:tc>
          <w:tcPr>
            <w:tcW w:w="4658"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Receivables</w:t>
            </w:r>
            <w:r w:rsidRPr="003E2DBE">
              <w:rPr>
                <w:rFonts w:cs="Calibri"/>
                <w:szCs w:val="22"/>
                <w:lang w:eastAsia="en-AU"/>
              </w:rPr>
              <w:t xml:space="preserve"> held in investment schemes</w:t>
            </w:r>
          </w:p>
        </w:tc>
        <w:tc>
          <w:tcPr>
            <w:tcW w:w="1574"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179.0</w:t>
            </w:r>
          </w:p>
        </w:tc>
        <w:tc>
          <w:tcPr>
            <w:tcW w:w="1252"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135.2</w:t>
            </w:r>
          </w:p>
        </w:tc>
        <w:tc>
          <w:tcPr>
            <w:tcW w:w="108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43.8</w:t>
            </w:r>
          </w:p>
        </w:tc>
        <w:tc>
          <w:tcPr>
            <w:tcW w:w="1095"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r>
      <w:tr w:rsidR="000B4A1E" w:rsidRPr="003E2DBE" w:rsidTr="00517E51">
        <w:trPr>
          <w:divId w:val="556163946"/>
        </w:trPr>
        <w:tc>
          <w:tcPr>
            <w:tcW w:w="4658"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Derivative assets</w:t>
            </w:r>
          </w:p>
        </w:tc>
        <w:tc>
          <w:tcPr>
            <w:tcW w:w="1574"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654.7</w:t>
            </w:r>
          </w:p>
        </w:tc>
        <w:tc>
          <w:tcPr>
            <w:tcW w:w="1252"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15.1</w:t>
            </w:r>
          </w:p>
        </w:tc>
        <w:tc>
          <w:tcPr>
            <w:tcW w:w="108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578.4</w:t>
            </w:r>
          </w:p>
        </w:tc>
        <w:tc>
          <w:tcPr>
            <w:tcW w:w="1095"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61.2</w:t>
            </w:r>
          </w:p>
        </w:tc>
      </w:tr>
      <w:tr w:rsidR="000B4A1E" w:rsidRPr="003E2DBE" w:rsidTr="00517E51">
        <w:trPr>
          <w:divId w:val="556163946"/>
        </w:trPr>
        <w:tc>
          <w:tcPr>
            <w:tcW w:w="4658"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Equities </w:t>
            </w:r>
            <w:r w:rsidRPr="003E2DBE">
              <w:rPr>
                <w:rFonts w:cs="Calibri"/>
                <w:szCs w:val="22"/>
                <w:lang w:eastAsia="en-AU"/>
              </w:rPr>
              <w:t>and managed investment schemes</w:t>
            </w:r>
          </w:p>
        </w:tc>
        <w:tc>
          <w:tcPr>
            <w:tcW w:w="1574" w:type="dxa"/>
            <w:tcBorders>
              <w:top w:val="nil"/>
              <w:left w:val="nil"/>
              <w:bottom w:val="nil"/>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10 952.5</w:t>
            </w:r>
          </w:p>
        </w:tc>
        <w:tc>
          <w:tcPr>
            <w:tcW w:w="1252"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3 214.2</w:t>
            </w:r>
          </w:p>
        </w:tc>
        <w:tc>
          <w:tcPr>
            <w:tcW w:w="1080" w:type="dxa"/>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7 187.6</w:t>
            </w:r>
          </w:p>
        </w:tc>
        <w:tc>
          <w:tcPr>
            <w:tcW w:w="1095"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 xml:space="preserve"> 550.8</w:t>
            </w:r>
          </w:p>
        </w:tc>
      </w:tr>
      <w:tr w:rsidR="000B4A1E" w:rsidRPr="003E2DBE" w:rsidTr="00517E51">
        <w:trPr>
          <w:divId w:val="556163946"/>
        </w:trPr>
        <w:tc>
          <w:tcPr>
            <w:tcW w:w="4658"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Debt securities at fair value</w:t>
            </w:r>
          </w:p>
        </w:tc>
        <w:tc>
          <w:tcPr>
            <w:tcW w:w="1574"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11 425.0</w:t>
            </w:r>
          </w:p>
        </w:tc>
        <w:tc>
          <w:tcPr>
            <w:tcW w:w="1252" w:type="dxa"/>
            <w:gridSpan w:val="2"/>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1 776.8</w:t>
            </w:r>
          </w:p>
        </w:tc>
        <w:tc>
          <w:tcPr>
            <w:tcW w:w="1080" w:type="dxa"/>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9 541.0</w:t>
            </w:r>
          </w:p>
        </w:tc>
        <w:tc>
          <w:tcPr>
            <w:tcW w:w="1095" w:type="dxa"/>
            <w:gridSpan w:val="2"/>
            <w:tcBorders>
              <w:top w:val="nil"/>
              <w:left w:val="nil"/>
              <w:bottom w:val="single" w:sz="4" w:space="0" w:color="auto"/>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 xml:space="preserve"> 107.2</w:t>
            </w:r>
          </w:p>
        </w:tc>
      </w:tr>
      <w:tr w:rsidR="000B4A1E" w:rsidRPr="003E2DBE" w:rsidTr="00517E51">
        <w:trPr>
          <w:divId w:val="556163946"/>
        </w:trPr>
        <w:tc>
          <w:tcPr>
            <w:tcW w:w="4658" w:type="dxa"/>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text"/>
              <w:rPr>
                <w:rFonts w:cs="Calibri"/>
                <w:b/>
                <w:bCs/>
                <w:szCs w:val="22"/>
                <w:lang w:eastAsia="en-AU"/>
              </w:rPr>
            </w:pPr>
            <w:r w:rsidRPr="003E2DBE">
              <w:rPr>
                <w:b/>
                <w:lang w:eastAsia="en-AU"/>
              </w:rPr>
              <w:t xml:space="preserve">Total financial </w:t>
            </w:r>
            <w:r w:rsidRPr="003E2DBE">
              <w:rPr>
                <w:rFonts w:cs="Calibri"/>
                <w:b/>
                <w:bCs/>
                <w:szCs w:val="22"/>
                <w:lang w:eastAsia="en-AU"/>
              </w:rPr>
              <w:t>assets</w:t>
            </w:r>
          </w:p>
        </w:tc>
        <w:tc>
          <w:tcPr>
            <w:tcW w:w="1574"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27 332.5</w:t>
            </w:r>
          </w:p>
        </w:tc>
        <w:tc>
          <w:tcPr>
            <w:tcW w:w="1252" w:type="dxa"/>
            <w:gridSpan w:val="2"/>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8 262.5</w:t>
            </w:r>
          </w:p>
        </w:tc>
        <w:tc>
          <w:tcPr>
            <w:tcW w:w="1080" w:type="dxa"/>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18 350.8</w:t>
            </w:r>
          </w:p>
        </w:tc>
        <w:tc>
          <w:tcPr>
            <w:tcW w:w="1095" w:type="dxa"/>
            <w:gridSpan w:val="2"/>
            <w:tcBorders>
              <w:top w:val="single" w:sz="4" w:space="0" w:color="auto"/>
              <w:left w:val="nil"/>
              <w:bottom w:val="single" w:sz="12" w:space="0" w:color="auto"/>
              <w:right w:val="nil"/>
            </w:tcBorders>
            <w:shd w:val="clear" w:color="000000" w:fill="FFFFFF"/>
            <w:noWrap/>
            <w:hideMark/>
          </w:tcPr>
          <w:p w:rsidR="000B4A1E" w:rsidRPr="003E2DBE" w:rsidRDefault="000B4A1E" w:rsidP="00517E51">
            <w:pPr>
              <w:pStyle w:val="TableofFigures"/>
              <w:rPr>
                <w:b/>
                <w:bCs/>
                <w:lang w:eastAsia="en-AU"/>
              </w:rPr>
            </w:pPr>
            <w:r w:rsidRPr="003E2DBE">
              <w:rPr>
                <w:b/>
                <w:bCs/>
                <w:lang w:eastAsia="en-AU"/>
              </w:rPr>
              <w:t xml:space="preserve"> 719.3</w:t>
            </w:r>
          </w:p>
        </w:tc>
      </w:tr>
    </w:tbl>
    <w:bookmarkEnd w:id="169"/>
    <w:bookmarkEnd w:id="170"/>
    <w:bookmarkEnd w:id="171"/>
    <w:bookmarkEnd w:id="172"/>
    <w:bookmarkEnd w:id="173"/>
    <w:bookmarkEnd w:id="174"/>
    <w:bookmarkEnd w:id="175"/>
    <w:bookmarkEnd w:id="176"/>
    <w:bookmarkEnd w:id="177"/>
    <w:p w:rsidR="000B4A1E" w:rsidRPr="00D00665" w:rsidRDefault="000B4A1E" w:rsidP="00517E51">
      <w:pPr>
        <w:pStyle w:val="Notes"/>
      </w:pPr>
      <w:r w:rsidRPr="00D00665">
        <w:t>Notes:</w:t>
      </w:r>
    </w:p>
    <w:p w:rsidR="000B4A1E" w:rsidRPr="00D00665" w:rsidRDefault="000B4A1E" w:rsidP="00517E51">
      <w:pPr>
        <w:pStyle w:val="Notes"/>
      </w:pPr>
      <w:r w:rsidRPr="00D00665">
        <w:t>(a)</w:t>
      </w:r>
      <w:r w:rsidRPr="00D00665">
        <w:tab/>
        <w:t>Quoted prices (unadjusted) in active markets for identical assets or liabilities.</w:t>
      </w:r>
    </w:p>
    <w:p w:rsidR="000B4A1E" w:rsidRPr="00D00665" w:rsidRDefault="000B4A1E" w:rsidP="00517E51">
      <w:pPr>
        <w:pStyle w:val="Notes"/>
      </w:pPr>
      <w:r w:rsidRPr="00D00665">
        <w:t>(b)</w:t>
      </w:r>
      <w:r w:rsidRPr="00D00665">
        <w:tab/>
        <w:t>Inputs based on observable market data (either directly using prices or indirectly derived from prices).</w:t>
      </w:r>
    </w:p>
    <w:p w:rsidR="000B4A1E" w:rsidRPr="00D00665" w:rsidRDefault="000B4A1E" w:rsidP="00517E51">
      <w:pPr>
        <w:pStyle w:val="Notes"/>
      </w:pPr>
      <w:r w:rsidRPr="00D00665">
        <w:t>(c)</w:t>
      </w:r>
      <w:r w:rsidRPr="00D00665">
        <w:tab/>
        <w:t>Inputs not based on observable market data.</w:t>
      </w:r>
    </w:p>
    <w:p w:rsidR="000B4A1E" w:rsidRPr="00D00665" w:rsidRDefault="000B4A1E" w:rsidP="00517E51"/>
    <w:p w:rsidR="000B4A1E" w:rsidRPr="00D00665" w:rsidRDefault="000B4A1E">
      <w:pPr>
        <w:spacing w:after="0"/>
        <w:rPr>
          <w:rFonts w:ascii="Calibri" w:hAnsi="Calibri"/>
          <w:i/>
          <w:sz w:val="20"/>
          <w:szCs w:val="18"/>
        </w:rPr>
      </w:pPr>
      <w:r w:rsidRPr="00D00665">
        <w:br w:type="page"/>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3E2DBE" w:rsidRDefault="000B4A1E" w:rsidP="00517E51">
      <w:pPr>
        <w:pStyle w:val="million"/>
      </w:pPr>
      <w:r w:rsidRPr="00D00665">
        <w:t xml:space="preserve"> ($</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4694"/>
        <w:gridCol w:w="1585"/>
        <w:gridCol w:w="236"/>
        <w:gridCol w:w="887"/>
        <w:gridCol w:w="1123"/>
        <w:gridCol w:w="849"/>
        <w:gridCol w:w="274"/>
      </w:tblGrid>
      <w:tr w:rsidR="000B4A1E" w:rsidRPr="003E2DBE" w:rsidTr="00517E51">
        <w:tc>
          <w:tcPr>
            <w:tcW w:w="469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headingLeft"/>
              <w:rPr>
                <w:rFonts w:eastAsiaTheme="minorEastAsia"/>
                <w:lang w:eastAsia="en-AU"/>
              </w:rPr>
            </w:pPr>
          </w:p>
          <w:p w:rsidR="000B4A1E" w:rsidRPr="003E2DBE" w:rsidRDefault="000B4A1E" w:rsidP="00517E51">
            <w:pPr>
              <w:pStyle w:val="TabletextheadingLeft"/>
              <w:rPr>
                <w:rFonts w:eastAsiaTheme="minorEastAsia"/>
                <w:lang w:eastAsia="en-AU"/>
              </w:rPr>
            </w:pPr>
            <w:r w:rsidRPr="003E2DBE">
              <w:rPr>
                <w:rFonts w:eastAsiaTheme="minorEastAsia"/>
                <w:lang w:eastAsia="en-AU"/>
              </w:rPr>
              <w:t>General government sector</w:t>
            </w:r>
          </w:p>
        </w:tc>
        <w:tc>
          <w:tcPr>
            <w:tcW w:w="1585"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Carrying </w:t>
            </w:r>
          </w:p>
          <w:p w:rsidR="000B4A1E" w:rsidRPr="003E2DBE" w:rsidRDefault="000B4A1E" w:rsidP="00517E51">
            <w:pPr>
              <w:pStyle w:val="Tabletextheading"/>
              <w:rPr>
                <w:rFonts w:eastAsiaTheme="minorEastAsia"/>
                <w:lang w:eastAsia="en-AU"/>
              </w:rPr>
            </w:pPr>
            <w:r w:rsidRPr="003E2DBE">
              <w:rPr>
                <w:rFonts w:eastAsiaTheme="minorEastAsia"/>
                <w:lang w:eastAsia="en-AU"/>
              </w:rPr>
              <w:t>amount as at</w:t>
            </w:r>
          </w:p>
        </w:tc>
        <w:tc>
          <w:tcPr>
            <w:tcW w:w="236"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2859" w:type="dxa"/>
            <w:gridSpan w:val="3"/>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Fair value measurement at</w:t>
            </w:r>
          </w:p>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end of reporting period using:</w:t>
            </w:r>
          </w:p>
        </w:tc>
        <w:tc>
          <w:tcPr>
            <w:tcW w:w="274"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r>
      <w:tr w:rsidR="000B4A1E" w:rsidRPr="003E2DBE" w:rsidTr="00517E51">
        <w:tc>
          <w:tcPr>
            <w:tcW w:w="4694" w:type="dxa"/>
            <w:tcBorders>
              <w:top w:val="single" w:sz="6" w:space="0" w:color="auto"/>
              <w:left w:val="single" w:sz="4" w:space="0" w:color="auto"/>
              <w:bottom w:val="single" w:sz="4" w:space="0" w:color="auto"/>
              <w:right w:val="nil"/>
            </w:tcBorders>
            <w:shd w:val="clear" w:color="auto" w:fill="000000"/>
          </w:tcPr>
          <w:p w:rsidR="000B4A1E" w:rsidRPr="003E2DBE" w:rsidRDefault="000B4A1E" w:rsidP="00517E51">
            <w:pPr>
              <w:pStyle w:val="TabletextheadingLeft"/>
              <w:rPr>
                <w:rFonts w:eastAsiaTheme="minorEastAsia"/>
                <w:lang w:eastAsia="en-AU"/>
              </w:rPr>
            </w:pPr>
            <w:r w:rsidRPr="003E2DBE">
              <w:rPr>
                <w:rFonts w:eastAsiaTheme="minorEastAsia"/>
                <w:lang w:eastAsia="en-AU"/>
              </w:rPr>
              <w:t>2013</w:t>
            </w:r>
          </w:p>
        </w:tc>
        <w:tc>
          <w:tcPr>
            <w:tcW w:w="1585"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30 June </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vertAlign w:val="superscript"/>
                <w:lang w:eastAsia="en-AU"/>
              </w:rPr>
            </w:pPr>
            <w:r w:rsidRPr="003E2DBE">
              <w:rPr>
                <w:rFonts w:eastAsiaTheme="minorEastAsia"/>
                <w:lang w:eastAsia="en-AU"/>
              </w:rPr>
              <w:t xml:space="preserve">Level 1 </w:t>
            </w:r>
            <w:r w:rsidRPr="003E2DBE">
              <w:rPr>
                <w:rFonts w:eastAsiaTheme="minorEastAsia"/>
                <w:vertAlign w:val="superscript"/>
                <w:lang w:eastAsia="en-AU"/>
              </w:rPr>
              <w:t>(a)</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vertAlign w:val="superscript"/>
                <w:lang w:eastAsia="en-AU"/>
              </w:rPr>
            </w:pPr>
            <w:r w:rsidRPr="003E2DBE">
              <w:rPr>
                <w:rFonts w:eastAsiaTheme="minorEastAsia"/>
                <w:lang w:eastAsia="en-AU"/>
              </w:rPr>
              <w:t xml:space="preserve">Level 2 </w:t>
            </w:r>
            <w:r w:rsidRPr="003E2DBE">
              <w:rPr>
                <w:rFonts w:eastAsiaTheme="minorEastAsia"/>
                <w:vertAlign w:val="superscript"/>
                <w:lang w:eastAsia="en-AU"/>
              </w:rPr>
              <w:t>(b)</w:t>
            </w:r>
          </w:p>
        </w:tc>
        <w:tc>
          <w:tcPr>
            <w:tcW w:w="1123" w:type="dxa"/>
            <w:gridSpan w:val="2"/>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vertAlign w:val="superscript"/>
                <w:lang w:eastAsia="en-AU"/>
              </w:rPr>
            </w:pPr>
            <w:r w:rsidRPr="003E2DBE">
              <w:rPr>
                <w:rFonts w:eastAsiaTheme="minorEastAsia"/>
                <w:lang w:eastAsia="en-AU"/>
              </w:rPr>
              <w:t xml:space="preserve">Level 3 </w:t>
            </w:r>
            <w:r w:rsidRPr="003E2DBE">
              <w:rPr>
                <w:rFonts w:eastAsiaTheme="minorEastAsia"/>
                <w:vertAlign w:val="superscript"/>
                <w:lang w:eastAsia="en-AU"/>
              </w:rPr>
              <w:t>(c)</w:t>
            </w:r>
          </w:p>
        </w:tc>
      </w:tr>
      <w:tr w:rsidR="000B4A1E" w:rsidRPr="003E2DBE" w:rsidTr="00517E51">
        <w:tc>
          <w:tcPr>
            <w:tcW w:w="4694" w:type="dxa"/>
            <w:tcBorders>
              <w:top w:val="single" w:sz="4" w:space="0" w:color="auto"/>
              <w:left w:val="nil"/>
              <w:bottom w:val="nil"/>
              <w:right w:val="nil"/>
            </w:tcBorders>
            <w:shd w:val="solid" w:color="FFFFFF" w:fill="auto"/>
          </w:tcPr>
          <w:p w:rsidR="000B4A1E" w:rsidRPr="003E2DBE" w:rsidRDefault="000B4A1E" w:rsidP="00517E51">
            <w:pPr>
              <w:pStyle w:val="Tabletext"/>
              <w:rPr>
                <w:rFonts w:eastAsiaTheme="minorEastAsia"/>
                <w:b/>
                <w:lang w:eastAsia="en-AU"/>
              </w:rPr>
            </w:pPr>
            <w:r w:rsidRPr="003E2DBE">
              <w:rPr>
                <w:rFonts w:eastAsiaTheme="minorEastAsia"/>
                <w:b/>
                <w:lang w:eastAsia="en-AU"/>
              </w:rPr>
              <w:t>Financial assets</w:t>
            </w:r>
          </w:p>
        </w:tc>
        <w:tc>
          <w:tcPr>
            <w:tcW w:w="1585" w:type="dxa"/>
            <w:tcBorders>
              <w:top w:val="single" w:sz="4" w:space="0" w:color="auto"/>
              <w:left w:val="nil"/>
              <w:bottom w:val="nil"/>
              <w:right w:val="nil"/>
            </w:tcBorders>
            <w:shd w:val="solid" w:color="FFFFFF" w:fill="auto"/>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c>
          <w:tcPr>
            <w:tcW w:w="1123" w:type="dxa"/>
            <w:gridSpan w:val="2"/>
            <w:tcBorders>
              <w:top w:val="single" w:sz="4" w:space="0" w:color="auto"/>
              <w:left w:val="nil"/>
              <w:bottom w:val="nil"/>
              <w:right w:val="nil"/>
            </w:tcBorders>
            <w:shd w:val="solid" w:color="FFFFFF" w:fill="auto"/>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c>
          <w:tcPr>
            <w:tcW w:w="1123" w:type="dxa"/>
            <w:tcBorders>
              <w:top w:val="single" w:sz="4" w:space="0" w:color="auto"/>
              <w:left w:val="nil"/>
              <w:bottom w:val="nil"/>
              <w:right w:val="nil"/>
            </w:tcBorders>
            <w:shd w:val="solid" w:color="FFFFFF" w:fill="auto"/>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c>
          <w:tcPr>
            <w:tcW w:w="1123" w:type="dxa"/>
            <w:gridSpan w:val="2"/>
            <w:tcBorders>
              <w:top w:val="single" w:sz="4" w:space="0" w:color="auto"/>
              <w:left w:val="nil"/>
              <w:bottom w:val="nil"/>
              <w:right w:val="nil"/>
            </w:tcBorders>
            <w:shd w:val="solid" w:color="FFFFFF" w:fill="auto"/>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r>
      <w:tr w:rsidR="000B4A1E" w:rsidRPr="003E2DBE" w:rsidTr="00517E51">
        <w:tc>
          <w:tcPr>
            <w:tcW w:w="4694" w:type="dxa"/>
            <w:tcBorders>
              <w:top w:val="nil"/>
              <w:left w:val="nil"/>
              <w:bottom w:val="nil"/>
              <w:right w:val="nil"/>
            </w:tcBorders>
            <w:shd w:val="solid" w:color="FFFFFF" w:fill="auto"/>
          </w:tcPr>
          <w:p w:rsidR="000B4A1E" w:rsidRPr="003E2DBE" w:rsidRDefault="000B4A1E" w:rsidP="00517E51">
            <w:pPr>
              <w:pStyle w:val="Tabletext"/>
              <w:rPr>
                <w:rFonts w:eastAsiaTheme="minorEastAsia"/>
                <w:lang w:eastAsia="en-AU"/>
              </w:rPr>
            </w:pPr>
            <w:r w:rsidRPr="003E2DBE">
              <w:rPr>
                <w:rFonts w:eastAsiaTheme="minorEastAsia"/>
                <w:lang w:eastAsia="en-AU"/>
              </w:rPr>
              <w:t>Derivative assets</w:t>
            </w:r>
          </w:p>
        </w:tc>
        <w:tc>
          <w:tcPr>
            <w:tcW w:w="15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4694" w:type="dxa"/>
            <w:tcBorders>
              <w:top w:val="nil"/>
              <w:left w:val="nil"/>
              <w:bottom w:val="nil"/>
              <w:right w:val="nil"/>
            </w:tcBorders>
            <w:shd w:val="solid" w:color="FFFFFF" w:fill="auto"/>
          </w:tcPr>
          <w:p w:rsidR="000B4A1E" w:rsidRPr="003E2DBE" w:rsidRDefault="000B4A1E" w:rsidP="00517E51">
            <w:pPr>
              <w:pStyle w:val="Tabletext"/>
              <w:rPr>
                <w:rFonts w:eastAsiaTheme="minorEastAsia"/>
                <w:lang w:eastAsia="en-AU"/>
              </w:rPr>
            </w:pPr>
            <w:r w:rsidRPr="003E2DBE">
              <w:rPr>
                <w:rFonts w:eastAsiaTheme="minorEastAsia"/>
                <w:lang w:eastAsia="en-AU"/>
              </w:rPr>
              <w:t>Equities and managed investment schemes</w:t>
            </w:r>
          </w:p>
        </w:tc>
        <w:tc>
          <w:tcPr>
            <w:tcW w:w="15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681.9</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331.8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307.0</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43.2</w:t>
            </w:r>
          </w:p>
        </w:tc>
      </w:tr>
      <w:tr w:rsidR="000B4A1E" w:rsidRPr="003E2DBE" w:rsidTr="00517E51">
        <w:tc>
          <w:tcPr>
            <w:tcW w:w="4694" w:type="dxa"/>
            <w:tcBorders>
              <w:top w:val="nil"/>
              <w:left w:val="nil"/>
              <w:bottom w:val="nil"/>
              <w:right w:val="nil"/>
            </w:tcBorders>
            <w:shd w:val="solid" w:color="FFFFFF" w:fill="auto"/>
          </w:tcPr>
          <w:p w:rsidR="000B4A1E" w:rsidRPr="003E2DBE" w:rsidRDefault="000B4A1E" w:rsidP="00517E51">
            <w:pPr>
              <w:pStyle w:val="Tabletext"/>
              <w:rPr>
                <w:rFonts w:eastAsiaTheme="minorEastAsia"/>
                <w:lang w:eastAsia="en-AU"/>
              </w:rPr>
            </w:pPr>
            <w:r w:rsidRPr="003E2DBE">
              <w:rPr>
                <w:rFonts w:eastAsiaTheme="minorEastAsia"/>
                <w:lang w:eastAsia="en-AU"/>
              </w:rPr>
              <w:t>Debt securities at fair value</w:t>
            </w:r>
          </w:p>
        </w:tc>
        <w:tc>
          <w:tcPr>
            <w:tcW w:w="15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41.7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41.1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0.6</w:t>
            </w:r>
          </w:p>
        </w:tc>
      </w:tr>
      <w:tr w:rsidR="000B4A1E" w:rsidRPr="003E2DBE" w:rsidTr="00517E51">
        <w:tc>
          <w:tcPr>
            <w:tcW w:w="4694" w:type="dxa"/>
            <w:tcBorders>
              <w:top w:val="single" w:sz="6" w:space="0" w:color="auto"/>
              <w:left w:val="nil"/>
              <w:bottom w:val="single" w:sz="6" w:space="0" w:color="auto"/>
              <w:right w:val="nil"/>
            </w:tcBorders>
            <w:shd w:val="solid" w:color="FFFFFF" w:fill="auto"/>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Total</w:t>
            </w:r>
            <w:r w:rsidRPr="003E2DBE">
              <w:rPr>
                <w:rFonts w:eastAsiaTheme="minorEastAsia" w:cs="Calibri"/>
                <w:b/>
                <w:bCs/>
                <w:szCs w:val="22"/>
                <w:lang w:eastAsia="en-AU"/>
              </w:rPr>
              <w:t xml:space="preserve"> financial assets </w:t>
            </w:r>
          </w:p>
        </w:tc>
        <w:tc>
          <w:tcPr>
            <w:tcW w:w="1585" w:type="dxa"/>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723.7</w:t>
            </w:r>
          </w:p>
        </w:tc>
        <w:tc>
          <w:tcPr>
            <w:tcW w:w="1123" w:type="dxa"/>
            <w:gridSpan w:val="2"/>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372.9</w:t>
            </w:r>
          </w:p>
        </w:tc>
        <w:tc>
          <w:tcPr>
            <w:tcW w:w="1123" w:type="dxa"/>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307.0</w:t>
            </w:r>
          </w:p>
        </w:tc>
        <w:tc>
          <w:tcPr>
            <w:tcW w:w="1123" w:type="dxa"/>
            <w:gridSpan w:val="2"/>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43.8</w:t>
            </w:r>
          </w:p>
        </w:tc>
      </w:tr>
      <w:tr w:rsidR="000B4A1E" w:rsidRPr="003E2DBE" w:rsidTr="00517E51">
        <w:trPr>
          <w:trHeight w:hRule="exact" w:val="120"/>
        </w:trPr>
        <w:tc>
          <w:tcPr>
            <w:tcW w:w="4694" w:type="dxa"/>
            <w:tcBorders>
              <w:top w:val="nil"/>
              <w:left w:val="nil"/>
              <w:bottom w:val="single" w:sz="4" w:space="0" w:color="auto"/>
              <w:right w:val="nil"/>
            </w:tcBorders>
            <w:shd w:val="solid" w:color="FFFFFF" w:fill="auto"/>
          </w:tcPr>
          <w:p w:rsidR="000B4A1E" w:rsidRPr="003E2DBE" w:rsidRDefault="000B4A1E" w:rsidP="00517E51">
            <w:pPr>
              <w:pStyle w:val="Tabletext"/>
              <w:rPr>
                <w:rFonts w:eastAsiaTheme="minorEastAsia" w:cs="Calibri"/>
                <w:b/>
                <w:bCs/>
                <w:szCs w:val="22"/>
                <w:lang w:eastAsia="en-AU"/>
              </w:rPr>
            </w:pPr>
            <w:r w:rsidRPr="003E2DBE">
              <w:rPr>
                <w:rFonts w:eastAsiaTheme="minorEastAsia"/>
                <w:lang w:eastAsia="en-AU"/>
              </w:rPr>
              <w:t xml:space="preserve"> </w:t>
            </w:r>
          </w:p>
        </w:tc>
        <w:tc>
          <w:tcPr>
            <w:tcW w:w="1585" w:type="dxa"/>
            <w:tcBorders>
              <w:top w:val="nil"/>
              <w:left w:val="nil"/>
              <w:bottom w:val="single" w:sz="4"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gridSpan w:val="2"/>
            <w:tcBorders>
              <w:top w:val="nil"/>
              <w:left w:val="nil"/>
              <w:bottom w:val="single" w:sz="4"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single" w:sz="4"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gridSpan w:val="2"/>
            <w:tcBorders>
              <w:top w:val="nil"/>
              <w:left w:val="nil"/>
              <w:bottom w:val="single" w:sz="4"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4694" w:type="dxa"/>
            <w:tcBorders>
              <w:top w:val="single" w:sz="4" w:space="0" w:color="auto"/>
              <w:left w:val="single" w:sz="4" w:space="0" w:color="auto"/>
              <w:bottom w:val="single" w:sz="4" w:space="0" w:color="auto"/>
              <w:right w:val="nil"/>
            </w:tcBorders>
            <w:shd w:val="solid" w:color="000000" w:fill="auto"/>
          </w:tcPr>
          <w:p w:rsidR="000B4A1E" w:rsidRPr="003E2DBE" w:rsidRDefault="000B4A1E" w:rsidP="00517E51">
            <w:pPr>
              <w:pStyle w:val="TabletextheadingLeft"/>
              <w:rPr>
                <w:rFonts w:eastAsiaTheme="minorEastAsia" w:cs="Calibri"/>
                <w:iCs/>
                <w:szCs w:val="22"/>
                <w:lang w:eastAsia="en-AU"/>
              </w:rPr>
            </w:pPr>
            <w:r w:rsidRPr="003E2DBE">
              <w:rPr>
                <w:rFonts w:eastAsiaTheme="minorEastAsia"/>
                <w:lang w:eastAsia="en-AU"/>
              </w:rPr>
              <w:t>2012</w:t>
            </w:r>
          </w:p>
        </w:tc>
        <w:tc>
          <w:tcPr>
            <w:tcW w:w="1585" w:type="dxa"/>
            <w:tcBorders>
              <w:top w:val="single" w:sz="4" w:space="0" w:color="auto"/>
              <w:left w:val="nil"/>
              <w:bottom w:val="single" w:sz="4" w:space="0" w:color="auto"/>
              <w:right w:val="nil"/>
            </w:tcBorders>
            <w:shd w:val="solid" w:color="000000"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gridSpan w:val="2"/>
            <w:tcBorders>
              <w:top w:val="single" w:sz="4" w:space="0" w:color="auto"/>
              <w:left w:val="nil"/>
              <w:bottom w:val="single" w:sz="4" w:space="0" w:color="auto"/>
              <w:right w:val="nil"/>
            </w:tcBorders>
            <w:shd w:val="solid" w:color="000000"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single" w:sz="4" w:space="0" w:color="auto"/>
              <w:left w:val="nil"/>
              <w:bottom w:val="single" w:sz="4" w:space="0" w:color="auto"/>
              <w:right w:val="nil"/>
            </w:tcBorders>
            <w:shd w:val="solid" w:color="000000"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gridSpan w:val="2"/>
            <w:tcBorders>
              <w:top w:val="single" w:sz="4" w:space="0" w:color="auto"/>
              <w:left w:val="nil"/>
              <w:bottom w:val="single" w:sz="4" w:space="0" w:color="auto"/>
              <w:right w:val="single" w:sz="4" w:space="0" w:color="auto"/>
            </w:tcBorders>
            <w:shd w:val="solid" w:color="000000"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4694" w:type="dxa"/>
            <w:tcBorders>
              <w:top w:val="single" w:sz="4" w:space="0" w:color="auto"/>
              <w:left w:val="nil"/>
              <w:bottom w:val="nil"/>
              <w:right w:val="nil"/>
            </w:tcBorders>
            <w:shd w:val="solid" w:color="FFFFFF" w:fill="auto"/>
          </w:tcPr>
          <w:p w:rsidR="000B4A1E" w:rsidRPr="003E2DBE" w:rsidRDefault="000B4A1E" w:rsidP="00517E51">
            <w:pPr>
              <w:pStyle w:val="Tabletext"/>
              <w:rPr>
                <w:rFonts w:eastAsiaTheme="minorEastAsia"/>
                <w:b/>
                <w:lang w:eastAsia="en-AU"/>
              </w:rPr>
            </w:pPr>
            <w:r w:rsidRPr="003E2DBE">
              <w:rPr>
                <w:rFonts w:eastAsiaTheme="minorEastAsia"/>
                <w:b/>
                <w:lang w:eastAsia="en-AU"/>
              </w:rPr>
              <w:t>Financial assets</w:t>
            </w:r>
          </w:p>
        </w:tc>
        <w:tc>
          <w:tcPr>
            <w:tcW w:w="1585" w:type="dxa"/>
            <w:tcBorders>
              <w:top w:val="single" w:sz="4" w:space="0" w:color="auto"/>
              <w:left w:val="nil"/>
              <w:bottom w:val="nil"/>
              <w:right w:val="nil"/>
            </w:tcBorders>
            <w:shd w:val="solid" w:color="FFFFFF" w:fill="auto"/>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c>
          <w:tcPr>
            <w:tcW w:w="1123" w:type="dxa"/>
            <w:gridSpan w:val="2"/>
            <w:tcBorders>
              <w:top w:val="single" w:sz="4" w:space="0" w:color="auto"/>
              <w:left w:val="nil"/>
              <w:bottom w:val="nil"/>
              <w:right w:val="nil"/>
            </w:tcBorders>
            <w:shd w:val="solid" w:color="FFFFFF" w:fill="auto"/>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c>
          <w:tcPr>
            <w:tcW w:w="1123" w:type="dxa"/>
            <w:tcBorders>
              <w:top w:val="single" w:sz="4" w:space="0" w:color="auto"/>
              <w:left w:val="nil"/>
              <w:bottom w:val="nil"/>
              <w:right w:val="nil"/>
            </w:tcBorders>
            <w:shd w:val="solid" w:color="FFFFFF" w:fill="auto"/>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c>
          <w:tcPr>
            <w:tcW w:w="1123" w:type="dxa"/>
            <w:gridSpan w:val="2"/>
            <w:tcBorders>
              <w:top w:val="single" w:sz="4" w:space="0" w:color="auto"/>
              <w:left w:val="nil"/>
              <w:bottom w:val="nil"/>
              <w:right w:val="nil"/>
            </w:tcBorders>
            <w:shd w:val="solid" w:color="FFFFFF" w:fill="auto"/>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r>
      <w:tr w:rsidR="000B4A1E" w:rsidRPr="003E2DBE" w:rsidTr="00517E51">
        <w:tc>
          <w:tcPr>
            <w:tcW w:w="4694" w:type="dxa"/>
            <w:tcBorders>
              <w:top w:val="nil"/>
              <w:left w:val="nil"/>
              <w:bottom w:val="nil"/>
              <w:right w:val="nil"/>
            </w:tcBorders>
            <w:shd w:val="solid" w:color="FFFFFF" w:fill="auto"/>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Derivative </w:t>
            </w:r>
            <w:r w:rsidRPr="003E2DBE">
              <w:rPr>
                <w:rFonts w:eastAsiaTheme="minorEastAsia" w:cs="Calibri"/>
                <w:szCs w:val="22"/>
                <w:lang w:eastAsia="en-AU"/>
              </w:rPr>
              <w:t>assets</w:t>
            </w:r>
          </w:p>
        </w:tc>
        <w:tc>
          <w:tcPr>
            <w:tcW w:w="1585"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w:t>
            </w:r>
          </w:p>
        </w:tc>
      </w:tr>
      <w:tr w:rsidR="000B4A1E" w:rsidRPr="003E2DBE" w:rsidTr="00517E51">
        <w:tc>
          <w:tcPr>
            <w:tcW w:w="4694" w:type="dxa"/>
            <w:tcBorders>
              <w:top w:val="nil"/>
              <w:left w:val="nil"/>
              <w:bottom w:val="nil"/>
              <w:right w:val="nil"/>
            </w:tcBorders>
            <w:shd w:val="solid" w:color="FFFFFF" w:fill="auto"/>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Equities </w:t>
            </w:r>
            <w:r w:rsidRPr="003E2DBE">
              <w:rPr>
                <w:rFonts w:eastAsiaTheme="minorEastAsia" w:cs="Calibri"/>
                <w:szCs w:val="22"/>
                <w:lang w:eastAsia="en-AU"/>
              </w:rPr>
              <w:t>and managed investment schemes</w:t>
            </w:r>
          </w:p>
        </w:tc>
        <w:tc>
          <w:tcPr>
            <w:tcW w:w="1585"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421.4</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171.7</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127.5</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122.2</w:t>
            </w:r>
          </w:p>
        </w:tc>
      </w:tr>
      <w:tr w:rsidR="000B4A1E" w:rsidRPr="003E2DBE" w:rsidTr="00517E51">
        <w:tc>
          <w:tcPr>
            <w:tcW w:w="4694" w:type="dxa"/>
            <w:tcBorders>
              <w:top w:val="nil"/>
              <w:left w:val="nil"/>
              <w:bottom w:val="nil"/>
              <w:right w:val="nil"/>
            </w:tcBorders>
            <w:shd w:val="solid" w:color="FFFFFF" w:fill="auto"/>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Debt securities </w:t>
            </w:r>
            <w:r w:rsidRPr="003E2DBE">
              <w:rPr>
                <w:rFonts w:eastAsiaTheme="minorEastAsia" w:cs="Calibri"/>
                <w:szCs w:val="22"/>
                <w:lang w:eastAsia="en-AU"/>
              </w:rPr>
              <w:t>at fair value</w:t>
            </w:r>
          </w:p>
        </w:tc>
        <w:tc>
          <w:tcPr>
            <w:tcW w:w="1585"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38.0</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37.3</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w:t>
            </w:r>
          </w:p>
        </w:tc>
        <w:tc>
          <w:tcPr>
            <w:tcW w:w="1123" w:type="dxa"/>
            <w:gridSpan w:val="2"/>
            <w:tcBorders>
              <w:top w:val="nil"/>
              <w:left w:val="nil"/>
              <w:bottom w:val="nil"/>
              <w:right w:val="nil"/>
            </w:tcBorders>
            <w:shd w:val="solid" w:color="FFFFFF" w:fill="auto"/>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0.8</w:t>
            </w:r>
          </w:p>
        </w:tc>
      </w:tr>
      <w:tr w:rsidR="000B4A1E" w:rsidRPr="003E2DBE" w:rsidTr="00517E51">
        <w:tc>
          <w:tcPr>
            <w:tcW w:w="4694"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 xml:space="preserve">Total financial </w:t>
            </w:r>
            <w:r w:rsidRPr="003E2DBE">
              <w:rPr>
                <w:rFonts w:eastAsiaTheme="minorEastAsia" w:cs="Calibri"/>
                <w:b/>
                <w:bCs/>
                <w:szCs w:val="22"/>
                <w:lang w:eastAsia="en-AU"/>
              </w:rPr>
              <w:t>assets</w:t>
            </w:r>
          </w:p>
        </w:tc>
        <w:tc>
          <w:tcPr>
            <w:tcW w:w="1585"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459.4</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209.0</w:t>
            </w:r>
          </w:p>
        </w:tc>
        <w:tc>
          <w:tcPr>
            <w:tcW w:w="1123" w:type="dxa"/>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127.5</w:t>
            </w:r>
          </w:p>
        </w:tc>
        <w:tc>
          <w:tcPr>
            <w:tcW w:w="1123" w:type="dxa"/>
            <w:gridSpan w:val="2"/>
            <w:tcBorders>
              <w:top w:val="single" w:sz="6" w:space="0" w:color="auto"/>
              <w:left w:val="nil"/>
              <w:bottom w:val="single" w:sz="12"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123.0</w:t>
            </w:r>
          </w:p>
        </w:tc>
      </w:tr>
    </w:tbl>
    <w:p w:rsidR="000B4A1E" w:rsidRPr="00D00665" w:rsidRDefault="000B4A1E" w:rsidP="00517E51">
      <w:pPr>
        <w:pStyle w:val="Notes"/>
        <w:rPr>
          <w:b/>
          <w:bCs/>
          <w:lang w:eastAsia="en-AU"/>
        </w:rPr>
      </w:pPr>
      <w:r w:rsidRPr="00D00665">
        <w:rPr>
          <w:lang w:eastAsia="en-AU"/>
        </w:rPr>
        <w:t>Notes:</w:t>
      </w:r>
    </w:p>
    <w:p w:rsidR="000B4A1E" w:rsidRPr="00D00665" w:rsidRDefault="000B4A1E" w:rsidP="00517E51">
      <w:pPr>
        <w:pStyle w:val="Notes"/>
        <w:rPr>
          <w:b/>
          <w:bCs/>
          <w:lang w:eastAsia="en-AU"/>
        </w:rPr>
      </w:pPr>
      <w:r w:rsidRPr="00D00665">
        <w:rPr>
          <w:lang w:eastAsia="en-AU"/>
        </w:rPr>
        <w:t xml:space="preserve">(a) </w:t>
      </w:r>
      <w:r w:rsidRPr="00D00665">
        <w:rPr>
          <w:lang w:eastAsia="en-AU"/>
        </w:rPr>
        <w:tab/>
        <w:t>Quoted prices (unadjusted) in active markets for identical assets or liabilities.</w:t>
      </w:r>
    </w:p>
    <w:p w:rsidR="000B4A1E" w:rsidRPr="00D00665" w:rsidRDefault="000B4A1E" w:rsidP="00517E51">
      <w:pPr>
        <w:pStyle w:val="Notes"/>
        <w:rPr>
          <w:b/>
          <w:bCs/>
          <w:lang w:eastAsia="en-AU"/>
        </w:rPr>
      </w:pPr>
      <w:r w:rsidRPr="00D00665">
        <w:rPr>
          <w:lang w:eastAsia="en-AU"/>
        </w:rPr>
        <w:t xml:space="preserve">(b) </w:t>
      </w:r>
      <w:r w:rsidRPr="00D00665">
        <w:rPr>
          <w:lang w:eastAsia="en-AU"/>
        </w:rPr>
        <w:tab/>
        <w:t>Inputs based on observable market data (either directly using prices or indirectly derived from prices).</w:t>
      </w:r>
    </w:p>
    <w:p w:rsidR="000B4A1E" w:rsidRPr="00D00665" w:rsidRDefault="000B4A1E" w:rsidP="00517E51">
      <w:pPr>
        <w:pStyle w:val="Notes"/>
        <w:rPr>
          <w:b/>
          <w:bCs/>
          <w:lang w:eastAsia="en-AU"/>
        </w:rPr>
      </w:pPr>
      <w:r w:rsidRPr="00D00665">
        <w:rPr>
          <w:lang w:eastAsia="en-AU"/>
        </w:rPr>
        <w:t xml:space="preserve">(c) </w:t>
      </w:r>
      <w:r w:rsidRPr="00D00665">
        <w:rPr>
          <w:lang w:eastAsia="en-AU"/>
        </w:rPr>
        <w:tab/>
        <w:t>Inputs not based on observable market data.</w:t>
      </w:r>
    </w:p>
    <w:p w:rsidR="000B4A1E" w:rsidRPr="00D00665" w:rsidRDefault="000B4A1E" w:rsidP="00517E51"/>
    <w:p w:rsidR="000B4A1E" w:rsidRPr="00D00665" w:rsidRDefault="000B4A1E" w:rsidP="00517E51">
      <w:pPr>
        <w:pStyle w:val="Heading5a"/>
      </w:pPr>
      <w:r w:rsidRPr="00D00665">
        <w:t>Significant transfers between Level 1 and Level 2</w:t>
      </w:r>
    </w:p>
    <w:p w:rsidR="000B4A1E" w:rsidRPr="00D00665" w:rsidRDefault="000B4A1E" w:rsidP="00517E51">
      <w:r w:rsidRPr="00D00665">
        <w:t xml:space="preserve">There are no significant transfers identified between </w:t>
      </w:r>
      <w:r w:rsidR="00687D82">
        <w:t>L</w:t>
      </w:r>
      <w:r w:rsidRPr="00D00665">
        <w:t xml:space="preserve">evel 1 and </w:t>
      </w:r>
      <w:r w:rsidR="00687D82">
        <w:t>L</w:t>
      </w:r>
      <w:r w:rsidRPr="00D00665">
        <w:t>evel 2.</w:t>
      </w:r>
    </w:p>
    <w:p w:rsidR="000B4A1E" w:rsidRPr="00D00665" w:rsidRDefault="000B4A1E" w:rsidP="00517E51">
      <w:pPr>
        <w:pStyle w:val="Heading2NotesContd"/>
      </w:pPr>
      <w:r w:rsidRPr="00D00665">
        <w:br w:type="page"/>
      </w:r>
    </w:p>
    <w:p w:rsidR="000B4A1E" w:rsidRPr="0051380F" w:rsidRDefault="000B4A1E" w:rsidP="00517E51">
      <w:pPr>
        <w:pStyle w:val="Heading2NotesContd"/>
        <w:rPr>
          <w:i/>
        </w:rPr>
      </w:pPr>
      <w:r w:rsidRPr="00D00665">
        <w:lastRenderedPageBreak/>
        <w:t>Note 32:</w:t>
      </w:r>
      <w:r w:rsidRPr="00D00665">
        <w:tab/>
        <w:t>Financial instruments</w:t>
      </w:r>
      <w:r>
        <w:t xml:space="preserve"> </w:t>
      </w:r>
      <w:r>
        <w:rPr>
          <w:i/>
        </w:rPr>
        <w:t>(continued)</w:t>
      </w:r>
    </w:p>
    <w:p w:rsidR="000B4A1E" w:rsidRPr="00D00665" w:rsidRDefault="000B4A1E" w:rsidP="00517E51">
      <w:pPr>
        <w:pStyle w:val="Heading5"/>
      </w:pPr>
      <w:r w:rsidRPr="00D00665">
        <w:t>Reconciliation of Level 3 fair value movements</w:t>
      </w:r>
    </w:p>
    <w:p w:rsidR="000B4A1E" w:rsidRPr="003E2DBE" w:rsidRDefault="000B4A1E" w:rsidP="00517E51">
      <w:pPr>
        <w:pStyle w:val="million"/>
      </w:pPr>
      <w:r w:rsidRPr="00D00665">
        <w:t>($</w:t>
      </w:r>
      <w:r>
        <w:t> million</w:t>
      </w:r>
      <w:r w:rsidRPr="00D00665">
        <w:t>)</w:t>
      </w:r>
      <w:bookmarkStart w:id="178" w:name="RANGE!C721:I786"/>
      <w:bookmarkStart w:id="179" w:name="RANGE!C713:I778"/>
      <w:bookmarkStart w:id="180" w:name="RANGE!C706:I771"/>
      <w:bookmarkStart w:id="181" w:name="RANGE!C684:I749"/>
      <w:bookmarkStart w:id="182" w:name="RANGE!C600:I665"/>
      <w:bookmarkStart w:id="183" w:name="RANGE!C621:I686"/>
      <w:bookmarkStart w:id="184" w:name="RANGE!C620:I685"/>
      <w:bookmarkStart w:id="185" w:name="RANGE!C654:I719"/>
      <w:bookmarkStart w:id="186" w:name="RANGE!C672:I737"/>
      <w:bookmarkStart w:id="187" w:name="RANGE!C711:I776"/>
    </w:p>
    <w:tbl>
      <w:tblPr>
        <w:tblW w:w="9648" w:type="dxa"/>
        <w:tblInd w:w="29" w:type="dxa"/>
        <w:tblCellMar>
          <w:left w:w="43" w:type="dxa"/>
          <w:right w:w="43" w:type="dxa"/>
        </w:tblCellMar>
        <w:tblLook w:val="04A0" w:firstRow="1" w:lastRow="0" w:firstColumn="1" w:lastColumn="0" w:noHBand="0" w:noVBand="1"/>
      </w:tblPr>
      <w:tblGrid>
        <w:gridCol w:w="3344"/>
        <w:gridCol w:w="106"/>
        <w:gridCol w:w="29"/>
        <w:gridCol w:w="45"/>
        <w:gridCol w:w="870"/>
        <w:gridCol w:w="914"/>
        <w:gridCol w:w="138"/>
        <w:gridCol w:w="1051"/>
        <w:gridCol w:w="901"/>
        <w:gridCol w:w="118"/>
        <w:gridCol w:w="31"/>
        <w:gridCol w:w="1051"/>
        <w:gridCol w:w="1051"/>
      </w:tblGrid>
      <w:tr w:rsidR="000B4A1E" w:rsidRPr="003E2DBE" w:rsidTr="00517E51">
        <w:trPr>
          <w:divId w:val="2000575683"/>
        </w:trPr>
        <w:tc>
          <w:tcPr>
            <w:tcW w:w="3344"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 xml:space="preserve"> </w:t>
            </w:r>
            <w:bookmarkEnd w:id="178"/>
          </w:p>
        </w:tc>
        <w:tc>
          <w:tcPr>
            <w:tcW w:w="106" w:type="dxa"/>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 </w:t>
            </w:r>
          </w:p>
        </w:tc>
        <w:tc>
          <w:tcPr>
            <w:tcW w:w="1995" w:type="dxa"/>
            <w:gridSpan w:val="4"/>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rFonts w:cs="Calibri"/>
                <w:iCs/>
                <w:szCs w:val="22"/>
                <w:lang w:eastAsia="en-AU"/>
              </w:rPr>
            </w:pPr>
            <w:r w:rsidRPr="003E2DBE">
              <w:rPr>
                <w:lang w:eastAsia="en-AU"/>
              </w:rPr>
              <w:t xml:space="preserve"> </w:t>
            </w:r>
            <w:r w:rsidRPr="003E2DBE">
              <w:rPr>
                <w:lang w:eastAsia="en-AU"/>
              </w:rPr>
              <w:br/>
            </w:r>
            <w:r w:rsidRPr="003E2DBE">
              <w:rPr>
                <w:lang w:eastAsia="en-AU"/>
              </w:rPr>
              <w:br/>
              <w:t>Derivative assets</w:t>
            </w:r>
          </w:p>
        </w:tc>
        <w:tc>
          <w:tcPr>
            <w:tcW w:w="149" w:type="dxa"/>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 </w:t>
            </w:r>
          </w:p>
        </w:tc>
        <w:tc>
          <w:tcPr>
            <w:tcW w:w="1952" w:type="dxa"/>
            <w:gridSpan w:val="2"/>
            <w:tcBorders>
              <w:top w:val="single" w:sz="4" w:space="0" w:color="auto"/>
              <w:left w:val="nil"/>
              <w:bottom w:val="nil"/>
              <w:right w:val="nil"/>
            </w:tcBorders>
            <w:shd w:val="clear" w:color="auto" w:fill="000000"/>
            <w:hideMark/>
          </w:tcPr>
          <w:p w:rsidR="000B4A1E" w:rsidRPr="003E2DBE" w:rsidRDefault="000B4A1E" w:rsidP="00517E51">
            <w:pPr>
              <w:pStyle w:val="TabletextheadingCentred"/>
              <w:rPr>
                <w:lang w:eastAsia="en-AU"/>
              </w:rPr>
            </w:pPr>
            <w:r w:rsidRPr="003E2DBE">
              <w:rPr>
                <w:lang w:eastAsia="en-AU"/>
              </w:rPr>
              <w:t xml:space="preserve">Equities </w:t>
            </w:r>
            <w:r w:rsidRPr="003E2DBE">
              <w:rPr>
                <w:lang w:eastAsia="en-AU"/>
              </w:rPr>
              <w:br/>
              <w:t>and managed</w:t>
            </w:r>
            <w:r w:rsidRPr="003E2DBE">
              <w:rPr>
                <w:lang w:eastAsia="en-AU"/>
              </w:rPr>
              <w:br/>
              <w:t>investment schemes</w:t>
            </w:r>
          </w:p>
        </w:tc>
        <w:tc>
          <w:tcPr>
            <w:tcW w:w="118" w:type="dxa"/>
            <w:tcBorders>
              <w:top w:val="single" w:sz="4" w:space="0" w:color="auto"/>
              <w:left w:val="nil"/>
              <w:bottom w:val="nil"/>
              <w:right w:val="nil"/>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t xml:space="preserve"> </w:t>
            </w:r>
          </w:p>
        </w:tc>
        <w:tc>
          <w:tcPr>
            <w:tcW w:w="1984" w:type="dxa"/>
            <w:gridSpan w:val="3"/>
            <w:tcBorders>
              <w:top w:val="single" w:sz="4" w:space="0" w:color="auto"/>
              <w:left w:val="nil"/>
              <w:bottom w:val="nil"/>
              <w:right w:val="single" w:sz="4" w:space="0" w:color="auto"/>
            </w:tcBorders>
            <w:shd w:val="clear" w:color="auto" w:fill="000000"/>
            <w:vAlign w:val="bottom"/>
            <w:hideMark/>
          </w:tcPr>
          <w:p w:rsidR="000B4A1E" w:rsidRPr="003E2DBE" w:rsidRDefault="000B4A1E" w:rsidP="00517E51">
            <w:pPr>
              <w:pStyle w:val="TabletextheadingCentred"/>
              <w:rPr>
                <w:lang w:eastAsia="en-AU"/>
              </w:rPr>
            </w:pPr>
            <w:r w:rsidRPr="003E2DBE">
              <w:rPr>
                <w:lang w:eastAsia="en-AU"/>
              </w:rPr>
              <w:br/>
              <w:t>Debt securities at fair value</w:t>
            </w:r>
          </w:p>
        </w:tc>
      </w:tr>
      <w:tr w:rsidR="000B4A1E" w:rsidRPr="003E2DBE" w:rsidTr="00517E51">
        <w:trPr>
          <w:divId w:val="2000575683"/>
        </w:trPr>
        <w:tc>
          <w:tcPr>
            <w:tcW w:w="3344" w:type="dxa"/>
            <w:tcBorders>
              <w:top w:val="single" w:sz="4" w:space="0" w:color="auto"/>
              <w:left w:val="single" w:sz="4" w:space="0" w:color="auto"/>
              <w:bottom w:val="single" w:sz="4" w:space="0" w:color="auto"/>
              <w:right w:val="nil"/>
            </w:tcBorders>
            <w:shd w:val="clear" w:color="auto" w:fill="000000"/>
            <w:vAlign w:val="bottom"/>
            <w:hideMark/>
          </w:tcPr>
          <w:p w:rsidR="000B4A1E" w:rsidRPr="003E2DBE" w:rsidRDefault="000B4A1E" w:rsidP="00517E51">
            <w:pPr>
              <w:pStyle w:val="TabletextheadingLeft"/>
              <w:rPr>
                <w:iCs/>
                <w:lang w:eastAsia="en-AU"/>
              </w:rPr>
            </w:pPr>
            <w:r w:rsidRPr="003E2DBE">
              <w:rPr>
                <w:iCs/>
                <w:lang w:eastAsia="en-AU"/>
              </w:rPr>
              <w:t>State of Victoria</w:t>
            </w:r>
          </w:p>
        </w:tc>
        <w:tc>
          <w:tcPr>
            <w:tcW w:w="1050" w:type="dxa"/>
            <w:gridSpan w:val="4"/>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2013</w:t>
            </w:r>
          </w:p>
        </w:tc>
        <w:tc>
          <w:tcPr>
            <w:tcW w:w="1051" w:type="dxa"/>
            <w:gridSpan w:val="2"/>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2012</w:t>
            </w:r>
          </w:p>
        </w:tc>
        <w:tc>
          <w:tcPr>
            <w:tcW w:w="1051"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2013</w:t>
            </w:r>
          </w:p>
        </w:tc>
        <w:tc>
          <w:tcPr>
            <w:tcW w:w="1050" w:type="dxa"/>
            <w:gridSpan w:val="3"/>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2012</w:t>
            </w:r>
          </w:p>
        </w:tc>
        <w:tc>
          <w:tcPr>
            <w:tcW w:w="1051" w:type="dxa"/>
            <w:tcBorders>
              <w:top w:val="nil"/>
              <w:left w:val="nil"/>
              <w:bottom w:val="single" w:sz="4" w:space="0" w:color="auto"/>
              <w:right w:val="nil"/>
            </w:tcBorders>
            <w:shd w:val="clear" w:color="auto" w:fill="000000"/>
            <w:hideMark/>
          </w:tcPr>
          <w:p w:rsidR="000B4A1E" w:rsidRPr="003E2DBE" w:rsidRDefault="000B4A1E" w:rsidP="00517E51">
            <w:pPr>
              <w:pStyle w:val="Tabletextheading"/>
              <w:rPr>
                <w:lang w:eastAsia="en-AU"/>
              </w:rPr>
            </w:pPr>
            <w:r w:rsidRPr="003E2DBE">
              <w:rPr>
                <w:lang w:eastAsia="en-AU"/>
              </w:rPr>
              <w:t>2013</w:t>
            </w:r>
          </w:p>
        </w:tc>
        <w:tc>
          <w:tcPr>
            <w:tcW w:w="1051" w:type="dxa"/>
            <w:tcBorders>
              <w:top w:val="nil"/>
              <w:left w:val="nil"/>
              <w:bottom w:val="single" w:sz="4" w:space="0" w:color="auto"/>
              <w:right w:val="single" w:sz="4" w:space="0" w:color="auto"/>
            </w:tcBorders>
            <w:shd w:val="clear" w:color="auto" w:fill="000000"/>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b/>
                <w:lang w:eastAsia="en-AU"/>
              </w:rPr>
            </w:pPr>
            <w:r w:rsidRPr="003E2DBE">
              <w:rPr>
                <w:b/>
                <w:lang w:eastAsia="en-AU"/>
              </w:rPr>
              <w:t>Opening balance</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b/>
                <w:lang w:eastAsia="en-AU"/>
              </w:rPr>
              <w:t xml:space="preserve"> 61.2</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b/>
                <w:lang w:eastAsia="en-AU"/>
              </w:rPr>
              <w:t xml:space="preserve"> 36.9</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b/>
                <w:lang w:eastAsia="en-AU"/>
              </w:rPr>
              <w:t xml:space="preserve"> 550.8</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b/>
                <w:lang w:eastAsia="en-AU"/>
              </w:rPr>
              <w:t xml:space="preserve"> 492.9</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b/>
                <w:lang w:eastAsia="en-AU"/>
              </w:rPr>
              <w:t xml:space="preserve"> 107.2</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b/>
                <w:lang w:eastAsia="en-AU"/>
              </w:rPr>
              <w:t xml:space="preserve"> 65.4</w:t>
            </w:r>
          </w:p>
        </w:tc>
      </w:tr>
      <w:tr w:rsidR="000B4A1E" w:rsidRPr="003E2DBE" w:rsidTr="00517E51">
        <w:trPr>
          <w:divId w:val="2000575683"/>
        </w:trPr>
        <w:tc>
          <w:tcPr>
            <w:tcW w:w="3479" w:type="dxa"/>
            <w:gridSpan w:val="3"/>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Total gains and losses recognised in:</w:t>
            </w:r>
          </w:p>
        </w:tc>
        <w:tc>
          <w:tcPr>
            <w:tcW w:w="915" w:type="dxa"/>
            <w:gridSpan w:val="2"/>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 xml:space="preserve"> </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 </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 </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Net result</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9.9</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6.7</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95.7)</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5.9</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1.3</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Other </w:t>
            </w:r>
            <w:r w:rsidRPr="003E2DBE">
              <w:rPr>
                <w:rFonts w:cs="Calibri"/>
                <w:szCs w:val="22"/>
                <w:lang w:eastAsia="en-AU"/>
              </w:rPr>
              <w:t>comprehensive income</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96.2</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15.8)</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5.6</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Purchases</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8.7</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306.1</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421.0</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37.9</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Sales</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4.5)</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113.7)</w:t>
            </w:r>
          </w:p>
        </w:tc>
        <w:tc>
          <w:tcPr>
            <w:tcW w:w="105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397.3)</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0.2)</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1.3)</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Settlements</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10.2</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0.1</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14.5)</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8.2)</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11.1)</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Transfers </w:t>
            </w:r>
            <w:r w:rsidRPr="003E2DBE">
              <w:rPr>
                <w:rFonts w:cs="Calibri"/>
                <w:szCs w:val="22"/>
                <w:lang w:eastAsia="en-AU"/>
              </w:rPr>
              <w:t>from other levels</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2"/>
                <w:lang w:eastAsia="en-AU"/>
              </w:rPr>
              <w:t>716.6</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262.4</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8.8</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16.0</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Transfers </w:t>
            </w:r>
            <w:r w:rsidRPr="003E2DBE">
              <w:rPr>
                <w:rFonts w:cs="Calibri"/>
                <w:szCs w:val="22"/>
                <w:lang w:eastAsia="en-AU"/>
              </w:rPr>
              <w:t>out of Level 3</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61.2)</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249.9)</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102.3)</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3.0)</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1.0)</w:t>
            </w:r>
          </w:p>
        </w:tc>
      </w:tr>
      <w:tr w:rsidR="000B4A1E" w:rsidRPr="003E2DBE" w:rsidTr="00517E51">
        <w:trPr>
          <w:divId w:val="2000575683"/>
        </w:trPr>
        <w:tc>
          <w:tcPr>
            <w:tcW w:w="3344" w:type="dxa"/>
            <w:tcBorders>
              <w:top w:val="single" w:sz="4" w:space="0" w:color="auto"/>
              <w:left w:val="nil"/>
              <w:bottom w:val="single" w:sz="8" w:space="0" w:color="auto"/>
              <w:right w:val="nil"/>
            </w:tcBorders>
            <w:shd w:val="clear" w:color="000000" w:fill="FFFFFF"/>
            <w:noWrap/>
            <w:vAlign w:val="bottom"/>
            <w:hideMark/>
          </w:tcPr>
          <w:p w:rsidR="000B4A1E" w:rsidRPr="003E2DBE" w:rsidRDefault="000B4A1E" w:rsidP="00517E51">
            <w:pPr>
              <w:pStyle w:val="Tabletext"/>
              <w:rPr>
                <w:rFonts w:cs="Calibri"/>
                <w:b/>
                <w:bCs/>
                <w:szCs w:val="22"/>
                <w:lang w:eastAsia="en-AU"/>
              </w:rPr>
            </w:pPr>
            <w:r w:rsidRPr="003E2DBE">
              <w:rPr>
                <w:b/>
                <w:lang w:eastAsia="en-AU"/>
              </w:rPr>
              <w:t xml:space="preserve">Closing </w:t>
            </w:r>
            <w:r w:rsidRPr="003E2DBE">
              <w:rPr>
                <w:rFonts w:cs="Calibri"/>
                <w:b/>
                <w:bCs/>
                <w:szCs w:val="22"/>
                <w:lang w:eastAsia="en-AU"/>
              </w:rPr>
              <w:t>balance</w:t>
            </w:r>
          </w:p>
        </w:tc>
        <w:tc>
          <w:tcPr>
            <w:tcW w:w="1050" w:type="dxa"/>
            <w:gridSpan w:val="4"/>
            <w:tcBorders>
              <w:top w:val="single" w:sz="4" w:space="0" w:color="auto"/>
              <w:left w:val="nil"/>
              <w:bottom w:val="single" w:sz="8"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Pr>
                <w:b/>
                <w:bCs/>
                <w:lang w:eastAsia="en-AU"/>
              </w:rPr>
              <w:t>..</w:t>
            </w:r>
          </w:p>
        </w:tc>
        <w:tc>
          <w:tcPr>
            <w:tcW w:w="1051" w:type="dxa"/>
            <w:gridSpan w:val="2"/>
            <w:tcBorders>
              <w:top w:val="single" w:sz="4" w:space="0" w:color="auto"/>
              <w:left w:val="nil"/>
              <w:bottom w:val="single" w:sz="8"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61.2</w:t>
            </w:r>
          </w:p>
        </w:tc>
        <w:tc>
          <w:tcPr>
            <w:tcW w:w="1051" w:type="dxa"/>
            <w:tcBorders>
              <w:top w:val="single" w:sz="4" w:space="0" w:color="auto"/>
              <w:left w:val="nil"/>
              <w:bottom w:val="single" w:sz="8"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2"/>
                <w:lang w:eastAsia="en-AU"/>
              </w:rPr>
              <w:t>312.9</w:t>
            </w:r>
          </w:p>
        </w:tc>
        <w:tc>
          <w:tcPr>
            <w:tcW w:w="1050" w:type="dxa"/>
            <w:gridSpan w:val="3"/>
            <w:tcBorders>
              <w:top w:val="single" w:sz="4" w:space="0" w:color="auto"/>
              <w:left w:val="nil"/>
              <w:bottom w:val="single" w:sz="8"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bCs/>
                <w:lang w:eastAsia="en-AU"/>
              </w:rPr>
              <w:t xml:space="preserve"> 550.8</w:t>
            </w:r>
          </w:p>
        </w:tc>
        <w:tc>
          <w:tcPr>
            <w:tcW w:w="1051" w:type="dxa"/>
            <w:tcBorders>
              <w:top w:val="single" w:sz="4" w:space="0" w:color="auto"/>
              <w:left w:val="nil"/>
              <w:bottom w:val="single" w:sz="8" w:space="0" w:color="auto"/>
              <w:right w:val="nil"/>
            </w:tcBorders>
            <w:shd w:val="clear" w:color="000000" w:fill="FFFFFF"/>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116.0</w:t>
            </w:r>
          </w:p>
        </w:tc>
        <w:tc>
          <w:tcPr>
            <w:tcW w:w="1051" w:type="dxa"/>
            <w:tcBorders>
              <w:top w:val="single" w:sz="4" w:space="0" w:color="auto"/>
              <w:left w:val="nil"/>
              <w:bottom w:val="single" w:sz="8"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 107.2</w:t>
            </w:r>
          </w:p>
        </w:tc>
      </w:tr>
      <w:tr w:rsidR="000B4A1E" w:rsidRPr="003E2DBE" w:rsidTr="00517E51">
        <w:trPr>
          <w:divId w:val="2000575683"/>
        </w:trPr>
        <w:tc>
          <w:tcPr>
            <w:tcW w:w="3344" w:type="dxa"/>
            <w:tcBorders>
              <w:top w:val="nil"/>
              <w:left w:val="nil"/>
              <w:bottom w:val="single" w:sz="6" w:space="0" w:color="auto"/>
              <w:right w:val="nil"/>
            </w:tcBorders>
            <w:shd w:val="clear" w:color="auto" w:fill="auto"/>
            <w:noWrap/>
            <w:vAlign w:val="bottom"/>
            <w:hideMark/>
          </w:tcPr>
          <w:p w:rsidR="000B4A1E" w:rsidRPr="003E2DBE" w:rsidRDefault="000B4A1E" w:rsidP="00517E51">
            <w:pPr>
              <w:pStyle w:val="Tabletext"/>
              <w:rPr>
                <w:i/>
                <w:iCs/>
                <w:lang w:eastAsia="en-AU"/>
              </w:rPr>
            </w:pPr>
            <w:r w:rsidRPr="003E2DBE">
              <w:rPr>
                <w:i/>
                <w:iCs/>
                <w:lang w:eastAsia="en-AU"/>
              </w:rPr>
              <w:t xml:space="preserve"> </w:t>
            </w:r>
          </w:p>
        </w:tc>
        <w:tc>
          <w:tcPr>
            <w:tcW w:w="1050" w:type="dxa"/>
            <w:gridSpan w:val="4"/>
            <w:tcBorders>
              <w:top w:val="nil"/>
              <w:left w:val="nil"/>
              <w:bottom w:val="single" w:sz="6" w:space="0" w:color="auto"/>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051" w:type="dxa"/>
            <w:gridSpan w:val="2"/>
            <w:tcBorders>
              <w:top w:val="nil"/>
              <w:left w:val="nil"/>
              <w:bottom w:val="single" w:sz="6" w:space="0" w:color="auto"/>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051" w:type="dxa"/>
            <w:tcBorders>
              <w:top w:val="nil"/>
              <w:left w:val="nil"/>
              <w:bottom w:val="single" w:sz="6" w:space="0" w:color="auto"/>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050" w:type="dxa"/>
            <w:gridSpan w:val="3"/>
            <w:tcBorders>
              <w:top w:val="nil"/>
              <w:left w:val="nil"/>
              <w:bottom w:val="single" w:sz="6" w:space="0" w:color="auto"/>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051" w:type="dxa"/>
            <w:tcBorders>
              <w:top w:val="nil"/>
              <w:left w:val="nil"/>
              <w:bottom w:val="single" w:sz="6" w:space="0" w:color="auto"/>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051" w:type="dxa"/>
            <w:tcBorders>
              <w:top w:val="nil"/>
              <w:left w:val="nil"/>
              <w:bottom w:val="single" w:sz="6" w:space="0" w:color="auto"/>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2000575683"/>
        </w:trPr>
        <w:tc>
          <w:tcPr>
            <w:tcW w:w="3344" w:type="dxa"/>
            <w:tcBorders>
              <w:top w:val="single" w:sz="6" w:space="0" w:color="auto"/>
              <w:left w:val="single" w:sz="6" w:space="0" w:color="auto"/>
              <w:bottom w:val="single" w:sz="6" w:space="0" w:color="auto"/>
              <w:right w:val="nil"/>
            </w:tcBorders>
            <w:shd w:val="clear" w:color="000000" w:fill="000000"/>
            <w:vAlign w:val="bottom"/>
            <w:hideMark/>
          </w:tcPr>
          <w:p w:rsidR="000B4A1E" w:rsidRPr="003E2DBE" w:rsidRDefault="000B4A1E" w:rsidP="00517E51">
            <w:pPr>
              <w:pStyle w:val="TabletextheadingLeft"/>
              <w:rPr>
                <w:rFonts w:cs="Calibri"/>
                <w:iCs/>
                <w:szCs w:val="22"/>
                <w:lang w:eastAsia="en-AU"/>
              </w:rPr>
            </w:pPr>
            <w:r w:rsidRPr="003E2DBE">
              <w:rPr>
                <w:lang w:eastAsia="en-AU"/>
              </w:rPr>
              <w:t xml:space="preserve">General </w:t>
            </w:r>
            <w:r w:rsidRPr="003E2DBE">
              <w:rPr>
                <w:rFonts w:cs="Calibri"/>
                <w:iCs/>
                <w:szCs w:val="22"/>
                <w:lang w:eastAsia="en-AU"/>
              </w:rPr>
              <w:t>government sector</w:t>
            </w:r>
          </w:p>
        </w:tc>
        <w:tc>
          <w:tcPr>
            <w:tcW w:w="1050" w:type="dxa"/>
            <w:gridSpan w:val="4"/>
            <w:tcBorders>
              <w:top w:val="single" w:sz="6" w:space="0" w:color="auto"/>
              <w:left w:val="nil"/>
              <w:bottom w:val="single" w:sz="6" w:space="0" w:color="auto"/>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051" w:type="dxa"/>
            <w:gridSpan w:val="2"/>
            <w:tcBorders>
              <w:top w:val="single" w:sz="6" w:space="0" w:color="auto"/>
              <w:left w:val="nil"/>
              <w:bottom w:val="single" w:sz="6" w:space="0" w:color="auto"/>
              <w:right w:val="nil"/>
            </w:tcBorders>
            <w:shd w:val="clear" w:color="000000" w:fill="000000"/>
            <w:hideMark/>
          </w:tcPr>
          <w:p w:rsidR="000B4A1E" w:rsidRPr="003E2DBE" w:rsidRDefault="000B4A1E" w:rsidP="00517E51">
            <w:pPr>
              <w:pStyle w:val="TableofFigures"/>
              <w:rPr>
                <w:rFonts w:cs="Calibri"/>
                <w:i/>
                <w:iCs/>
                <w:szCs w:val="22"/>
                <w:lang w:eastAsia="en-AU"/>
              </w:rPr>
            </w:pPr>
            <w:r w:rsidRPr="003E2DBE">
              <w:rPr>
                <w:lang w:eastAsia="en-AU"/>
              </w:rPr>
              <w:t xml:space="preserve"> </w:t>
            </w:r>
          </w:p>
        </w:tc>
        <w:tc>
          <w:tcPr>
            <w:tcW w:w="1051" w:type="dxa"/>
            <w:tcBorders>
              <w:top w:val="single" w:sz="6" w:space="0" w:color="auto"/>
              <w:left w:val="nil"/>
              <w:bottom w:val="single" w:sz="6" w:space="0" w:color="auto"/>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050" w:type="dxa"/>
            <w:gridSpan w:val="3"/>
            <w:tcBorders>
              <w:top w:val="single" w:sz="6" w:space="0" w:color="auto"/>
              <w:left w:val="nil"/>
              <w:bottom w:val="single" w:sz="6" w:space="0" w:color="auto"/>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051" w:type="dxa"/>
            <w:tcBorders>
              <w:top w:val="single" w:sz="6" w:space="0" w:color="auto"/>
              <w:left w:val="nil"/>
              <w:bottom w:val="single" w:sz="6" w:space="0" w:color="auto"/>
              <w:right w:val="nil"/>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c>
          <w:tcPr>
            <w:tcW w:w="1051" w:type="dxa"/>
            <w:tcBorders>
              <w:top w:val="single" w:sz="6" w:space="0" w:color="auto"/>
              <w:left w:val="nil"/>
              <w:bottom w:val="single" w:sz="6" w:space="0" w:color="auto"/>
              <w:right w:val="single" w:sz="6" w:space="0" w:color="auto"/>
            </w:tcBorders>
            <w:shd w:val="clear" w:color="000000" w:fill="000000"/>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2000575683"/>
        </w:trPr>
        <w:tc>
          <w:tcPr>
            <w:tcW w:w="3344" w:type="dxa"/>
            <w:tcBorders>
              <w:top w:val="single" w:sz="6" w:space="0" w:color="auto"/>
              <w:left w:val="nil"/>
              <w:bottom w:val="nil"/>
              <w:right w:val="nil"/>
            </w:tcBorders>
            <w:shd w:val="clear" w:color="000000" w:fill="FFFFFF"/>
            <w:noWrap/>
            <w:vAlign w:val="bottom"/>
            <w:hideMark/>
          </w:tcPr>
          <w:p w:rsidR="000B4A1E" w:rsidRPr="003E2DBE" w:rsidRDefault="000B4A1E" w:rsidP="00517E51">
            <w:pPr>
              <w:pStyle w:val="Tabletext"/>
              <w:rPr>
                <w:rFonts w:cs="Calibri"/>
                <w:b/>
                <w:bCs/>
                <w:szCs w:val="22"/>
                <w:lang w:eastAsia="en-AU"/>
              </w:rPr>
            </w:pPr>
            <w:r w:rsidRPr="003E2DBE">
              <w:rPr>
                <w:b/>
                <w:lang w:eastAsia="en-AU"/>
              </w:rPr>
              <w:t xml:space="preserve">Opening </w:t>
            </w:r>
            <w:r w:rsidRPr="003E2DBE">
              <w:rPr>
                <w:rFonts w:cs="Calibri"/>
                <w:b/>
                <w:bCs/>
                <w:szCs w:val="22"/>
                <w:lang w:eastAsia="en-AU"/>
              </w:rPr>
              <w:t>balance</w:t>
            </w:r>
          </w:p>
        </w:tc>
        <w:tc>
          <w:tcPr>
            <w:tcW w:w="1050" w:type="dxa"/>
            <w:gridSpan w:val="4"/>
            <w:tcBorders>
              <w:top w:val="single" w:sz="6"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b/>
                <w:lang w:eastAsia="en-AU"/>
              </w:rPr>
              <w:t>..</w:t>
            </w:r>
          </w:p>
        </w:tc>
        <w:tc>
          <w:tcPr>
            <w:tcW w:w="1051" w:type="dxa"/>
            <w:gridSpan w:val="2"/>
            <w:tcBorders>
              <w:top w:val="single" w:sz="6" w:space="0" w:color="auto"/>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b/>
                <w:lang w:eastAsia="en-AU"/>
              </w:rPr>
              <w:t>.</w:t>
            </w:r>
            <w:r w:rsidRPr="003E2DBE">
              <w:rPr>
                <w:rFonts w:cs="Calibri"/>
                <w:szCs w:val="22"/>
                <w:lang w:eastAsia="en-AU"/>
              </w:rPr>
              <w:t>.</w:t>
            </w:r>
          </w:p>
        </w:tc>
        <w:tc>
          <w:tcPr>
            <w:tcW w:w="1051" w:type="dxa"/>
            <w:tcBorders>
              <w:top w:val="single" w:sz="6" w:space="0" w:color="auto"/>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b/>
                <w:lang w:eastAsia="en-AU"/>
              </w:rPr>
              <w:t xml:space="preserve"> 122.2</w:t>
            </w:r>
          </w:p>
        </w:tc>
        <w:tc>
          <w:tcPr>
            <w:tcW w:w="1050" w:type="dxa"/>
            <w:gridSpan w:val="3"/>
            <w:tcBorders>
              <w:top w:val="single" w:sz="6" w:space="0" w:color="auto"/>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b/>
                <w:lang w:eastAsia="en-AU"/>
              </w:rPr>
              <w:t xml:space="preserve"> 60.8</w:t>
            </w:r>
          </w:p>
        </w:tc>
        <w:tc>
          <w:tcPr>
            <w:tcW w:w="1051" w:type="dxa"/>
            <w:tcBorders>
              <w:top w:val="single" w:sz="6" w:space="0" w:color="auto"/>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b/>
                <w:lang w:eastAsia="en-AU"/>
              </w:rPr>
              <w:t xml:space="preserve"> 0.8</w:t>
            </w:r>
          </w:p>
        </w:tc>
        <w:tc>
          <w:tcPr>
            <w:tcW w:w="1051" w:type="dxa"/>
            <w:tcBorders>
              <w:top w:val="single" w:sz="6" w:space="0" w:color="auto"/>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b/>
                <w:lang w:eastAsia="en-AU"/>
              </w:rPr>
              <w:t>..</w:t>
            </w:r>
          </w:p>
        </w:tc>
      </w:tr>
      <w:tr w:rsidR="000B4A1E" w:rsidRPr="003E2DBE" w:rsidTr="00517E51">
        <w:trPr>
          <w:divId w:val="2000575683"/>
        </w:trPr>
        <w:tc>
          <w:tcPr>
            <w:tcW w:w="3524" w:type="dxa"/>
            <w:gridSpan w:val="4"/>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Total </w:t>
            </w:r>
            <w:r w:rsidRPr="003E2DBE">
              <w:rPr>
                <w:rFonts w:cs="Calibri"/>
                <w:szCs w:val="22"/>
                <w:lang w:eastAsia="en-AU"/>
              </w:rPr>
              <w:t>gains and losses recognised in:</w:t>
            </w:r>
          </w:p>
        </w:tc>
        <w:tc>
          <w:tcPr>
            <w:tcW w:w="870" w:type="dxa"/>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 xml:space="preserve"> </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lang w:eastAsia="en-AU"/>
              </w:rPr>
            </w:pPr>
            <w:r w:rsidRPr="003E2DBE">
              <w:rPr>
                <w:lang w:eastAsia="en-AU"/>
              </w:rPr>
              <w:t xml:space="preserve"> </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lang w:eastAsia="en-AU"/>
              </w:rPr>
            </w:pPr>
            <w:r w:rsidRPr="003E2DBE">
              <w:rPr>
                <w:lang w:eastAsia="en-AU"/>
              </w:rPr>
              <w:t> </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lang w:eastAsia="en-AU"/>
              </w:rPr>
            </w:pPr>
            <w:r w:rsidRPr="003E2DBE">
              <w:rPr>
                <w:lang w:eastAsia="en-AU"/>
              </w:rPr>
              <w:t> </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Net </w:t>
            </w:r>
            <w:r w:rsidRPr="003E2DBE">
              <w:rPr>
                <w:rFonts w:cs="Calibri"/>
                <w:szCs w:val="22"/>
                <w:lang w:eastAsia="en-AU"/>
              </w:rPr>
              <w:t>result</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3.5</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25.6)</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0.2</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Other </w:t>
            </w:r>
            <w:r w:rsidRPr="003E2DBE">
              <w:rPr>
                <w:rFonts w:cs="Calibri"/>
                <w:szCs w:val="22"/>
                <w:lang w:eastAsia="en-AU"/>
              </w:rPr>
              <w:t>comprehensive income</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7.3</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 xml:space="preserve"> 3.2)</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Pr>
                <w:lang w:eastAsia="en-AU"/>
              </w:rPr>
              <w:t>..</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Purchases</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13.1</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6.7</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Sales</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41.4)</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0.9)</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0.2)</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2.0)</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lang w:eastAsia="en-AU"/>
              </w:rPr>
            </w:pPr>
            <w:r w:rsidRPr="003E2DBE">
              <w:rPr>
                <w:lang w:eastAsia="en-AU"/>
              </w:rPr>
              <w:t>Settlements</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gridSpan w:val="2"/>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0" w:type="dxa"/>
            <w:gridSpan w:val="3"/>
            <w:tcBorders>
              <w:top w:val="nil"/>
              <w:left w:val="nil"/>
              <w:bottom w:val="nil"/>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14.3)</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2.3)</w:t>
            </w:r>
          </w:p>
        </w:tc>
      </w:tr>
      <w:tr w:rsidR="000B4A1E" w:rsidRPr="003E2DBE" w:rsidTr="00517E51">
        <w:trPr>
          <w:divId w:val="2000575683"/>
        </w:trPr>
        <w:tc>
          <w:tcPr>
            <w:tcW w:w="3344" w:type="dxa"/>
            <w:tcBorders>
              <w:top w:val="nil"/>
              <w:left w:val="nil"/>
              <w:bottom w:val="nil"/>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Transfers </w:t>
            </w:r>
            <w:r w:rsidRPr="003E2DBE">
              <w:rPr>
                <w:rFonts w:cs="Calibri"/>
                <w:szCs w:val="22"/>
                <w:lang w:eastAsia="en-AU"/>
              </w:rPr>
              <w:t>from other levels</w:t>
            </w:r>
          </w:p>
        </w:tc>
        <w:tc>
          <w:tcPr>
            <w:tcW w:w="1050" w:type="dxa"/>
            <w:gridSpan w:val="4"/>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2.0</w:t>
            </w:r>
          </w:p>
        </w:tc>
        <w:tc>
          <w:tcPr>
            <w:tcW w:w="1050" w:type="dxa"/>
            <w:gridSpan w:val="3"/>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100.4</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5.9</w:t>
            </w:r>
          </w:p>
        </w:tc>
      </w:tr>
      <w:tr w:rsidR="000B4A1E" w:rsidRPr="003E2DBE" w:rsidTr="00517E51">
        <w:trPr>
          <w:divId w:val="2000575683"/>
        </w:trPr>
        <w:tc>
          <w:tcPr>
            <w:tcW w:w="3344" w:type="dxa"/>
            <w:tcBorders>
              <w:top w:val="nil"/>
              <w:left w:val="nil"/>
              <w:bottom w:val="single" w:sz="6" w:space="0" w:color="auto"/>
              <w:right w:val="nil"/>
            </w:tcBorders>
            <w:shd w:val="clear" w:color="000000" w:fill="FFFFFF"/>
            <w:noWrap/>
            <w:vAlign w:val="bottom"/>
            <w:hideMark/>
          </w:tcPr>
          <w:p w:rsidR="000B4A1E" w:rsidRPr="003E2DBE" w:rsidRDefault="000B4A1E" w:rsidP="00517E51">
            <w:pPr>
              <w:pStyle w:val="Tabletext"/>
              <w:rPr>
                <w:rFonts w:cs="Calibri"/>
                <w:szCs w:val="22"/>
                <w:lang w:eastAsia="en-AU"/>
              </w:rPr>
            </w:pPr>
            <w:r w:rsidRPr="003E2DBE">
              <w:rPr>
                <w:lang w:eastAsia="en-AU"/>
              </w:rPr>
              <w:t xml:space="preserve">Transfers </w:t>
            </w:r>
            <w:r w:rsidRPr="003E2DBE">
              <w:rPr>
                <w:rFonts w:cs="Calibri"/>
                <w:szCs w:val="22"/>
                <w:lang w:eastAsia="en-AU"/>
              </w:rPr>
              <w:t xml:space="preserve">out of Level 3 </w:t>
            </w:r>
          </w:p>
        </w:tc>
        <w:tc>
          <w:tcPr>
            <w:tcW w:w="1050" w:type="dxa"/>
            <w:gridSpan w:val="4"/>
            <w:tcBorders>
              <w:top w:val="nil"/>
              <w:left w:val="nil"/>
              <w:bottom w:val="single" w:sz="6"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gridSpan w:val="2"/>
            <w:tcBorders>
              <w:top w:val="nil"/>
              <w:left w:val="nil"/>
              <w:bottom w:val="single" w:sz="6"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single" w:sz="6"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63.6)</w:t>
            </w:r>
          </w:p>
        </w:tc>
        <w:tc>
          <w:tcPr>
            <w:tcW w:w="1050" w:type="dxa"/>
            <w:gridSpan w:val="3"/>
            <w:tcBorders>
              <w:top w:val="nil"/>
              <w:left w:val="nil"/>
              <w:bottom w:val="single" w:sz="6" w:space="0" w:color="auto"/>
              <w:right w:val="nil"/>
            </w:tcBorders>
            <w:shd w:val="clear" w:color="000000" w:fill="FFFFFF"/>
            <w:noWrap/>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1.7)</w:t>
            </w:r>
          </w:p>
        </w:tc>
        <w:tc>
          <w:tcPr>
            <w:tcW w:w="1051" w:type="dxa"/>
            <w:tcBorders>
              <w:top w:val="nil"/>
              <w:left w:val="nil"/>
              <w:bottom w:val="single" w:sz="6"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051" w:type="dxa"/>
            <w:tcBorders>
              <w:top w:val="nil"/>
              <w:left w:val="nil"/>
              <w:bottom w:val="single" w:sz="6"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w:t>
            </w:r>
            <w:r w:rsidRPr="003E2DBE">
              <w:rPr>
                <w:rFonts w:cs="Calibri"/>
                <w:szCs w:val="22"/>
                <w:lang w:eastAsia="en-AU"/>
              </w:rPr>
              <w:t>1.0)</w:t>
            </w:r>
          </w:p>
        </w:tc>
      </w:tr>
      <w:tr w:rsidR="000B4A1E" w:rsidRPr="003E2DBE" w:rsidTr="00517E51">
        <w:trPr>
          <w:divId w:val="2000575683"/>
        </w:trPr>
        <w:tc>
          <w:tcPr>
            <w:tcW w:w="3344" w:type="dxa"/>
            <w:tcBorders>
              <w:top w:val="single" w:sz="6"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text"/>
              <w:rPr>
                <w:rFonts w:cs="Calibri"/>
                <w:b/>
                <w:bCs/>
                <w:szCs w:val="22"/>
                <w:lang w:eastAsia="en-AU"/>
              </w:rPr>
            </w:pPr>
            <w:r w:rsidRPr="003E2DBE">
              <w:rPr>
                <w:b/>
                <w:lang w:eastAsia="en-AU"/>
              </w:rPr>
              <w:t xml:space="preserve">Closing </w:t>
            </w:r>
            <w:r w:rsidRPr="003E2DBE">
              <w:rPr>
                <w:rFonts w:cs="Calibri"/>
                <w:b/>
                <w:bCs/>
                <w:szCs w:val="22"/>
                <w:lang w:eastAsia="en-AU"/>
              </w:rPr>
              <w:t>balance</w:t>
            </w:r>
          </w:p>
        </w:tc>
        <w:tc>
          <w:tcPr>
            <w:tcW w:w="1050" w:type="dxa"/>
            <w:gridSpan w:val="4"/>
            <w:tcBorders>
              <w:top w:val="single" w:sz="6"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lang w:eastAsia="en-AU"/>
              </w:rPr>
              <w:t>..</w:t>
            </w:r>
          </w:p>
        </w:tc>
        <w:tc>
          <w:tcPr>
            <w:tcW w:w="1051" w:type="dxa"/>
            <w:gridSpan w:val="2"/>
            <w:tcBorders>
              <w:top w:val="single" w:sz="6"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lang w:eastAsia="en-AU"/>
              </w:rPr>
              <w:t>..</w:t>
            </w:r>
          </w:p>
        </w:tc>
        <w:tc>
          <w:tcPr>
            <w:tcW w:w="1051" w:type="dxa"/>
            <w:tcBorders>
              <w:top w:val="single" w:sz="6"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Cs w:val="22"/>
                <w:lang w:eastAsia="en-AU"/>
              </w:rPr>
            </w:pPr>
            <w:r w:rsidRPr="003E2DBE">
              <w:rPr>
                <w:b/>
                <w:lang w:eastAsia="en-AU"/>
              </w:rPr>
              <w:t xml:space="preserve"> 43.1</w:t>
            </w:r>
          </w:p>
        </w:tc>
        <w:tc>
          <w:tcPr>
            <w:tcW w:w="1050" w:type="dxa"/>
            <w:gridSpan w:val="3"/>
            <w:tcBorders>
              <w:top w:val="single" w:sz="6" w:space="0" w:color="auto"/>
              <w:left w:val="nil"/>
              <w:bottom w:val="single" w:sz="12" w:space="0" w:color="auto"/>
              <w:right w:val="nil"/>
            </w:tcBorders>
            <w:shd w:val="clear" w:color="000000" w:fill="FFFFFF"/>
            <w:noWrap/>
            <w:hideMark/>
          </w:tcPr>
          <w:p w:rsidR="000B4A1E" w:rsidRPr="003E2DBE" w:rsidRDefault="000B4A1E" w:rsidP="00517E51">
            <w:pPr>
              <w:pStyle w:val="TableofFigures"/>
              <w:rPr>
                <w:rFonts w:cs="Calibri"/>
                <w:b/>
                <w:bCs/>
                <w:szCs w:val="22"/>
                <w:lang w:eastAsia="en-AU"/>
              </w:rPr>
            </w:pPr>
            <w:r w:rsidRPr="003E2DBE">
              <w:rPr>
                <w:b/>
                <w:lang w:eastAsia="en-AU"/>
              </w:rPr>
              <w:t xml:space="preserve"> 122.2</w:t>
            </w:r>
          </w:p>
        </w:tc>
        <w:tc>
          <w:tcPr>
            <w:tcW w:w="1051" w:type="dxa"/>
            <w:tcBorders>
              <w:top w:val="single" w:sz="6"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lang w:eastAsia="en-AU"/>
              </w:rPr>
              <w:t xml:space="preserve"> 0.6</w:t>
            </w:r>
          </w:p>
        </w:tc>
        <w:tc>
          <w:tcPr>
            <w:tcW w:w="1051" w:type="dxa"/>
            <w:tcBorders>
              <w:top w:val="single" w:sz="6"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ofFigures"/>
              <w:rPr>
                <w:rFonts w:cs="Calibri"/>
                <w:b/>
                <w:bCs/>
                <w:szCs w:val="22"/>
                <w:lang w:eastAsia="en-AU"/>
              </w:rPr>
            </w:pPr>
            <w:r w:rsidRPr="003E2DBE">
              <w:rPr>
                <w:b/>
                <w:lang w:eastAsia="en-AU"/>
              </w:rPr>
              <w:t xml:space="preserve"> 0.8</w:t>
            </w:r>
          </w:p>
        </w:tc>
      </w:tr>
      <w:bookmarkEnd w:id="179"/>
      <w:bookmarkEnd w:id="180"/>
      <w:bookmarkEnd w:id="181"/>
      <w:bookmarkEnd w:id="182"/>
      <w:bookmarkEnd w:id="183"/>
      <w:bookmarkEnd w:id="184"/>
      <w:bookmarkEnd w:id="185"/>
      <w:bookmarkEnd w:id="186"/>
      <w:bookmarkEnd w:id="187"/>
    </w:tbl>
    <w:p w:rsidR="000B4A1E" w:rsidRPr="00D00665" w:rsidRDefault="000B4A1E" w:rsidP="00517E51"/>
    <w:p w:rsidR="000B4A1E" w:rsidRPr="00D00665" w:rsidRDefault="000B4A1E" w:rsidP="00517E51">
      <w:pPr>
        <w:pStyle w:val="Heading2Notes"/>
      </w:pPr>
      <w:r w:rsidRPr="00D00665">
        <w:br w:type="page"/>
      </w:r>
      <w:bookmarkStart w:id="188" w:name="_Toc367947892"/>
      <w:r w:rsidRPr="00D00665">
        <w:lastRenderedPageBreak/>
        <w:t>Note 33:</w:t>
      </w:r>
      <w:r w:rsidRPr="00D00665">
        <w:tab/>
        <w:t>Commitments</w:t>
      </w:r>
      <w:bookmarkEnd w:id="188"/>
    </w:p>
    <w:p w:rsidR="000B4A1E" w:rsidRPr="00D00665" w:rsidRDefault="000B4A1E" w:rsidP="00517E51">
      <w:pPr>
        <w:pStyle w:val="Heading5"/>
        <w:rPr>
          <w:vertAlign w:val="superscript"/>
        </w:rPr>
      </w:pPr>
      <w:r w:rsidRPr="00D00665">
        <w:t>(a)</w:t>
      </w:r>
      <w:r w:rsidRPr="00D00665">
        <w:tab/>
        <w:t>Non</w:t>
      </w:r>
      <w:r w:rsidRPr="00D00665">
        <w:noBreakHyphen/>
        <w:t>public private partnerships</w:t>
      </w:r>
      <w:r w:rsidRPr="00D00665">
        <w:rPr>
          <w:vertAlign w:val="superscript"/>
        </w:rPr>
        <w:t>(a)(b)</w:t>
      </w:r>
    </w:p>
    <w:p w:rsidR="000B4A1E" w:rsidRPr="003E2DBE" w:rsidRDefault="000B4A1E" w:rsidP="00517E51">
      <w:pPr>
        <w:pStyle w:val="million"/>
      </w:pPr>
      <w:r w:rsidRPr="00D00665">
        <w:t>($</w:t>
      </w:r>
      <w:r>
        <w:t> million</w:t>
      </w:r>
      <w:r w:rsidRPr="00D00665">
        <w:t>)</w:t>
      </w:r>
    </w:p>
    <w:tbl>
      <w:tblPr>
        <w:tblW w:w="9649" w:type="dxa"/>
        <w:tblInd w:w="29" w:type="dxa"/>
        <w:tblLayout w:type="fixed"/>
        <w:tblCellMar>
          <w:left w:w="43" w:type="dxa"/>
          <w:right w:w="43" w:type="dxa"/>
        </w:tblCellMar>
        <w:tblLook w:val="0000" w:firstRow="0" w:lastRow="0" w:firstColumn="0" w:lastColumn="0" w:noHBand="0" w:noVBand="0"/>
      </w:tblPr>
      <w:tblGrid>
        <w:gridCol w:w="4267"/>
        <w:gridCol w:w="1345"/>
        <w:gridCol w:w="1346"/>
        <w:gridCol w:w="1345"/>
        <w:gridCol w:w="1346"/>
      </w:tblGrid>
      <w:tr w:rsidR="000B4A1E" w:rsidRPr="003E2DBE" w:rsidTr="00517E51">
        <w:tc>
          <w:tcPr>
            <w:tcW w:w="4267" w:type="dxa"/>
            <w:tcBorders>
              <w:top w:val="single" w:sz="6" w:space="0" w:color="auto"/>
              <w:left w:val="single" w:sz="6" w:space="0" w:color="auto"/>
              <w:bottom w:val="nil"/>
              <w:right w:val="nil"/>
            </w:tcBorders>
            <w:shd w:val="clear" w:color="auto" w:fill="000000"/>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w:t>
            </w:r>
          </w:p>
        </w:tc>
        <w:tc>
          <w:tcPr>
            <w:tcW w:w="1345" w:type="dxa"/>
            <w:tcBorders>
              <w:top w:val="single" w:sz="6" w:space="0" w:color="auto"/>
              <w:left w:val="nil"/>
              <w:bottom w:val="nil"/>
              <w:right w:val="nil"/>
            </w:tcBorders>
            <w:shd w:val="clear" w:color="auto" w:fill="000000"/>
          </w:tcPr>
          <w:p w:rsidR="000B4A1E" w:rsidRPr="003E2DBE" w:rsidRDefault="000B4A1E" w:rsidP="00517E51">
            <w:pPr>
              <w:pStyle w:val="Tabletextheading"/>
              <w:rPr>
                <w:rFonts w:eastAsiaTheme="minorEastAsia"/>
                <w:sz w:val="21"/>
                <w:szCs w:val="21"/>
                <w:lang w:eastAsia="en-AU"/>
              </w:rPr>
            </w:pPr>
          </w:p>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 xml:space="preserve">State of </w:t>
            </w:r>
            <w:r w:rsidRPr="003E2DBE">
              <w:rPr>
                <w:rFonts w:eastAsiaTheme="minorEastAsia"/>
                <w:sz w:val="21"/>
                <w:szCs w:val="21"/>
              </w:rPr>
              <w:t>Victoria</w:t>
            </w:r>
          </w:p>
        </w:tc>
        <w:tc>
          <w:tcPr>
            <w:tcW w:w="1346" w:type="dxa"/>
            <w:tcBorders>
              <w:top w:val="single" w:sz="6" w:space="0" w:color="auto"/>
              <w:left w:val="nil"/>
              <w:bottom w:val="nil"/>
              <w:right w:val="nil"/>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General government sector</w:t>
            </w:r>
          </w:p>
        </w:tc>
        <w:tc>
          <w:tcPr>
            <w:tcW w:w="1345" w:type="dxa"/>
            <w:tcBorders>
              <w:top w:val="single" w:sz="6" w:space="0" w:color="auto"/>
              <w:left w:val="nil"/>
              <w:bottom w:val="nil"/>
              <w:right w:val="nil"/>
            </w:tcBorders>
            <w:shd w:val="clear" w:color="auto" w:fill="000000"/>
          </w:tcPr>
          <w:p w:rsidR="000B4A1E" w:rsidRPr="003E2DBE" w:rsidRDefault="000B4A1E" w:rsidP="00517E51">
            <w:pPr>
              <w:pStyle w:val="Tabletextheading"/>
              <w:rPr>
                <w:rFonts w:eastAsiaTheme="minorEastAsia"/>
                <w:sz w:val="21"/>
                <w:szCs w:val="21"/>
                <w:lang w:eastAsia="en-AU"/>
              </w:rPr>
            </w:pPr>
          </w:p>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State of Victoria</w:t>
            </w:r>
          </w:p>
        </w:tc>
        <w:tc>
          <w:tcPr>
            <w:tcW w:w="1346" w:type="dxa"/>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General government sector</w:t>
            </w:r>
          </w:p>
        </w:tc>
      </w:tr>
      <w:tr w:rsidR="000B4A1E" w:rsidRPr="003E2DBE" w:rsidTr="00517E51">
        <w:tc>
          <w:tcPr>
            <w:tcW w:w="4267" w:type="dxa"/>
            <w:tcBorders>
              <w:top w:val="nil"/>
              <w:left w:val="single" w:sz="6" w:space="0" w:color="auto"/>
              <w:right w:val="nil"/>
            </w:tcBorders>
            <w:shd w:val="clear" w:color="auto" w:fill="000000"/>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w:t>
            </w:r>
          </w:p>
        </w:tc>
        <w:tc>
          <w:tcPr>
            <w:tcW w:w="1345" w:type="dxa"/>
            <w:tcBorders>
              <w:top w:val="nil"/>
              <w:left w:val="nil"/>
              <w:right w:val="nil"/>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2013</w:t>
            </w:r>
          </w:p>
        </w:tc>
        <w:tc>
          <w:tcPr>
            <w:tcW w:w="1346" w:type="dxa"/>
            <w:tcBorders>
              <w:top w:val="nil"/>
              <w:left w:val="nil"/>
              <w:right w:val="nil"/>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2013</w:t>
            </w:r>
          </w:p>
        </w:tc>
        <w:tc>
          <w:tcPr>
            <w:tcW w:w="1345" w:type="dxa"/>
            <w:tcBorders>
              <w:top w:val="nil"/>
              <w:left w:val="nil"/>
              <w:right w:val="nil"/>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2012</w:t>
            </w:r>
          </w:p>
        </w:tc>
        <w:tc>
          <w:tcPr>
            <w:tcW w:w="1346" w:type="dxa"/>
            <w:tcBorders>
              <w:top w:val="nil"/>
              <w:left w:val="nil"/>
              <w:right w:val="single" w:sz="6" w:space="0" w:color="auto"/>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2012</w:t>
            </w:r>
          </w:p>
        </w:tc>
      </w:tr>
      <w:tr w:rsidR="000B4A1E" w:rsidRPr="003E2DBE" w:rsidTr="00517E51">
        <w:tc>
          <w:tcPr>
            <w:tcW w:w="4267" w:type="dxa"/>
            <w:tcBorders>
              <w:left w:val="single" w:sz="6" w:space="0" w:color="auto"/>
              <w:bottom w:val="single" w:sz="6" w:space="0" w:color="auto"/>
              <w:right w:val="nil"/>
            </w:tcBorders>
            <w:shd w:val="solid" w:color="000000" w:fill="auto"/>
          </w:tcPr>
          <w:p w:rsidR="000B4A1E" w:rsidRPr="003E2DBE" w:rsidRDefault="000B4A1E" w:rsidP="00517E51">
            <w:pPr>
              <w:pStyle w:val="Tabletext"/>
              <w:rPr>
                <w:rFonts w:eastAsiaTheme="minorEastAsia"/>
                <w:i/>
                <w:iCs/>
                <w:sz w:val="21"/>
                <w:szCs w:val="21"/>
                <w:lang w:eastAsia="en-AU"/>
              </w:rPr>
            </w:pPr>
            <w:r w:rsidRPr="003E2DBE">
              <w:rPr>
                <w:rFonts w:eastAsiaTheme="minorEastAsia"/>
                <w:i/>
                <w:iCs/>
                <w:sz w:val="21"/>
                <w:szCs w:val="21"/>
                <w:lang w:eastAsia="en-AU"/>
              </w:rPr>
              <w:t xml:space="preserve"> </w:t>
            </w:r>
          </w:p>
        </w:tc>
        <w:tc>
          <w:tcPr>
            <w:tcW w:w="1345" w:type="dxa"/>
            <w:tcBorders>
              <w:left w:val="nil"/>
              <w:bottom w:val="single" w:sz="6" w:space="0" w:color="auto"/>
              <w:right w:val="nil"/>
            </w:tcBorders>
            <w:shd w:val="solid" w:color="000000" w:fill="auto"/>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Nominal value</w:t>
            </w:r>
          </w:p>
        </w:tc>
        <w:tc>
          <w:tcPr>
            <w:tcW w:w="1346" w:type="dxa"/>
            <w:tcBorders>
              <w:left w:val="nil"/>
              <w:bottom w:val="single" w:sz="6" w:space="0" w:color="auto"/>
              <w:right w:val="nil"/>
            </w:tcBorders>
            <w:shd w:val="solid" w:color="000000" w:fill="auto"/>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Nominal value</w:t>
            </w:r>
          </w:p>
        </w:tc>
        <w:tc>
          <w:tcPr>
            <w:tcW w:w="1345" w:type="dxa"/>
            <w:tcBorders>
              <w:left w:val="nil"/>
              <w:bottom w:val="single" w:sz="6" w:space="0" w:color="auto"/>
              <w:right w:val="nil"/>
            </w:tcBorders>
            <w:shd w:val="solid" w:color="000000" w:fill="auto"/>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Nominal value</w:t>
            </w:r>
          </w:p>
        </w:tc>
        <w:tc>
          <w:tcPr>
            <w:tcW w:w="1346" w:type="dxa"/>
            <w:tcBorders>
              <w:left w:val="nil"/>
              <w:bottom w:val="single" w:sz="6" w:space="0" w:color="auto"/>
              <w:right w:val="single" w:sz="6" w:space="0" w:color="auto"/>
            </w:tcBorders>
            <w:shd w:val="solid" w:color="000000" w:fill="auto"/>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Nominal value</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Capital expenditure commitments</w:t>
            </w:r>
          </w:p>
        </w:tc>
        <w:tc>
          <w:tcPr>
            <w:tcW w:w="1345"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346"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Land and buildings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1 004.4</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887.9</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1 103.5</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968.1</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Plant, equipment and vehicles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262.4</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241.2</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535.1</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327.6</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Infrastructure systems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406.5</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5.6</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535.7</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9.2</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Road networks and earthworks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720.6</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719.4</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1 094.6</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1 094.6</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Other</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974.1</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943.7</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749.1</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728.3</w:t>
            </w:r>
          </w:p>
        </w:tc>
      </w:tr>
      <w:tr w:rsidR="000B4A1E" w:rsidRPr="003E2DBE" w:rsidTr="00517E51">
        <w:tc>
          <w:tcPr>
            <w:tcW w:w="4267"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Total capital expenditure commitments</w:t>
            </w:r>
          </w:p>
        </w:tc>
        <w:tc>
          <w:tcPr>
            <w:tcW w:w="1345"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3 368.1</w:t>
            </w:r>
          </w:p>
        </w:tc>
        <w:tc>
          <w:tcPr>
            <w:tcW w:w="1346"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2 797.8</w:t>
            </w:r>
          </w:p>
        </w:tc>
        <w:tc>
          <w:tcPr>
            <w:tcW w:w="1345"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4 017.9</w:t>
            </w:r>
          </w:p>
        </w:tc>
        <w:tc>
          <w:tcPr>
            <w:tcW w:w="1346"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3 127.8</w:t>
            </w:r>
          </w:p>
        </w:tc>
      </w:tr>
      <w:tr w:rsidR="000B4A1E" w:rsidRPr="003E2DBE" w:rsidTr="00517E51">
        <w:trPr>
          <w:trHeight w:hRule="exact" w:val="120"/>
        </w:trPr>
        <w:tc>
          <w:tcPr>
            <w:tcW w:w="4267" w:type="dxa"/>
            <w:tcBorders>
              <w:top w:val="nil"/>
              <w:left w:val="nil"/>
              <w:bottom w:val="nil"/>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 xml:space="preserve"> </w:t>
            </w:r>
          </w:p>
        </w:tc>
        <w:tc>
          <w:tcPr>
            <w:tcW w:w="1345"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346"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345"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346"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Operating and lease commitments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Rail services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4 807.4</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4 807.4</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6 380.6</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6 380.6</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Bus services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4 346.7</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4 346.7</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4 434.0</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4 434.0</w:t>
            </w:r>
          </w:p>
        </w:tc>
      </w:tr>
      <w:tr w:rsidR="000B4A1E" w:rsidRPr="003E2DBE" w:rsidTr="00517E51">
        <w:tc>
          <w:tcPr>
            <w:tcW w:w="4267" w:type="dxa"/>
            <w:tcBorders>
              <w:top w:val="nil"/>
              <w:left w:val="nil"/>
              <w:bottom w:val="single" w:sz="6" w:space="0" w:color="auto"/>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Other</w:t>
            </w:r>
          </w:p>
        </w:tc>
        <w:tc>
          <w:tcPr>
            <w:tcW w:w="1345"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3 416.3</w:t>
            </w:r>
          </w:p>
        </w:tc>
        <w:tc>
          <w:tcPr>
            <w:tcW w:w="1346"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2 466.7</w:t>
            </w:r>
          </w:p>
        </w:tc>
        <w:tc>
          <w:tcPr>
            <w:tcW w:w="1345"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3 285.3</w:t>
            </w:r>
          </w:p>
        </w:tc>
        <w:tc>
          <w:tcPr>
            <w:tcW w:w="1346"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2 239.4</w:t>
            </w:r>
          </w:p>
        </w:tc>
      </w:tr>
      <w:tr w:rsidR="000B4A1E" w:rsidRPr="003E2DBE" w:rsidTr="00517E51">
        <w:tc>
          <w:tcPr>
            <w:tcW w:w="4267" w:type="dxa"/>
            <w:tcBorders>
              <w:top w:val="nil"/>
              <w:left w:val="nil"/>
              <w:bottom w:val="single" w:sz="6" w:space="0" w:color="auto"/>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Total operating and lease commitments</w:t>
            </w:r>
          </w:p>
        </w:tc>
        <w:tc>
          <w:tcPr>
            <w:tcW w:w="1345" w:type="dxa"/>
            <w:tcBorders>
              <w:top w:val="nil"/>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12 570.4</w:t>
            </w:r>
          </w:p>
        </w:tc>
        <w:tc>
          <w:tcPr>
            <w:tcW w:w="1346" w:type="dxa"/>
            <w:tcBorders>
              <w:top w:val="nil"/>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11 620.8</w:t>
            </w:r>
          </w:p>
        </w:tc>
        <w:tc>
          <w:tcPr>
            <w:tcW w:w="1345" w:type="dxa"/>
            <w:tcBorders>
              <w:top w:val="nil"/>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14 099.9</w:t>
            </w:r>
          </w:p>
        </w:tc>
        <w:tc>
          <w:tcPr>
            <w:tcW w:w="1346" w:type="dxa"/>
            <w:tcBorders>
              <w:top w:val="nil"/>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13 054.1</w:t>
            </w:r>
          </w:p>
        </w:tc>
      </w:tr>
      <w:tr w:rsidR="000B4A1E" w:rsidRPr="003E2DBE" w:rsidTr="00517E51">
        <w:trPr>
          <w:trHeight w:hRule="exact" w:val="120"/>
        </w:trPr>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w:t>
            </w:r>
          </w:p>
        </w:tc>
        <w:tc>
          <w:tcPr>
            <w:tcW w:w="1345"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346"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345"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346"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Other commitments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Debt collection services (Traffic camera office)</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122.7</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122.7</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164.9</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164.9</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Traffic camera services (Traffic camera office)</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98.3</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98.3</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144.2</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144.2</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Major sporting events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29.0</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29.0</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42.7</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42.7</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New ticketing solution (myki)</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225.6</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225.6</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291.7</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OneLink transit transition amendment deed</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47.9</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Regional Rail Link</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1 047.0</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1 047.0</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2 236.9</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2 236.9</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Information technology</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101.5</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81.2</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122.5</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89.0</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Purchase orders for non-capital programs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42.6</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42.6</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Building occupancy services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78.0</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78.0</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83.0</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83.0</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Tabcorp gaming</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16.9</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12.4</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Outsourcing of services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241.0</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241.0</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274.6</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274.6</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Northern Victoria Irrigation Replacement Program (NVIRP)</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23.8</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1 187.1</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Water programs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6.1</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65.3</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63.3</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Transport Accident Commission funded medical research</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47.6</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25.1</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vertAlign w:val="superscript"/>
                <w:lang w:eastAsia="en-AU"/>
              </w:rPr>
            </w:pPr>
            <w:r w:rsidRPr="003E2DBE">
              <w:rPr>
                <w:rFonts w:eastAsiaTheme="minorEastAsia"/>
                <w:sz w:val="21"/>
                <w:szCs w:val="21"/>
                <w:lang w:eastAsia="en-AU"/>
              </w:rPr>
              <w:t xml:space="preserve">Hopkins correctional centre </w:t>
            </w:r>
            <w:r w:rsidRPr="003E2DBE">
              <w:rPr>
                <w:rFonts w:eastAsiaTheme="minorEastAsia"/>
                <w:sz w:val="21"/>
                <w:szCs w:val="21"/>
                <w:vertAlign w:val="superscript"/>
                <w:lang w:eastAsia="en-AU"/>
              </w:rPr>
              <w:t>(c)</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635.7</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635.7</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Emergency Alert System</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80.3</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80.3</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Policing services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160.9</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160.9</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190.7</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190.7</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vertAlign w:val="superscript"/>
                <w:lang w:eastAsia="en-AU"/>
              </w:rPr>
            </w:pPr>
            <w:r w:rsidRPr="003E2DBE">
              <w:rPr>
                <w:rFonts w:eastAsiaTheme="minorEastAsia"/>
                <w:sz w:val="21"/>
                <w:szCs w:val="21"/>
                <w:lang w:eastAsia="en-AU"/>
              </w:rPr>
              <w:t xml:space="preserve">Build own operate commitments </w:t>
            </w:r>
            <w:r w:rsidRPr="003E2DBE">
              <w:rPr>
                <w:rFonts w:eastAsiaTheme="minorEastAsia"/>
                <w:sz w:val="21"/>
                <w:szCs w:val="21"/>
                <w:vertAlign w:val="superscript"/>
                <w:lang w:eastAsia="en-AU"/>
              </w:rPr>
              <w:t>(d)</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30.4</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30.5</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Grants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1.6</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1.6</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Commercial contracts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122.1</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116.5</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69.9</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69.9</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Capital investment commitments</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66.7</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4267"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Other</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1 856.1</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1 805.4</w:t>
            </w:r>
          </w:p>
        </w:tc>
        <w:tc>
          <w:tcPr>
            <w:tcW w:w="1345"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1 649.6</w:t>
            </w:r>
          </w:p>
        </w:tc>
        <w:tc>
          <w:tcPr>
            <w:tcW w:w="1346"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1 615.5</w:t>
            </w:r>
          </w:p>
        </w:tc>
      </w:tr>
      <w:tr w:rsidR="000B4A1E" w:rsidRPr="003E2DBE" w:rsidTr="00517E51">
        <w:tc>
          <w:tcPr>
            <w:tcW w:w="4267"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Total other commitments</w:t>
            </w:r>
          </w:p>
        </w:tc>
        <w:tc>
          <w:tcPr>
            <w:tcW w:w="1345"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4 991.2</w:t>
            </w:r>
          </w:p>
        </w:tc>
        <w:tc>
          <w:tcPr>
            <w:tcW w:w="1346"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5 910.2</w:t>
            </w:r>
          </w:p>
        </w:tc>
        <w:tc>
          <w:tcPr>
            <w:tcW w:w="1345"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5 494.4</w:t>
            </w:r>
          </w:p>
        </w:tc>
        <w:tc>
          <w:tcPr>
            <w:tcW w:w="1346"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5 017.2</w:t>
            </w:r>
          </w:p>
        </w:tc>
      </w:tr>
      <w:tr w:rsidR="000B4A1E" w:rsidRPr="003E2DBE" w:rsidTr="00517E51">
        <w:tc>
          <w:tcPr>
            <w:tcW w:w="4267"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Total commitments</w:t>
            </w:r>
          </w:p>
        </w:tc>
        <w:tc>
          <w:tcPr>
            <w:tcW w:w="1345"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20 929.7</w:t>
            </w:r>
          </w:p>
        </w:tc>
        <w:tc>
          <w:tcPr>
            <w:tcW w:w="134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20 328.8</w:t>
            </w:r>
          </w:p>
        </w:tc>
        <w:tc>
          <w:tcPr>
            <w:tcW w:w="1345"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23 612.3</w:t>
            </w:r>
          </w:p>
        </w:tc>
        <w:tc>
          <w:tcPr>
            <w:tcW w:w="134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21 199.1</w:t>
            </w:r>
          </w:p>
        </w:tc>
      </w:tr>
    </w:tbl>
    <w:p w:rsidR="000B4A1E" w:rsidRPr="00D00665" w:rsidRDefault="000B4A1E" w:rsidP="00517E51">
      <w:pPr>
        <w:pStyle w:val="Notes"/>
      </w:pPr>
      <w:r w:rsidRPr="00D00665">
        <w:t>Notes:</w:t>
      </w:r>
    </w:p>
    <w:p w:rsidR="000B4A1E" w:rsidRPr="00405D0E" w:rsidRDefault="000B4A1E" w:rsidP="00405D0E">
      <w:pPr>
        <w:pStyle w:val="Notes"/>
      </w:pPr>
      <w:r w:rsidRPr="00405D0E">
        <w:t>(a)</w:t>
      </w:r>
      <w:r w:rsidRPr="00405D0E">
        <w:tab/>
        <w:t>The figures presented are inclusive of GST.</w:t>
      </w:r>
    </w:p>
    <w:p w:rsidR="000B4A1E" w:rsidRPr="00D00665" w:rsidRDefault="000B4A1E" w:rsidP="00517E51">
      <w:pPr>
        <w:pStyle w:val="Notes"/>
      </w:pPr>
      <w:r w:rsidRPr="00D00665">
        <w:t>(b)</w:t>
      </w:r>
      <w:r w:rsidRPr="00D00665">
        <w:tab/>
        <w:t>A number of the 2012 comparatives have been corrected and now reflect current information.</w:t>
      </w:r>
    </w:p>
    <w:p w:rsidR="000B4A1E" w:rsidRPr="00D00665" w:rsidRDefault="000B4A1E" w:rsidP="00517E51">
      <w:pPr>
        <w:pStyle w:val="Notes"/>
      </w:pPr>
      <w:r w:rsidRPr="00D00665">
        <w:t>(c)</w:t>
      </w:r>
      <w:r w:rsidRPr="00D00665">
        <w:tab/>
      </w:r>
      <w:r w:rsidRPr="00D00665">
        <w:rPr>
          <w:iCs/>
        </w:rPr>
        <w:t>Previously disclosed in the 2011</w:t>
      </w:r>
      <w:r w:rsidRPr="00D00665">
        <w:rPr>
          <w:iCs/>
        </w:rPr>
        <w:noBreakHyphen/>
        <w:t>12 AFR</w:t>
      </w:r>
      <w:r w:rsidRPr="00D00665">
        <w:t xml:space="preserve"> </w:t>
      </w:r>
      <w:r w:rsidRPr="00D00665">
        <w:rPr>
          <w:iCs/>
        </w:rPr>
        <w:t>in Table 33(b). The revised payment streams underpinning the Hopkins Correctional Centre require that it is no longer accounted for as a finance lease liability. The project nevertheless remains a Public Private Partnership from a commercial and risk allocation perspective</w:t>
      </w:r>
      <w:r w:rsidRPr="00D00665">
        <w:t>.</w:t>
      </w:r>
    </w:p>
    <w:p w:rsidR="000B4A1E" w:rsidRPr="00D00665" w:rsidRDefault="000B4A1E" w:rsidP="00517E51">
      <w:pPr>
        <w:pStyle w:val="Notes"/>
      </w:pPr>
      <w:r w:rsidRPr="00D00665">
        <w:t>(d)</w:t>
      </w:r>
      <w:r w:rsidRPr="00D00665">
        <w:tab/>
        <w:t xml:space="preserve">This project was previously disclosed as </w:t>
      </w:r>
      <w:r w:rsidRPr="00D00665">
        <w:rPr>
          <w:iCs/>
        </w:rPr>
        <w:t>Melbourne Water in Table 33(b), as a Public Private Partnership commitment.</w:t>
      </w:r>
    </w:p>
    <w:p w:rsidR="000B4A1E" w:rsidRPr="00D00665" w:rsidRDefault="000B4A1E">
      <w:pPr>
        <w:spacing w:after="0"/>
        <w:rPr>
          <w:rFonts w:ascii="Calibri" w:hAnsi="Calibri"/>
          <w:b/>
        </w:rPr>
      </w:pPr>
      <w:r w:rsidRPr="00D00665">
        <w:br w:type="page"/>
      </w:r>
    </w:p>
    <w:p w:rsidR="000B4A1E" w:rsidRPr="0051380F" w:rsidRDefault="000B4A1E" w:rsidP="00517E51">
      <w:pPr>
        <w:pStyle w:val="Heading2Notes"/>
        <w:spacing w:before="0" w:after="0"/>
        <w:rPr>
          <w:i/>
        </w:rPr>
      </w:pPr>
      <w:r w:rsidRPr="00D00665">
        <w:lastRenderedPageBreak/>
        <w:t>Note 33:</w:t>
      </w:r>
      <w:r w:rsidRPr="00D00665">
        <w:tab/>
        <w:t>Commitments</w:t>
      </w:r>
      <w:r>
        <w:t xml:space="preserve"> </w:t>
      </w:r>
      <w:r>
        <w:rPr>
          <w:i/>
        </w:rPr>
        <w:t>(continued)</w:t>
      </w:r>
    </w:p>
    <w:p w:rsidR="000B4A1E" w:rsidRPr="00D00665" w:rsidRDefault="000B4A1E" w:rsidP="00517E51">
      <w:pPr>
        <w:pStyle w:val="Heading5"/>
        <w:spacing w:before="0" w:after="0"/>
        <w:rPr>
          <w:vertAlign w:val="superscript"/>
        </w:rPr>
      </w:pPr>
      <w:r w:rsidRPr="00D00665">
        <w:t>(b)</w:t>
      </w:r>
      <w:r w:rsidRPr="00D00665">
        <w:tab/>
        <w:t>Public private partnerships</w:t>
      </w:r>
      <w:r w:rsidRPr="00D00665">
        <w:rPr>
          <w:caps/>
          <w:vertAlign w:val="superscript"/>
        </w:rPr>
        <w:t>(</w:t>
      </w:r>
      <w:r w:rsidRPr="00D00665">
        <w:rPr>
          <w:vertAlign w:val="superscript"/>
        </w:rPr>
        <w:t>a)(b)(c)</w:t>
      </w:r>
    </w:p>
    <w:p w:rsidR="000B4A1E" w:rsidRPr="0044617D" w:rsidRDefault="000B4A1E" w:rsidP="00517E51">
      <w:pPr>
        <w:pStyle w:val="million"/>
        <w:rPr>
          <w:sz w:val="21"/>
          <w:szCs w:val="21"/>
        </w:rPr>
      </w:pPr>
      <w:r w:rsidRPr="00D00665">
        <w:rPr>
          <w:sz w:val="21"/>
          <w:szCs w:val="21"/>
        </w:rPr>
        <w:t>($</w:t>
      </w:r>
      <w:r>
        <w:rPr>
          <w:sz w:val="21"/>
          <w:szCs w:val="21"/>
        </w:rPr>
        <w:t> million</w:t>
      </w:r>
      <w:r w:rsidRPr="00D00665">
        <w:rPr>
          <w:sz w:val="21"/>
          <w:szCs w:val="21"/>
        </w:rPr>
        <w:t>)</w:t>
      </w:r>
    </w:p>
    <w:tbl>
      <w:tblPr>
        <w:tblW w:w="9650" w:type="dxa"/>
        <w:tblInd w:w="29" w:type="dxa"/>
        <w:tblLayout w:type="fixed"/>
        <w:tblCellMar>
          <w:left w:w="43" w:type="dxa"/>
          <w:right w:w="43" w:type="dxa"/>
        </w:tblCellMar>
        <w:tblLook w:val="0000" w:firstRow="0" w:lastRow="0" w:firstColumn="0" w:lastColumn="0" w:noHBand="0" w:noVBand="0"/>
      </w:tblPr>
      <w:tblGrid>
        <w:gridCol w:w="1994"/>
        <w:gridCol w:w="630"/>
        <w:gridCol w:w="720"/>
        <w:gridCol w:w="90"/>
        <w:gridCol w:w="180"/>
        <w:gridCol w:w="270"/>
        <w:gridCol w:w="169"/>
        <w:gridCol w:w="86"/>
        <w:gridCol w:w="645"/>
        <w:gridCol w:w="1170"/>
        <w:gridCol w:w="1350"/>
        <w:gridCol w:w="223"/>
        <w:gridCol w:w="587"/>
        <w:gridCol w:w="216"/>
        <w:gridCol w:w="54"/>
        <w:gridCol w:w="90"/>
        <w:gridCol w:w="88"/>
        <w:gridCol w:w="24"/>
        <w:gridCol w:w="187"/>
        <w:gridCol w:w="69"/>
        <w:gridCol w:w="142"/>
        <w:gridCol w:w="153"/>
        <w:gridCol w:w="90"/>
        <w:gridCol w:w="166"/>
        <w:gridCol w:w="45"/>
        <w:gridCol w:w="212"/>
      </w:tblGrid>
      <w:tr w:rsidR="000B4A1E" w:rsidRPr="0044617D" w:rsidTr="00517E51">
        <w:tc>
          <w:tcPr>
            <w:tcW w:w="2624" w:type="dxa"/>
            <w:gridSpan w:val="2"/>
            <w:tcBorders>
              <w:top w:val="single" w:sz="6" w:space="0" w:color="auto"/>
              <w:left w:val="single" w:sz="6" w:space="0" w:color="auto"/>
              <w:right w:val="nil"/>
            </w:tcBorders>
            <w:shd w:val="clear" w:color="auto" w:fill="000000"/>
          </w:tcPr>
          <w:p w:rsidR="000B4A1E" w:rsidRPr="0044617D" w:rsidRDefault="000B4A1E" w:rsidP="00517E51">
            <w:pPr>
              <w:pStyle w:val="Tabletext"/>
              <w:rPr>
                <w:sz w:val="17"/>
                <w:szCs w:val="21"/>
                <w:lang w:eastAsia="en-AU"/>
              </w:rPr>
            </w:pPr>
            <w:r w:rsidRPr="0044617D">
              <w:rPr>
                <w:sz w:val="17"/>
                <w:szCs w:val="21"/>
                <w:lang w:eastAsia="en-AU"/>
              </w:rPr>
              <w:t xml:space="preserve"> </w:t>
            </w:r>
          </w:p>
        </w:tc>
        <w:tc>
          <w:tcPr>
            <w:tcW w:w="990" w:type="dxa"/>
            <w:gridSpan w:val="3"/>
            <w:tcBorders>
              <w:top w:val="single" w:sz="6" w:space="0" w:color="auto"/>
              <w:left w:val="nil"/>
              <w:right w:val="nil"/>
            </w:tcBorders>
            <w:shd w:val="clear" w:color="auto" w:fill="000000"/>
          </w:tcPr>
          <w:p w:rsidR="000B4A1E" w:rsidRPr="0044617D" w:rsidRDefault="000B4A1E" w:rsidP="00517E51">
            <w:pPr>
              <w:pStyle w:val="Tabletextheading"/>
              <w:rPr>
                <w:sz w:val="17"/>
                <w:szCs w:val="21"/>
                <w:lang w:eastAsia="en-AU"/>
              </w:rPr>
            </w:pPr>
            <w:r w:rsidRPr="0044617D">
              <w:rPr>
                <w:sz w:val="17"/>
                <w:szCs w:val="21"/>
                <w:lang w:eastAsia="en-AU"/>
              </w:rPr>
              <w:t xml:space="preserve"> </w:t>
            </w:r>
          </w:p>
        </w:tc>
        <w:tc>
          <w:tcPr>
            <w:tcW w:w="525" w:type="dxa"/>
            <w:gridSpan w:val="3"/>
            <w:tcBorders>
              <w:top w:val="single" w:sz="6" w:space="0" w:color="auto"/>
              <w:left w:val="nil"/>
              <w:right w:val="nil"/>
            </w:tcBorders>
            <w:shd w:val="clear" w:color="auto" w:fill="000000"/>
          </w:tcPr>
          <w:p w:rsidR="000B4A1E" w:rsidRPr="0044617D" w:rsidRDefault="000B4A1E" w:rsidP="00517E51">
            <w:pPr>
              <w:pStyle w:val="TabletextheadingCentred"/>
              <w:rPr>
                <w:sz w:val="17"/>
                <w:lang w:eastAsia="en-AU"/>
              </w:rPr>
            </w:pPr>
            <w:r w:rsidRPr="0044617D">
              <w:rPr>
                <w:sz w:val="17"/>
                <w:lang w:eastAsia="en-AU"/>
              </w:rPr>
              <w:t xml:space="preserve"> </w:t>
            </w:r>
          </w:p>
        </w:tc>
        <w:tc>
          <w:tcPr>
            <w:tcW w:w="1815" w:type="dxa"/>
            <w:gridSpan w:val="2"/>
            <w:tcBorders>
              <w:top w:val="single" w:sz="6" w:space="0" w:color="auto"/>
              <w:left w:val="nil"/>
              <w:right w:val="nil"/>
            </w:tcBorders>
            <w:shd w:val="clear" w:color="auto" w:fill="000000"/>
          </w:tcPr>
          <w:p w:rsidR="000B4A1E" w:rsidRPr="0044617D" w:rsidRDefault="000B4A1E" w:rsidP="00517E51">
            <w:pPr>
              <w:pStyle w:val="TabletextheadingCentred"/>
              <w:rPr>
                <w:sz w:val="17"/>
                <w:lang w:eastAsia="en-AU"/>
              </w:rPr>
            </w:pPr>
          </w:p>
          <w:p w:rsidR="000B4A1E" w:rsidRPr="0044617D" w:rsidRDefault="000B4A1E" w:rsidP="00517E51">
            <w:pPr>
              <w:pStyle w:val="TabletextheadingCentred"/>
              <w:rPr>
                <w:sz w:val="17"/>
                <w:lang w:eastAsia="en-AU"/>
              </w:rPr>
            </w:pPr>
            <w:r w:rsidRPr="0044617D">
              <w:rPr>
                <w:sz w:val="17"/>
                <w:lang w:eastAsia="en-AU"/>
              </w:rPr>
              <w:t>State of Victoria</w:t>
            </w:r>
          </w:p>
        </w:tc>
        <w:tc>
          <w:tcPr>
            <w:tcW w:w="1350" w:type="dxa"/>
            <w:tcBorders>
              <w:top w:val="single" w:sz="6" w:space="0" w:color="auto"/>
              <w:left w:val="nil"/>
              <w:right w:val="nil"/>
            </w:tcBorders>
            <w:shd w:val="clear" w:color="auto" w:fill="000000"/>
          </w:tcPr>
          <w:p w:rsidR="000B4A1E" w:rsidRPr="0044617D" w:rsidRDefault="000B4A1E" w:rsidP="00517E51">
            <w:pPr>
              <w:pStyle w:val="TabletextheadingCentred"/>
              <w:rPr>
                <w:sz w:val="17"/>
                <w:lang w:eastAsia="en-AU"/>
              </w:rPr>
            </w:pPr>
            <w:r w:rsidRPr="0044617D">
              <w:rPr>
                <w:sz w:val="17"/>
                <w:lang w:eastAsia="en-AU"/>
              </w:rPr>
              <w:t xml:space="preserve"> </w:t>
            </w:r>
          </w:p>
        </w:tc>
        <w:tc>
          <w:tcPr>
            <w:tcW w:w="223" w:type="dxa"/>
            <w:tcBorders>
              <w:top w:val="single" w:sz="6" w:space="0" w:color="auto"/>
              <w:left w:val="nil"/>
              <w:right w:val="nil"/>
            </w:tcBorders>
            <w:shd w:val="clear" w:color="auto" w:fill="000000"/>
          </w:tcPr>
          <w:p w:rsidR="000B4A1E" w:rsidRPr="0044617D" w:rsidRDefault="000B4A1E" w:rsidP="00517E51">
            <w:pPr>
              <w:pStyle w:val="TabletextheadingCentred"/>
              <w:rPr>
                <w:sz w:val="17"/>
                <w:lang w:eastAsia="en-AU"/>
              </w:rPr>
            </w:pPr>
            <w:r w:rsidRPr="0044617D">
              <w:rPr>
                <w:sz w:val="17"/>
                <w:lang w:eastAsia="en-AU"/>
              </w:rPr>
              <w:t xml:space="preserve"> </w:t>
            </w:r>
          </w:p>
        </w:tc>
        <w:tc>
          <w:tcPr>
            <w:tcW w:w="2123" w:type="dxa"/>
            <w:gridSpan w:val="14"/>
            <w:tcBorders>
              <w:top w:val="single" w:sz="6" w:space="0" w:color="auto"/>
              <w:left w:val="nil"/>
              <w:right w:val="single" w:sz="6" w:space="0" w:color="auto"/>
            </w:tcBorders>
            <w:shd w:val="clear" w:color="auto" w:fill="000000"/>
          </w:tcPr>
          <w:p w:rsidR="000B4A1E" w:rsidRPr="0044617D" w:rsidRDefault="000B4A1E" w:rsidP="00517E51">
            <w:pPr>
              <w:pStyle w:val="TabletextheadingCentred"/>
              <w:rPr>
                <w:sz w:val="17"/>
                <w:lang w:eastAsia="en-AU"/>
              </w:rPr>
            </w:pPr>
            <w:r w:rsidRPr="0044617D">
              <w:rPr>
                <w:sz w:val="17"/>
                <w:lang w:eastAsia="en-AU"/>
              </w:rPr>
              <w:t xml:space="preserve">General </w:t>
            </w:r>
          </w:p>
          <w:p w:rsidR="000B4A1E" w:rsidRPr="0044617D" w:rsidRDefault="000B4A1E" w:rsidP="00517E51">
            <w:pPr>
              <w:pStyle w:val="TabletextheadingCentred"/>
              <w:rPr>
                <w:rFonts w:eastAsiaTheme="minorEastAsia"/>
                <w:sz w:val="17"/>
                <w:lang w:eastAsia="en-AU"/>
              </w:rPr>
            </w:pPr>
            <w:r w:rsidRPr="0044617D">
              <w:rPr>
                <w:sz w:val="17"/>
                <w:lang w:eastAsia="en-AU"/>
              </w:rPr>
              <w:t>government sector</w:t>
            </w:r>
          </w:p>
        </w:tc>
      </w:tr>
      <w:tr w:rsidR="000B4A1E" w:rsidRPr="0044617D" w:rsidTr="00517E51">
        <w:tc>
          <w:tcPr>
            <w:tcW w:w="2624" w:type="dxa"/>
            <w:gridSpan w:val="2"/>
            <w:tcBorders>
              <w:left w:val="single" w:sz="6" w:space="0" w:color="auto"/>
              <w:right w:val="nil"/>
            </w:tcBorders>
            <w:shd w:val="clear" w:color="auto" w:fill="000000"/>
          </w:tcPr>
          <w:p w:rsidR="000B4A1E" w:rsidRPr="0044617D" w:rsidRDefault="000B4A1E" w:rsidP="00517E51">
            <w:pPr>
              <w:pStyle w:val="Tabletext"/>
              <w:rPr>
                <w:sz w:val="17"/>
                <w:szCs w:val="21"/>
                <w:lang w:eastAsia="en-AU"/>
              </w:rPr>
            </w:pPr>
            <w:r w:rsidRPr="0044617D">
              <w:rPr>
                <w:sz w:val="17"/>
                <w:szCs w:val="21"/>
                <w:lang w:eastAsia="en-AU"/>
              </w:rPr>
              <w:t xml:space="preserve"> </w:t>
            </w:r>
          </w:p>
        </w:tc>
        <w:tc>
          <w:tcPr>
            <w:tcW w:w="990" w:type="dxa"/>
            <w:gridSpan w:val="3"/>
            <w:tcBorders>
              <w:left w:val="nil"/>
              <w:right w:val="nil"/>
            </w:tcBorders>
            <w:shd w:val="clear" w:color="auto" w:fill="000000"/>
          </w:tcPr>
          <w:p w:rsidR="000B4A1E" w:rsidRPr="0044617D" w:rsidRDefault="000B4A1E" w:rsidP="00517E51">
            <w:pPr>
              <w:pStyle w:val="Tabletextheading"/>
              <w:rPr>
                <w:sz w:val="17"/>
                <w:szCs w:val="21"/>
                <w:lang w:eastAsia="en-AU"/>
              </w:rPr>
            </w:pPr>
            <w:r w:rsidRPr="0044617D">
              <w:rPr>
                <w:sz w:val="17"/>
                <w:szCs w:val="21"/>
                <w:lang w:eastAsia="en-AU"/>
              </w:rPr>
              <w:t xml:space="preserve"> </w:t>
            </w:r>
          </w:p>
        </w:tc>
        <w:tc>
          <w:tcPr>
            <w:tcW w:w="525" w:type="dxa"/>
            <w:gridSpan w:val="3"/>
            <w:tcBorders>
              <w:left w:val="nil"/>
              <w:right w:val="nil"/>
            </w:tcBorders>
            <w:shd w:val="clear" w:color="auto" w:fill="000000"/>
          </w:tcPr>
          <w:p w:rsidR="000B4A1E" w:rsidRPr="0044617D" w:rsidRDefault="000B4A1E" w:rsidP="00517E51">
            <w:pPr>
              <w:pStyle w:val="TabletextheadingCentred"/>
              <w:rPr>
                <w:sz w:val="17"/>
                <w:lang w:eastAsia="en-AU"/>
              </w:rPr>
            </w:pPr>
            <w:r w:rsidRPr="0044617D">
              <w:rPr>
                <w:sz w:val="17"/>
                <w:lang w:eastAsia="en-AU"/>
              </w:rPr>
              <w:t xml:space="preserve"> </w:t>
            </w:r>
          </w:p>
        </w:tc>
        <w:tc>
          <w:tcPr>
            <w:tcW w:w="1815" w:type="dxa"/>
            <w:gridSpan w:val="2"/>
            <w:tcBorders>
              <w:left w:val="nil"/>
              <w:right w:val="nil"/>
            </w:tcBorders>
            <w:shd w:val="clear" w:color="auto" w:fill="000000"/>
          </w:tcPr>
          <w:p w:rsidR="000B4A1E" w:rsidRPr="0044617D" w:rsidRDefault="000B4A1E" w:rsidP="00517E51">
            <w:pPr>
              <w:pStyle w:val="TabletextheadingCentred"/>
              <w:rPr>
                <w:sz w:val="17"/>
                <w:lang w:eastAsia="en-AU"/>
              </w:rPr>
            </w:pPr>
            <w:r w:rsidRPr="0044617D">
              <w:rPr>
                <w:sz w:val="17"/>
                <w:lang w:eastAsia="en-AU"/>
              </w:rPr>
              <w:t>2013</w:t>
            </w:r>
          </w:p>
        </w:tc>
        <w:tc>
          <w:tcPr>
            <w:tcW w:w="1350" w:type="dxa"/>
            <w:tcBorders>
              <w:left w:val="nil"/>
              <w:right w:val="nil"/>
            </w:tcBorders>
            <w:shd w:val="clear" w:color="auto" w:fill="000000"/>
          </w:tcPr>
          <w:p w:rsidR="000B4A1E" w:rsidRPr="0044617D" w:rsidRDefault="000B4A1E" w:rsidP="00517E51">
            <w:pPr>
              <w:pStyle w:val="TabletextheadingCentred"/>
              <w:rPr>
                <w:sz w:val="17"/>
                <w:lang w:eastAsia="en-AU"/>
              </w:rPr>
            </w:pPr>
            <w:r w:rsidRPr="0044617D">
              <w:rPr>
                <w:sz w:val="17"/>
                <w:lang w:eastAsia="en-AU"/>
              </w:rPr>
              <w:t xml:space="preserve"> </w:t>
            </w:r>
          </w:p>
        </w:tc>
        <w:tc>
          <w:tcPr>
            <w:tcW w:w="223" w:type="dxa"/>
            <w:tcBorders>
              <w:left w:val="nil"/>
              <w:right w:val="nil"/>
            </w:tcBorders>
            <w:shd w:val="clear" w:color="auto" w:fill="000000"/>
          </w:tcPr>
          <w:p w:rsidR="000B4A1E" w:rsidRPr="0044617D" w:rsidRDefault="000B4A1E" w:rsidP="00517E51">
            <w:pPr>
              <w:pStyle w:val="TabletextheadingCentred"/>
              <w:rPr>
                <w:sz w:val="17"/>
                <w:lang w:eastAsia="en-AU"/>
              </w:rPr>
            </w:pPr>
            <w:r w:rsidRPr="0044617D">
              <w:rPr>
                <w:sz w:val="17"/>
                <w:lang w:eastAsia="en-AU"/>
              </w:rPr>
              <w:t xml:space="preserve"> </w:t>
            </w:r>
          </w:p>
        </w:tc>
        <w:tc>
          <w:tcPr>
            <w:tcW w:w="2123" w:type="dxa"/>
            <w:gridSpan w:val="14"/>
            <w:tcBorders>
              <w:left w:val="nil"/>
              <w:right w:val="single" w:sz="6" w:space="0" w:color="auto"/>
            </w:tcBorders>
            <w:shd w:val="clear" w:color="auto" w:fill="000000"/>
          </w:tcPr>
          <w:p w:rsidR="000B4A1E" w:rsidRPr="0044617D" w:rsidRDefault="000B4A1E" w:rsidP="00517E51">
            <w:pPr>
              <w:pStyle w:val="TabletextheadingCentred"/>
              <w:rPr>
                <w:sz w:val="17"/>
                <w:lang w:eastAsia="en-AU"/>
              </w:rPr>
            </w:pPr>
            <w:r w:rsidRPr="0044617D">
              <w:rPr>
                <w:sz w:val="17"/>
                <w:lang w:eastAsia="en-AU"/>
              </w:rPr>
              <w:t>2013</w:t>
            </w:r>
          </w:p>
        </w:tc>
      </w:tr>
      <w:tr w:rsidR="000B4A1E" w:rsidRPr="0044617D" w:rsidTr="00517E51">
        <w:tc>
          <w:tcPr>
            <w:tcW w:w="2624" w:type="dxa"/>
            <w:gridSpan w:val="2"/>
            <w:tcBorders>
              <w:left w:val="single" w:sz="6" w:space="0" w:color="auto"/>
              <w:bottom w:val="nil"/>
              <w:right w:val="nil"/>
            </w:tcBorders>
            <w:shd w:val="clear" w:color="000000" w:fill="000000"/>
          </w:tcPr>
          <w:p w:rsidR="000B4A1E" w:rsidRPr="0044617D" w:rsidRDefault="000B4A1E" w:rsidP="00517E51">
            <w:pPr>
              <w:pStyle w:val="Tabletext"/>
              <w:rPr>
                <w:sz w:val="17"/>
                <w:szCs w:val="21"/>
                <w:lang w:eastAsia="en-AU"/>
              </w:rPr>
            </w:pPr>
            <w:r w:rsidRPr="0044617D">
              <w:rPr>
                <w:sz w:val="17"/>
                <w:szCs w:val="21"/>
                <w:lang w:eastAsia="en-AU"/>
              </w:rPr>
              <w:t xml:space="preserve"> </w:t>
            </w:r>
          </w:p>
        </w:tc>
        <w:tc>
          <w:tcPr>
            <w:tcW w:w="990" w:type="dxa"/>
            <w:gridSpan w:val="3"/>
            <w:tcBorders>
              <w:left w:val="nil"/>
              <w:bottom w:val="nil"/>
              <w:right w:val="nil"/>
            </w:tcBorders>
            <w:shd w:val="clear" w:color="000000" w:fill="000000"/>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525" w:type="dxa"/>
            <w:gridSpan w:val="3"/>
            <w:tcBorders>
              <w:left w:val="nil"/>
              <w:bottom w:val="nil"/>
              <w:right w:val="nil"/>
            </w:tcBorders>
            <w:shd w:val="clear" w:color="000000" w:fill="000000"/>
          </w:tcPr>
          <w:p w:rsidR="000B4A1E" w:rsidRPr="0044617D" w:rsidRDefault="000B4A1E" w:rsidP="00517E51">
            <w:pPr>
              <w:pStyle w:val="TabletextheadingCentred"/>
              <w:rPr>
                <w:sz w:val="17"/>
                <w:lang w:eastAsia="en-AU"/>
              </w:rPr>
            </w:pPr>
            <w:r w:rsidRPr="0044617D">
              <w:rPr>
                <w:sz w:val="17"/>
                <w:lang w:eastAsia="en-AU"/>
              </w:rPr>
              <w:t xml:space="preserve"> </w:t>
            </w:r>
          </w:p>
        </w:tc>
        <w:tc>
          <w:tcPr>
            <w:tcW w:w="1815" w:type="dxa"/>
            <w:gridSpan w:val="2"/>
            <w:tcBorders>
              <w:left w:val="nil"/>
              <w:bottom w:val="nil"/>
              <w:right w:val="nil"/>
            </w:tcBorders>
            <w:shd w:val="clear" w:color="000000" w:fill="000000"/>
          </w:tcPr>
          <w:p w:rsidR="000B4A1E" w:rsidRPr="0044617D" w:rsidRDefault="000B4A1E" w:rsidP="00517E51">
            <w:pPr>
              <w:pStyle w:val="TabletextheadingCentred"/>
              <w:rPr>
                <w:sz w:val="17"/>
                <w:lang w:eastAsia="en-AU"/>
              </w:rPr>
            </w:pPr>
            <w:r w:rsidRPr="0044617D">
              <w:rPr>
                <w:sz w:val="17"/>
                <w:lang w:eastAsia="en-AU"/>
              </w:rPr>
              <w:t>Other commitments</w:t>
            </w:r>
          </w:p>
        </w:tc>
        <w:tc>
          <w:tcPr>
            <w:tcW w:w="1350" w:type="dxa"/>
            <w:tcBorders>
              <w:left w:val="nil"/>
              <w:bottom w:val="nil"/>
              <w:right w:val="nil"/>
            </w:tcBorders>
            <w:shd w:val="clear" w:color="000000" w:fill="000000"/>
          </w:tcPr>
          <w:p w:rsidR="000B4A1E" w:rsidRPr="0044617D" w:rsidRDefault="000B4A1E" w:rsidP="00517E51">
            <w:pPr>
              <w:pStyle w:val="TabletextheadingCentred"/>
              <w:rPr>
                <w:sz w:val="17"/>
                <w:lang w:eastAsia="en-AU"/>
              </w:rPr>
            </w:pPr>
            <w:r w:rsidRPr="0044617D">
              <w:rPr>
                <w:sz w:val="17"/>
                <w:lang w:eastAsia="en-AU"/>
              </w:rPr>
              <w:t xml:space="preserve"> </w:t>
            </w:r>
          </w:p>
        </w:tc>
        <w:tc>
          <w:tcPr>
            <w:tcW w:w="223" w:type="dxa"/>
            <w:tcBorders>
              <w:left w:val="nil"/>
              <w:bottom w:val="nil"/>
              <w:right w:val="nil"/>
            </w:tcBorders>
            <w:shd w:val="clear" w:color="000000" w:fill="000000"/>
          </w:tcPr>
          <w:p w:rsidR="000B4A1E" w:rsidRPr="0044617D" w:rsidRDefault="000B4A1E" w:rsidP="00517E51">
            <w:pPr>
              <w:pStyle w:val="TabletextheadingCentred"/>
              <w:rPr>
                <w:sz w:val="17"/>
                <w:lang w:eastAsia="en-AU"/>
              </w:rPr>
            </w:pPr>
            <w:r w:rsidRPr="0044617D">
              <w:rPr>
                <w:sz w:val="17"/>
                <w:lang w:eastAsia="en-AU"/>
              </w:rPr>
              <w:t xml:space="preserve"> </w:t>
            </w:r>
          </w:p>
        </w:tc>
        <w:tc>
          <w:tcPr>
            <w:tcW w:w="2123" w:type="dxa"/>
            <w:gridSpan w:val="14"/>
            <w:tcBorders>
              <w:left w:val="nil"/>
              <w:bottom w:val="nil"/>
              <w:right w:val="single" w:sz="6" w:space="0" w:color="auto"/>
            </w:tcBorders>
            <w:shd w:val="clear" w:color="000000" w:fill="000000"/>
          </w:tcPr>
          <w:p w:rsidR="000B4A1E" w:rsidRPr="0044617D" w:rsidRDefault="000B4A1E" w:rsidP="00517E51">
            <w:pPr>
              <w:pStyle w:val="TabletextheadingCentred"/>
              <w:rPr>
                <w:sz w:val="17"/>
                <w:lang w:eastAsia="en-AU"/>
              </w:rPr>
            </w:pPr>
            <w:r w:rsidRPr="0044617D">
              <w:rPr>
                <w:sz w:val="17"/>
                <w:lang w:eastAsia="en-AU"/>
              </w:rPr>
              <w:t>Other commitments</w:t>
            </w:r>
          </w:p>
        </w:tc>
      </w:tr>
      <w:tr w:rsidR="000B4A1E" w:rsidRPr="0044617D" w:rsidTr="00517E51">
        <w:tc>
          <w:tcPr>
            <w:tcW w:w="2624" w:type="dxa"/>
            <w:gridSpan w:val="2"/>
            <w:tcBorders>
              <w:top w:val="nil"/>
              <w:left w:val="single" w:sz="6" w:space="0" w:color="auto"/>
              <w:bottom w:val="single" w:sz="6" w:space="0" w:color="auto"/>
              <w:right w:val="nil"/>
            </w:tcBorders>
            <w:shd w:val="clear" w:color="000000" w:fill="000000"/>
          </w:tcPr>
          <w:p w:rsidR="000B4A1E" w:rsidRPr="0044617D" w:rsidRDefault="000B4A1E" w:rsidP="00517E51">
            <w:pPr>
              <w:pStyle w:val="Tabletext"/>
              <w:rPr>
                <w:i/>
                <w:iCs/>
                <w:sz w:val="17"/>
                <w:szCs w:val="21"/>
                <w:lang w:eastAsia="en-AU"/>
              </w:rPr>
            </w:pPr>
            <w:r w:rsidRPr="0044617D">
              <w:rPr>
                <w:i/>
                <w:iCs/>
                <w:sz w:val="17"/>
                <w:szCs w:val="21"/>
                <w:lang w:eastAsia="en-AU"/>
              </w:rPr>
              <w:t xml:space="preserve"> </w:t>
            </w:r>
          </w:p>
        </w:tc>
        <w:tc>
          <w:tcPr>
            <w:tcW w:w="990" w:type="dxa"/>
            <w:gridSpan w:val="3"/>
            <w:tcBorders>
              <w:top w:val="nil"/>
              <w:left w:val="nil"/>
              <w:bottom w:val="single" w:sz="6" w:space="0" w:color="auto"/>
              <w:right w:val="nil"/>
            </w:tcBorders>
            <w:shd w:val="clear" w:color="000000" w:fill="000000"/>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single" w:sz="6" w:space="0" w:color="auto"/>
              <w:right w:val="nil"/>
            </w:tcBorders>
            <w:shd w:val="clear" w:color="000000" w:fill="000000"/>
          </w:tcPr>
          <w:p w:rsidR="000B4A1E" w:rsidRPr="0044617D" w:rsidRDefault="000B4A1E" w:rsidP="00517E51">
            <w:pPr>
              <w:pStyle w:val="Tabletextheading"/>
              <w:rPr>
                <w:sz w:val="17"/>
                <w:lang w:eastAsia="en-AU"/>
              </w:rPr>
            </w:pPr>
            <w:r w:rsidRPr="0044617D">
              <w:rPr>
                <w:sz w:val="17"/>
                <w:lang w:eastAsia="en-AU"/>
              </w:rPr>
              <w:t>Present value</w:t>
            </w:r>
          </w:p>
        </w:tc>
        <w:tc>
          <w:tcPr>
            <w:tcW w:w="1170" w:type="dxa"/>
            <w:tcBorders>
              <w:top w:val="nil"/>
              <w:left w:val="nil"/>
              <w:bottom w:val="single" w:sz="6" w:space="0" w:color="auto"/>
              <w:right w:val="nil"/>
            </w:tcBorders>
            <w:shd w:val="clear" w:color="000000" w:fill="000000"/>
          </w:tcPr>
          <w:p w:rsidR="000B4A1E" w:rsidRPr="0044617D" w:rsidRDefault="000B4A1E" w:rsidP="00517E51">
            <w:pPr>
              <w:pStyle w:val="Tabletextheading"/>
              <w:rPr>
                <w:sz w:val="17"/>
                <w:lang w:eastAsia="en-AU"/>
              </w:rPr>
            </w:pPr>
            <w:r w:rsidRPr="0044617D">
              <w:rPr>
                <w:sz w:val="17"/>
                <w:lang w:eastAsia="en-AU"/>
              </w:rPr>
              <w:t>Nominal value</w:t>
            </w:r>
          </w:p>
        </w:tc>
        <w:tc>
          <w:tcPr>
            <w:tcW w:w="1350" w:type="dxa"/>
            <w:tcBorders>
              <w:top w:val="nil"/>
              <w:left w:val="nil"/>
              <w:bottom w:val="single" w:sz="6" w:space="0" w:color="auto"/>
              <w:right w:val="nil"/>
            </w:tcBorders>
            <w:shd w:val="clear" w:color="000000" w:fill="000000"/>
          </w:tcPr>
          <w:p w:rsidR="000B4A1E" w:rsidRPr="0044617D" w:rsidRDefault="000B4A1E" w:rsidP="00517E51">
            <w:pPr>
              <w:pStyle w:val="Tabletextheading"/>
              <w:rPr>
                <w:sz w:val="17"/>
                <w:lang w:eastAsia="en-AU"/>
              </w:rPr>
            </w:pPr>
            <w:r w:rsidRPr="0044617D">
              <w:rPr>
                <w:sz w:val="17"/>
                <w:lang w:eastAsia="en-AU"/>
              </w:rPr>
              <w:t xml:space="preserve"> </w:t>
            </w:r>
          </w:p>
        </w:tc>
        <w:tc>
          <w:tcPr>
            <w:tcW w:w="1170" w:type="dxa"/>
            <w:gridSpan w:val="5"/>
            <w:tcBorders>
              <w:top w:val="nil"/>
              <w:left w:val="nil"/>
              <w:bottom w:val="single" w:sz="6" w:space="0" w:color="auto"/>
              <w:right w:val="nil"/>
            </w:tcBorders>
            <w:shd w:val="clear" w:color="000000" w:fill="000000"/>
          </w:tcPr>
          <w:p w:rsidR="000B4A1E" w:rsidRPr="0044617D" w:rsidRDefault="000B4A1E" w:rsidP="00517E51">
            <w:pPr>
              <w:pStyle w:val="Tabletextheading"/>
              <w:rPr>
                <w:sz w:val="17"/>
                <w:lang w:eastAsia="en-AU"/>
              </w:rPr>
            </w:pPr>
            <w:r w:rsidRPr="0044617D">
              <w:rPr>
                <w:sz w:val="17"/>
                <w:lang w:eastAsia="en-AU"/>
              </w:rPr>
              <w:t>Present value</w:t>
            </w:r>
          </w:p>
        </w:tc>
        <w:tc>
          <w:tcPr>
            <w:tcW w:w="1176" w:type="dxa"/>
            <w:gridSpan w:val="10"/>
            <w:tcBorders>
              <w:top w:val="nil"/>
              <w:left w:val="nil"/>
              <w:bottom w:val="single" w:sz="6" w:space="0" w:color="auto"/>
              <w:right w:val="single" w:sz="6" w:space="0" w:color="auto"/>
            </w:tcBorders>
            <w:shd w:val="clear" w:color="000000" w:fill="000000"/>
          </w:tcPr>
          <w:p w:rsidR="000B4A1E" w:rsidRPr="0044617D" w:rsidRDefault="000B4A1E" w:rsidP="00517E51">
            <w:pPr>
              <w:pStyle w:val="Tabletextheading"/>
              <w:rPr>
                <w:sz w:val="17"/>
                <w:lang w:eastAsia="en-AU"/>
              </w:rPr>
            </w:pPr>
            <w:r w:rsidRPr="0044617D">
              <w:rPr>
                <w:sz w:val="17"/>
                <w:lang w:eastAsia="en-AU"/>
              </w:rPr>
              <w:t>Nominal value</w:t>
            </w:r>
          </w:p>
        </w:tc>
      </w:tr>
      <w:tr w:rsidR="000B4A1E" w:rsidRPr="0044617D" w:rsidTr="00517E51">
        <w:trPr>
          <w:trHeight w:hRule="exact" w:val="80"/>
        </w:trPr>
        <w:tc>
          <w:tcPr>
            <w:tcW w:w="2624" w:type="dxa"/>
            <w:gridSpan w:val="2"/>
            <w:tcBorders>
              <w:top w:val="single" w:sz="6" w:space="0" w:color="auto"/>
              <w:left w:val="nil"/>
              <w:bottom w:val="nil"/>
              <w:right w:val="nil"/>
            </w:tcBorders>
            <w:shd w:val="clear" w:color="auto" w:fill="auto"/>
          </w:tcPr>
          <w:p w:rsidR="000B4A1E" w:rsidRPr="0044617D" w:rsidRDefault="000B4A1E" w:rsidP="00517E51">
            <w:pPr>
              <w:pStyle w:val="Tabletext"/>
              <w:rPr>
                <w:i/>
                <w:iCs/>
                <w:sz w:val="17"/>
                <w:szCs w:val="21"/>
                <w:lang w:eastAsia="en-AU"/>
              </w:rPr>
            </w:pPr>
            <w:r w:rsidRPr="0044617D">
              <w:rPr>
                <w:i/>
                <w:iCs/>
                <w:sz w:val="17"/>
                <w:szCs w:val="21"/>
                <w:lang w:eastAsia="en-AU"/>
              </w:rPr>
              <w:t xml:space="preserve"> </w:t>
            </w:r>
          </w:p>
        </w:tc>
        <w:tc>
          <w:tcPr>
            <w:tcW w:w="990" w:type="dxa"/>
            <w:gridSpan w:val="3"/>
            <w:tcBorders>
              <w:top w:val="single" w:sz="6" w:space="0" w:color="auto"/>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single" w:sz="6" w:space="0" w:color="auto"/>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tcBorders>
              <w:top w:val="single" w:sz="6" w:space="0" w:color="auto"/>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350" w:type="dxa"/>
            <w:tcBorders>
              <w:top w:val="single" w:sz="6" w:space="0" w:color="auto"/>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single" w:sz="6" w:space="0" w:color="auto"/>
              <w:left w:val="nil"/>
              <w:bottom w:val="nil"/>
              <w:right w:val="nil"/>
            </w:tcBorders>
            <w:shd w:val="clear" w:color="auto" w:fill="auto"/>
          </w:tcPr>
          <w:p w:rsidR="000B4A1E" w:rsidRPr="0044617D" w:rsidRDefault="000B4A1E" w:rsidP="00517E51">
            <w:pPr>
              <w:pStyle w:val="TableofFigures"/>
              <w:rPr>
                <w:i/>
                <w:sz w:val="17"/>
                <w:szCs w:val="21"/>
                <w:lang w:eastAsia="en-AU"/>
              </w:rPr>
            </w:pPr>
            <w:r w:rsidRPr="0044617D">
              <w:rPr>
                <w:i/>
                <w:sz w:val="17"/>
                <w:szCs w:val="21"/>
                <w:lang w:eastAsia="en-AU"/>
              </w:rPr>
              <w:t xml:space="preserve"> </w:t>
            </w:r>
          </w:p>
        </w:tc>
        <w:tc>
          <w:tcPr>
            <w:tcW w:w="1176" w:type="dxa"/>
            <w:gridSpan w:val="10"/>
            <w:tcBorders>
              <w:top w:val="single" w:sz="6" w:space="0" w:color="auto"/>
              <w:left w:val="nil"/>
              <w:bottom w:val="nil"/>
              <w:right w:val="nil"/>
            </w:tcBorders>
            <w:shd w:val="clear" w:color="auto" w:fill="auto"/>
          </w:tcPr>
          <w:p w:rsidR="000B4A1E" w:rsidRPr="0044617D" w:rsidRDefault="000B4A1E" w:rsidP="00517E51">
            <w:pPr>
              <w:pStyle w:val="TableofFigures"/>
              <w:rPr>
                <w:i/>
                <w:sz w:val="17"/>
                <w:szCs w:val="21"/>
                <w:lang w:eastAsia="en-AU"/>
              </w:rPr>
            </w:pPr>
            <w:r w:rsidRPr="0044617D">
              <w:rPr>
                <w:i/>
                <w:sz w:val="17"/>
                <w:szCs w:val="21"/>
                <w:lang w:eastAsia="en-AU"/>
              </w:rPr>
              <w:t xml:space="preserve"> </w:t>
            </w:r>
          </w:p>
        </w:tc>
      </w:tr>
      <w:tr w:rsidR="000B4A1E" w:rsidRPr="0044617D" w:rsidTr="00517E51">
        <w:tc>
          <w:tcPr>
            <w:tcW w:w="8114" w:type="dxa"/>
            <w:gridSpan w:val="13"/>
            <w:tcBorders>
              <w:top w:val="nil"/>
              <w:left w:val="nil"/>
              <w:bottom w:val="nil"/>
              <w:right w:val="nil"/>
            </w:tcBorders>
            <w:shd w:val="clear" w:color="auto" w:fill="auto"/>
          </w:tcPr>
          <w:p w:rsidR="000B4A1E" w:rsidRPr="0044617D" w:rsidRDefault="000B4A1E" w:rsidP="00517E51">
            <w:pPr>
              <w:pStyle w:val="Tabletext"/>
              <w:rPr>
                <w:b/>
                <w:bCs/>
                <w:sz w:val="17"/>
                <w:szCs w:val="21"/>
                <w:lang w:eastAsia="en-AU"/>
              </w:rPr>
            </w:pPr>
            <w:r w:rsidRPr="0044617D">
              <w:rPr>
                <w:b/>
                <w:bCs/>
                <w:sz w:val="17"/>
                <w:szCs w:val="21"/>
                <w:lang w:eastAsia="en-AU"/>
              </w:rPr>
              <w:t>Commissioned Public Private Partnerships other commitments</w:t>
            </w:r>
          </w:p>
        </w:tc>
        <w:tc>
          <w:tcPr>
            <w:tcW w:w="216" w:type="dxa"/>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256" w:type="dxa"/>
            <w:gridSpan w:val="4"/>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256" w:type="dxa"/>
            <w:gridSpan w:val="2"/>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295" w:type="dxa"/>
            <w:gridSpan w:val="2"/>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256" w:type="dxa"/>
            <w:gridSpan w:val="2"/>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257" w:type="dxa"/>
            <w:gridSpan w:val="2"/>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rFonts w:eastAsiaTheme="minorEastAsia" w:cs="Calibri"/>
                <w:sz w:val="17"/>
                <w:szCs w:val="19"/>
                <w:vertAlign w:val="superscript"/>
                <w:lang w:eastAsia="en-AU"/>
              </w:rPr>
            </w:pPr>
            <w:r w:rsidRPr="0044617D">
              <w:rPr>
                <w:sz w:val="17"/>
                <w:szCs w:val="21"/>
                <w:lang w:eastAsia="en-AU"/>
              </w:rPr>
              <w:t xml:space="preserve">Health Services - Mildura Hospital </w:t>
            </w:r>
            <w:r w:rsidRPr="0044617D">
              <w:rPr>
                <w:rFonts w:eastAsiaTheme="minorEastAsia" w:cs="Calibri"/>
                <w:sz w:val="17"/>
                <w:szCs w:val="19"/>
                <w:vertAlign w:val="superscript"/>
                <w:lang w:eastAsia="en-AU"/>
              </w:rPr>
              <w:t>(d)</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18.8</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19.1</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18.8</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19.1</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Central Highlands Water</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74.6</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93.2</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Barwon Water</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69.4</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129.4</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Coliban Water</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67.3</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107.8</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 xml:space="preserve">Victorian Desalination Plant </w:t>
            </w:r>
            <w:r w:rsidRPr="0044617D">
              <w:rPr>
                <w:sz w:val="17"/>
                <w:szCs w:val="21"/>
                <w:vertAlign w:val="superscript"/>
                <w:lang w:eastAsia="en-AU"/>
              </w:rPr>
              <w:t>(e)</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1 454.6</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5 004.3</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1 454.6</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5 004.3</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Prisons</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372.8</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389.6</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372.8</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389.6</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County Court</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46.5</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48.0</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46.5</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48.0</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Melbourne Convention Centre</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240.9</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524.8</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240.9</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524.8</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Southern Cross Station</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210.6</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542.1</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210.6</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542.1</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Peninsula Link</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162.9</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498.2</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162.9</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498.2</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Partnerships Victoria in Schools</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98.3</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229.3</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98.3</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229.3</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Royal Children's Hospital</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353.8</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876.2</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353.8</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876.2</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Royal Women's Hospital</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210.3</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444.0</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210.3</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444.0</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Casey Hospital</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71.7</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130.7</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71.7</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130.7</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Royal Melbourne Showgrounds</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51.6</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86.0</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51.6</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86.0</w:t>
            </w:r>
          </w:p>
        </w:tc>
      </w:tr>
      <w:tr w:rsidR="000B4A1E" w:rsidRPr="0044617D" w:rsidTr="00517E51">
        <w:tc>
          <w:tcPr>
            <w:tcW w:w="3434" w:type="dxa"/>
            <w:gridSpan w:val="4"/>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 xml:space="preserve">Agribio </w:t>
            </w:r>
            <w:r w:rsidRPr="0044617D">
              <w:rPr>
                <w:sz w:val="17"/>
                <w:szCs w:val="21"/>
                <w:vertAlign w:val="superscript"/>
                <w:lang w:eastAsia="en-AU"/>
              </w:rPr>
              <w:t>(f)</w:t>
            </w:r>
          </w:p>
        </w:tc>
        <w:tc>
          <w:tcPr>
            <w:tcW w:w="18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83.5</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226.3</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83.5</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226.3</w:t>
            </w:r>
          </w:p>
        </w:tc>
      </w:tr>
      <w:tr w:rsidR="000B4A1E" w:rsidRPr="0044617D" w:rsidTr="00517E51">
        <w:tc>
          <w:tcPr>
            <w:tcW w:w="3434" w:type="dxa"/>
            <w:gridSpan w:val="4"/>
            <w:tcBorders>
              <w:top w:val="nil"/>
              <w:left w:val="nil"/>
              <w:bottom w:val="single" w:sz="4" w:space="0" w:color="auto"/>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 xml:space="preserve">Emergency Service Telecommunications </w:t>
            </w:r>
            <w:r w:rsidRPr="0044617D">
              <w:rPr>
                <w:sz w:val="17"/>
                <w:szCs w:val="21"/>
                <w:vertAlign w:val="superscript"/>
                <w:lang w:eastAsia="en-AU"/>
              </w:rPr>
              <w:t>(g)</w:t>
            </w:r>
          </w:p>
        </w:tc>
        <w:tc>
          <w:tcPr>
            <w:tcW w:w="180" w:type="dxa"/>
            <w:tcBorders>
              <w:top w:val="nil"/>
              <w:left w:val="nil"/>
              <w:bottom w:val="single" w:sz="4" w:space="0" w:color="auto"/>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single" w:sz="4" w:space="0" w:color="auto"/>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86.5</w:t>
            </w:r>
          </w:p>
        </w:tc>
        <w:tc>
          <w:tcPr>
            <w:tcW w:w="1170" w:type="dxa"/>
            <w:tcBorders>
              <w:top w:val="nil"/>
              <w:left w:val="nil"/>
              <w:bottom w:val="single" w:sz="4" w:space="0" w:color="auto"/>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92.6</w:t>
            </w:r>
          </w:p>
        </w:tc>
        <w:tc>
          <w:tcPr>
            <w:tcW w:w="1350" w:type="dxa"/>
            <w:tcBorders>
              <w:top w:val="nil"/>
              <w:left w:val="nil"/>
              <w:bottom w:val="single" w:sz="4" w:space="0" w:color="auto"/>
              <w:right w:val="nil"/>
            </w:tcBorders>
            <w:shd w:val="clear" w:color="auto" w:fill="auto"/>
          </w:tcPr>
          <w:p w:rsidR="000B4A1E" w:rsidRPr="0044617D" w:rsidRDefault="000B4A1E" w:rsidP="00517E51">
            <w:pPr>
              <w:pStyle w:val="TableofFigures"/>
              <w:rPr>
                <w:sz w:val="17"/>
                <w:szCs w:val="21"/>
                <w:lang w:eastAsia="en-AU"/>
              </w:rPr>
            </w:pPr>
          </w:p>
        </w:tc>
        <w:tc>
          <w:tcPr>
            <w:tcW w:w="1170" w:type="dxa"/>
            <w:gridSpan w:val="5"/>
            <w:tcBorders>
              <w:top w:val="nil"/>
              <w:left w:val="nil"/>
              <w:bottom w:val="single" w:sz="4" w:space="0" w:color="auto"/>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86.5</w:t>
            </w:r>
          </w:p>
        </w:tc>
        <w:tc>
          <w:tcPr>
            <w:tcW w:w="1176" w:type="dxa"/>
            <w:gridSpan w:val="10"/>
            <w:tcBorders>
              <w:top w:val="nil"/>
              <w:left w:val="nil"/>
              <w:bottom w:val="single" w:sz="4" w:space="0" w:color="auto"/>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92.6</w:t>
            </w:r>
          </w:p>
        </w:tc>
      </w:tr>
      <w:tr w:rsidR="000B4A1E" w:rsidRPr="0044617D" w:rsidTr="00517E51">
        <w:tc>
          <w:tcPr>
            <w:tcW w:w="2624" w:type="dxa"/>
            <w:gridSpan w:val="2"/>
            <w:tcBorders>
              <w:top w:val="nil"/>
              <w:left w:val="nil"/>
              <w:bottom w:val="nil"/>
              <w:right w:val="nil"/>
            </w:tcBorders>
            <w:shd w:val="clear" w:color="auto" w:fill="auto"/>
          </w:tcPr>
          <w:p w:rsidR="000B4A1E" w:rsidRPr="0044617D" w:rsidRDefault="000B4A1E" w:rsidP="00517E51">
            <w:pPr>
              <w:pStyle w:val="Tabletext"/>
              <w:rPr>
                <w:b/>
                <w:bCs/>
                <w:sz w:val="17"/>
                <w:szCs w:val="21"/>
                <w:lang w:eastAsia="en-AU"/>
              </w:rPr>
            </w:pPr>
            <w:r w:rsidRPr="0044617D">
              <w:rPr>
                <w:b/>
                <w:bCs/>
                <w:sz w:val="17"/>
                <w:szCs w:val="21"/>
                <w:lang w:eastAsia="en-AU"/>
              </w:rPr>
              <w:t>Sub-total</w:t>
            </w:r>
          </w:p>
        </w:tc>
        <w:tc>
          <w:tcPr>
            <w:tcW w:w="990" w:type="dxa"/>
            <w:gridSpan w:val="3"/>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3 674.3</w:t>
            </w:r>
          </w:p>
        </w:tc>
        <w:tc>
          <w:tcPr>
            <w:tcW w:w="1170" w:type="dxa"/>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9 441.7</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3 462.9</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9 111.2</w:t>
            </w:r>
          </w:p>
        </w:tc>
      </w:tr>
      <w:tr w:rsidR="000B4A1E" w:rsidRPr="0044617D" w:rsidTr="00517E51">
        <w:trPr>
          <w:trHeight w:hRule="exact" w:val="80"/>
        </w:trPr>
        <w:tc>
          <w:tcPr>
            <w:tcW w:w="2624" w:type="dxa"/>
            <w:gridSpan w:val="2"/>
            <w:tcBorders>
              <w:top w:val="nil"/>
              <w:left w:val="nil"/>
              <w:bottom w:val="nil"/>
              <w:right w:val="nil"/>
            </w:tcBorders>
            <w:shd w:val="clear" w:color="auto" w:fill="auto"/>
          </w:tcPr>
          <w:p w:rsidR="000B4A1E" w:rsidRPr="0044617D" w:rsidRDefault="000B4A1E" w:rsidP="00517E51">
            <w:pPr>
              <w:pStyle w:val="Tabletext"/>
              <w:rPr>
                <w:i/>
                <w:iCs/>
                <w:sz w:val="17"/>
                <w:szCs w:val="21"/>
                <w:lang w:eastAsia="en-AU"/>
              </w:rPr>
            </w:pPr>
            <w:r w:rsidRPr="0044617D">
              <w:rPr>
                <w:i/>
                <w:iCs/>
                <w:sz w:val="17"/>
                <w:szCs w:val="21"/>
                <w:lang w:eastAsia="en-AU"/>
              </w:rPr>
              <w:t xml:space="preserve"> </w:t>
            </w:r>
          </w:p>
        </w:tc>
        <w:tc>
          <w:tcPr>
            <w:tcW w:w="990" w:type="dxa"/>
            <w:gridSpan w:val="3"/>
            <w:tcBorders>
              <w:top w:val="nil"/>
              <w:left w:val="nil"/>
              <w:bottom w:val="nil"/>
              <w:right w:val="nil"/>
            </w:tcBorders>
            <w:shd w:val="clear" w:color="auto" w:fill="auto"/>
          </w:tcPr>
          <w:p w:rsidR="000B4A1E" w:rsidRPr="0044617D" w:rsidRDefault="000B4A1E" w:rsidP="00517E51">
            <w:pPr>
              <w:pStyle w:val="TableofFigures"/>
              <w:rPr>
                <w:i/>
                <w:iCs/>
                <w:sz w:val="17"/>
                <w:szCs w:val="21"/>
                <w:lang w:eastAsia="en-AU"/>
              </w:rPr>
            </w:pPr>
            <w:r w:rsidRPr="0044617D">
              <w:rPr>
                <w:i/>
                <w:iCs/>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350" w:type="dxa"/>
            <w:tcBorders>
              <w:top w:val="nil"/>
              <w:left w:val="nil"/>
              <w:bottom w:val="single" w:sz="4" w:space="0" w:color="auto"/>
              <w:right w:val="nil"/>
            </w:tcBorders>
            <w:shd w:val="clear" w:color="auto" w:fill="auto"/>
          </w:tcPr>
          <w:p w:rsidR="000B4A1E" w:rsidRPr="0044617D" w:rsidRDefault="000B4A1E" w:rsidP="00517E51">
            <w:pPr>
              <w:pStyle w:val="TableofFigures"/>
              <w:rPr>
                <w:i/>
                <w:iCs/>
                <w:sz w:val="17"/>
                <w:szCs w:val="21"/>
                <w:lang w:eastAsia="en-AU"/>
              </w:rPr>
            </w:pPr>
            <w:r w:rsidRPr="0044617D">
              <w:rPr>
                <w:i/>
                <w:iCs/>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i/>
                <w:sz w:val="17"/>
                <w:szCs w:val="21"/>
                <w:lang w:eastAsia="en-AU"/>
              </w:rPr>
            </w:pPr>
            <w:r w:rsidRPr="0044617D">
              <w:rPr>
                <w:i/>
                <w:sz w:val="17"/>
                <w:szCs w:val="21"/>
                <w:lang w:eastAsia="en-AU"/>
              </w:rPr>
              <w:t xml:space="preserve"> </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i/>
                <w:sz w:val="17"/>
                <w:szCs w:val="21"/>
                <w:lang w:eastAsia="en-AU"/>
              </w:rPr>
            </w:pPr>
            <w:r w:rsidRPr="0044617D">
              <w:rPr>
                <w:i/>
                <w:sz w:val="17"/>
                <w:szCs w:val="21"/>
                <w:lang w:eastAsia="en-AU"/>
              </w:rPr>
              <w:t xml:space="preserve"> </w:t>
            </w:r>
          </w:p>
        </w:tc>
      </w:tr>
      <w:tr w:rsidR="000B4A1E" w:rsidRPr="0044617D" w:rsidTr="00517E51">
        <w:tc>
          <w:tcPr>
            <w:tcW w:w="1994" w:type="dxa"/>
            <w:tcBorders>
              <w:top w:val="nil"/>
              <w:left w:val="nil"/>
              <w:bottom w:val="nil"/>
              <w:right w:val="nil"/>
            </w:tcBorders>
            <w:shd w:val="clear" w:color="000000" w:fill="000000"/>
          </w:tcPr>
          <w:p w:rsidR="000B4A1E" w:rsidRPr="0044617D" w:rsidRDefault="000B4A1E" w:rsidP="00517E51">
            <w:pPr>
              <w:pStyle w:val="Tabletext"/>
              <w:rPr>
                <w:sz w:val="17"/>
                <w:szCs w:val="21"/>
                <w:lang w:eastAsia="en-AU"/>
              </w:rPr>
            </w:pPr>
            <w:r w:rsidRPr="0044617D">
              <w:rPr>
                <w:sz w:val="17"/>
                <w:szCs w:val="21"/>
                <w:lang w:eastAsia="en-AU"/>
              </w:rPr>
              <w:t xml:space="preserve"> </w:t>
            </w:r>
          </w:p>
        </w:tc>
        <w:tc>
          <w:tcPr>
            <w:tcW w:w="1620" w:type="dxa"/>
            <w:gridSpan w:val="4"/>
            <w:tcBorders>
              <w:top w:val="nil"/>
              <w:left w:val="nil"/>
              <w:bottom w:val="single" w:sz="4" w:space="0" w:color="auto"/>
              <w:right w:val="nil"/>
            </w:tcBorders>
            <w:shd w:val="clear" w:color="000000" w:fill="000000"/>
          </w:tcPr>
          <w:p w:rsidR="000B4A1E" w:rsidRPr="0044617D" w:rsidRDefault="000B4A1E" w:rsidP="00517E51">
            <w:pPr>
              <w:pStyle w:val="TableofFigures"/>
              <w:rPr>
                <w:i/>
                <w:iCs/>
                <w:sz w:val="17"/>
                <w:szCs w:val="21"/>
                <w:lang w:eastAsia="en-AU"/>
              </w:rPr>
            </w:pPr>
            <w:r w:rsidRPr="0044617D">
              <w:rPr>
                <w:i/>
                <w:iCs/>
                <w:sz w:val="17"/>
                <w:szCs w:val="21"/>
                <w:lang w:eastAsia="en-AU"/>
              </w:rPr>
              <w:t xml:space="preserve">Minimum </w:t>
            </w:r>
          </w:p>
          <w:p w:rsidR="000B4A1E" w:rsidRPr="0044617D" w:rsidRDefault="000B4A1E" w:rsidP="00517E51">
            <w:pPr>
              <w:pStyle w:val="TableofFigures"/>
              <w:rPr>
                <w:rFonts w:eastAsiaTheme="minorEastAsia"/>
                <w:i/>
                <w:iCs/>
                <w:sz w:val="17"/>
                <w:szCs w:val="21"/>
                <w:lang w:eastAsia="en-AU"/>
              </w:rPr>
            </w:pPr>
            <w:r w:rsidRPr="0044617D">
              <w:rPr>
                <w:i/>
                <w:iCs/>
                <w:sz w:val="17"/>
                <w:szCs w:val="21"/>
                <w:lang w:eastAsia="en-AU"/>
              </w:rPr>
              <w:t>lease payments</w:t>
            </w:r>
          </w:p>
        </w:tc>
        <w:tc>
          <w:tcPr>
            <w:tcW w:w="1170" w:type="dxa"/>
            <w:gridSpan w:val="4"/>
            <w:tcBorders>
              <w:top w:val="nil"/>
              <w:left w:val="nil"/>
              <w:bottom w:val="single" w:sz="4" w:space="0" w:color="auto"/>
              <w:right w:val="nil"/>
            </w:tcBorders>
            <w:shd w:val="clear" w:color="000000" w:fill="000000"/>
          </w:tcPr>
          <w:p w:rsidR="000B4A1E" w:rsidRPr="0044617D" w:rsidRDefault="000B4A1E" w:rsidP="00517E51">
            <w:pPr>
              <w:pStyle w:val="TableofFigures"/>
              <w:rPr>
                <w:sz w:val="17"/>
                <w:szCs w:val="21"/>
                <w:lang w:eastAsia="en-AU"/>
              </w:rPr>
            </w:pPr>
            <w:r w:rsidRPr="0044617D">
              <w:rPr>
                <w:sz w:val="17"/>
                <w:szCs w:val="21"/>
                <w:lang w:eastAsia="en-AU"/>
              </w:rPr>
              <w:t>Other commitments</w:t>
            </w:r>
          </w:p>
        </w:tc>
        <w:tc>
          <w:tcPr>
            <w:tcW w:w="1170" w:type="dxa"/>
            <w:tcBorders>
              <w:top w:val="nil"/>
              <w:left w:val="nil"/>
              <w:bottom w:val="single" w:sz="4" w:space="0" w:color="auto"/>
              <w:right w:val="nil"/>
            </w:tcBorders>
            <w:shd w:val="clear" w:color="000000" w:fill="000000"/>
          </w:tcPr>
          <w:p w:rsidR="000B4A1E" w:rsidRPr="0044617D" w:rsidRDefault="000B4A1E" w:rsidP="00517E51">
            <w:pPr>
              <w:pStyle w:val="TableofFigures"/>
              <w:rPr>
                <w:sz w:val="17"/>
                <w:szCs w:val="21"/>
                <w:lang w:eastAsia="en-AU"/>
              </w:rPr>
            </w:pPr>
            <w:r w:rsidRPr="0044617D">
              <w:rPr>
                <w:sz w:val="17"/>
                <w:szCs w:val="21"/>
                <w:lang w:eastAsia="en-AU"/>
              </w:rPr>
              <w:t>Total commitments</w:t>
            </w:r>
          </w:p>
        </w:tc>
        <w:tc>
          <w:tcPr>
            <w:tcW w:w="1350" w:type="dxa"/>
            <w:tcBorders>
              <w:top w:val="nil"/>
              <w:left w:val="nil"/>
              <w:bottom w:val="single" w:sz="4" w:space="0" w:color="auto"/>
              <w:right w:val="nil"/>
            </w:tcBorders>
            <w:shd w:val="clear" w:color="000000" w:fill="000000"/>
          </w:tcPr>
          <w:p w:rsidR="000B4A1E" w:rsidRPr="0044617D" w:rsidRDefault="000B4A1E" w:rsidP="00517E51">
            <w:pPr>
              <w:pStyle w:val="TableofFigures"/>
              <w:rPr>
                <w:i/>
                <w:iCs/>
                <w:sz w:val="17"/>
                <w:szCs w:val="21"/>
                <w:lang w:eastAsia="en-AU"/>
              </w:rPr>
            </w:pPr>
            <w:r w:rsidRPr="0044617D">
              <w:rPr>
                <w:i/>
                <w:iCs/>
                <w:sz w:val="17"/>
                <w:szCs w:val="21"/>
                <w:lang w:eastAsia="en-AU"/>
              </w:rPr>
              <w:t xml:space="preserve">Minimum </w:t>
            </w:r>
          </w:p>
          <w:p w:rsidR="000B4A1E" w:rsidRPr="0044617D" w:rsidRDefault="000B4A1E" w:rsidP="00517E51">
            <w:pPr>
              <w:pStyle w:val="TableofFigures"/>
              <w:rPr>
                <w:rFonts w:eastAsiaTheme="minorEastAsia"/>
                <w:i/>
                <w:iCs/>
                <w:sz w:val="17"/>
                <w:szCs w:val="21"/>
                <w:lang w:eastAsia="en-AU"/>
              </w:rPr>
            </w:pPr>
            <w:r w:rsidRPr="0044617D">
              <w:rPr>
                <w:i/>
                <w:iCs/>
                <w:sz w:val="17"/>
                <w:szCs w:val="21"/>
                <w:lang w:eastAsia="en-AU"/>
              </w:rPr>
              <w:t>lease payments</w:t>
            </w:r>
          </w:p>
        </w:tc>
        <w:tc>
          <w:tcPr>
            <w:tcW w:w="1170" w:type="dxa"/>
            <w:gridSpan w:val="5"/>
            <w:tcBorders>
              <w:top w:val="nil"/>
              <w:left w:val="nil"/>
              <w:bottom w:val="single" w:sz="4" w:space="0" w:color="auto"/>
              <w:right w:val="nil"/>
            </w:tcBorders>
            <w:shd w:val="clear" w:color="000000" w:fill="000000"/>
          </w:tcPr>
          <w:p w:rsidR="000B4A1E" w:rsidRPr="0044617D" w:rsidRDefault="000B4A1E" w:rsidP="00517E51">
            <w:pPr>
              <w:pStyle w:val="TableofFigures"/>
              <w:rPr>
                <w:i/>
                <w:sz w:val="17"/>
                <w:szCs w:val="21"/>
                <w:lang w:eastAsia="en-AU"/>
              </w:rPr>
            </w:pPr>
            <w:r w:rsidRPr="0044617D">
              <w:rPr>
                <w:i/>
                <w:sz w:val="17"/>
                <w:szCs w:val="21"/>
                <w:lang w:eastAsia="en-AU"/>
              </w:rPr>
              <w:t>Other commitments</w:t>
            </w:r>
          </w:p>
        </w:tc>
        <w:tc>
          <w:tcPr>
            <w:tcW w:w="1176" w:type="dxa"/>
            <w:gridSpan w:val="10"/>
            <w:tcBorders>
              <w:top w:val="nil"/>
              <w:left w:val="nil"/>
              <w:bottom w:val="single" w:sz="4" w:space="0" w:color="auto"/>
              <w:right w:val="nil"/>
            </w:tcBorders>
            <w:shd w:val="clear" w:color="000000" w:fill="000000"/>
          </w:tcPr>
          <w:p w:rsidR="000B4A1E" w:rsidRPr="0044617D" w:rsidRDefault="000B4A1E" w:rsidP="00517E51">
            <w:pPr>
              <w:pStyle w:val="TableofFigures"/>
              <w:rPr>
                <w:i/>
                <w:sz w:val="17"/>
                <w:szCs w:val="21"/>
                <w:lang w:eastAsia="en-AU"/>
              </w:rPr>
            </w:pPr>
            <w:r w:rsidRPr="0044617D">
              <w:rPr>
                <w:i/>
                <w:sz w:val="17"/>
                <w:szCs w:val="21"/>
                <w:lang w:eastAsia="en-AU"/>
              </w:rPr>
              <w:t>Total commitments</w:t>
            </w:r>
          </w:p>
        </w:tc>
      </w:tr>
      <w:tr w:rsidR="000B4A1E" w:rsidRPr="0044617D" w:rsidTr="00517E51">
        <w:trPr>
          <w:trHeight w:hRule="exact" w:val="80"/>
        </w:trPr>
        <w:tc>
          <w:tcPr>
            <w:tcW w:w="1994" w:type="dxa"/>
            <w:tcBorders>
              <w:top w:val="nil"/>
              <w:left w:val="nil"/>
              <w:bottom w:val="single" w:sz="4" w:space="0" w:color="auto"/>
              <w:right w:val="nil"/>
            </w:tcBorders>
            <w:shd w:val="clear" w:color="000000" w:fill="000000"/>
          </w:tcPr>
          <w:p w:rsidR="000B4A1E" w:rsidRPr="0044617D" w:rsidRDefault="000B4A1E" w:rsidP="00517E51">
            <w:pPr>
              <w:pStyle w:val="Tabletext"/>
              <w:rPr>
                <w:i/>
                <w:iCs/>
                <w:sz w:val="17"/>
                <w:szCs w:val="21"/>
                <w:lang w:eastAsia="en-AU"/>
              </w:rPr>
            </w:pPr>
            <w:r w:rsidRPr="0044617D">
              <w:rPr>
                <w:i/>
                <w:iCs/>
                <w:sz w:val="17"/>
                <w:szCs w:val="21"/>
                <w:lang w:eastAsia="en-AU"/>
              </w:rPr>
              <w:t xml:space="preserve"> </w:t>
            </w:r>
          </w:p>
        </w:tc>
        <w:tc>
          <w:tcPr>
            <w:tcW w:w="1620" w:type="dxa"/>
            <w:gridSpan w:val="4"/>
            <w:tcBorders>
              <w:top w:val="nil"/>
              <w:left w:val="nil"/>
              <w:bottom w:val="nil"/>
              <w:right w:val="nil"/>
            </w:tcBorders>
            <w:shd w:val="clear" w:color="000000" w:fill="000000"/>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4"/>
            <w:tcBorders>
              <w:top w:val="nil"/>
              <w:left w:val="nil"/>
              <w:bottom w:val="nil"/>
              <w:right w:val="nil"/>
            </w:tcBorders>
            <w:shd w:val="clear" w:color="000000" w:fill="000000"/>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tcBorders>
              <w:top w:val="nil"/>
              <w:left w:val="nil"/>
              <w:bottom w:val="nil"/>
              <w:right w:val="nil"/>
            </w:tcBorders>
            <w:shd w:val="clear" w:color="000000" w:fill="000000"/>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350" w:type="dxa"/>
            <w:tcBorders>
              <w:top w:val="nil"/>
              <w:left w:val="nil"/>
              <w:bottom w:val="nil"/>
              <w:right w:val="nil"/>
            </w:tcBorders>
            <w:shd w:val="clear" w:color="000000" w:fill="000000"/>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nil"/>
              <w:right w:val="nil"/>
            </w:tcBorders>
            <w:shd w:val="clear" w:color="000000" w:fill="000000"/>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6" w:type="dxa"/>
            <w:gridSpan w:val="10"/>
            <w:tcBorders>
              <w:top w:val="nil"/>
              <w:left w:val="nil"/>
              <w:bottom w:val="nil"/>
              <w:right w:val="nil"/>
            </w:tcBorders>
            <w:shd w:val="clear" w:color="000000" w:fill="000000"/>
          </w:tcPr>
          <w:p w:rsidR="000B4A1E" w:rsidRPr="0044617D" w:rsidRDefault="000B4A1E" w:rsidP="00517E51">
            <w:pPr>
              <w:pStyle w:val="TableofFigures"/>
              <w:rPr>
                <w:sz w:val="17"/>
                <w:szCs w:val="21"/>
                <w:lang w:eastAsia="en-AU"/>
              </w:rPr>
            </w:pPr>
            <w:r w:rsidRPr="0044617D">
              <w:rPr>
                <w:sz w:val="17"/>
                <w:szCs w:val="21"/>
                <w:lang w:eastAsia="en-AU"/>
              </w:rPr>
              <w:t xml:space="preserve"> </w:t>
            </w:r>
          </w:p>
        </w:tc>
      </w:tr>
      <w:tr w:rsidR="000B4A1E" w:rsidRPr="005033C6" w:rsidTr="00517E51">
        <w:tc>
          <w:tcPr>
            <w:tcW w:w="1994" w:type="dxa"/>
            <w:tcBorders>
              <w:top w:val="nil"/>
              <w:left w:val="nil"/>
              <w:bottom w:val="nil"/>
              <w:right w:val="nil"/>
            </w:tcBorders>
            <w:shd w:val="clear" w:color="000000" w:fill="000000"/>
          </w:tcPr>
          <w:p w:rsidR="000B4A1E" w:rsidRPr="005033C6" w:rsidRDefault="000B4A1E" w:rsidP="00517E51">
            <w:pPr>
              <w:pStyle w:val="Tabletext"/>
              <w:rPr>
                <w:i/>
                <w:iCs/>
                <w:sz w:val="17"/>
                <w:szCs w:val="21"/>
                <w:lang w:eastAsia="en-AU"/>
              </w:rPr>
            </w:pPr>
            <w:r w:rsidRPr="005033C6">
              <w:rPr>
                <w:i/>
                <w:iCs/>
                <w:sz w:val="17"/>
                <w:szCs w:val="21"/>
                <w:lang w:eastAsia="en-AU"/>
              </w:rPr>
              <w:t xml:space="preserve"> </w:t>
            </w:r>
          </w:p>
        </w:tc>
        <w:tc>
          <w:tcPr>
            <w:tcW w:w="1620" w:type="dxa"/>
            <w:gridSpan w:val="4"/>
            <w:tcBorders>
              <w:top w:val="nil"/>
              <w:left w:val="nil"/>
              <w:bottom w:val="nil"/>
              <w:right w:val="nil"/>
            </w:tcBorders>
            <w:shd w:val="clear" w:color="000000" w:fill="000000"/>
          </w:tcPr>
          <w:p w:rsidR="000B4A1E" w:rsidRPr="005033C6" w:rsidRDefault="000B4A1E" w:rsidP="00517E51">
            <w:pPr>
              <w:pStyle w:val="TableofFigures"/>
              <w:rPr>
                <w:i/>
                <w:iCs/>
                <w:sz w:val="17"/>
                <w:szCs w:val="21"/>
                <w:lang w:eastAsia="en-AU"/>
              </w:rPr>
            </w:pPr>
            <w:r w:rsidRPr="005033C6">
              <w:rPr>
                <w:i/>
                <w:iCs/>
                <w:sz w:val="17"/>
                <w:szCs w:val="21"/>
                <w:lang w:eastAsia="en-AU"/>
              </w:rPr>
              <w:t>Discounted value</w:t>
            </w:r>
          </w:p>
        </w:tc>
        <w:tc>
          <w:tcPr>
            <w:tcW w:w="1170" w:type="dxa"/>
            <w:gridSpan w:val="4"/>
            <w:tcBorders>
              <w:top w:val="nil"/>
              <w:left w:val="nil"/>
              <w:bottom w:val="nil"/>
              <w:right w:val="nil"/>
            </w:tcBorders>
            <w:shd w:val="clear" w:color="000000" w:fill="000000"/>
          </w:tcPr>
          <w:p w:rsidR="000B4A1E" w:rsidRPr="005033C6" w:rsidRDefault="000B4A1E" w:rsidP="00517E51">
            <w:pPr>
              <w:pStyle w:val="TableofFigures"/>
              <w:rPr>
                <w:i/>
                <w:sz w:val="17"/>
                <w:szCs w:val="21"/>
                <w:lang w:eastAsia="en-AU"/>
              </w:rPr>
            </w:pPr>
            <w:r w:rsidRPr="005033C6">
              <w:rPr>
                <w:i/>
                <w:sz w:val="17"/>
                <w:szCs w:val="21"/>
                <w:lang w:eastAsia="en-AU"/>
              </w:rPr>
              <w:t>Present value</w:t>
            </w:r>
          </w:p>
        </w:tc>
        <w:tc>
          <w:tcPr>
            <w:tcW w:w="1170" w:type="dxa"/>
            <w:tcBorders>
              <w:top w:val="nil"/>
              <w:left w:val="nil"/>
              <w:bottom w:val="nil"/>
              <w:right w:val="nil"/>
            </w:tcBorders>
            <w:shd w:val="clear" w:color="000000" w:fill="000000"/>
          </w:tcPr>
          <w:p w:rsidR="000B4A1E" w:rsidRPr="005033C6" w:rsidRDefault="000B4A1E" w:rsidP="00517E51">
            <w:pPr>
              <w:pStyle w:val="TableofFigures"/>
              <w:rPr>
                <w:i/>
                <w:sz w:val="17"/>
                <w:szCs w:val="21"/>
                <w:lang w:eastAsia="en-AU"/>
              </w:rPr>
            </w:pPr>
            <w:r w:rsidRPr="005033C6">
              <w:rPr>
                <w:i/>
                <w:sz w:val="17"/>
                <w:szCs w:val="21"/>
                <w:lang w:eastAsia="en-AU"/>
              </w:rPr>
              <w:t>Nominal value</w:t>
            </w:r>
          </w:p>
        </w:tc>
        <w:tc>
          <w:tcPr>
            <w:tcW w:w="1350" w:type="dxa"/>
            <w:tcBorders>
              <w:top w:val="nil"/>
              <w:left w:val="nil"/>
              <w:bottom w:val="nil"/>
              <w:right w:val="nil"/>
            </w:tcBorders>
            <w:shd w:val="clear" w:color="000000" w:fill="000000"/>
          </w:tcPr>
          <w:p w:rsidR="000B4A1E" w:rsidRPr="005033C6" w:rsidRDefault="000B4A1E" w:rsidP="00517E51">
            <w:pPr>
              <w:pStyle w:val="TableofFigures"/>
              <w:rPr>
                <w:i/>
                <w:iCs/>
                <w:sz w:val="17"/>
                <w:szCs w:val="21"/>
                <w:lang w:eastAsia="en-AU"/>
              </w:rPr>
            </w:pPr>
            <w:r w:rsidRPr="005033C6">
              <w:rPr>
                <w:i/>
                <w:iCs/>
                <w:sz w:val="17"/>
                <w:szCs w:val="21"/>
                <w:lang w:eastAsia="en-AU"/>
              </w:rPr>
              <w:t>Discounted value</w:t>
            </w:r>
          </w:p>
        </w:tc>
        <w:tc>
          <w:tcPr>
            <w:tcW w:w="1170" w:type="dxa"/>
            <w:gridSpan w:val="5"/>
            <w:tcBorders>
              <w:top w:val="nil"/>
              <w:left w:val="nil"/>
              <w:bottom w:val="nil"/>
              <w:right w:val="nil"/>
            </w:tcBorders>
            <w:shd w:val="clear" w:color="000000" w:fill="000000"/>
          </w:tcPr>
          <w:p w:rsidR="000B4A1E" w:rsidRPr="005033C6" w:rsidRDefault="000B4A1E" w:rsidP="00517E51">
            <w:pPr>
              <w:pStyle w:val="TableofFigures"/>
              <w:rPr>
                <w:i/>
                <w:sz w:val="17"/>
                <w:szCs w:val="21"/>
                <w:lang w:eastAsia="en-AU"/>
              </w:rPr>
            </w:pPr>
            <w:r w:rsidRPr="005033C6">
              <w:rPr>
                <w:i/>
                <w:sz w:val="17"/>
                <w:szCs w:val="21"/>
                <w:lang w:eastAsia="en-AU"/>
              </w:rPr>
              <w:t>Present value</w:t>
            </w:r>
          </w:p>
        </w:tc>
        <w:tc>
          <w:tcPr>
            <w:tcW w:w="1176" w:type="dxa"/>
            <w:gridSpan w:val="10"/>
            <w:tcBorders>
              <w:top w:val="nil"/>
              <w:left w:val="nil"/>
              <w:bottom w:val="nil"/>
              <w:right w:val="nil"/>
            </w:tcBorders>
            <w:shd w:val="clear" w:color="000000" w:fill="000000"/>
          </w:tcPr>
          <w:p w:rsidR="000B4A1E" w:rsidRPr="005033C6" w:rsidRDefault="000B4A1E" w:rsidP="00517E51">
            <w:pPr>
              <w:pStyle w:val="TableofFigures"/>
              <w:rPr>
                <w:i/>
                <w:sz w:val="17"/>
                <w:szCs w:val="21"/>
                <w:lang w:eastAsia="en-AU"/>
              </w:rPr>
            </w:pPr>
            <w:r w:rsidRPr="005033C6">
              <w:rPr>
                <w:i/>
                <w:sz w:val="17"/>
                <w:szCs w:val="21"/>
                <w:lang w:eastAsia="en-AU"/>
              </w:rPr>
              <w:t>Nominal value</w:t>
            </w:r>
          </w:p>
        </w:tc>
      </w:tr>
      <w:tr w:rsidR="000B4A1E" w:rsidRPr="0044617D" w:rsidTr="00517E51">
        <w:trPr>
          <w:trHeight w:hRule="exact" w:val="80"/>
        </w:trPr>
        <w:tc>
          <w:tcPr>
            <w:tcW w:w="2624" w:type="dxa"/>
            <w:gridSpan w:val="2"/>
            <w:tcBorders>
              <w:top w:val="nil"/>
              <w:left w:val="nil"/>
              <w:bottom w:val="nil"/>
              <w:right w:val="nil"/>
            </w:tcBorders>
            <w:shd w:val="clear" w:color="auto" w:fill="auto"/>
          </w:tcPr>
          <w:p w:rsidR="000B4A1E" w:rsidRPr="0044617D" w:rsidRDefault="000B4A1E" w:rsidP="00517E51">
            <w:pPr>
              <w:pStyle w:val="Tabletext"/>
              <w:rPr>
                <w:i/>
                <w:iCs/>
                <w:sz w:val="17"/>
                <w:szCs w:val="21"/>
                <w:lang w:eastAsia="en-AU"/>
              </w:rPr>
            </w:pPr>
            <w:r w:rsidRPr="0044617D">
              <w:rPr>
                <w:i/>
                <w:iCs/>
                <w:sz w:val="17"/>
                <w:szCs w:val="21"/>
                <w:lang w:eastAsia="en-AU"/>
              </w:rPr>
              <w:t xml:space="preserve"> </w:t>
            </w:r>
          </w:p>
        </w:tc>
        <w:tc>
          <w:tcPr>
            <w:tcW w:w="990" w:type="dxa"/>
            <w:gridSpan w:val="3"/>
            <w:tcBorders>
              <w:top w:val="nil"/>
              <w:left w:val="nil"/>
              <w:bottom w:val="nil"/>
              <w:right w:val="nil"/>
            </w:tcBorders>
            <w:shd w:val="clear" w:color="auto" w:fill="auto"/>
          </w:tcPr>
          <w:p w:rsidR="000B4A1E" w:rsidRPr="0044617D" w:rsidRDefault="000B4A1E" w:rsidP="00517E51">
            <w:pPr>
              <w:pStyle w:val="TableofFigures"/>
              <w:rPr>
                <w:i/>
                <w:iCs/>
                <w:sz w:val="17"/>
                <w:szCs w:val="21"/>
                <w:lang w:eastAsia="en-AU"/>
              </w:rPr>
            </w:pPr>
            <w:r w:rsidRPr="0044617D">
              <w:rPr>
                <w:i/>
                <w:iCs/>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350" w:type="dxa"/>
            <w:tcBorders>
              <w:top w:val="nil"/>
              <w:left w:val="nil"/>
              <w:bottom w:val="nil"/>
              <w:right w:val="nil"/>
            </w:tcBorders>
            <w:shd w:val="clear" w:color="auto" w:fill="auto"/>
          </w:tcPr>
          <w:p w:rsidR="000B4A1E" w:rsidRPr="0044617D" w:rsidRDefault="000B4A1E" w:rsidP="00517E51">
            <w:pPr>
              <w:pStyle w:val="TableofFigures"/>
              <w:rPr>
                <w:i/>
                <w:iCs/>
                <w:sz w:val="17"/>
                <w:szCs w:val="21"/>
                <w:lang w:eastAsia="en-AU"/>
              </w:rPr>
            </w:pPr>
            <w:r w:rsidRPr="0044617D">
              <w:rPr>
                <w:i/>
                <w:iCs/>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i/>
                <w:sz w:val="17"/>
                <w:szCs w:val="21"/>
                <w:lang w:eastAsia="en-AU"/>
              </w:rPr>
            </w:pPr>
            <w:r w:rsidRPr="0044617D">
              <w:rPr>
                <w:i/>
                <w:sz w:val="17"/>
                <w:szCs w:val="21"/>
                <w:lang w:eastAsia="en-AU"/>
              </w:rPr>
              <w:t xml:space="preserve"> </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i/>
                <w:sz w:val="17"/>
                <w:szCs w:val="21"/>
                <w:lang w:eastAsia="en-AU"/>
              </w:rPr>
            </w:pPr>
            <w:r w:rsidRPr="0044617D">
              <w:rPr>
                <w:i/>
                <w:sz w:val="17"/>
                <w:szCs w:val="21"/>
                <w:lang w:eastAsia="en-AU"/>
              </w:rPr>
              <w:t xml:space="preserve"> </w:t>
            </w:r>
          </w:p>
        </w:tc>
      </w:tr>
      <w:tr w:rsidR="000B4A1E" w:rsidRPr="0044617D" w:rsidTr="00517E51">
        <w:tc>
          <w:tcPr>
            <w:tcW w:w="8384" w:type="dxa"/>
            <w:gridSpan w:val="15"/>
            <w:tcBorders>
              <w:top w:val="nil"/>
              <w:left w:val="nil"/>
              <w:bottom w:val="nil"/>
              <w:right w:val="nil"/>
            </w:tcBorders>
            <w:shd w:val="clear" w:color="auto" w:fill="auto"/>
          </w:tcPr>
          <w:p w:rsidR="000B4A1E" w:rsidRPr="0044617D" w:rsidRDefault="000B4A1E" w:rsidP="00517E51">
            <w:pPr>
              <w:pStyle w:val="Tabletext"/>
              <w:rPr>
                <w:b/>
                <w:bCs/>
                <w:sz w:val="17"/>
                <w:szCs w:val="21"/>
                <w:lang w:eastAsia="en-AU"/>
              </w:rPr>
            </w:pPr>
            <w:r w:rsidRPr="0044617D">
              <w:rPr>
                <w:b/>
                <w:bCs/>
                <w:sz w:val="17"/>
                <w:szCs w:val="21"/>
                <w:lang w:eastAsia="en-AU"/>
              </w:rPr>
              <w:t>Uncommissioned Public Private Partnerships total commitments</w:t>
            </w:r>
          </w:p>
        </w:tc>
        <w:tc>
          <w:tcPr>
            <w:tcW w:w="178" w:type="dxa"/>
            <w:gridSpan w:val="2"/>
            <w:tcBorders>
              <w:top w:val="nil"/>
              <w:left w:val="nil"/>
              <w:bottom w:val="nil"/>
              <w:right w:val="nil"/>
            </w:tcBorders>
            <w:shd w:val="clear" w:color="auto" w:fill="auto"/>
          </w:tcPr>
          <w:p w:rsidR="000B4A1E" w:rsidRPr="0044617D" w:rsidRDefault="000B4A1E" w:rsidP="00517E51">
            <w:pPr>
              <w:pStyle w:val="TableofFigures"/>
              <w:rPr>
                <w:i/>
                <w:iCs/>
                <w:sz w:val="17"/>
                <w:szCs w:val="21"/>
                <w:lang w:eastAsia="en-AU"/>
              </w:rPr>
            </w:pPr>
            <w:r w:rsidRPr="0044617D">
              <w:rPr>
                <w:i/>
                <w:iCs/>
                <w:sz w:val="17"/>
                <w:szCs w:val="21"/>
                <w:lang w:eastAsia="en-AU"/>
              </w:rPr>
              <w:t xml:space="preserve"> </w:t>
            </w:r>
          </w:p>
        </w:tc>
        <w:tc>
          <w:tcPr>
            <w:tcW w:w="211" w:type="dxa"/>
            <w:gridSpan w:val="2"/>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211" w:type="dxa"/>
            <w:gridSpan w:val="2"/>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243" w:type="dxa"/>
            <w:gridSpan w:val="2"/>
            <w:tcBorders>
              <w:top w:val="nil"/>
              <w:left w:val="nil"/>
              <w:bottom w:val="nil"/>
              <w:right w:val="nil"/>
            </w:tcBorders>
            <w:shd w:val="clear" w:color="auto" w:fill="auto"/>
          </w:tcPr>
          <w:p w:rsidR="000B4A1E" w:rsidRPr="0044617D" w:rsidRDefault="000B4A1E" w:rsidP="00517E51">
            <w:pPr>
              <w:pStyle w:val="TableofFigures"/>
              <w:rPr>
                <w:i/>
                <w:iCs/>
                <w:sz w:val="17"/>
                <w:szCs w:val="21"/>
                <w:lang w:eastAsia="en-AU"/>
              </w:rPr>
            </w:pPr>
            <w:r w:rsidRPr="0044617D">
              <w:rPr>
                <w:i/>
                <w:iCs/>
                <w:sz w:val="17"/>
                <w:szCs w:val="21"/>
                <w:lang w:eastAsia="en-AU"/>
              </w:rPr>
              <w:t xml:space="preserve"> </w:t>
            </w:r>
          </w:p>
        </w:tc>
        <w:tc>
          <w:tcPr>
            <w:tcW w:w="211" w:type="dxa"/>
            <w:gridSpan w:val="2"/>
            <w:tcBorders>
              <w:top w:val="nil"/>
              <w:left w:val="nil"/>
              <w:bottom w:val="nil"/>
              <w:right w:val="nil"/>
            </w:tcBorders>
            <w:shd w:val="clear" w:color="auto" w:fill="auto"/>
          </w:tcPr>
          <w:p w:rsidR="000B4A1E" w:rsidRPr="0044617D" w:rsidRDefault="000B4A1E" w:rsidP="00517E51">
            <w:pPr>
              <w:pStyle w:val="TableofFigures"/>
              <w:rPr>
                <w:i/>
                <w:sz w:val="17"/>
                <w:szCs w:val="21"/>
                <w:lang w:eastAsia="en-AU"/>
              </w:rPr>
            </w:pPr>
            <w:r w:rsidRPr="0044617D">
              <w:rPr>
                <w:i/>
                <w:sz w:val="17"/>
                <w:szCs w:val="21"/>
                <w:lang w:eastAsia="en-AU"/>
              </w:rPr>
              <w:t xml:space="preserve"> </w:t>
            </w:r>
          </w:p>
        </w:tc>
        <w:tc>
          <w:tcPr>
            <w:tcW w:w="212" w:type="dxa"/>
            <w:tcBorders>
              <w:top w:val="nil"/>
              <w:left w:val="nil"/>
              <w:bottom w:val="nil"/>
              <w:right w:val="nil"/>
            </w:tcBorders>
            <w:shd w:val="clear" w:color="auto" w:fill="auto"/>
          </w:tcPr>
          <w:p w:rsidR="000B4A1E" w:rsidRPr="0044617D" w:rsidRDefault="000B4A1E" w:rsidP="00517E51">
            <w:pPr>
              <w:pStyle w:val="TableofFigures"/>
              <w:rPr>
                <w:i/>
                <w:sz w:val="17"/>
                <w:szCs w:val="21"/>
                <w:lang w:eastAsia="en-AU"/>
              </w:rPr>
            </w:pPr>
            <w:r w:rsidRPr="0044617D">
              <w:rPr>
                <w:i/>
                <w:sz w:val="17"/>
                <w:szCs w:val="21"/>
                <w:lang w:eastAsia="en-AU"/>
              </w:rPr>
              <w:t xml:space="preserve"> </w:t>
            </w:r>
          </w:p>
        </w:tc>
      </w:tr>
      <w:tr w:rsidR="000B4A1E" w:rsidRPr="0044617D" w:rsidTr="00517E51">
        <w:tc>
          <w:tcPr>
            <w:tcW w:w="2624" w:type="dxa"/>
            <w:gridSpan w:val="2"/>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Peninsula Link</w:t>
            </w:r>
          </w:p>
        </w:tc>
        <w:tc>
          <w:tcPr>
            <w:tcW w:w="990" w:type="dxa"/>
            <w:gridSpan w:val="3"/>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rFonts w:eastAsiaTheme="minorEastAsia" w:cs="Calibri"/>
                <w:color w:val="000000"/>
                <w:sz w:val="17"/>
                <w:szCs w:val="19"/>
                <w:lang w:eastAsia="en-AU"/>
              </w:rPr>
            </w:pPr>
            <w:r w:rsidRPr="0044617D">
              <w:rPr>
                <w:sz w:val="17"/>
                <w:szCs w:val="21"/>
                <w:lang w:eastAsia="en-AU"/>
              </w:rPr>
              <w:t>..</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r>
      <w:tr w:rsidR="000B4A1E" w:rsidRPr="0044617D" w:rsidTr="00517E51">
        <w:tc>
          <w:tcPr>
            <w:tcW w:w="2624" w:type="dxa"/>
            <w:gridSpan w:val="2"/>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Barwon Water</w:t>
            </w:r>
          </w:p>
        </w:tc>
        <w:tc>
          <w:tcPr>
            <w:tcW w:w="990" w:type="dxa"/>
            <w:gridSpan w:val="3"/>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rFonts w:eastAsiaTheme="minorEastAsia" w:cs="Calibri"/>
                <w:color w:val="000000"/>
                <w:sz w:val="17"/>
                <w:szCs w:val="19"/>
                <w:lang w:eastAsia="en-AU"/>
              </w:rPr>
            </w:pPr>
            <w:r w:rsidRPr="0044617D">
              <w:rPr>
                <w:sz w:val="17"/>
                <w:szCs w:val="21"/>
                <w:lang w:eastAsia="en-AU"/>
              </w:rPr>
              <w:t>..</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r>
      <w:tr w:rsidR="000B4A1E" w:rsidRPr="0044617D" w:rsidTr="00517E51">
        <w:tc>
          <w:tcPr>
            <w:tcW w:w="2624" w:type="dxa"/>
            <w:gridSpan w:val="2"/>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 xml:space="preserve">Bendigo Hospital - stage one </w:t>
            </w:r>
            <w:r w:rsidRPr="0044617D">
              <w:rPr>
                <w:sz w:val="17"/>
                <w:szCs w:val="21"/>
                <w:vertAlign w:val="superscript"/>
                <w:lang w:eastAsia="en-AU"/>
              </w:rPr>
              <w:t>(h)</w:t>
            </w:r>
          </w:p>
        </w:tc>
        <w:tc>
          <w:tcPr>
            <w:tcW w:w="990" w:type="dxa"/>
            <w:gridSpan w:val="3"/>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307.4</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1 101.0</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2 861.7</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307.4</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rFonts w:eastAsiaTheme="minorEastAsia" w:cs="Calibri"/>
                <w:color w:val="000000"/>
                <w:sz w:val="17"/>
                <w:szCs w:val="19"/>
                <w:lang w:eastAsia="en-AU"/>
              </w:rPr>
            </w:pPr>
            <w:r w:rsidRPr="0044617D">
              <w:rPr>
                <w:sz w:val="17"/>
                <w:szCs w:val="21"/>
                <w:lang w:eastAsia="en-AU"/>
              </w:rPr>
              <w:t xml:space="preserve">1 </w:t>
            </w:r>
            <w:r w:rsidRPr="0044617D">
              <w:rPr>
                <w:rFonts w:eastAsiaTheme="minorEastAsia" w:cs="Calibri"/>
                <w:color w:val="000000"/>
                <w:sz w:val="17"/>
                <w:szCs w:val="19"/>
                <w:lang w:eastAsia="en-AU"/>
              </w:rPr>
              <w:t>101.0</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2 861.7</w:t>
            </w:r>
          </w:p>
        </w:tc>
      </w:tr>
      <w:tr w:rsidR="000B4A1E" w:rsidRPr="0044617D" w:rsidTr="00517E51">
        <w:tc>
          <w:tcPr>
            <w:tcW w:w="2624" w:type="dxa"/>
            <w:gridSpan w:val="2"/>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 xml:space="preserve">Bendigo Hospital - stage two </w:t>
            </w:r>
            <w:r w:rsidRPr="0044617D">
              <w:rPr>
                <w:sz w:val="17"/>
                <w:szCs w:val="21"/>
                <w:vertAlign w:val="superscript"/>
                <w:lang w:eastAsia="en-AU"/>
              </w:rPr>
              <w:t>(h)</w:t>
            </w:r>
          </w:p>
        </w:tc>
        <w:tc>
          <w:tcPr>
            <w:tcW w:w="990" w:type="dxa"/>
            <w:gridSpan w:val="3"/>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19.2</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46.3</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99.6</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19.2</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rFonts w:eastAsiaTheme="minorEastAsia" w:cs="Calibri"/>
                <w:color w:val="000000"/>
                <w:sz w:val="17"/>
                <w:szCs w:val="19"/>
                <w:lang w:eastAsia="en-AU"/>
              </w:rPr>
            </w:pPr>
            <w:r w:rsidRPr="0044617D">
              <w:rPr>
                <w:sz w:val="17"/>
                <w:szCs w:val="21"/>
                <w:lang w:eastAsia="en-AU"/>
              </w:rPr>
              <w:t xml:space="preserve"> 46.3</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99.6</w:t>
            </w:r>
          </w:p>
        </w:tc>
      </w:tr>
      <w:tr w:rsidR="000B4A1E" w:rsidRPr="0044617D" w:rsidTr="00517E51">
        <w:tc>
          <w:tcPr>
            <w:tcW w:w="2624" w:type="dxa"/>
            <w:gridSpan w:val="2"/>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Victorian Comprehensive Cancer Centre (VCCC)</w:t>
            </w:r>
          </w:p>
        </w:tc>
        <w:tc>
          <w:tcPr>
            <w:tcW w:w="990" w:type="dxa"/>
            <w:gridSpan w:val="3"/>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1 050.4</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326.4</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3 199.8</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1 050.4</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rFonts w:eastAsiaTheme="minorEastAsia" w:cs="Calibri"/>
                <w:color w:val="000000"/>
                <w:sz w:val="17"/>
                <w:szCs w:val="19"/>
                <w:lang w:eastAsia="en-AU"/>
              </w:rPr>
            </w:pPr>
            <w:r w:rsidRPr="0044617D">
              <w:rPr>
                <w:sz w:val="17"/>
                <w:szCs w:val="21"/>
                <w:lang w:eastAsia="en-AU"/>
              </w:rPr>
              <w:t xml:space="preserve"> 326.4</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3 199.8</w:t>
            </w:r>
          </w:p>
        </w:tc>
      </w:tr>
      <w:tr w:rsidR="000B4A1E" w:rsidRPr="0044617D" w:rsidTr="00517E51">
        <w:tc>
          <w:tcPr>
            <w:tcW w:w="2624" w:type="dxa"/>
            <w:gridSpan w:val="2"/>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Biosciences Research Centre</w:t>
            </w:r>
          </w:p>
        </w:tc>
        <w:tc>
          <w:tcPr>
            <w:tcW w:w="990" w:type="dxa"/>
            <w:gridSpan w:val="3"/>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rFonts w:eastAsiaTheme="minorEastAsia" w:cs="Calibri"/>
                <w:color w:val="000000"/>
                <w:sz w:val="17"/>
                <w:szCs w:val="19"/>
                <w:lang w:eastAsia="en-AU"/>
              </w:rPr>
            </w:pPr>
            <w:r w:rsidRPr="0044617D">
              <w:rPr>
                <w:sz w:val="17"/>
                <w:szCs w:val="21"/>
                <w:lang w:eastAsia="en-AU"/>
              </w:rPr>
              <w:t>..</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r>
      <w:tr w:rsidR="000B4A1E" w:rsidRPr="0044617D" w:rsidTr="00517E51">
        <w:tc>
          <w:tcPr>
            <w:tcW w:w="2624" w:type="dxa"/>
            <w:gridSpan w:val="2"/>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 xml:space="preserve">Victorian Desalination Plant </w:t>
            </w:r>
            <w:r w:rsidRPr="0044617D">
              <w:rPr>
                <w:sz w:val="17"/>
                <w:szCs w:val="21"/>
                <w:vertAlign w:val="superscript"/>
                <w:lang w:eastAsia="en-AU"/>
              </w:rPr>
              <w:t>(e)</w:t>
            </w:r>
          </w:p>
        </w:tc>
        <w:tc>
          <w:tcPr>
            <w:tcW w:w="990" w:type="dxa"/>
            <w:gridSpan w:val="3"/>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rFonts w:eastAsiaTheme="minorEastAsia" w:cs="Calibri"/>
                <w:color w:val="000000"/>
                <w:sz w:val="17"/>
                <w:szCs w:val="19"/>
                <w:lang w:eastAsia="en-AU"/>
              </w:rPr>
            </w:pPr>
            <w:r w:rsidRPr="0044617D">
              <w:rPr>
                <w:sz w:val="17"/>
                <w:szCs w:val="21"/>
                <w:lang w:eastAsia="en-AU"/>
              </w:rPr>
              <w:t>..</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r>
      <w:tr w:rsidR="000B4A1E" w:rsidRPr="0044617D" w:rsidTr="00517E51">
        <w:tc>
          <w:tcPr>
            <w:tcW w:w="2624" w:type="dxa"/>
            <w:gridSpan w:val="2"/>
            <w:tcBorders>
              <w:top w:val="nil"/>
              <w:left w:val="nil"/>
              <w:bottom w:val="nil"/>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 xml:space="preserve">Ararat Prison </w:t>
            </w:r>
            <w:r w:rsidRPr="0044617D">
              <w:rPr>
                <w:sz w:val="17"/>
                <w:szCs w:val="21"/>
                <w:vertAlign w:val="superscript"/>
                <w:lang w:eastAsia="en-AU"/>
              </w:rPr>
              <w:t>(i)</w:t>
            </w:r>
          </w:p>
        </w:tc>
        <w:tc>
          <w:tcPr>
            <w:tcW w:w="990" w:type="dxa"/>
            <w:gridSpan w:val="3"/>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350" w:type="dxa"/>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rFonts w:eastAsiaTheme="minorEastAsia" w:cs="Calibri"/>
                <w:color w:val="000000"/>
                <w:sz w:val="17"/>
                <w:szCs w:val="19"/>
                <w:lang w:eastAsia="en-AU"/>
              </w:rPr>
            </w:pPr>
            <w:r w:rsidRPr="0044617D">
              <w:rPr>
                <w:sz w:val="17"/>
                <w:szCs w:val="21"/>
                <w:lang w:eastAsia="en-AU"/>
              </w:rPr>
              <w:t>..</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w:t>
            </w:r>
          </w:p>
        </w:tc>
      </w:tr>
      <w:tr w:rsidR="000B4A1E" w:rsidRPr="0044617D" w:rsidTr="00517E51">
        <w:tc>
          <w:tcPr>
            <w:tcW w:w="2624" w:type="dxa"/>
            <w:gridSpan w:val="2"/>
            <w:tcBorders>
              <w:top w:val="single" w:sz="4" w:space="0" w:color="auto"/>
              <w:left w:val="nil"/>
              <w:bottom w:val="single" w:sz="4" w:space="0" w:color="auto"/>
              <w:right w:val="nil"/>
            </w:tcBorders>
            <w:shd w:val="clear" w:color="auto" w:fill="auto"/>
          </w:tcPr>
          <w:p w:rsidR="000B4A1E" w:rsidRPr="0044617D" w:rsidRDefault="000B4A1E" w:rsidP="00517E51">
            <w:pPr>
              <w:pStyle w:val="Tabletext"/>
              <w:rPr>
                <w:b/>
                <w:bCs/>
                <w:sz w:val="17"/>
                <w:szCs w:val="21"/>
                <w:lang w:eastAsia="en-AU"/>
              </w:rPr>
            </w:pPr>
            <w:r w:rsidRPr="0044617D">
              <w:rPr>
                <w:b/>
                <w:bCs/>
                <w:sz w:val="17"/>
                <w:szCs w:val="21"/>
                <w:lang w:eastAsia="en-AU"/>
              </w:rPr>
              <w:t>Sub-total</w:t>
            </w:r>
          </w:p>
        </w:tc>
        <w:tc>
          <w:tcPr>
            <w:tcW w:w="990" w:type="dxa"/>
            <w:gridSpan w:val="3"/>
            <w:tcBorders>
              <w:top w:val="single" w:sz="4" w:space="0" w:color="auto"/>
              <w:left w:val="nil"/>
              <w:bottom w:val="single" w:sz="4"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1 377.0</w:t>
            </w:r>
          </w:p>
        </w:tc>
        <w:tc>
          <w:tcPr>
            <w:tcW w:w="1170" w:type="dxa"/>
            <w:gridSpan w:val="4"/>
            <w:tcBorders>
              <w:top w:val="single" w:sz="4" w:space="0" w:color="auto"/>
              <w:left w:val="nil"/>
              <w:bottom w:val="single" w:sz="4"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1 473.7</w:t>
            </w:r>
          </w:p>
        </w:tc>
        <w:tc>
          <w:tcPr>
            <w:tcW w:w="1170" w:type="dxa"/>
            <w:tcBorders>
              <w:top w:val="single" w:sz="4" w:space="0" w:color="auto"/>
              <w:left w:val="nil"/>
              <w:bottom w:val="single" w:sz="4"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6 161.2</w:t>
            </w:r>
          </w:p>
        </w:tc>
        <w:tc>
          <w:tcPr>
            <w:tcW w:w="1350" w:type="dxa"/>
            <w:tcBorders>
              <w:top w:val="single" w:sz="4" w:space="0" w:color="auto"/>
              <w:left w:val="nil"/>
              <w:bottom w:val="single" w:sz="4"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1 377.0</w:t>
            </w:r>
          </w:p>
        </w:tc>
        <w:tc>
          <w:tcPr>
            <w:tcW w:w="1170" w:type="dxa"/>
            <w:gridSpan w:val="5"/>
            <w:tcBorders>
              <w:top w:val="single" w:sz="4" w:space="0" w:color="auto"/>
              <w:left w:val="nil"/>
              <w:bottom w:val="single" w:sz="4" w:space="0" w:color="auto"/>
              <w:right w:val="nil"/>
            </w:tcBorders>
            <w:shd w:val="clear" w:color="auto" w:fill="auto"/>
          </w:tcPr>
          <w:p w:rsidR="000B4A1E" w:rsidRPr="0044617D" w:rsidRDefault="000B4A1E" w:rsidP="00517E51">
            <w:pPr>
              <w:pStyle w:val="TableofFigures"/>
              <w:rPr>
                <w:rFonts w:eastAsiaTheme="minorEastAsia" w:cs="Calibri"/>
                <w:b/>
                <w:bCs/>
                <w:color w:val="000000"/>
                <w:sz w:val="17"/>
                <w:szCs w:val="19"/>
                <w:lang w:eastAsia="en-AU"/>
              </w:rPr>
            </w:pPr>
            <w:r w:rsidRPr="0044617D">
              <w:rPr>
                <w:b/>
                <w:bCs/>
                <w:sz w:val="17"/>
                <w:szCs w:val="21"/>
                <w:lang w:eastAsia="en-AU"/>
              </w:rPr>
              <w:t xml:space="preserve">1 </w:t>
            </w:r>
            <w:r w:rsidRPr="0044617D">
              <w:rPr>
                <w:rFonts w:eastAsiaTheme="minorEastAsia" w:cs="Calibri"/>
                <w:b/>
                <w:bCs/>
                <w:color w:val="000000"/>
                <w:sz w:val="17"/>
                <w:szCs w:val="19"/>
                <w:lang w:eastAsia="en-AU"/>
              </w:rPr>
              <w:t>473.7</w:t>
            </w:r>
          </w:p>
        </w:tc>
        <w:tc>
          <w:tcPr>
            <w:tcW w:w="1176" w:type="dxa"/>
            <w:gridSpan w:val="10"/>
            <w:tcBorders>
              <w:top w:val="single" w:sz="4" w:space="0" w:color="auto"/>
              <w:left w:val="nil"/>
              <w:bottom w:val="single" w:sz="4"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6 161.2</w:t>
            </w:r>
          </w:p>
        </w:tc>
      </w:tr>
      <w:tr w:rsidR="000B4A1E" w:rsidRPr="0044617D" w:rsidTr="00517E51">
        <w:tc>
          <w:tcPr>
            <w:tcW w:w="2624" w:type="dxa"/>
            <w:gridSpan w:val="2"/>
            <w:tcBorders>
              <w:top w:val="nil"/>
              <w:left w:val="nil"/>
              <w:bottom w:val="single" w:sz="4" w:space="0" w:color="auto"/>
              <w:right w:val="nil"/>
            </w:tcBorders>
            <w:shd w:val="clear" w:color="auto" w:fill="auto"/>
          </w:tcPr>
          <w:p w:rsidR="000B4A1E" w:rsidRPr="0044617D" w:rsidRDefault="000B4A1E" w:rsidP="00517E51">
            <w:pPr>
              <w:pStyle w:val="Tabletext"/>
              <w:rPr>
                <w:b/>
                <w:bCs/>
                <w:sz w:val="17"/>
                <w:szCs w:val="21"/>
                <w:lang w:eastAsia="en-AU"/>
              </w:rPr>
            </w:pPr>
            <w:r w:rsidRPr="0044617D">
              <w:rPr>
                <w:b/>
                <w:bCs/>
                <w:sz w:val="17"/>
                <w:szCs w:val="21"/>
                <w:lang w:eastAsia="en-AU"/>
              </w:rPr>
              <w:t>Total commitments for Public Private Partnerships</w:t>
            </w:r>
          </w:p>
        </w:tc>
        <w:tc>
          <w:tcPr>
            <w:tcW w:w="990" w:type="dxa"/>
            <w:gridSpan w:val="3"/>
            <w:tcBorders>
              <w:top w:val="nil"/>
              <w:left w:val="nil"/>
              <w:bottom w:val="single" w:sz="4"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1170" w:type="dxa"/>
            <w:gridSpan w:val="4"/>
            <w:tcBorders>
              <w:top w:val="nil"/>
              <w:left w:val="nil"/>
              <w:bottom w:val="single" w:sz="4"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5 147.9</w:t>
            </w:r>
          </w:p>
        </w:tc>
        <w:tc>
          <w:tcPr>
            <w:tcW w:w="1170" w:type="dxa"/>
            <w:tcBorders>
              <w:top w:val="nil"/>
              <w:left w:val="nil"/>
              <w:bottom w:val="single" w:sz="4"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15 602.9</w:t>
            </w:r>
          </w:p>
        </w:tc>
        <w:tc>
          <w:tcPr>
            <w:tcW w:w="1350" w:type="dxa"/>
            <w:tcBorders>
              <w:top w:val="nil"/>
              <w:left w:val="nil"/>
              <w:bottom w:val="single" w:sz="4"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1170" w:type="dxa"/>
            <w:gridSpan w:val="5"/>
            <w:tcBorders>
              <w:top w:val="nil"/>
              <w:left w:val="nil"/>
              <w:bottom w:val="single" w:sz="4" w:space="0" w:color="auto"/>
              <w:right w:val="nil"/>
            </w:tcBorders>
            <w:shd w:val="clear" w:color="auto" w:fill="auto"/>
          </w:tcPr>
          <w:p w:rsidR="000B4A1E" w:rsidRPr="0044617D" w:rsidRDefault="000B4A1E" w:rsidP="00517E51">
            <w:pPr>
              <w:pStyle w:val="TableofFigures"/>
              <w:rPr>
                <w:rFonts w:eastAsiaTheme="minorEastAsia" w:cs="Calibri"/>
                <w:b/>
                <w:bCs/>
                <w:color w:val="000000"/>
                <w:sz w:val="17"/>
                <w:szCs w:val="19"/>
                <w:lang w:eastAsia="en-AU"/>
              </w:rPr>
            </w:pPr>
            <w:r w:rsidRPr="0044617D">
              <w:rPr>
                <w:b/>
                <w:bCs/>
                <w:sz w:val="17"/>
                <w:szCs w:val="21"/>
                <w:lang w:eastAsia="en-AU"/>
              </w:rPr>
              <w:t xml:space="preserve">4 </w:t>
            </w:r>
            <w:r w:rsidRPr="0044617D">
              <w:rPr>
                <w:rFonts w:eastAsiaTheme="minorEastAsia" w:cs="Calibri"/>
                <w:b/>
                <w:bCs/>
                <w:color w:val="000000"/>
                <w:sz w:val="17"/>
                <w:szCs w:val="19"/>
                <w:lang w:eastAsia="en-AU"/>
              </w:rPr>
              <w:t>936.6</w:t>
            </w:r>
          </w:p>
        </w:tc>
        <w:tc>
          <w:tcPr>
            <w:tcW w:w="1176" w:type="dxa"/>
            <w:gridSpan w:val="10"/>
            <w:tcBorders>
              <w:top w:val="nil"/>
              <w:left w:val="nil"/>
              <w:bottom w:val="single" w:sz="4"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15 272.4</w:t>
            </w:r>
          </w:p>
        </w:tc>
      </w:tr>
      <w:tr w:rsidR="000B4A1E" w:rsidRPr="0044617D" w:rsidTr="00517E51">
        <w:tc>
          <w:tcPr>
            <w:tcW w:w="3344" w:type="dxa"/>
            <w:gridSpan w:val="3"/>
            <w:tcBorders>
              <w:top w:val="nil"/>
              <w:left w:val="nil"/>
              <w:bottom w:val="nil"/>
              <w:right w:val="nil"/>
            </w:tcBorders>
            <w:shd w:val="clear" w:color="auto" w:fill="auto"/>
          </w:tcPr>
          <w:p w:rsidR="000B4A1E" w:rsidRPr="0044617D" w:rsidRDefault="000B4A1E" w:rsidP="00517E51">
            <w:pPr>
              <w:pStyle w:val="Tabletext"/>
              <w:rPr>
                <w:b/>
                <w:bCs/>
                <w:sz w:val="17"/>
                <w:szCs w:val="21"/>
                <w:lang w:eastAsia="en-AU"/>
              </w:rPr>
            </w:pPr>
            <w:r w:rsidRPr="0044617D">
              <w:rPr>
                <w:b/>
                <w:bCs/>
                <w:sz w:val="17"/>
                <w:szCs w:val="21"/>
                <w:lang w:eastAsia="en-AU"/>
              </w:rPr>
              <w:t>Total commitments (inclusive of GST)</w:t>
            </w:r>
            <w:r w:rsidRPr="0044617D">
              <w:rPr>
                <w:b/>
                <w:bCs/>
                <w:sz w:val="17"/>
                <w:szCs w:val="21"/>
                <w:vertAlign w:val="superscript"/>
                <w:lang w:eastAsia="en-AU"/>
              </w:rPr>
              <w:t xml:space="preserve"> (j)</w:t>
            </w:r>
          </w:p>
        </w:tc>
        <w:tc>
          <w:tcPr>
            <w:tcW w:w="270" w:type="dxa"/>
            <w:gridSpan w:val="2"/>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1170" w:type="dxa"/>
            <w:gridSpan w:val="4"/>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1170" w:type="dxa"/>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36 532.5</w:t>
            </w:r>
          </w:p>
        </w:tc>
        <w:tc>
          <w:tcPr>
            <w:tcW w:w="1350" w:type="dxa"/>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1170" w:type="dxa"/>
            <w:gridSpan w:val="5"/>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1176" w:type="dxa"/>
            <w:gridSpan w:val="10"/>
            <w:tcBorders>
              <w:top w:val="nil"/>
              <w:left w:val="nil"/>
              <w:bottom w:val="nil"/>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35 601.2</w:t>
            </w:r>
          </w:p>
        </w:tc>
      </w:tr>
      <w:tr w:rsidR="000B4A1E" w:rsidRPr="0044617D" w:rsidTr="00517E51">
        <w:tc>
          <w:tcPr>
            <w:tcW w:w="3884" w:type="dxa"/>
            <w:gridSpan w:val="6"/>
            <w:tcBorders>
              <w:top w:val="nil"/>
              <w:left w:val="nil"/>
              <w:bottom w:val="single" w:sz="4" w:space="0" w:color="auto"/>
              <w:right w:val="nil"/>
            </w:tcBorders>
            <w:shd w:val="clear" w:color="auto" w:fill="auto"/>
          </w:tcPr>
          <w:p w:rsidR="000B4A1E" w:rsidRPr="0044617D" w:rsidRDefault="000B4A1E" w:rsidP="00517E51">
            <w:pPr>
              <w:pStyle w:val="Tabletext"/>
              <w:rPr>
                <w:sz w:val="17"/>
                <w:szCs w:val="21"/>
                <w:lang w:eastAsia="en-AU"/>
              </w:rPr>
            </w:pPr>
            <w:r w:rsidRPr="0044617D">
              <w:rPr>
                <w:sz w:val="17"/>
                <w:szCs w:val="21"/>
                <w:lang w:eastAsia="en-AU"/>
              </w:rPr>
              <w:t>Less GST recoverable from the Australian Tax Office</w:t>
            </w:r>
          </w:p>
        </w:tc>
        <w:tc>
          <w:tcPr>
            <w:tcW w:w="169" w:type="dxa"/>
            <w:tcBorders>
              <w:top w:val="nil"/>
              <w:left w:val="nil"/>
              <w:bottom w:val="single" w:sz="4" w:space="0" w:color="auto"/>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731" w:type="dxa"/>
            <w:gridSpan w:val="2"/>
            <w:tcBorders>
              <w:top w:val="nil"/>
              <w:left w:val="nil"/>
              <w:bottom w:val="single" w:sz="4" w:space="0" w:color="auto"/>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tcBorders>
              <w:top w:val="nil"/>
              <w:left w:val="nil"/>
              <w:bottom w:val="single" w:sz="4" w:space="0" w:color="auto"/>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3 321.1</w:t>
            </w:r>
          </w:p>
        </w:tc>
        <w:tc>
          <w:tcPr>
            <w:tcW w:w="1350" w:type="dxa"/>
            <w:tcBorders>
              <w:top w:val="nil"/>
              <w:left w:val="nil"/>
              <w:bottom w:val="single" w:sz="4" w:space="0" w:color="auto"/>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0" w:type="dxa"/>
            <w:gridSpan w:val="5"/>
            <w:tcBorders>
              <w:top w:val="nil"/>
              <w:left w:val="nil"/>
              <w:bottom w:val="single" w:sz="4" w:space="0" w:color="auto"/>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 xml:space="preserve"> </w:t>
            </w:r>
          </w:p>
        </w:tc>
        <w:tc>
          <w:tcPr>
            <w:tcW w:w="1176" w:type="dxa"/>
            <w:gridSpan w:val="10"/>
            <w:tcBorders>
              <w:top w:val="nil"/>
              <w:left w:val="nil"/>
              <w:bottom w:val="single" w:sz="4" w:space="0" w:color="auto"/>
              <w:right w:val="nil"/>
            </w:tcBorders>
            <w:shd w:val="clear" w:color="auto" w:fill="auto"/>
          </w:tcPr>
          <w:p w:rsidR="000B4A1E" w:rsidRPr="0044617D" w:rsidRDefault="000B4A1E" w:rsidP="00517E51">
            <w:pPr>
              <w:pStyle w:val="TableofFigures"/>
              <w:rPr>
                <w:sz w:val="17"/>
                <w:szCs w:val="21"/>
                <w:lang w:eastAsia="en-AU"/>
              </w:rPr>
            </w:pPr>
            <w:r w:rsidRPr="0044617D">
              <w:rPr>
                <w:sz w:val="17"/>
                <w:szCs w:val="21"/>
                <w:lang w:eastAsia="en-AU"/>
              </w:rPr>
              <w:t>3 236.5</w:t>
            </w:r>
          </w:p>
        </w:tc>
      </w:tr>
      <w:tr w:rsidR="000B4A1E" w:rsidRPr="0044617D" w:rsidTr="00517E51">
        <w:tc>
          <w:tcPr>
            <w:tcW w:w="3344" w:type="dxa"/>
            <w:gridSpan w:val="3"/>
            <w:tcBorders>
              <w:top w:val="nil"/>
              <w:left w:val="nil"/>
              <w:bottom w:val="single" w:sz="8" w:space="0" w:color="auto"/>
              <w:right w:val="nil"/>
            </w:tcBorders>
            <w:shd w:val="clear" w:color="auto" w:fill="auto"/>
          </w:tcPr>
          <w:p w:rsidR="000B4A1E" w:rsidRPr="0044617D" w:rsidRDefault="000B4A1E" w:rsidP="00517E51">
            <w:pPr>
              <w:pStyle w:val="Tabletext"/>
              <w:rPr>
                <w:b/>
                <w:bCs/>
                <w:sz w:val="17"/>
                <w:szCs w:val="21"/>
                <w:lang w:eastAsia="en-AU"/>
              </w:rPr>
            </w:pPr>
            <w:r w:rsidRPr="0044617D">
              <w:rPr>
                <w:b/>
                <w:bCs/>
                <w:sz w:val="17"/>
                <w:szCs w:val="21"/>
                <w:lang w:eastAsia="en-AU"/>
              </w:rPr>
              <w:t>Total commitments (exclusive of GST)</w:t>
            </w:r>
          </w:p>
        </w:tc>
        <w:tc>
          <w:tcPr>
            <w:tcW w:w="270" w:type="dxa"/>
            <w:gridSpan w:val="2"/>
            <w:tcBorders>
              <w:top w:val="nil"/>
              <w:left w:val="nil"/>
              <w:bottom w:val="single" w:sz="8"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1170" w:type="dxa"/>
            <w:gridSpan w:val="4"/>
            <w:tcBorders>
              <w:top w:val="nil"/>
              <w:left w:val="nil"/>
              <w:bottom w:val="single" w:sz="8"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1170" w:type="dxa"/>
            <w:tcBorders>
              <w:top w:val="nil"/>
              <w:left w:val="nil"/>
              <w:bottom w:val="single" w:sz="8"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33 211.4</w:t>
            </w:r>
          </w:p>
        </w:tc>
        <w:tc>
          <w:tcPr>
            <w:tcW w:w="1350" w:type="dxa"/>
            <w:tcBorders>
              <w:top w:val="nil"/>
              <w:left w:val="nil"/>
              <w:bottom w:val="single" w:sz="8"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1170" w:type="dxa"/>
            <w:gridSpan w:val="5"/>
            <w:tcBorders>
              <w:top w:val="nil"/>
              <w:left w:val="nil"/>
              <w:bottom w:val="single" w:sz="8"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 xml:space="preserve"> </w:t>
            </w:r>
          </w:p>
        </w:tc>
        <w:tc>
          <w:tcPr>
            <w:tcW w:w="1176" w:type="dxa"/>
            <w:gridSpan w:val="10"/>
            <w:tcBorders>
              <w:top w:val="nil"/>
              <w:left w:val="nil"/>
              <w:bottom w:val="single" w:sz="8" w:space="0" w:color="auto"/>
              <w:right w:val="nil"/>
            </w:tcBorders>
            <w:shd w:val="clear" w:color="auto" w:fill="auto"/>
          </w:tcPr>
          <w:p w:rsidR="000B4A1E" w:rsidRPr="0044617D" w:rsidRDefault="000B4A1E" w:rsidP="00517E51">
            <w:pPr>
              <w:pStyle w:val="TableofFigures"/>
              <w:rPr>
                <w:b/>
                <w:bCs/>
                <w:sz w:val="17"/>
                <w:szCs w:val="21"/>
                <w:lang w:eastAsia="en-AU"/>
              </w:rPr>
            </w:pPr>
            <w:r w:rsidRPr="0044617D">
              <w:rPr>
                <w:b/>
                <w:bCs/>
                <w:sz w:val="17"/>
                <w:szCs w:val="21"/>
                <w:lang w:eastAsia="en-AU"/>
              </w:rPr>
              <w:t>32 364.7</w:t>
            </w:r>
          </w:p>
        </w:tc>
      </w:tr>
    </w:tbl>
    <w:p w:rsidR="000B4A1E" w:rsidRPr="00845C27" w:rsidRDefault="000B4A1E" w:rsidP="00517E51">
      <w:pPr>
        <w:pStyle w:val="Notes"/>
        <w:rPr>
          <w:sz w:val="14"/>
        </w:rPr>
      </w:pPr>
      <w:r w:rsidRPr="00845C27">
        <w:rPr>
          <w:sz w:val="14"/>
        </w:rPr>
        <w:t>Notes:</w:t>
      </w:r>
    </w:p>
    <w:p w:rsidR="000B4A1E" w:rsidRPr="00845C27" w:rsidRDefault="000B4A1E" w:rsidP="00517E51">
      <w:pPr>
        <w:pStyle w:val="Notes"/>
        <w:rPr>
          <w:sz w:val="14"/>
        </w:rPr>
      </w:pPr>
      <w:r w:rsidRPr="00845C27">
        <w:rPr>
          <w:sz w:val="14"/>
        </w:rPr>
        <w:t>(a)</w:t>
      </w:r>
      <w:r w:rsidRPr="00845C27">
        <w:rPr>
          <w:sz w:val="14"/>
        </w:rPr>
        <w:tab/>
        <w:t>The minimum lease payments of commissioned Public Private Partnerships (PPPs) are recognised on the balance sheet and are not disclosed as a commitment.</w:t>
      </w:r>
    </w:p>
    <w:p w:rsidR="000B4A1E" w:rsidRPr="00845C27" w:rsidRDefault="000B4A1E" w:rsidP="00517E51">
      <w:pPr>
        <w:pStyle w:val="Notes"/>
        <w:rPr>
          <w:sz w:val="14"/>
        </w:rPr>
      </w:pPr>
      <w:r w:rsidRPr="00845C27">
        <w:rPr>
          <w:sz w:val="14"/>
        </w:rPr>
        <w:t>(b)</w:t>
      </w:r>
      <w:r w:rsidRPr="00845C27">
        <w:rPr>
          <w:sz w:val="14"/>
        </w:rPr>
        <w:tab/>
        <w:t>The discounted value of the ‘minimum lease payments’ has been discounted to the expected date of commissioning, and the present value of ‘other commitments’ have been discounted to 30 June of the respective financial years. After adjusting for GST, the discounted value of minimum lease payments reflects the expected impact on the balance sheet when the PPP is commissioned.</w:t>
      </w:r>
    </w:p>
    <w:p w:rsidR="000B4A1E" w:rsidRPr="00845C27" w:rsidRDefault="000B4A1E" w:rsidP="00517E51">
      <w:pPr>
        <w:pStyle w:val="Notes"/>
        <w:rPr>
          <w:sz w:val="14"/>
        </w:rPr>
      </w:pPr>
      <w:r w:rsidRPr="00845C27">
        <w:rPr>
          <w:sz w:val="14"/>
        </w:rPr>
        <w:t>(c)</w:t>
      </w:r>
      <w:r w:rsidRPr="00845C27">
        <w:rPr>
          <w:sz w:val="14"/>
        </w:rPr>
        <w:tab/>
        <w:t>A number of the 2012 comparatives have been corrected and now reflect current information.</w:t>
      </w:r>
    </w:p>
    <w:p w:rsidR="000B4A1E" w:rsidRPr="00845C27" w:rsidRDefault="000B4A1E" w:rsidP="00517E51">
      <w:pPr>
        <w:pStyle w:val="Notes"/>
        <w:rPr>
          <w:sz w:val="14"/>
        </w:rPr>
      </w:pPr>
      <w:r w:rsidRPr="00845C27">
        <w:rPr>
          <w:sz w:val="14"/>
        </w:rPr>
        <w:t>(d)</w:t>
      </w:r>
      <w:r w:rsidRPr="00845C27">
        <w:rPr>
          <w:sz w:val="14"/>
        </w:rPr>
        <w:tab/>
        <w:t xml:space="preserve"> The State reached in-principle agreement with the Motor Traders Association of Australia Superannuation Fund Pty Ltd on the hand back of the Mildura Hospital to the State in June 2013. However, final settlement was delayed until September 2013. The settlement means that all existing contracts are terminated, with the exception of payments to bondholders, which cease in September 2015. Ramsay Health Care will continue to deliver services at the hospital, through a renegotiated contract with the State which have not been reflected above. </w:t>
      </w:r>
    </w:p>
    <w:p w:rsidR="000B4A1E" w:rsidRPr="00845C27" w:rsidRDefault="000B4A1E" w:rsidP="00517E51">
      <w:pPr>
        <w:pStyle w:val="Notes"/>
        <w:rPr>
          <w:iCs/>
          <w:sz w:val="14"/>
        </w:rPr>
      </w:pPr>
      <w:r w:rsidRPr="00845C27">
        <w:rPr>
          <w:iCs/>
          <w:sz w:val="14"/>
        </w:rPr>
        <w:t>(e)</w:t>
      </w:r>
      <w:r w:rsidRPr="00845C27">
        <w:rPr>
          <w:iCs/>
          <w:sz w:val="14"/>
        </w:rPr>
        <w:tab/>
        <w:t>The increase in Other Commitments from last year is due to the inclusion of renewable energy certificates (RECs) and connection services commitments. The Project Deed requires the payment of an annual connection services charge and the purchase of a minimum number of RECs to offset the electricity used by the plant. The number of RECs that are consumed will vary based on the volume of water produced by the plant. If there are any surplus RECs at the end of the project term, the Project Deed requires AquaSure to transfer them to the State, or sell them at arms length commercial terms on behalf of the State with all proceeds paid to the state. DEPI will transfer any surplus RECs or proceeds from sales thereof to Melbourne Water at the end of the project contract term.</w:t>
      </w:r>
    </w:p>
    <w:p w:rsidR="000B4A1E" w:rsidRPr="00845C27" w:rsidRDefault="000B4A1E" w:rsidP="00517E51">
      <w:pPr>
        <w:pStyle w:val="Notes"/>
        <w:rPr>
          <w:iCs/>
          <w:sz w:val="14"/>
        </w:rPr>
      </w:pPr>
      <w:r w:rsidRPr="00845C27">
        <w:rPr>
          <w:iCs/>
          <w:sz w:val="14"/>
        </w:rPr>
        <w:t>(f)</w:t>
      </w:r>
      <w:r w:rsidRPr="00845C27">
        <w:rPr>
          <w:iCs/>
          <w:sz w:val="14"/>
        </w:rPr>
        <w:tab/>
        <w:t>AgriBio is now the official name of the project, which has previously been disclosed as Biosciences Research Centre.</w:t>
      </w:r>
    </w:p>
    <w:p w:rsidR="000B4A1E" w:rsidRPr="00845C27" w:rsidRDefault="000B4A1E" w:rsidP="00517E51">
      <w:pPr>
        <w:pStyle w:val="Notes"/>
        <w:rPr>
          <w:iCs/>
          <w:sz w:val="14"/>
        </w:rPr>
      </w:pPr>
      <w:r w:rsidRPr="00845C27">
        <w:rPr>
          <w:iCs/>
          <w:sz w:val="14"/>
        </w:rPr>
        <w:t>(g)</w:t>
      </w:r>
      <w:r w:rsidRPr="00845C27">
        <w:rPr>
          <w:iCs/>
          <w:sz w:val="14"/>
        </w:rPr>
        <w:tab/>
        <w:t>The increase in Other Commitments from last year is due to the contract extension to the Metropolitan Mobile Radio contract.</w:t>
      </w:r>
    </w:p>
    <w:p w:rsidR="000B4A1E" w:rsidRPr="00845C27" w:rsidRDefault="000B4A1E" w:rsidP="00517E51">
      <w:pPr>
        <w:pStyle w:val="Notes"/>
        <w:rPr>
          <w:sz w:val="14"/>
        </w:rPr>
      </w:pPr>
      <w:r w:rsidRPr="00845C27">
        <w:rPr>
          <w:iCs/>
          <w:sz w:val="14"/>
        </w:rPr>
        <w:t>(h)</w:t>
      </w:r>
      <w:r w:rsidRPr="00845C27">
        <w:rPr>
          <w:iCs/>
          <w:sz w:val="14"/>
        </w:rPr>
        <w:tab/>
        <w:t>The liabilities for Bendigo Hospital are required to be split for reporting purposes due to the contracted staged commissioning (Commercial Acceptance to occur in 2016</w:t>
      </w:r>
      <w:r w:rsidRPr="00845C27">
        <w:rPr>
          <w:iCs/>
          <w:sz w:val="14"/>
        </w:rPr>
        <w:noBreakHyphen/>
        <w:t>17 and 2017</w:t>
      </w:r>
      <w:r w:rsidRPr="00845C27">
        <w:rPr>
          <w:iCs/>
          <w:sz w:val="14"/>
        </w:rPr>
        <w:noBreakHyphen/>
        <w:t>18 for Stages 1 and 2 respectively).</w:t>
      </w:r>
    </w:p>
    <w:p w:rsidR="000B4A1E" w:rsidRPr="00845C27" w:rsidRDefault="000B4A1E" w:rsidP="00517E51">
      <w:pPr>
        <w:pStyle w:val="Notes"/>
        <w:rPr>
          <w:sz w:val="14"/>
        </w:rPr>
      </w:pPr>
      <w:r w:rsidRPr="00845C27">
        <w:rPr>
          <w:sz w:val="14"/>
        </w:rPr>
        <w:t>(i)</w:t>
      </w:r>
      <w:r w:rsidRPr="00845C27">
        <w:rPr>
          <w:sz w:val="14"/>
        </w:rPr>
        <w:tab/>
      </w:r>
      <w:r w:rsidRPr="00845C27">
        <w:rPr>
          <w:iCs/>
          <w:sz w:val="14"/>
        </w:rPr>
        <w:t>The Public Private Partnership formerly known as Ararat Prison is disclosed in Table 33(a), as Hopkins Correctional Centre. The revised payment streams underpinning the Hopkins Correctional Centre require that it is no longer accounted for as a finance lease liability. The project nevertheless remains a Public Private Partnership from a commercial and risk allocation perspective</w:t>
      </w:r>
      <w:r w:rsidRPr="00845C27">
        <w:rPr>
          <w:sz w:val="14"/>
        </w:rPr>
        <w:t>.</w:t>
      </w:r>
    </w:p>
    <w:p w:rsidR="000B4A1E" w:rsidRPr="00845C27" w:rsidRDefault="000B4A1E" w:rsidP="00517E51">
      <w:pPr>
        <w:pStyle w:val="Notes"/>
        <w:rPr>
          <w:sz w:val="14"/>
        </w:rPr>
      </w:pPr>
      <w:r w:rsidRPr="00845C27">
        <w:rPr>
          <w:sz w:val="14"/>
        </w:rPr>
        <w:t>(j)</w:t>
      </w:r>
      <w:r w:rsidRPr="00845C27">
        <w:rPr>
          <w:sz w:val="14"/>
        </w:rPr>
        <w:tab/>
        <w:t>Total commitments (inclusive of GST) includes commitments of both PPPs and non</w:t>
      </w:r>
      <w:r w:rsidRPr="00845C27">
        <w:rPr>
          <w:sz w:val="14"/>
        </w:rPr>
        <w:noBreakHyphen/>
        <w:t>PPPs.</w:t>
      </w:r>
    </w:p>
    <w:p w:rsidR="000B4A1E" w:rsidRPr="00D00665" w:rsidRDefault="000B4A1E" w:rsidP="00517E51">
      <w:pPr>
        <w:pStyle w:val="Notes"/>
        <w:rPr>
          <w:sz w:val="15"/>
        </w:rPr>
      </w:pPr>
    </w:p>
    <w:p w:rsidR="000B4A1E" w:rsidRDefault="000B4A1E" w:rsidP="00517E51">
      <w:pPr>
        <w:pStyle w:val="Heading5"/>
        <w:spacing w:before="200"/>
      </w:pPr>
    </w:p>
    <w:p w:rsidR="000B4A1E" w:rsidRDefault="000B4A1E" w:rsidP="00517E51">
      <w:pPr>
        <w:pStyle w:val="million"/>
        <w:spacing w:before="300"/>
        <w:rPr>
          <w:rFonts w:ascii="Times New Roman" w:hAnsi="Times New Roman"/>
          <w:lang w:eastAsia="en-AU"/>
        </w:rPr>
      </w:pPr>
    </w:p>
    <w:tbl>
      <w:tblPr>
        <w:tblW w:w="9648" w:type="dxa"/>
        <w:tblInd w:w="29" w:type="dxa"/>
        <w:tblLayout w:type="fixed"/>
        <w:tblCellMar>
          <w:left w:w="43" w:type="dxa"/>
          <w:right w:w="43" w:type="dxa"/>
        </w:tblCellMar>
        <w:tblLook w:val="0000" w:firstRow="0" w:lastRow="0" w:firstColumn="0" w:lastColumn="0" w:noHBand="0" w:noVBand="0"/>
      </w:tblPr>
      <w:tblGrid>
        <w:gridCol w:w="1608"/>
        <w:gridCol w:w="476"/>
        <w:gridCol w:w="1132"/>
        <w:gridCol w:w="1608"/>
        <w:gridCol w:w="1608"/>
        <w:gridCol w:w="422"/>
        <w:gridCol w:w="1186"/>
        <w:gridCol w:w="1608"/>
      </w:tblGrid>
      <w:tr w:rsidR="000B4A1E" w:rsidRPr="00A71EF7" w:rsidTr="00517E51">
        <w:tc>
          <w:tcPr>
            <w:tcW w:w="1608" w:type="dxa"/>
            <w:tcBorders>
              <w:top w:val="single" w:sz="6" w:space="0" w:color="auto"/>
              <w:left w:val="single" w:sz="6" w:space="0" w:color="auto"/>
              <w:bottom w:val="nil"/>
              <w:right w:val="nil"/>
            </w:tcBorders>
            <w:shd w:val="clear" w:color="auto" w:fill="000000"/>
          </w:tcPr>
          <w:p w:rsidR="000B4A1E" w:rsidRPr="00A71EF7" w:rsidRDefault="000B4A1E" w:rsidP="00517E51">
            <w:pPr>
              <w:pStyle w:val="Tabletextheading"/>
              <w:rPr>
                <w:rFonts w:eastAsiaTheme="minorEastAsia"/>
                <w:sz w:val="17"/>
                <w:lang w:eastAsia="en-AU"/>
              </w:rPr>
            </w:pPr>
          </w:p>
        </w:tc>
        <w:tc>
          <w:tcPr>
            <w:tcW w:w="476" w:type="dxa"/>
            <w:tcBorders>
              <w:top w:val="single" w:sz="6" w:space="0" w:color="auto"/>
              <w:left w:val="nil"/>
              <w:bottom w:val="nil"/>
              <w:right w:val="nil"/>
            </w:tcBorders>
            <w:shd w:val="clear" w:color="auto" w:fill="000000"/>
          </w:tcPr>
          <w:p w:rsidR="000B4A1E" w:rsidRPr="00A71EF7" w:rsidRDefault="000B4A1E" w:rsidP="00517E51">
            <w:pPr>
              <w:pStyle w:val="Tabletextheading"/>
              <w:jc w:val="center"/>
              <w:rPr>
                <w:rFonts w:eastAsiaTheme="minorEastAsia"/>
                <w:sz w:val="17"/>
                <w:lang w:eastAsia="en-AU"/>
              </w:rPr>
            </w:pPr>
          </w:p>
        </w:tc>
        <w:tc>
          <w:tcPr>
            <w:tcW w:w="2740" w:type="dxa"/>
            <w:gridSpan w:val="2"/>
            <w:tcBorders>
              <w:top w:val="single" w:sz="6" w:space="0" w:color="auto"/>
              <w:left w:val="nil"/>
              <w:bottom w:val="nil"/>
              <w:right w:val="nil"/>
            </w:tcBorders>
            <w:shd w:val="clear" w:color="auto" w:fill="000000"/>
          </w:tcPr>
          <w:p w:rsidR="000B4A1E" w:rsidRPr="00A71EF7" w:rsidRDefault="000B4A1E" w:rsidP="00517E51">
            <w:pPr>
              <w:pStyle w:val="Tabletextheading"/>
              <w:jc w:val="center"/>
              <w:rPr>
                <w:rFonts w:eastAsiaTheme="minorEastAsia"/>
                <w:sz w:val="17"/>
                <w:lang w:eastAsia="en-AU"/>
              </w:rPr>
            </w:pPr>
          </w:p>
          <w:p w:rsidR="000B4A1E" w:rsidRPr="00A71EF7" w:rsidRDefault="000B4A1E" w:rsidP="00517E51">
            <w:pPr>
              <w:pStyle w:val="Tabletextheading"/>
              <w:jc w:val="center"/>
              <w:rPr>
                <w:rFonts w:eastAsiaTheme="minorEastAsia"/>
                <w:sz w:val="17"/>
                <w:lang w:eastAsia="en-AU"/>
              </w:rPr>
            </w:pPr>
            <w:r w:rsidRPr="00A71EF7">
              <w:rPr>
                <w:rFonts w:eastAsiaTheme="minorEastAsia"/>
                <w:sz w:val="17"/>
                <w:lang w:eastAsia="en-AU"/>
              </w:rPr>
              <w:t>State of Victoria</w:t>
            </w:r>
          </w:p>
        </w:tc>
        <w:tc>
          <w:tcPr>
            <w:tcW w:w="1608" w:type="dxa"/>
            <w:tcBorders>
              <w:top w:val="single" w:sz="6" w:space="0" w:color="auto"/>
              <w:left w:val="nil"/>
              <w:bottom w:val="nil"/>
              <w:right w:val="nil"/>
            </w:tcBorders>
            <w:shd w:val="clear" w:color="auto" w:fill="000000"/>
          </w:tcPr>
          <w:p w:rsidR="000B4A1E" w:rsidRPr="00A71EF7" w:rsidRDefault="000B4A1E" w:rsidP="00517E51">
            <w:pPr>
              <w:pStyle w:val="Tabletextheading"/>
              <w:jc w:val="center"/>
              <w:rPr>
                <w:rFonts w:eastAsiaTheme="minorEastAsia"/>
                <w:sz w:val="17"/>
                <w:lang w:eastAsia="en-AU"/>
              </w:rPr>
            </w:pPr>
          </w:p>
        </w:tc>
        <w:tc>
          <w:tcPr>
            <w:tcW w:w="422" w:type="dxa"/>
            <w:tcBorders>
              <w:top w:val="single" w:sz="6" w:space="0" w:color="auto"/>
              <w:left w:val="nil"/>
              <w:bottom w:val="nil"/>
              <w:right w:val="nil"/>
            </w:tcBorders>
            <w:shd w:val="clear" w:color="auto" w:fill="000000"/>
          </w:tcPr>
          <w:p w:rsidR="000B4A1E" w:rsidRPr="00A71EF7" w:rsidRDefault="000B4A1E" w:rsidP="00517E51">
            <w:pPr>
              <w:pStyle w:val="Tabletextheading"/>
              <w:jc w:val="center"/>
              <w:rPr>
                <w:rFonts w:eastAsiaTheme="minorEastAsia"/>
                <w:sz w:val="17"/>
                <w:lang w:eastAsia="en-AU"/>
              </w:rPr>
            </w:pPr>
          </w:p>
        </w:tc>
        <w:tc>
          <w:tcPr>
            <w:tcW w:w="2794" w:type="dxa"/>
            <w:gridSpan w:val="2"/>
            <w:tcBorders>
              <w:top w:val="single" w:sz="6" w:space="0" w:color="auto"/>
              <w:left w:val="nil"/>
              <w:bottom w:val="nil"/>
              <w:right w:val="single" w:sz="6" w:space="0" w:color="auto"/>
            </w:tcBorders>
            <w:shd w:val="clear" w:color="auto" w:fill="000000"/>
          </w:tcPr>
          <w:p w:rsidR="000B4A1E" w:rsidRPr="00A71EF7" w:rsidRDefault="000B4A1E" w:rsidP="00517E51">
            <w:pPr>
              <w:pStyle w:val="Tabletextheading"/>
              <w:jc w:val="center"/>
              <w:rPr>
                <w:rFonts w:eastAsiaTheme="minorEastAsia"/>
                <w:sz w:val="17"/>
                <w:lang w:eastAsia="en-AU"/>
              </w:rPr>
            </w:pPr>
            <w:r w:rsidRPr="00A71EF7">
              <w:rPr>
                <w:rFonts w:eastAsiaTheme="minorEastAsia"/>
                <w:sz w:val="17"/>
                <w:lang w:eastAsia="en-AU"/>
              </w:rPr>
              <w:t>General</w:t>
            </w:r>
          </w:p>
          <w:p w:rsidR="000B4A1E" w:rsidRPr="00A71EF7" w:rsidRDefault="000B4A1E" w:rsidP="00517E51">
            <w:pPr>
              <w:pStyle w:val="Tabletextheading"/>
              <w:jc w:val="center"/>
              <w:rPr>
                <w:rFonts w:eastAsiaTheme="minorEastAsia"/>
                <w:sz w:val="17"/>
                <w:lang w:eastAsia="en-AU"/>
              </w:rPr>
            </w:pPr>
            <w:r w:rsidRPr="00A71EF7">
              <w:rPr>
                <w:rFonts w:eastAsiaTheme="minorEastAsia"/>
                <w:sz w:val="17"/>
                <w:lang w:eastAsia="en-AU"/>
              </w:rPr>
              <w:t>government sector</w:t>
            </w:r>
          </w:p>
        </w:tc>
      </w:tr>
      <w:tr w:rsidR="000B4A1E" w:rsidRPr="00A71EF7" w:rsidTr="00517E51">
        <w:tc>
          <w:tcPr>
            <w:tcW w:w="1608" w:type="dxa"/>
            <w:tcBorders>
              <w:top w:val="nil"/>
              <w:left w:val="single" w:sz="6" w:space="0" w:color="auto"/>
              <w:right w:val="nil"/>
            </w:tcBorders>
            <w:shd w:val="clear" w:color="auto" w:fill="000000"/>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right w:val="nil"/>
            </w:tcBorders>
            <w:shd w:val="clear" w:color="auto" w:fill="000000"/>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right w:val="nil"/>
            </w:tcBorders>
            <w:shd w:val="clear" w:color="auto" w:fill="000000"/>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2012</w:t>
            </w:r>
          </w:p>
        </w:tc>
        <w:tc>
          <w:tcPr>
            <w:tcW w:w="1608" w:type="dxa"/>
            <w:tcBorders>
              <w:top w:val="nil"/>
              <w:left w:val="nil"/>
              <w:right w:val="nil"/>
            </w:tcBorders>
            <w:shd w:val="clear" w:color="auto" w:fill="000000"/>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right w:val="nil"/>
            </w:tcBorders>
            <w:shd w:val="clear" w:color="auto" w:fill="000000"/>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right w:val="single" w:sz="6" w:space="0" w:color="auto"/>
            </w:tcBorders>
            <w:shd w:val="clear" w:color="auto" w:fill="000000"/>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2012</w:t>
            </w:r>
          </w:p>
        </w:tc>
      </w:tr>
      <w:tr w:rsidR="000B4A1E" w:rsidRPr="00A71EF7" w:rsidTr="00517E51">
        <w:tc>
          <w:tcPr>
            <w:tcW w:w="1608" w:type="dxa"/>
            <w:tcBorders>
              <w:left w:val="single" w:sz="6" w:space="0" w:color="auto"/>
              <w:bottom w:val="nil"/>
              <w:right w:val="nil"/>
            </w:tcBorders>
            <w:shd w:val="solid" w:color="000000" w:fill="auto"/>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 xml:space="preserve"> </w:t>
            </w:r>
          </w:p>
        </w:tc>
        <w:tc>
          <w:tcPr>
            <w:tcW w:w="1608" w:type="dxa"/>
            <w:gridSpan w:val="2"/>
            <w:tcBorders>
              <w:left w:val="nil"/>
              <w:bottom w:val="nil"/>
              <w:right w:val="nil"/>
            </w:tcBorders>
            <w:shd w:val="solid" w:color="000000" w:fill="auto"/>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 xml:space="preserve"> </w:t>
            </w:r>
          </w:p>
        </w:tc>
        <w:tc>
          <w:tcPr>
            <w:tcW w:w="1608" w:type="dxa"/>
            <w:tcBorders>
              <w:left w:val="nil"/>
              <w:bottom w:val="nil"/>
              <w:right w:val="nil"/>
            </w:tcBorders>
            <w:shd w:val="solid" w:color="000000" w:fill="auto"/>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Other commitments</w:t>
            </w:r>
          </w:p>
        </w:tc>
        <w:tc>
          <w:tcPr>
            <w:tcW w:w="1608" w:type="dxa"/>
            <w:tcBorders>
              <w:left w:val="nil"/>
              <w:bottom w:val="nil"/>
              <w:right w:val="nil"/>
            </w:tcBorders>
            <w:shd w:val="solid" w:color="000000" w:fill="auto"/>
          </w:tcPr>
          <w:p w:rsidR="000B4A1E" w:rsidRPr="00A71EF7" w:rsidRDefault="000B4A1E" w:rsidP="00517E51">
            <w:pPr>
              <w:pStyle w:val="Tabletextheading"/>
              <w:rPr>
                <w:rFonts w:eastAsiaTheme="minorEastAsia"/>
                <w:iCs/>
                <w:sz w:val="17"/>
                <w:lang w:eastAsia="en-AU"/>
              </w:rPr>
            </w:pPr>
            <w:r w:rsidRPr="00A71EF7">
              <w:rPr>
                <w:rFonts w:eastAsiaTheme="minorEastAsia"/>
                <w:iCs/>
                <w:sz w:val="17"/>
                <w:lang w:eastAsia="en-AU"/>
              </w:rPr>
              <w:t xml:space="preserve"> </w:t>
            </w:r>
          </w:p>
        </w:tc>
        <w:tc>
          <w:tcPr>
            <w:tcW w:w="1608" w:type="dxa"/>
            <w:gridSpan w:val="2"/>
            <w:tcBorders>
              <w:left w:val="nil"/>
              <w:bottom w:val="nil"/>
              <w:right w:val="nil"/>
            </w:tcBorders>
            <w:shd w:val="solid" w:color="000000" w:fill="auto"/>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 xml:space="preserve"> </w:t>
            </w:r>
          </w:p>
        </w:tc>
        <w:tc>
          <w:tcPr>
            <w:tcW w:w="1608" w:type="dxa"/>
            <w:tcBorders>
              <w:left w:val="nil"/>
              <w:bottom w:val="nil"/>
              <w:right w:val="single" w:sz="6" w:space="0" w:color="auto"/>
            </w:tcBorders>
            <w:shd w:val="solid" w:color="000000" w:fill="auto"/>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Other commitments</w:t>
            </w:r>
          </w:p>
        </w:tc>
      </w:tr>
      <w:tr w:rsidR="000B4A1E" w:rsidRPr="00A71EF7" w:rsidTr="00517E51">
        <w:tc>
          <w:tcPr>
            <w:tcW w:w="1608" w:type="dxa"/>
            <w:tcBorders>
              <w:top w:val="nil"/>
              <w:left w:val="single" w:sz="6" w:space="0" w:color="auto"/>
              <w:bottom w:val="single" w:sz="6" w:space="0" w:color="auto"/>
              <w:right w:val="nil"/>
            </w:tcBorders>
            <w:shd w:val="solid" w:color="000000" w:fill="auto"/>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single" w:sz="6" w:space="0" w:color="auto"/>
              <w:right w:val="nil"/>
            </w:tcBorders>
            <w:shd w:val="solid" w:color="000000" w:fill="auto"/>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Present value</w:t>
            </w:r>
          </w:p>
        </w:tc>
        <w:tc>
          <w:tcPr>
            <w:tcW w:w="1608" w:type="dxa"/>
            <w:tcBorders>
              <w:top w:val="nil"/>
              <w:left w:val="nil"/>
              <w:bottom w:val="single" w:sz="6" w:space="0" w:color="auto"/>
              <w:right w:val="nil"/>
            </w:tcBorders>
            <w:shd w:val="solid" w:color="000000" w:fill="auto"/>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Nominal value</w:t>
            </w:r>
          </w:p>
        </w:tc>
        <w:tc>
          <w:tcPr>
            <w:tcW w:w="1608" w:type="dxa"/>
            <w:tcBorders>
              <w:top w:val="nil"/>
              <w:left w:val="nil"/>
              <w:bottom w:val="single" w:sz="6" w:space="0" w:color="auto"/>
              <w:right w:val="nil"/>
            </w:tcBorders>
            <w:shd w:val="solid" w:color="000000" w:fill="auto"/>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single" w:sz="6" w:space="0" w:color="auto"/>
              <w:right w:val="nil"/>
            </w:tcBorders>
            <w:shd w:val="solid" w:color="000000" w:fill="auto"/>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Present value</w:t>
            </w:r>
          </w:p>
        </w:tc>
        <w:tc>
          <w:tcPr>
            <w:tcW w:w="1608" w:type="dxa"/>
            <w:tcBorders>
              <w:top w:val="nil"/>
              <w:left w:val="nil"/>
              <w:bottom w:val="single" w:sz="6" w:space="0" w:color="auto"/>
              <w:right w:val="single" w:sz="6" w:space="0" w:color="auto"/>
            </w:tcBorders>
            <w:shd w:val="solid" w:color="000000" w:fill="auto"/>
          </w:tcPr>
          <w:p w:rsidR="000B4A1E" w:rsidRPr="00A71EF7" w:rsidRDefault="000B4A1E" w:rsidP="00517E51">
            <w:pPr>
              <w:pStyle w:val="Tabletextheading"/>
              <w:rPr>
                <w:rFonts w:eastAsiaTheme="minorEastAsia"/>
                <w:sz w:val="17"/>
                <w:lang w:eastAsia="en-AU"/>
              </w:rPr>
            </w:pPr>
            <w:r w:rsidRPr="00A71EF7">
              <w:rPr>
                <w:rFonts w:eastAsiaTheme="minorEastAsia"/>
                <w:sz w:val="17"/>
                <w:lang w:eastAsia="en-AU"/>
              </w:rPr>
              <w:t>Nominal value</w:t>
            </w:r>
          </w:p>
        </w:tc>
      </w:tr>
      <w:tr w:rsidR="000B4A1E" w:rsidRPr="00A71EF7" w:rsidTr="00517E51">
        <w:trPr>
          <w:trHeight w:hRule="exact" w:val="120"/>
        </w:trPr>
        <w:tc>
          <w:tcPr>
            <w:tcW w:w="1608" w:type="dxa"/>
            <w:tcBorders>
              <w:top w:val="single" w:sz="6" w:space="0" w:color="auto"/>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single" w:sz="6" w:space="0" w:color="auto"/>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single" w:sz="6" w:space="0" w:color="auto"/>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single" w:sz="6" w:space="0" w:color="auto"/>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single" w:sz="6" w:space="0" w:color="auto"/>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single" w:sz="6" w:space="0" w:color="auto"/>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tcBorders>
              <w:top w:val="nil"/>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tcBorders>
              <w:top w:val="nil"/>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tcBorders>
              <w:top w:val="nil"/>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24.1</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24.8</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24.1</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24.8</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84.3</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109.8</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74.8</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113.8</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273.8</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299.6</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273.8</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299.6</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49.3</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52.7</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49.3</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52.7</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241.3</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544.2</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241.3</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544.2</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195.9</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515.5</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195.9</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515.5</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97.2</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235.3</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97.2</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235.3</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333.5</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876.4</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333.5</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876.4</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203.3</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449.8</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203.3</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449.8</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47.7</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92.4</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47.7</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92.4</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54.1</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92.4</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54.1</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92.4</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r>
      <w:tr w:rsidR="000B4A1E" w:rsidRPr="00A71EF7" w:rsidTr="00517E51">
        <w:tc>
          <w:tcPr>
            <w:tcW w:w="1608" w:type="dxa"/>
            <w:tcBorders>
              <w:top w:val="nil"/>
              <w:left w:val="nil"/>
              <w:bottom w:val="single" w:sz="6" w:space="0" w:color="auto"/>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single" w:sz="6" w:space="0" w:color="auto"/>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39.8</w:t>
            </w:r>
          </w:p>
        </w:tc>
        <w:tc>
          <w:tcPr>
            <w:tcW w:w="1608" w:type="dxa"/>
            <w:tcBorders>
              <w:top w:val="nil"/>
              <w:left w:val="nil"/>
              <w:bottom w:val="single" w:sz="6" w:space="0" w:color="auto"/>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43.2</w:t>
            </w:r>
          </w:p>
        </w:tc>
        <w:tc>
          <w:tcPr>
            <w:tcW w:w="1608" w:type="dxa"/>
            <w:tcBorders>
              <w:top w:val="nil"/>
              <w:left w:val="nil"/>
              <w:bottom w:val="single" w:sz="6" w:space="0" w:color="auto"/>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single" w:sz="6" w:space="0" w:color="auto"/>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39.8</w:t>
            </w:r>
          </w:p>
        </w:tc>
        <w:tc>
          <w:tcPr>
            <w:tcW w:w="1608" w:type="dxa"/>
            <w:tcBorders>
              <w:top w:val="nil"/>
              <w:left w:val="nil"/>
              <w:bottom w:val="single" w:sz="6" w:space="0" w:color="auto"/>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43.2</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1 718.9</w:t>
            </w:r>
          </w:p>
        </w:tc>
        <w:tc>
          <w:tcPr>
            <w:tcW w:w="1608" w:type="dxa"/>
            <w:tcBorders>
              <w:top w:val="nil"/>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3 450.0</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1 559.8</w:t>
            </w:r>
          </w:p>
        </w:tc>
        <w:tc>
          <w:tcPr>
            <w:tcW w:w="1608" w:type="dxa"/>
            <w:tcBorders>
              <w:top w:val="nil"/>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3 226.4</w:t>
            </w:r>
          </w:p>
        </w:tc>
      </w:tr>
      <w:tr w:rsidR="000B4A1E" w:rsidRPr="00A71EF7" w:rsidTr="00517E51">
        <w:trPr>
          <w:trHeight w:hRule="exact" w:val="80"/>
        </w:trPr>
        <w:tc>
          <w:tcPr>
            <w:tcW w:w="1608" w:type="dxa"/>
            <w:tcBorders>
              <w:top w:val="nil"/>
              <w:left w:val="nil"/>
              <w:bottom w:val="nil"/>
              <w:right w:val="nil"/>
            </w:tcBorders>
          </w:tcPr>
          <w:p w:rsidR="000B4A1E" w:rsidRPr="00A71EF7" w:rsidRDefault="000B4A1E" w:rsidP="00517E51">
            <w:pPr>
              <w:pStyle w:val="TableofFigures"/>
              <w:rPr>
                <w:rFonts w:eastAsiaTheme="minorEastAsia"/>
                <w:i/>
                <w:iCs/>
                <w:sz w:val="17"/>
                <w:lang w:eastAsia="en-AU"/>
              </w:rPr>
            </w:pPr>
            <w:r w:rsidRPr="00A71EF7">
              <w:rPr>
                <w:rFonts w:eastAsiaTheme="minorEastAsia"/>
                <w:i/>
                <w:iCs/>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r>
      <w:tr w:rsidR="000B4A1E" w:rsidRPr="00A71EF7" w:rsidTr="00517E51">
        <w:tc>
          <w:tcPr>
            <w:tcW w:w="1608" w:type="dxa"/>
            <w:tcBorders>
              <w:top w:val="nil"/>
              <w:left w:val="nil"/>
              <w:bottom w:val="single" w:sz="6" w:space="0" w:color="auto"/>
              <w:right w:val="nil"/>
            </w:tcBorders>
            <w:shd w:val="solid" w:color="000000" w:fill="auto"/>
          </w:tcPr>
          <w:p w:rsidR="000B4A1E" w:rsidRPr="00A71EF7" w:rsidRDefault="000B4A1E" w:rsidP="00517E51">
            <w:pPr>
              <w:pStyle w:val="TableofFigures"/>
              <w:rPr>
                <w:rFonts w:eastAsiaTheme="minorEastAsia"/>
                <w:i/>
                <w:iCs/>
                <w:sz w:val="17"/>
                <w:lang w:eastAsia="en-AU"/>
              </w:rPr>
            </w:pPr>
            <w:r w:rsidRPr="00A71EF7">
              <w:rPr>
                <w:rFonts w:eastAsiaTheme="minorEastAsia"/>
                <w:i/>
                <w:iCs/>
                <w:sz w:val="17"/>
                <w:lang w:eastAsia="en-AU"/>
              </w:rPr>
              <w:t xml:space="preserve">Minimum </w:t>
            </w:r>
          </w:p>
          <w:p w:rsidR="000B4A1E" w:rsidRPr="00A71EF7" w:rsidRDefault="000B4A1E" w:rsidP="00517E51">
            <w:pPr>
              <w:pStyle w:val="TableofFigures"/>
              <w:rPr>
                <w:rFonts w:eastAsiaTheme="minorEastAsia"/>
                <w:i/>
                <w:iCs/>
                <w:sz w:val="17"/>
                <w:lang w:eastAsia="en-AU"/>
              </w:rPr>
            </w:pPr>
            <w:r w:rsidRPr="00A71EF7">
              <w:rPr>
                <w:rFonts w:eastAsiaTheme="minorEastAsia"/>
                <w:i/>
                <w:iCs/>
                <w:sz w:val="17"/>
                <w:lang w:eastAsia="en-AU"/>
              </w:rPr>
              <w:t>lease payments</w:t>
            </w:r>
          </w:p>
        </w:tc>
        <w:tc>
          <w:tcPr>
            <w:tcW w:w="1608" w:type="dxa"/>
            <w:gridSpan w:val="2"/>
            <w:tcBorders>
              <w:top w:val="nil"/>
              <w:left w:val="nil"/>
              <w:bottom w:val="single" w:sz="6" w:space="0" w:color="auto"/>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Other commitments</w:t>
            </w:r>
          </w:p>
        </w:tc>
        <w:tc>
          <w:tcPr>
            <w:tcW w:w="1608" w:type="dxa"/>
            <w:tcBorders>
              <w:top w:val="nil"/>
              <w:left w:val="nil"/>
              <w:bottom w:val="single" w:sz="6" w:space="0" w:color="auto"/>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Total </w:t>
            </w:r>
          </w:p>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commitments</w:t>
            </w:r>
          </w:p>
        </w:tc>
        <w:tc>
          <w:tcPr>
            <w:tcW w:w="1608" w:type="dxa"/>
            <w:tcBorders>
              <w:top w:val="nil"/>
              <w:left w:val="nil"/>
              <w:bottom w:val="single" w:sz="6" w:space="0" w:color="auto"/>
              <w:right w:val="nil"/>
            </w:tcBorders>
            <w:shd w:val="solid" w:color="000000" w:fill="auto"/>
          </w:tcPr>
          <w:p w:rsidR="000B4A1E" w:rsidRPr="00A71EF7" w:rsidRDefault="000B4A1E" w:rsidP="00517E51">
            <w:pPr>
              <w:pStyle w:val="TableofFigures"/>
              <w:rPr>
                <w:rFonts w:eastAsiaTheme="minorEastAsia"/>
                <w:i/>
                <w:iCs/>
                <w:sz w:val="17"/>
                <w:lang w:eastAsia="en-AU"/>
              </w:rPr>
            </w:pPr>
            <w:r w:rsidRPr="00A71EF7">
              <w:rPr>
                <w:rFonts w:eastAsiaTheme="minorEastAsia"/>
                <w:i/>
                <w:iCs/>
                <w:sz w:val="17"/>
                <w:lang w:eastAsia="en-AU"/>
              </w:rPr>
              <w:t xml:space="preserve">Minimum </w:t>
            </w:r>
          </w:p>
          <w:p w:rsidR="000B4A1E" w:rsidRPr="00A71EF7" w:rsidRDefault="000B4A1E" w:rsidP="00517E51">
            <w:pPr>
              <w:pStyle w:val="TableofFigures"/>
              <w:rPr>
                <w:rFonts w:eastAsiaTheme="minorEastAsia"/>
                <w:i/>
                <w:iCs/>
                <w:sz w:val="17"/>
                <w:lang w:eastAsia="en-AU"/>
              </w:rPr>
            </w:pPr>
            <w:r w:rsidRPr="00A71EF7">
              <w:rPr>
                <w:rFonts w:eastAsiaTheme="minorEastAsia"/>
                <w:i/>
                <w:iCs/>
                <w:sz w:val="17"/>
                <w:lang w:eastAsia="en-AU"/>
              </w:rPr>
              <w:t>lease payments</w:t>
            </w:r>
          </w:p>
        </w:tc>
        <w:tc>
          <w:tcPr>
            <w:tcW w:w="1608" w:type="dxa"/>
            <w:gridSpan w:val="2"/>
            <w:tcBorders>
              <w:top w:val="nil"/>
              <w:left w:val="nil"/>
              <w:bottom w:val="single" w:sz="6" w:space="0" w:color="auto"/>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Other commitments</w:t>
            </w:r>
          </w:p>
        </w:tc>
        <w:tc>
          <w:tcPr>
            <w:tcW w:w="1608" w:type="dxa"/>
            <w:tcBorders>
              <w:top w:val="nil"/>
              <w:left w:val="nil"/>
              <w:bottom w:val="single" w:sz="6" w:space="0" w:color="auto"/>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Total </w:t>
            </w:r>
          </w:p>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commitments</w:t>
            </w:r>
          </w:p>
        </w:tc>
      </w:tr>
      <w:tr w:rsidR="000B4A1E" w:rsidRPr="00A71EF7" w:rsidTr="00517E51">
        <w:trPr>
          <w:trHeight w:hRule="exact" w:val="80"/>
        </w:trPr>
        <w:tc>
          <w:tcPr>
            <w:tcW w:w="1608" w:type="dxa"/>
            <w:tcBorders>
              <w:top w:val="nil"/>
              <w:left w:val="nil"/>
              <w:bottom w:val="nil"/>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nil"/>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nil"/>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nil"/>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nil"/>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r>
      <w:tr w:rsidR="000B4A1E" w:rsidRPr="00A71EF7" w:rsidTr="00517E51">
        <w:tc>
          <w:tcPr>
            <w:tcW w:w="1608" w:type="dxa"/>
            <w:tcBorders>
              <w:top w:val="nil"/>
              <w:left w:val="nil"/>
              <w:bottom w:val="nil"/>
              <w:right w:val="nil"/>
            </w:tcBorders>
            <w:shd w:val="solid" w:color="000000" w:fill="auto"/>
          </w:tcPr>
          <w:p w:rsidR="000B4A1E" w:rsidRPr="00A71EF7" w:rsidRDefault="000B4A1E" w:rsidP="00517E51">
            <w:pPr>
              <w:pStyle w:val="TableofFigures"/>
              <w:rPr>
                <w:rFonts w:eastAsiaTheme="minorEastAsia"/>
                <w:i/>
                <w:iCs/>
                <w:sz w:val="17"/>
                <w:lang w:eastAsia="en-AU"/>
              </w:rPr>
            </w:pPr>
            <w:r w:rsidRPr="00A71EF7">
              <w:rPr>
                <w:rFonts w:eastAsiaTheme="minorEastAsia"/>
                <w:i/>
                <w:iCs/>
                <w:sz w:val="17"/>
                <w:lang w:eastAsia="en-AU"/>
              </w:rPr>
              <w:t>Discounted value</w:t>
            </w:r>
          </w:p>
        </w:tc>
        <w:tc>
          <w:tcPr>
            <w:tcW w:w="1608" w:type="dxa"/>
            <w:gridSpan w:val="2"/>
            <w:tcBorders>
              <w:top w:val="nil"/>
              <w:left w:val="nil"/>
              <w:bottom w:val="nil"/>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Present value</w:t>
            </w:r>
          </w:p>
        </w:tc>
        <w:tc>
          <w:tcPr>
            <w:tcW w:w="1608" w:type="dxa"/>
            <w:tcBorders>
              <w:top w:val="nil"/>
              <w:left w:val="nil"/>
              <w:bottom w:val="nil"/>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Nominal value</w:t>
            </w:r>
          </w:p>
        </w:tc>
        <w:tc>
          <w:tcPr>
            <w:tcW w:w="1608" w:type="dxa"/>
            <w:tcBorders>
              <w:top w:val="nil"/>
              <w:left w:val="nil"/>
              <w:bottom w:val="nil"/>
              <w:right w:val="nil"/>
            </w:tcBorders>
            <w:shd w:val="solid" w:color="000000" w:fill="auto"/>
          </w:tcPr>
          <w:p w:rsidR="000B4A1E" w:rsidRPr="00A71EF7" w:rsidRDefault="000B4A1E" w:rsidP="00517E51">
            <w:pPr>
              <w:pStyle w:val="TableofFigures"/>
              <w:rPr>
                <w:rFonts w:eastAsiaTheme="minorEastAsia"/>
                <w:i/>
                <w:iCs/>
                <w:sz w:val="17"/>
                <w:lang w:eastAsia="en-AU"/>
              </w:rPr>
            </w:pPr>
            <w:r w:rsidRPr="00A71EF7">
              <w:rPr>
                <w:rFonts w:eastAsiaTheme="minorEastAsia"/>
                <w:i/>
                <w:iCs/>
                <w:sz w:val="17"/>
                <w:lang w:eastAsia="en-AU"/>
              </w:rPr>
              <w:t>Discounted value</w:t>
            </w:r>
          </w:p>
        </w:tc>
        <w:tc>
          <w:tcPr>
            <w:tcW w:w="1608" w:type="dxa"/>
            <w:gridSpan w:val="2"/>
            <w:tcBorders>
              <w:top w:val="nil"/>
              <w:left w:val="nil"/>
              <w:bottom w:val="nil"/>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Present value</w:t>
            </w:r>
          </w:p>
        </w:tc>
        <w:tc>
          <w:tcPr>
            <w:tcW w:w="1608" w:type="dxa"/>
            <w:tcBorders>
              <w:top w:val="nil"/>
              <w:left w:val="nil"/>
              <w:bottom w:val="nil"/>
              <w:right w:val="nil"/>
            </w:tcBorders>
            <w:shd w:val="solid" w:color="000000" w:fill="auto"/>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Nominal value</w:t>
            </w:r>
          </w:p>
        </w:tc>
      </w:tr>
      <w:tr w:rsidR="000B4A1E" w:rsidRPr="00A71EF7" w:rsidTr="00517E51">
        <w:trPr>
          <w:cantSplit/>
          <w:trHeight w:hRule="exact" w:val="80"/>
        </w:trPr>
        <w:tc>
          <w:tcPr>
            <w:tcW w:w="1608" w:type="dxa"/>
            <w:tcBorders>
              <w:top w:val="nil"/>
              <w:left w:val="nil"/>
              <w:bottom w:val="nil"/>
              <w:right w:val="nil"/>
            </w:tcBorders>
          </w:tcPr>
          <w:p w:rsidR="000B4A1E" w:rsidRPr="00A71EF7" w:rsidRDefault="000B4A1E" w:rsidP="00517E51">
            <w:pPr>
              <w:pStyle w:val="TableofFigures"/>
              <w:rPr>
                <w:rFonts w:eastAsiaTheme="minorEastAsia"/>
                <w:i/>
                <w:iCs/>
                <w:sz w:val="17"/>
                <w:lang w:eastAsia="en-AU"/>
              </w:rPr>
            </w:pPr>
            <w:r w:rsidRPr="00A71EF7">
              <w:rPr>
                <w:rFonts w:eastAsiaTheme="minorEastAsia"/>
                <w:i/>
                <w:iCs/>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nil"/>
              <w:right w:val="nil"/>
            </w:tcBorders>
          </w:tcPr>
          <w:p w:rsidR="000B4A1E" w:rsidRPr="00A71EF7" w:rsidRDefault="000B4A1E" w:rsidP="00517E51">
            <w:pPr>
              <w:pStyle w:val="TableofFigures"/>
              <w:rPr>
                <w:rFonts w:eastAsiaTheme="minorEastAsia"/>
                <w:i/>
                <w:iCs/>
                <w:sz w:val="17"/>
                <w:lang w:eastAsia="en-AU"/>
              </w:rPr>
            </w:pPr>
            <w:r w:rsidRPr="00A71EF7">
              <w:rPr>
                <w:rFonts w:eastAsiaTheme="minorEastAsia"/>
                <w:i/>
                <w:iCs/>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i/>
                <w:iCs/>
                <w:sz w:val="17"/>
                <w:lang w:eastAsia="en-AU"/>
              </w:rPr>
            </w:pPr>
            <w:r w:rsidRPr="00A71EF7">
              <w:rPr>
                <w:rFonts w:eastAsiaTheme="minorEastAsia"/>
                <w:i/>
                <w:iCs/>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nil"/>
              <w:right w:val="nil"/>
            </w:tcBorders>
          </w:tcPr>
          <w:p w:rsidR="000B4A1E" w:rsidRPr="00A71EF7" w:rsidRDefault="000B4A1E" w:rsidP="00517E51">
            <w:pPr>
              <w:pStyle w:val="TableofFigures"/>
              <w:rPr>
                <w:rFonts w:eastAsiaTheme="minorEastAsia"/>
                <w:i/>
                <w:iCs/>
                <w:sz w:val="17"/>
                <w:lang w:eastAsia="en-AU"/>
              </w:rPr>
            </w:pPr>
            <w:r w:rsidRPr="00A71EF7">
              <w:rPr>
                <w:rFonts w:eastAsiaTheme="minorEastAsia"/>
                <w:i/>
                <w:iCs/>
                <w:sz w:val="17"/>
                <w:lang w:eastAsia="en-AU"/>
              </w:rPr>
              <w:t xml:space="preserve"> </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929.3</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150.6</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3 016.9</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929.3</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150.6</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3 016.9</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54.2</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63.1</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259.4</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1 050.4</w:t>
            </w:r>
            <w:r w:rsidRPr="00A71EF7">
              <w:rPr>
                <w:rFonts w:eastAsiaTheme="minorEastAsia"/>
                <w:sz w:val="17"/>
                <w:lang w:eastAsia="en-AU"/>
              </w:rPr>
              <w:br/>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301.3</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3 199.8</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1 050.4</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301.3</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3 199.8</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201.3</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89.4</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789.4</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201.3</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89.4</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789.4</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4 523.7</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1 408.8</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19 126.0</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4 523.7</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1 408.8</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19 126.0</w:t>
            </w:r>
          </w:p>
        </w:tc>
      </w:tr>
      <w:tr w:rsidR="000B4A1E" w:rsidRPr="00A71EF7" w:rsidTr="00517E51">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234.4</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181.9</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1 190.1</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234.4</w:t>
            </w:r>
          </w:p>
        </w:tc>
        <w:tc>
          <w:tcPr>
            <w:tcW w:w="1608" w:type="dxa"/>
            <w:gridSpan w:val="2"/>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181.9</w:t>
            </w:r>
          </w:p>
        </w:tc>
        <w:tc>
          <w:tcPr>
            <w:tcW w:w="1608" w:type="dxa"/>
            <w:tcBorders>
              <w:top w:val="nil"/>
              <w:left w:val="nil"/>
              <w:bottom w:val="nil"/>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1 190.1</w:t>
            </w:r>
          </w:p>
        </w:tc>
      </w:tr>
      <w:tr w:rsidR="000B4A1E" w:rsidRPr="00A71EF7" w:rsidTr="00517E51">
        <w:tc>
          <w:tcPr>
            <w:tcW w:w="1608" w:type="dxa"/>
            <w:tcBorders>
              <w:top w:val="single" w:sz="6" w:space="0" w:color="auto"/>
              <w:left w:val="nil"/>
              <w:bottom w:val="single" w:sz="6"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6 993.2</w:t>
            </w:r>
          </w:p>
        </w:tc>
        <w:tc>
          <w:tcPr>
            <w:tcW w:w="1608" w:type="dxa"/>
            <w:gridSpan w:val="2"/>
            <w:tcBorders>
              <w:top w:val="single" w:sz="6" w:space="0" w:color="auto"/>
              <w:left w:val="nil"/>
              <w:bottom w:val="single" w:sz="6"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2 195.1</w:t>
            </w:r>
          </w:p>
        </w:tc>
        <w:tc>
          <w:tcPr>
            <w:tcW w:w="1608" w:type="dxa"/>
            <w:tcBorders>
              <w:top w:val="single" w:sz="6" w:space="0" w:color="auto"/>
              <w:left w:val="nil"/>
              <w:bottom w:val="single" w:sz="6"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27 581.7</w:t>
            </w:r>
          </w:p>
        </w:tc>
        <w:tc>
          <w:tcPr>
            <w:tcW w:w="1608" w:type="dxa"/>
            <w:tcBorders>
              <w:top w:val="single" w:sz="6" w:space="0" w:color="auto"/>
              <w:left w:val="nil"/>
              <w:bottom w:val="single" w:sz="6"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6 939.0</w:t>
            </w:r>
          </w:p>
        </w:tc>
        <w:tc>
          <w:tcPr>
            <w:tcW w:w="1608" w:type="dxa"/>
            <w:gridSpan w:val="2"/>
            <w:tcBorders>
              <w:top w:val="single" w:sz="6" w:space="0" w:color="auto"/>
              <w:left w:val="nil"/>
              <w:bottom w:val="single" w:sz="6"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2 132.0</w:t>
            </w:r>
          </w:p>
        </w:tc>
        <w:tc>
          <w:tcPr>
            <w:tcW w:w="1608" w:type="dxa"/>
            <w:tcBorders>
              <w:top w:val="single" w:sz="6" w:space="0" w:color="auto"/>
              <w:left w:val="nil"/>
              <w:bottom w:val="single" w:sz="6"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27 322.3</w:t>
            </w:r>
          </w:p>
        </w:tc>
      </w:tr>
      <w:tr w:rsidR="000B4A1E" w:rsidRPr="00A71EF7" w:rsidTr="00517E51">
        <w:tc>
          <w:tcPr>
            <w:tcW w:w="1608" w:type="dxa"/>
            <w:tcBorders>
              <w:top w:val="single" w:sz="6" w:space="0" w:color="auto"/>
              <w:left w:val="nil"/>
              <w:bottom w:val="single" w:sz="6"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r w:rsidRPr="00A71EF7">
              <w:rPr>
                <w:rFonts w:eastAsiaTheme="minorEastAsia"/>
                <w:b/>
                <w:bCs/>
                <w:sz w:val="17"/>
                <w:lang w:eastAsia="en-AU"/>
              </w:rPr>
              <w:br/>
            </w:r>
          </w:p>
        </w:tc>
        <w:tc>
          <w:tcPr>
            <w:tcW w:w="1608" w:type="dxa"/>
            <w:gridSpan w:val="2"/>
            <w:tcBorders>
              <w:top w:val="single" w:sz="6" w:space="0" w:color="auto"/>
              <w:left w:val="nil"/>
              <w:bottom w:val="single" w:sz="6"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3 914.0</w:t>
            </w:r>
          </w:p>
        </w:tc>
        <w:tc>
          <w:tcPr>
            <w:tcW w:w="1608" w:type="dxa"/>
            <w:tcBorders>
              <w:top w:val="single" w:sz="6" w:space="0" w:color="auto"/>
              <w:left w:val="nil"/>
              <w:bottom w:val="single" w:sz="6"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31 031.7</w:t>
            </w:r>
          </w:p>
        </w:tc>
        <w:tc>
          <w:tcPr>
            <w:tcW w:w="1608" w:type="dxa"/>
            <w:tcBorders>
              <w:top w:val="single" w:sz="6" w:space="0" w:color="auto"/>
              <w:left w:val="nil"/>
              <w:bottom w:val="single" w:sz="6"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gridSpan w:val="2"/>
            <w:tcBorders>
              <w:top w:val="single" w:sz="6" w:space="0" w:color="auto"/>
              <w:left w:val="nil"/>
              <w:bottom w:val="single" w:sz="6"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3 691.8</w:t>
            </w:r>
          </w:p>
        </w:tc>
        <w:tc>
          <w:tcPr>
            <w:tcW w:w="1608" w:type="dxa"/>
            <w:tcBorders>
              <w:top w:val="single" w:sz="6" w:space="0" w:color="auto"/>
              <w:left w:val="nil"/>
              <w:bottom w:val="single" w:sz="6"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30 548.7</w:t>
            </w:r>
          </w:p>
        </w:tc>
      </w:tr>
      <w:tr w:rsidR="000B4A1E" w:rsidRPr="00A71EF7" w:rsidTr="00517E51">
        <w:tc>
          <w:tcPr>
            <w:tcW w:w="1608" w:type="dxa"/>
            <w:tcBorders>
              <w:top w:val="single" w:sz="6" w:space="0" w:color="auto"/>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gridSpan w:val="2"/>
            <w:tcBorders>
              <w:top w:val="single" w:sz="6" w:space="0" w:color="auto"/>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tcBorders>
              <w:top w:val="single" w:sz="6" w:space="0" w:color="auto"/>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54 644.0</w:t>
            </w:r>
          </w:p>
        </w:tc>
        <w:tc>
          <w:tcPr>
            <w:tcW w:w="1608" w:type="dxa"/>
            <w:tcBorders>
              <w:top w:val="single" w:sz="6" w:space="0" w:color="auto"/>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gridSpan w:val="2"/>
            <w:tcBorders>
              <w:top w:val="single" w:sz="6" w:space="0" w:color="auto"/>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tcBorders>
              <w:top w:val="single" w:sz="6" w:space="0" w:color="auto"/>
              <w:left w:val="nil"/>
              <w:bottom w:val="nil"/>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51 747.8</w:t>
            </w:r>
          </w:p>
        </w:tc>
      </w:tr>
      <w:tr w:rsidR="000B4A1E" w:rsidRPr="00A71EF7" w:rsidTr="00517E51">
        <w:tc>
          <w:tcPr>
            <w:tcW w:w="1608" w:type="dxa"/>
            <w:tcBorders>
              <w:top w:val="nil"/>
              <w:left w:val="nil"/>
              <w:bottom w:val="single" w:sz="6" w:space="0" w:color="auto"/>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single" w:sz="6" w:space="0" w:color="auto"/>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single" w:sz="6" w:space="0" w:color="auto"/>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4 967.6</w:t>
            </w:r>
          </w:p>
        </w:tc>
        <w:tc>
          <w:tcPr>
            <w:tcW w:w="1608" w:type="dxa"/>
            <w:tcBorders>
              <w:top w:val="nil"/>
              <w:left w:val="nil"/>
              <w:bottom w:val="single" w:sz="6" w:space="0" w:color="auto"/>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gridSpan w:val="2"/>
            <w:tcBorders>
              <w:top w:val="nil"/>
              <w:left w:val="nil"/>
              <w:bottom w:val="single" w:sz="6" w:space="0" w:color="auto"/>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 xml:space="preserve"> </w:t>
            </w:r>
          </w:p>
        </w:tc>
        <w:tc>
          <w:tcPr>
            <w:tcW w:w="1608" w:type="dxa"/>
            <w:tcBorders>
              <w:top w:val="nil"/>
              <w:left w:val="nil"/>
              <w:bottom w:val="single" w:sz="6" w:space="0" w:color="auto"/>
              <w:right w:val="nil"/>
            </w:tcBorders>
          </w:tcPr>
          <w:p w:rsidR="000B4A1E" w:rsidRPr="00A71EF7" w:rsidRDefault="000B4A1E" w:rsidP="00517E51">
            <w:pPr>
              <w:pStyle w:val="TableofFigures"/>
              <w:rPr>
                <w:rFonts w:eastAsiaTheme="minorEastAsia"/>
                <w:sz w:val="17"/>
                <w:lang w:eastAsia="en-AU"/>
              </w:rPr>
            </w:pPr>
            <w:r w:rsidRPr="00A71EF7">
              <w:rPr>
                <w:rFonts w:eastAsiaTheme="minorEastAsia"/>
                <w:sz w:val="17"/>
                <w:lang w:eastAsia="en-AU"/>
              </w:rPr>
              <w:t>4 704.3</w:t>
            </w:r>
          </w:p>
        </w:tc>
      </w:tr>
      <w:tr w:rsidR="000B4A1E" w:rsidRPr="00A71EF7" w:rsidTr="00517E51">
        <w:tc>
          <w:tcPr>
            <w:tcW w:w="1608" w:type="dxa"/>
            <w:tcBorders>
              <w:top w:val="single" w:sz="6" w:space="0" w:color="auto"/>
              <w:left w:val="nil"/>
              <w:bottom w:val="single" w:sz="12"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gridSpan w:val="2"/>
            <w:tcBorders>
              <w:top w:val="single" w:sz="6" w:space="0" w:color="auto"/>
              <w:left w:val="nil"/>
              <w:bottom w:val="single" w:sz="12"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tcBorders>
              <w:top w:val="single" w:sz="6" w:space="0" w:color="auto"/>
              <w:left w:val="nil"/>
              <w:bottom w:val="single" w:sz="12"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49 676.3</w:t>
            </w:r>
          </w:p>
        </w:tc>
        <w:tc>
          <w:tcPr>
            <w:tcW w:w="1608" w:type="dxa"/>
            <w:tcBorders>
              <w:top w:val="single" w:sz="6" w:space="0" w:color="auto"/>
              <w:left w:val="nil"/>
              <w:bottom w:val="single" w:sz="12"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gridSpan w:val="2"/>
            <w:tcBorders>
              <w:top w:val="single" w:sz="6" w:space="0" w:color="auto"/>
              <w:left w:val="nil"/>
              <w:bottom w:val="single" w:sz="12"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 xml:space="preserve"> </w:t>
            </w:r>
          </w:p>
        </w:tc>
        <w:tc>
          <w:tcPr>
            <w:tcW w:w="1608" w:type="dxa"/>
            <w:tcBorders>
              <w:top w:val="single" w:sz="6" w:space="0" w:color="auto"/>
              <w:left w:val="nil"/>
              <w:bottom w:val="single" w:sz="12" w:space="0" w:color="auto"/>
              <w:right w:val="nil"/>
            </w:tcBorders>
          </w:tcPr>
          <w:p w:rsidR="000B4A1E" w:rsidRPr="00A71EF7" w:rsidRDefault="000B4A1E" w:rsidP="00517E51">
            <w:pPr>
              <w:pStyle w:val="TableofFigures"/>
              <w:rPr>
                <w:rFonts w:eastAsiaTheme="minorEastAsia"/>
                <w:b/>
                <w:bCs/>
                <w:sz w:val="17"/>
                <w:lang w:eastAsia="en-AU"/>
              </w:rPr>
            </w:pPr>
            <w:r w:rsidRPr="00A71EF7">
              <w:rPr>
                <w:rFonts w:eastAsiaTheme="minorEastAsia"/>
                <w:b/>
                <w:bCs/>
                <w:sz w:val="17"/>
                <w:lang w:eastAsia="en-AU"/>
              </w:rPr>
              <w:t>47 043.5</w:t>
            </w:r>
          </w:p>
        </w:tc>
      </w:tr>
    </w:tbl>
    <w:p w:rsidR="000B4A1E" w:rsidRPr="00D00665" w:rsidRDefault="000B4A1E" w:rsidP="00517E51">
      <w:pPr>
        <w:pStyle w:val="Notes"/>
      </w:pPr>
    </w:p>
    <w:p w:rsidR="000B4A1E" w:rsidRPr="00D00665" w:rsidRDefault="000B4A1E" w:rsidP="00517E51">
      <w:pPr>
        <w:pStyle w:val="Notes"/>
        <w:spacing w:before="60"/>
      </w:pPr>
    </w:p>
    <w:p w:rsidR="000B4A1E" w:rsidRPr="00D00665" w:rsidRDefault="000B4A1E" w:rsidP="00517E51">
      <w:pPr>
        <w:pStyle w:val="Notes"/>
      </w:pPr>
    </w:p>
    <w:p w:rsidR="000B4A1E" w:rsidRPr="00D00665" w:rsidRDefault="000B4A1E" w:rsidP="00517E51">
      <w:pPr>
        <w:pStyle w:val="Notes"/>
      </w:pPr>
    </w:p>
    <w:p w:rsidR="000B4A1E" w:rsidRPr="00D00665" w:rsidRDefault="000B4A1E">
      <w:pPr>
        <w:spacing w:after="0"/>
        <w:rPr>
          <w:rFonts w:ascii="Calibri" w:hAnsi="Calibri"/>
          <w:b/>
          <w:sz w:val="28"/>
          <w:szCs w:val="22"/>
        </w:rPr>
      </w:pPr>
      <w:r w:rsidRPr="00D00665">
        <w:br w:type="page"/>
      </w:r>
    </w:p>
    <w:p w:rsidR="000B4A1E" w:rsidRPr="00D00665" w:rsidRDefault="000B4A1E" w:rsidP="00517E51">
      <w:pPr>
        <w:pStyle w:val="Heading2NotesContd"/>
      </w:pPr>
      <w:r w:rsidRPr="00D00665">
        <w:lastRenderedPageBreak/>
        <w:t>Note 33:</w:t>
      </w:r>
      <w:r w:rsidRPr="00D00665">
        <w:tab/>
        <w:t xml:space="preserve">Commitments </w:t>
      </w:r>
      <w:r w:rsidRPr="00D00665">
        <w:rPr>
          <w:i/>
        </w:rPr>
        <w:t>(continued)</w:t>
      </w:r>
    </w:p>
    <w:p w:rsidR="000B4A1E" w:rsidRPr="00D00665" w:rsidRDefault="000B4A1E" w:rsidP="00517E51">
      <w:pPr>
        <w:pStyle w:val="Tableheading"/>
        <w:rPr>
          <w:vertAlign w:val="superscript"/>
        </w:rPr>
      </w:pPr>
      <w:r w:rsidRPr="00D00665">
        <w:t>(c)</w:t>
      </w:r>
      <w:r w:rsidRPr="00D00665">
        <w:tab/>
        <w:t>Commitment payables</w:t>
      </w:r>
      <w:r w:rsidRPr="00D00665">
        <w:rPr>
          <w:vertAlign w:val="superscript"/>
        </w:rPr>
        <w:t>(a)(b)</w:t>
      </w:r>
    </w:p>
    <w:p w:rsidR="000B4A1E" w:rsidRPr="003E2DBE" w:rsidRDefault="000B4A1E" w:rsidP="00517E51">
      <w:pPr>
        <w:pStyle w:val="million"/>
      </w:pPr>
      <w:r w:rsidRPr="00D00665">
        <w:t>($</w:t>
      </w:r>
      <w:r>
        <w:t> million</w:t>
      </w:r>
      <w:r w:rsidRPr="00D00665">
        <w:t>)</w:t>
      </w:r>
      <w:bookmarkStart w:id="189" w:name="RANGE!B4:F26"/>
    </w:p>
    <w:tbl>
      <w:tblPr>
        <w:tblW w:w="9648" w:type="dxa"/>
        <w:tblInd w:w="29" w:type="dxa"/>
        <w:tblCellMar>
          <w:left w:w="43" w:type="dxa"/>
          <w:right w:w="43" w:type="dxa"/>
        </w:tblCellMar>
        <w:tblLook w:val="04A0" w:firstRow="1" w:lastRow="0" w:firstColumn="1" w:lastColumn="0" w:noHBand="0" w:noVBand="1"/>
      </w:tblPr>
      <w:tblGrid>
        <w:gridCol w:w="4874"/>
        <w:gridCol w:w="991"/>
        <w:gridCol w:w="1349"/>
        <w:gridCol w:w="1080"/>
        <w:gridCol w:w="1354"/>
      </w:tblGrid>
      <w:tr w:rsidR="000B4A1E" w:rsidRPr="003E2DBE" w:rsidTr="00517E51">
        <w:trPr>
          <w:divId w:val="2145661695"/>
        </w:trPr>
        <w:tc>
          <w:tcPr>
            <w:tcW w:w="4874" w:type="dxa"/>
            <w:tcBorders>
              <w:top w:val="single" w:sz="4" w:space="0" w:color="auto"/>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 xml:space="preserve"> </w:t>
            </w:r>
          </w:p>
        </w:tc>
        <w:tc>
          <w:tcPr>
            <w:tcW w:w="991" w:type="dxa"/>
            <w:tcBorders>
              <w:top w:val="single" w:sz="4" w:space="0" w:color="auto"/>
              <w:left w:val="nil"/>
              <w:bottom w:val="single" w:sz="4" w:space="0" w:color="auto"/>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br/>
              <w:t>State of Victoria</w:t>
            </w:r>
          </w:p>
        </w:tc>
        <w:tc>
          <w:tcPr>
            <w:tcW w:w="1349" w:type="dxa"/>
            <w:tcBorders>
              <w:top w:val="single" w:sz="4" w:space="0" w:color="auto"/>
              <w:left w:val="nil"/>
              <w:bottom w:val="single" w:sz="4" w:space="0" w:color="auto"/>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t>General government sector</w:t>
            </w:r>
          </w:p>
        </w:tc>
        <w:tc>
          <w:tcPr>
            <w:tcW w:w="1080" w:type="dxa"/>
            <w:tcBorders>
              <w:top w:val="single" w:sz="4" w:space="0" w:color="auto"/>
              <w:left w:val="nil"/>
              <w:bottom w:val="single" w:sz="4" w:space="0" w:color="auto"/>
              <w:right w:val="nil"/>
            </w:tcBorders>
            <w:shd w:val="clear" w:color="auto" w:fill="000000"/>
            <w:vAlign w:val="bottom"/>
            <w:hideMark/>
          </w:tcPr>
          <w:p w:rsidR="000B4A1E" w:rsidRPr="003E2DBE" w:rsidRDefault="000B4A1E" w:rsidP="00517E51">
            <w:pPr>
              <w:pStyle w:val="Tabletextheading"/>
              <w:rPr>
                <w:lang w:eastAsia="en-AU"/>
              </w:rPr>
            </w:pPr>
            <w:r w:rsidRPr="003E2DBE">
              <w:rPr>
                <w:lang w:eastAsia="en-AU"/>
              </w:rPr>
              <w:br/>
              <w:t>State of Victoria</w:t>
            </w:r>
          </w:p>
        </w:tc>
        <w:tc>
          <w:tcPr>
            <w:tcW w:w="1354" w:type="dxa"/>
            <w:tcBorders>
              <w:top w:val="single" w:sz="4" w:space="0" w:color="auto"/>
              <w:left w:val="nil"/>
              <w:bottom w:val="single" w:sz="4" w:space="0" w:color="auto"/>
              <w:right w:val="single" w:sz="4" w:space="0" w:color="auto"/>
            </w:tcBorders>
            <w:shd w:val="clear" w:color="auto" w:fill="000000"/>
            <w:vAlign w:val="bottom"/>
            <w:hideMark/>
          </w:tcPr>
          <w:p w:rsidR="000B4A1E" w:rsidRPr="003E2DBE" w:rsidRDefault="000B4A1E" w:rsidP="00517E51">
            <w:pPr>
              <w:pStyle w:val="Tabletextheading"/>
              <w:rPr>
                <w:lang w:eastAsia="en-AU"/>
              </w:rPr>
            </w:pPr>
            <w:r w:rsidRPr="003E2DBE">
              <w:rPr>
                <w:lang w:eastAsia="en-AU"/>
              </w:rPr>
              <w:t>General government sector</w:t>
            </w:r>
          </w:p>
        </w:tc>
      </w:tr>
      <w:tr w:rsidR="000B4A1E" w:rsidRPr="003E2DBE" w:rsidTr="00517E51">
        <w:trPr>
          <w:divId w:val="2145661695"/>
        </w:trPr>
        <w:tc>
          <w:tcPr>
            <w:tcW w:w="4874" w:type="dxa"/>
            <w:tcBorders>
              <w:top w:val="single" w:sz="4" w:space="0" w:color="auto"/>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Nominal values</w:t>
            </w:r>
          </w:p>
        </w:tc>
        <w:tc>
          <w:tcPr>
            <w:tcW w:w="991" w:type="dxa"/>
            <w:tcBorders>
              <w:top w:val="single" w:sz="4" w:space="0" w:color="auto"/>
              <w:left w:val="nil"/>
              <w:bottom w:val="single" w:sz="4" w:space="0" w:color="auto"/>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2013</w:t>
            </w:r>
          </w:p>
        </w:tc>
        <w:tc>
          <w:tcPr>
            <w:tcW w:w="1349" w:type="dxa"/>
            <w:tcBorders>
              <w:top w:val="single" w:sz="4" w:space="0" w:color="auto"/>
              <w:left w:val="nil"/>
              <w:bottom w:val="single" w:sz="4" w:space="0" w:color="auto"/>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2013</w:t>
            </w:r>
          </w:p>
        </w:tc>
        <w:tc>
          <w:tcPr>
            <w:tcW w:w="1080" w:type="dxa"/>
            <w:tcBorders>
              <w:top w:val="single" w:sz="4" w:space="0" w:color="auto"/>
              <w:left w:val="nil"/>
              <w:bottom w:val="single" w:sz="4" w:space="0" w:color="auto"/>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2012</w:t>
            </w:r>
          </w:p>
        </w:tc>
        <w:tc>
          <w:tcPr>
            <w:tcW w:w="1354" w:type="dxa"/>
            <w:tcBorders>
              <w:top w:val="single" w:sz="4" w:space="0" w:color="auto"/>
              <w:left w:val="nil"/>
              <w:bottom w:val="single" w:sz="4" w:space="0" w:color="auto"/>
              <w:right w:val="single" w:sz="4"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2145661695"/>
        </w:trPr>
        <w:tc>
          <w:tcPr>
            <w:tcW w:w="4874" w:type="dxa"/>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Capital expenditure commitments payable</w:t>
            </w:r>
          </w:p>
        </w:tc>
        <w:tc>
          <w:tcPr>
            <w:tcW w:w="991" w:type="dxa"/>
            <w:tcBorders>
              <w:top w:val="nil"/>
              <w:left w:val="nil"/>
              <w:bottom w:val="nil"/>
              <w:right w:val="nil"/>
            </w:tcBorders>
            <w:shd w:val="clear" w:color="auto" w:fill="auto"/>
            <w:vAlign w:val="bottom"/>
            <w:hideMark/>
          </w:tcPr>
          <w:p w:rsidR="000B4A1E" w:rsidRPr="003E2DBE" w:rsidRDefault="000B4A1E" w:rsidP="00517E51">
            <w:pPr>
              <w:pStyle w:val="TableofFigures"/>
              <w:rPr>
                <w:b/>
                <w:bCs/>
                <w:lang w:eastAsia="en-AU"/>
              </w:rPr>
            </w:pPr>
            <w:r w:rsidRPr="003E2DBE">
              <w:rPr>
                <w:b/>
                <w:bCs/>
                <w:lang w:eastAsia="en-AU"/>
              </w:rPr>
              <w:t xml:space="preserve"> </w:t>
            </w:r>
          </w:p>
        </w:tc>
        <w:tc>
          <w:tcPr>
            <w:tcW w:w="1349" w:type="dxa"/>
            <w:tcBorders>
              <w:top w:val="nil"/>
              <w:left w:val="nil"/>
              <w:bottom w:val="nil"/>
              <w:right w:val="nil"/>
            </w:tcBorders>
            <w:shd w:val="clear" w:color="auto" w:fill="auto"/>
            <w:vAlign w:val="bottom"/>
            <w:hideMark/>
          </w:tcPr>
          <w:p w:rsidR="000B4A1E" w:rsidRPr="003E2DBE" w:rsidRDefault="000B4A1E" w:rsidP="00517E51">
            <w:pPr>
              <w:pStyle w:val="TableofFigures"/>
              <w:rPr>
                <w:b/>
                <w:bCs/>
                <w:lang w:eastAsia="en-AU"/>
              </w:rPr>
            </w:pPr>
            <w:r w:rsidRPr="003E2DBE">
              <w:rPr>
                <w:b/>
                <w:bCs/>
                <w:lang w:eastAsia="en-AU"/>
              </w:rPr>
              <w:t xml:space="preserve"> </w:t>
            </w:r>
          </w:p>
        </w:tc>
        <w:tc>
          <w:tcPr>
            <w:tcW w:w="1080" w:type="dxa"/>
            <w:tcBorders>
              <w:top w:val="nil"/>
              <w:left w:val="nil"/>
              <w:bottom w:val="nil"/>
              <w:right w:val="nil"/>
            </w:tcBorders>
            <w:shd w:val="clear" w:color="auto" w:fill="auto"/>
            <w:vAlign w:val="bottom"/>
            <w:hideMark/>
          </w:tcPr>
          <w:p w:rsidR="000B4A1E" w:rsidRPr="003E2DBE" w:rsidRDefault="000B4A1E" w:rsidP="00517E51">
            <w:pPr>
              <w:pStyle w:val="TableofFigures"/>
              <w:rPr>
                <w:b/>
                <w:bCs/>
                <w:lang w:eastAsia="en-AU"/>
              </w:rPr>
            </w:pPr>
            <w:r w:rsidRPr="003E2DBE">
              <w:rPr>
                <w:b/>
                <w:bCs/>
                <w:lang w:eastAsia="en-AU"/>
              </w:rPr>
              <w:t xml:space="preserve"> </w:t>
            </w:r>
          </w:p>
        </w:tc>
        <w:tc>
          <w:tcPr>
            <w:tcW w:w="1354" w:type="dxa"/>
            <w:tcBorders>
              <w:top w:val="nil"/>
              <w:left w:val="nil"/>
              <w:bottom w:val="nil"/>
              <w:right w:val="nil"/>
            </w:tcBorders>
            <w:shd w:val="clear" w:color="auto" w:fill="auto"/>
            <w:vAlign w:val="bottom"/>
            <w:hideMark/>
          </w:tcPr>
          <w:p w:rsidR="000B4A1E" w:rsidRPr="003E2DBE" w:rsidRDefault="000B4A1E" w:rsidP="00517E51">
            <w:pPr>
              <w:pStyle w:val="TableofFigures"/>
              <w:rPr>
                <w:b/>
                <w:bCs/>
                <w:lang w:eastAsia="en-AU"/>
              </w:rPr>
            </w:pPr>
            <w:r w:rsidRPr="003E2DBE">
              <w:rPr>
                <w:b/>
                <w:bCs/>
                <w:lang w:eastAsia="en-AU"/>
              </w:rPr>
              <w:t xml:space="preserve"> </w:t>
            </w:r>
          </w:p>
        </w:tc>
      </w:tr>
      <w:tr w:rsidR="000B4A1E" w:rsidRPr="003E2DBE" w:rsidTr="00517E51">
        <w:trPr>
          <w:divId w:val="2145661695"/>
        </w:trPr>
        <w:tc>
          <w:tcPr>
            <w:tcW w:w="487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Less than 1 year</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4"/>
                <w:lang w:eastAsia="en-AU"/>
              </w:rPr>
              <w:t>500.5</w:t>
            </w:r>
          </w:p>
        </w:tc>
        <w:tc>
          <w:tcPr>
            <w:tcW w:w="1349"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4"/>
                <w:lang w:eastAsia="en-AU"/>
              </w:rPr>
              <w:t>005.4</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2 </w:t>
            </w:r>
            <w:r w:rsidRPr="003E2DBE">
              <w:rPr>
                <w:rFonts w:cs="Calibri"/>
                <w:szCs w:val="24"/>
                <w:lang w:eastAsia="en-AU"/>
              </w:rPr>
              <w:t>834.9</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2 </w:t>
            </w:r>
            <w:r w:rsidRPr="003E2DBE">
              <w:rPr>
                <w:rFonts w:cs="Calibri"/>
                <w:szCs w:val="24"/>
                <w:lang w:eastAsia="en-AU"/>
              </w:rPr>
              <w:t>156.4</w:t>
            </w:r>
          </w:p>
        </w:tc>
      </w:tr>
      <w:tr w:rsidR="000B4A1E" w:rsidRPr="003E2DBE" w:rsidTr="00517E51">
        <w:trPr>
          <w:divId w:val="2145661695"/>
        </w:trPr>
        <w:tc>
          <w:tcPr>
            <w:tcW w:w="487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1 year but less than 5 years</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844.0</w:t>
            </w:r>
          </w:p>
        </w:tc>
        <w:tc>
          <w:tcPr>
            <w:tcW w:w="1349"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770.0</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1 </w:t>
            </w:r>
            <w:r w:rsidRPr="003E2DBE">
              <w:rPr>
                <w:rFonts w:cs="Calibri"/>
                <w:szCs w:val="24"/>
                <w:lang w:eastAsia="en-AU"/>
              </w:rPr>
              <w:t>173.2</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961.6</w:t>
            </w:r>
          </w:p>
        </w:tc>
      </w:tr>
      <w:tr w:rsidR="000B4A1E" w:rsidRPr="003E2DBE" w:rsidTr="00517E51">
        <w:trPr>
          <w:divId w:val="2145661695"/>
        </w:trPr>
        <w:tc>
          <w:tcPr>
            <w:tcW w:w="487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5 years or more</w:t>
            </w:r>
          </w:p>
        </w:tc>
        <w:tc>
          <w:tcPr>
            <w:tcW w:w="991"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23.6</w:t>
            </w:r>
          </w:p>
        </w:tc>
        <w:tc>
          <w:tcPr>
            <w:tcW w:w="1349"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22.4</w:t>
            </w:r>
          </w:p>
        </w:tc>
        <w:tc>
          <w:tcPr>
            <w:tcW w:w="1080"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9.8</w:t>
            </w:r>
          </w:p>
        </w:tc>
        <w:tc>
          <w:tcPr>
            <w:tcW w:w="135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9.8</w:t>
            </w:r>
          </w:p>
        </w:tc>
      </w:tr>
      <w:tr w:rsidR="000B4A1E" w:rsidRPr="003E2DBE" w:rsidTr="00517E51">
        <w:trPr>
          <w:divId w:val="2145661695"/>
        </w:trPr>
        <w:tc>
          <w:tcPr>
            <w:tcW w:w="4874" w:type="dxa"/>
            <w:tcBorders>
              <w:top w:val="nil"/>
              <w:left w:val="nil"/>
              <w:bottom w:val="nil"/>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Total capital expenditure commitments</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3 </w:t>
            </w:r>
            <w:r w:rsidRPr="003E2DBE">
              <w:rPr>
                <w:rFonts w:cs="Calibri"/>
                <w:b/>
                <w:bCs/>
                <w:szCs w:val="24"/>
                <w:lang w:eastAsia="en-AU"/>
              </w:rPr>
              <w:t>368.1</w:t>
            </w:r>
          </w:p>
        </w:tc>
        <w:tc>
          <w:tcPr>
            <w:tcW w:w="1349"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2 </w:t>
            </w:r>
            <w:r w:rsidRPr="003E2DBE">
              <w:rPr>
                <w:rFonts w:cs="Calibri"/>
                <w:b/>
                <w:bCs/>
                <w:szCs w:val="24"/>
                <w:lang w:eastAsia="en-AU"/>
              </w:rPr>
              <w:t>797.8</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lang w:eastAsia="en-AU"/>
              </w:rPr>
              <w:t xml:space="preserve">4 </w:t>
            </w:r>
            <w:r w:rsidRPr="003E2DBE">
              <w:rPr>
                <w:rFonts w:cs="Calibri"/>
                <w:b/>
                <w:bCs/>
                <w:szCs w:val="24"/>
                <w:lang w:eastAsia="en-AU"/>
              </w:rPr>
              <w:t>017.9</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lang w:eastAsia="en-AU"/>
              </w:rPr>
              <w:t xml:space="preserve">3 </w:t>
            </w:r>
            <w:r w:rsidRPr="003E2DBE">
              <w:rPr>
                <w:rFonts w:cs="Calibri"/>
                <w:b/>
                <w:bCs/>
                <w:szCs w:val="24"/>
                <w:lang w:eastAsia="en-AU"/>
              </w:rPr>
              <w:t>127.8</w:t>
            </w:r>
          </w:p>
        </w:tc>
      </w:tr>
      <w:tr w:rsidR="000B4A1E" w:rsidRPr="003E2DBE" w:rsidTr="00517E51">
        <w:trPr>
          <w:divId w:val="2145661695"/>
        </w:trPr>
        <w:tc>
          <w:tcPr>
            <w:tcW w:w="4874" w:type="dxa"/>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Operating and lease commitments payable</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349" w:type="dxa"/>
            <w:tcBorders>
              <w:top w:val="nil"/>
              <w:left w:val="nil"/>
              <w:bottom w:val="nil"/>
              <w:right w:val="nil"/>
            </w:tcBorders>
            <w:shd w:val="clear" w:color="auto" w:fill="auto"/>
            <w:vAlign w:val="bottom"/>
            <w:hideMark/>
          </w:tcPr>
          <w:p w:rsidR="000B4A1E" w:rsidRPr="003E2DBE" w:rsidRDefault="000B4A1E" w:rsidP="00517E51">
            <w:pPr>
              <w:pStyle w:val="TableofFigures"/>
              <w:rPr>
                <w:b/>
                <w:bCs/>
                <w:lang w:eastAsia="en-AU"/>
              </w:rPr>
            </w:pPr>
            <w:r w:rsidRPr="003E2DBE">
              <w:rPr>
                <w:b/>
                <w:bCs/>
                <w:lang w:eastAsia="en-AU"/>
              </w:rPr>
              <w:t xml:space="preserve"> </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2145661695"/>
        </w:trPr>
        <w:tc>
          <w:tcPr>
            <w:tcW w:w="487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Less than 1 year</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3 </w:t>
            </w:r>
            <w:r w:rsidRPr="003E2DBE">
              <w:rPr>
                <w:rFonts w:cs="Calibri"/>
                <w:szCs w:val="24"/>
                <w:lang w:eastAsia="en-AU"/>
              </w:rPr>
              <w:t>171.6</w:t>
            </w:r>
          </w:p>
        </w:tc>
        <w:tc>
          <w:tcPr>
            <w:tcW w:w="1349"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4"/>
                <w:lang w:eastAsia="en-AU"/>
              </w:rPr>
              <w:t>991.6</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3 </w:t>
            </w:r>
            <w:r w:rsidRPr="003E2DBE">
              <w:rPr>
                <w:rFonts w:cs="Calibri"/>
                <w:szCs w:val="24"/>
                <w:lang w:eastAsia="en-AU"/>
              </w:rPr>
              <w:t>916.4</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3 </w:t>
            </w:r>
            <w:r w:rsidRPr="003E2DBE">
              <w:rPr>
                <w:rFonts w:cs="Calibri"/>
                <w:szCs w:val="24"/>
                <w:lang w:eastAsia="en-AU"/>
              </w:rPr>
              <w:t>644.9</w:t>
            </w:r>
          </w:p>
        </w:tc>
      </w:tr>
      <w:tr w:rsidR="000B4A1E" w:rsidRPr="003E2DBE" w:rsidTr="00517E51">
        <w:trPr>
          <w:divId w:val="2145661695"/>
        </w:trPr>
        <w:tc>
          <w:tcPr>
            <w:tcW w:w="487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1 year but less than 5 years</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7 </w:t>
            </w:r>
            <w:r w:rsidRPr="003E2DBE">
              <w:rPr>
                <w:rFonts w:cs="Calibri"/>
                <w:szCs w:val="24"/>
                <w:lang w:eastAsia="en-AU"/>
              </w:rPr>
              <w:t>354.2</w:t>
            </w:r>
          </w:p>
        </w:tc>
        <w:tc>
          <w:tcPr>
            <w:tcW w:w="1349"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6 </w:t>
            </w:r>
            <w:r w:rsidRPr="003E2DBE">
              <w:rPr>
                <w:rFonts w:cs="Calibri"/>
                <w:szCs w:val="24"/>
                <w:lang w:eastAsia="en-AU"/>
              </w:rPr>
              <w:t>938.0</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7 </w:t>
            </w:r>
            <w:r w:rsidRPr="003E2DBE">
              <w:rPr>
                <w:rFonts w:cs="Calibri"/>
                <w:szCs w:val="24"/>
                <w:lang w:eastAsia="en-AU"/>
              </w:rPr>
              <w:t>581.3</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7 </w:t>
            </w:r>
            <w:r w:rsidRPr="003E2DBE">
              <w:rPr>
                <w:rFonts w:cs="Calibri"/>
                <w:szCs w:val="24"/>
                <w:lang w:eastAsia="en-AU"/>
              </w:rPr>
              <w:t>226.5</w:t>
            </w:r>
          </w:p>
        </w:tc>
      </w:tr>
      <w:tr w:rsidR="000B4A1E" w:rsidRPr="003E2DBE" w:rsidTr="00517E51">
        <w:trPr>
          <w:divId w:val="2145661695"/>
        </w:trPr>
        <w:tc>
          <w:tcPr>
            <w:tcW w:w="487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5 years or more</w:t>
            </w:r>
          </w:p>
        </w:tc>
        <w:tc>
          <w:tcPr>
            <w:tcW w:w="991"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4"/>
                <w:lang w:eastAsia="en-AU"/>
              </w:rPr>
              <w:t>044.6</w:t>
            </w:r>
          </w:p>
        </w:tc>
        <w:tc>
          <w:tcPr>
            <w:tcW w:w="1349"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4"/>
                <w:lang w:eastAsia="en-AU"/>
              </w:rPr>
              <w:t>691.2</w:t>
            </w:r>
          </w:p>
        </w:tc>
        <w:tc>
          <w:tcPr>
            <w:tcW w:w="1080"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2 </w:t>
            </w:r>
            <w:r w:rsidRPr="003E2DBE">
              <w:rPr>
                <w:rFonts w:cs="Calibri"/>
                <w:szCs w:val="24"/>
                <w:lang w:eastAsia="en-AU"/>
              </w:rPr>
              <w:t>602.3</w:t>
            </w:r>
          </w:p>
        </w:tc>
        <w:tc>
          <w:tcPr>
            <w:tcW w:w="135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2 </w:t>
            </w:r>
            <w:r w:rsidRPr="003E2DBE">
              <w:rPr>
                <w:rFonts w:cs="Calibri"/>
                <w:szCs w:val="24"/>
                <w:lang w:eastAsia="en-AU"/>
              </w:rPr>
              <w:t>182.6</w:t>
            </w:r>
          </w:p>
        </w:tc>
      </w:tr>
      <w:tr w:rsidR="000B4A1E" w:rsidRPr="003E2DBE" w:rsidTr="00517E51">
        <w:trPr>
          <w:divId w:val="2145661695"/>
        </w:trPr>
        <w:tc>
          <w:tcPr>
            <w:tcW w:w="4874" w:type="dxa"/>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Total operating and lease commitments</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12 </w:t>
            </w:r>
            <w:r w:rsidRPr="003E2DBE">
              <w:rPr>
                <w:rFonts w:cs="Calibri"/>
                <w:b/>
                <w:bCs/>
                <w:szCs w:val="24"/>
                <w:lang w:eastAsia="en-AU"/>
              </w:rPr>
              <w:t>570.4</w:t>
            </w:r>
          </w:p>
        </w:tc>
        <w:tc>
          <w:tcPr>
            <w:tcW w:w="1349"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11 </w:t>
            </w:r>
            <w:r w:rsidRPr="003E2DBE">
              <w:rPr>
                <w:rFonts w:cs="Calibri"/>
                <w:b/>
                <w:bCs/>
                <w:szCs w:val="24"/>
                <w:lang w:eastAsia="en-AU"/>
              </w:rPr>
              <w:t>620.8</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lang w:eastAsia="en-AU"/>
              </w:rPr>
              <w:t xml:space="preserve">14 </w:t>
            </w:r>
            <w:r w:rsidRPr="003E2DBE">
              <w:rPr>
                <w:rFonts w:cs="Calibri"/>
                <w:b/>
                <w:bCs/>
                <w:szCs w:val="24"/>
                <w:lang w:eastAsia="en-AU"/>
              </w:rPr>
              <w:t>099.9</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lang w:eastAsia="en-AU"/>
              </w:rPr>
              <w:t xml:space="preserve">13 </w:t>
            </w:r>
            <w:r w:rsidRPr="003E2DBE">
              <w:rPr>
                <w:rFonts w:cs="Calibri"/>
                <w:b/>
                <w:bCs/>
                <w:szCs w:val="24"/>
                <w:lang w:eastAsia="en-AU"/>
              </w:rPr>
              <w:t>054.1</w:t>
            </w:r>
          </w:p>
        </w:tc>
      </w:tr>
      <w:tr w:rsidR="000B4A1E" w:rsidRPr="003E2DBE" w:rsidTr="00517E51">
        <w:trPr>
          <w:divId w:val="2145661695"/>
        </w:trPr>
        <w:tc>
          <w:tcPr>
            <w:tcW w:w="4874" w:type="dxa"/>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Public Private Partnership commitments</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349" w:type="dxa"/>
            <w:tcBorders>
              <w:top w:val="nil"/>
              <w:left w:val="nil"/>
              <w:bottom w:val="nil"/>
              <w:right w:val="nil"/>
            </w:tcBorders>
            <w:shd w:val="clear" w:color="auto" w:fill="auto"/>
            <w:vAlign w:val="bottom"/>
            <w:hideMark/>
          </w:tcPr>
          <w:p w:rsidR="000B4A1E" w:rsidRPr="003E2DBE" w:rsidRDefault="000B4A1E" w:rsidP="00517E51">
            <w:pPr>
              <w:pStyle w:val="TableofFigures"/>
              <w:rPr>
                <w:b/>
                <w:bCs/>
                <w:lang w:eastAsia="en-AU"/>
              </w:rPr>
            </w:pPr>
            <w:r w:rsidRPr="003E2DBE">
              <w:rPr>
                <w:b/>
                <w:bCs/>
                <w:lang w:eastAsia="en-AU"/>
              </w:rPr>
              <w:t xml:space="preserve"> </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2145661695"/>
        </w:trPr>
        <w:tc>
          <w:tcPr>
            <w:tcW w:w="487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Less than 1 year</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403.3</w:t>
            </w:r>
          </w:p>
        </w:tc>
        <w:tc>
          <w:tcPr>
            <w:tcW w:w="1349"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385.3</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945.3</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923.6</w:t>
            </w:r>
          </w:p>
        </w:tc>
      </w:tr>
      <w:tr w:rsidR="000B4A1E" w:rsidRPr="003E2DBE" w:rsidTr="00517E51">
        <w:trPr>
          <w:divId w:val="2145661695"/>
        </w:trPr>
        <w:tc>
          <w:tcPr>
            <w:tcW w:w="487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1 year but less than 5 years</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4"/>
                <w:lang w:eastAsia="en-AU"/>
              </w:rPr>
              <w:t>308.4</w:t>
            </w:r>
          </w:p>
        </w:tc>
        <w:tc>
          <w:tcPr>
            <w:tcW w:w="1349"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4"/>
                <w:lang w:eastAsia="en-AU"/>
              </w:rPr>
              <w:t>229.3</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4 </w:t>
            </w:r>
            <w:r w:rsidRPr="003E2DBE">
              <w:rPr>
                <w:rFonts w:cs="Calibri"/>
                <w:szCs w:val="24"/>
                <w:lang w:eastAsia="en-AU"/>
              </w:rPr>
              <w:t>234.0</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4 </w:t>
            </w:r>
            <w:r w:rsidRPr="003E2DBE">
              <w:rPr>
                <w:rFonts w:cs="Calibri"/>
                <w:szCs w:val="24"/>
                <w:lang w:eastAsia="en-AU"/>
              </w:rPr>
              <w:t>132.4</w:t>
            </w:r>
          </w:p>
        </w:tc>
      </w:tr>
      <w:tr w:rsidR="000B4A1E" w:rsidRPr="003E2DBE" w:rsidTr="00517E51">
        <w:trPr>
          <w:divId w:val="2145661695"/>
        </w:trPr>
        <w:tc>
          <w:tcPr>
            <w:tcW w:w="487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5 years or more</w:t>
            </w:r>
          </w:p>
        </w:tc>
        <w:tc>
          <w:tcPr>
            <w:tcW w:w="991"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12 </w:t>
            </w:r>
            <w:r w:rsidRPr="003E2DBE">
              <w:rPr>
                <w:rFonts w:cs="Calibri"/>
                <w:szCs w:val="24"/>
                <w:lang w:eastAsia="en-AU"/>
              </w:rPr>
              <w:t>891.2</w:t>
            </w:r>
          </w:p>
        </w:tc>
        <w:tc>
          <w:tcPr>
            <w:tcW w:w="1349"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12 </w:t>
            </w:r>
            <w:r w:rsidRPr="003E2DBE">
              <w:rPr>
                <w:rFonts w:cs="Calibri"/>
                <w:szCs w:val="24"/>
                <w:lang w:eastAsia="en-AU"/>
              </w:rPr>
              <w:t>657.8</w:t>
            </w:r>
          </w:p>
        </w:tc>
        <w:tc>
          <w:tcPr>
            <w:tcW w:w="1080"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25 </w:t>
            </w:r>
            <w:r w:rsidRPr="003E2DBE">
              <w:rPr>
                <w:rFonts w:cs="Calibri"/>
                <w:szCs w:val="24"/>
                <w:lang w:eastAsia="en-AU"/>
              </w:rPr>
              <w:t>852.3</w:t>
            </w:r>
          </w:p>
        </w:tc>
        <w:tc>
          <w:tcPr>
            <w:tcW w:w="135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25 </w:t>
            </w:r>
            <w:r w:rsidRPr="003E2DBE">
              <w:rPr>
                <w:rFonts w:cs="Calibri"/>
                <w:szCs w:val="24"/>
                <w:lang w:eastAsia="en-AU"/>
              </w:rPr>
              <w:t>492.6</w:t>
            </w:r>
          </w:p>
        </w:tc>
      </w:tr>
      <w:tr w:rsidR="000B4A1E" w:rsidRPr="003E2DBE" w:rsidTr="00517E51">
        <w:trPr>
          <w:divId w:val="2145661695"/>
        </w:trPr>
        <w:tc>
          <w:tcPr>
            <w:tcW w:w="4874" w:type="dxa"/>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 xml:space="preserve">Total Public Private Partnership commitments </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15 </w:t>
            </w:r>
            <w:r w:rsidRPr="003E2DBE">
              <w:rPr>
                <w:rFonts w:cs="Calibri"/>
                <w:b/>
                <w:bCs/>
                <w:szCs w:val="24"/>
                <w:lang w:eastAsia="en-AU"/>
              </w:rPr>
              <w:t>602.9</w:t>
            </w:r>
          </w:p>
        </w:tc>
        <w:tc>
          <w:tcPr>
            <w:tcW w:w="1349"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15 </w:t>
            </w:r>
            <w:r w:rsidRPr="003E2DBE">
              <w:rPr>
                <w:rFonts w:cs="Calibri"/>
                <w:b/>
                <w:bCs/>
                <w:szCs w:val="24"/>
                <w:lang w:eastAsia="en-AU"/>
              </w:rPr>
              <w:t>272.4</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lang w:eastAsia="en-AU"/>
              </w:rPr>
              <w:t xml:space="preserve">31 </w:t>
            </w:r>
            <w:r w:rsidRPr="003E2DBE">
              <w:rPr>
                <w:rFonts w:cs="Calibri"/>
                <w:b/>
                <w:bCs/>
                <w:szCs w:val="24"/>
                <w:lang w:eastAsia="en-AU"/>
              </w:rPr>
              <w:t>031.6</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lang w:eastAsia="en-AU"/>
              </w:rPr>
              <w:t xml:space="preserve">30 </w:t>
            </w:r>
            <w:r w:rsidRPr="003E2DBE">
              <w:rPr>
                <w:rFonts w:cs="Calibri"/>
                <w:b/>
                <w:bCs/>
                <w:szCs w:val="24"/>
                <w:lang w:eastAsia="en-AU"/>
              </w:rPr>
              <w:t>548.6</w:t>
            </w:r>
          </w:p>
        </w:tc>
      </w:tr>
      <w:tr w:rsidR="000B4A1E" w:rsidRPr="003E2DBE" w:rsidTr="00517E51">
        <w:trPr>
          <w:divId w:val="2145661695"/>
        </w:trPr>
        <w:tc>
          <w:tcPr>
            <w:tcW w:w="4874" w:type="dxa"/>
            <w:tcBorders>
              <w:top w:val="nil"/>
              <w:left w:val="nil"/>
              <w:bottom w:val="nil"/>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Total other commitments payable</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349" w:type="dxa"/>
            <w:tcBorders>
              <w:top w:val="nil"/>
              <w:left w:val="nil"/>
              <w:bottom w:val="nil"/>
              <w:right w:val="nil"/>
            </w:tcBorders>
            <w:shd w:val="clear" w:color="auto" w:fill="auto"/>
            <w:vAlign w:val="bottom"/>
            <w:hideMark/>
          </w:tcPr>
          <w:p w:rsidR="000B4A1E" w:rsidRPr="003E2DBE" w:rsidRDefault="000B4A1E" w:rsidP="00517E51">
            <w:pPr>
              <w:pStyle w:val="TableofFigures"/>
              <w:rPr>
                <w:b/>
                <w:bCs/>
                <w:lang w:eastAsia="en-AU"/>
              </w:rPr>
            </w:pPr>
            <w:r w:rsidRPr="003E2DBE">
              <w:rPr>
                <w:b/>
                <w:bCs/>
                <w:lang w:eastAsia="en-AU"/>
              </w:rPr>
              <w:t xml:space="preserve"> </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lang w:eastAsia="en-AU"/>
              </w:rPr>
            </w:pPr>
            <w:r w:rsidRPr="003E2DBE">
              <w:rPr>
                <w:lang w:eastAsia="en-AU"/>
              </w:rPr>
              <w:t xml:space="preserve">        </w:t>
            </w:r>
          </w:p>
        </w:tc>
      </w:tr>
      <w:tr w:rsidR="000B4A1E" w:rsidRPr="003E2DBE" w:rsidTr="00517E51">
        <w:trPr>
          <w:divId w:val="2145661695"/>
        </w:trPr>
        <w:tc>
          <w:tcPr>
            <w:tcW w:w="487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Less than 1 year</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4"/>
                <w:lang w:eastAsia="en-AU"/>
              </w:rPr>
              <w:t>328.8</w:t>
            </w:r>
          </w:p>
        </w:tc>
        <w:tc>
          <w:tcPr>
            <w:tcW w:w="1349"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4"/>
                <w:lang w:eastAsia="en-AU"/>
              </w:rPr>
              <w:t>469.9</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2 </w:t>
            </w:r>
            <w:r w:rsidRPr="003E2DBE">
              <w:rPr>
                <w:rFonts w:cs="Calibri"/>
                <w:szCs w:val="24"/>
                <w:lang w:eastAsia="en-AU"/>
              </w:rPr>
              <w:t>560.9</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2 </w:t>
            </w:r>
            <w:r w:rsidRPr="003E2DBE">
              <w:rPr>
                <w:rFonts w:cs="Calibri"/>
                <w:szCs w:val="24"/>
                <w:lang w:eastAsia="en-AU"/>
              </w:rPr>
              <w:t>346.4</w:t>
            </w:r>
          </w:p>
        </w:tc>
      </w:tr>
      <w:tr w:rsidR="000B4A1E" w:rsidRPr="003E2DBE" w:rsidTr="00517E51">
        <w:trPr>
          <w:divId w:val="2145661695"/>
        </w:trPr>
        <w:tc>
          <w:tcPr>
            <w:tcW w:w="4874" w:type="dxa"/>
            <w:tcBorders>
              <w:top w:val="nil"/>
              <w:left w:val="nil"/>
              <w:bottom w:val="nil"/>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1 year but less than 5 years</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4"/>
                <w:lang w:eastAsia="en-AU"/>
              </w:rPr>
              <w:t>051.3</w:t>
            </w:r>
          </w:p>
        </w:tc>
        <w:tc>
          <w:tcPr>
            <w:tcW w:w="1349"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2 </w:t>
            </w:r>
            <w:r w:rsidRPr="003E2DBE">
              <w:rPr>
                <w:rFonts w:cs="Calibri"/>
                <w:szCs w:val="24"/>
                <w:lang w:eastAsia="en-AU"/>
              </w:rPr>
              <w:t>851.9</w:t>
            </w:r>
          </w:p>
        </w:tc>
        <w:tc>
          <w:tcPr>
            <w:tcW w:w="1080"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2 </w:t>
            </w:r>
            <w:r w:rsidRPr="003E2DBE">
              <w:rPr>
                <w:rFonts w:cs="Calibri"/>
                <w:szCs w:val="24"/>
                <w:lang w:eastAsia="en-AU"/>
              </w:rPr>
              <w:t>725.3</w:t>
            </w:r>
          </w:p>
        </w:tc>
        <w:tc>
          <w:tcPr>
            <w:tcW w:w="1354"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2 </w:t>
            </w:r>
            <w:r w:rsidRPr="003E2DBE">
              <w:rPr>
                <w:rFonts w:cs="Calibri"/>
                <w:szCs w:val="24"/>
                <w:lang w:eastAsia="en-AU"/>
              </w:rPr>
              <w:t>526.1</w:t>
            </w:r>
          </w:p>
        </w:tc>
      </w:tr>
      <w:tr w:rsidR="000B4A1E" w:rsidRPr="003E2DBE" w:rsidTr="00517E51">
        <w:trPr>
          <w:divId w:val="2145661695"/>
        </w:trPr>
        <w:tc>
          <w:tcPr>
            <w:tcW w:w="487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5 years or more</w:t>
            </w:r>
          </w:p>
        </w:tc>
        <w:tc>
          <w:tcPr>
            <w:tcW w:w="991"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611.0</w:t>
            </w:r>
          </w:p>
        </w:tc>
        <w:tc>
          <w:tcPr>
            <w:tcW w:w="1349" w:type="dxa"/>
            <w:tcBorders>
              <w:top w:val="nil"/>
              <w:left w:val="nil"/>
              <w:bottom w:val="nil"/>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588.3</w:t>
            </w:r>
          </w:p>
        </w:tc>
        <w:tc>
          <w:tcPr>
            <w:tcW w:w="1080"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208.2</w:t>
            </w:r>
          </w:p>
        </w:tc>
        <w:tc>
          <w:tcPr>
            <w:tcW w:w="135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szCs w:val="24"/>
                <w:lang w:eastAsia="en-AU"/>
              </w:rPr>
            </w:pPr>
            <w:r w:rsidRPr="003E2DBE">
              <w:rPr>
                <w:lang w:eastAsia="en-AU"/>
              </w:rPr>
              <w:t xml:space="preserve"> 144.7</w:t>
            </w:r>
          </w:p>
        </w:tc>
      </w:tr>
      <w:tr w:rsidR="000B4A1E" w:rsidRPr="003E2DBE" w:rsidTr="00517E51">
        <w:trPr>
          <w:divId w:val="2145661695"/>
        </w:trPr>
        <w:tc>
          <w:tcPr>
            <w:tcW w:w="4874" w:type="dxa"/>
            <w:tcBorders>
              <w:top w:val="nil"/>
              <w:left w:val="nil"/>
              <w:bottom w:val="single" w:sz="4" w:space="0" w:color="auto"/>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 xml:space="preserve">Total other commitments </w:t>
            </w:r>
          </w:p>
        </w:tc>
        <w:tc>
          <w:tcPr>
            <w:tcW w:w="991"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4 </w:t>
            </w:r>
            <w:r w:rsidRPr="003E2DBE">
              <w:rPr>
                <w:rFonts w:cs="Calibri"/>
                <w:b/>
                <w:bCs/>
                <w:szCs w:val="24"/>
                <w:lang w:eastAsia="en-AU"/>
              </w:rPr>
              <w:t>991.2</w:t>
            </w:r>
          </w:p>
        </w:tc>
        <w:tc>
          <w:tcPr>
            <w:tcW w:w="1349" w:type="dxa"/>
            <w:tcBorders>
              <w:top w:val="single" w:sz="4" w:space="0" w:color="auto"/>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5 </w:t>
            </w:r>
            <w:r w:rsidRPr="003E2DBE">
              <w:rPr>
                <w:rFonts w:cs="Calibri"/>
                <w:b/>
                <w:bCs/>
                <w:szCs w:val="24"/>
                <w:lang w:eastAsia="en-AU"/>
              </w:rPr>
              <w:t>910.2</w:t>
            </w:r>
          </w:p>
        </w:tc>
        <w:tc>
          <w:tcPr>
            <w:tcW w:w="1080"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lang w:eastAsia="en-AU"/>
              </w:rPr>
              <w:t xml:space="preserve">5 </w:t>
            </w:r>
            <w:r w:rsidRPr="003E2DBE">
              <w:rPr>
                <w:rFonts w:cs="Calibri"/>
                <w:b/>
                <w:bCs/>
                <w:szCs w:val="24"/>
                <w:lang w:eastAsia="en-AU"/>
              </w:rPr>
              <w:t>494.4</w:t>
            </w:r>
          </w:p>
        </w:tc>
        <w:tc>
          <w:tcPr>
            <w:tcW w:w="135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lang w:eastAsia="en-AU"/>
              </w:rPr>
              <w:t xml:space="preserve">5 </w:t>
            </w:r>
            <w:r w:rsidRPr="003E2DBE">
              <w:rPr>
                <w:rFonts w:cs="Calibri"/>
                <w:b/>
                <w:bCs/>
                <w:szCs w:val="24"/>
                <w:lang w:eastAsia="en-AU"/>
              </w:rPr>
              <w:t>017.2</w:t>
            </w:r>
          </w:p>
        </w:tc>
      </w:tr>
      <w:tr w:rsidR="000B4A1E" w:rsidRPr="003E2DBE" w:rsidTr="00517E51">
        <w:trPr>
          <w:divId w:val="2145661695"/>
        </w:trPr>
        <w:tc>
          <w:tcPr>
            <w:tcW w:w="4874" w:type="dxa"/>
            <w:tcBorders>
              <w:top w:val="single" w:sz="4" w:space="0" w:color="auto"/>
              <w:left w:val="nil"/>
              <w:bottom w:val="single" w:sz="12" w:space="0" w:color="auto"/>
              <w:right w:val="nil"/>
            </w:tcBorders>
            <w:shd w:val="clear" w:color="auto" w:fill="auto"/>
            <w:vAlign w:val="bottom"/>
            <w:hideMark/>
          </w:tcPr>
          <w:p w:rsidR="000B4A1E" w:rsidRPr="003E2DBE" w:rsidRDefault="000B4A1E" w:rsidP="00517E51">
            <w:pPr>
              <w:pStyle w:val="Tabletext"/>
              <w:rPr>
                <w:b/>
                <w:bCs/>
                <w:lang w:eastAsia="en-AU"/>
              </w:rPr>
            </w:pPr>
            <w:r w:rsidRPr="003E2DBE">
              <w:rPr>
                <w:b/>
                <w:bCs/>
                <w:lang w:eastAsia="en-AU"/>
              </w:rPr>
              <w:t>Total commitments (inclusive of GST)</w:t>
            </w:r>
          </w:p>
        </w:tc>
        <w:tc>
          <w:tcPr>
            <w:tcW w:w="991"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36 </w:t>
            </w:r>
            <w:r w:rsidRPr="003E2DBE">
              <w:rPr>
                <w:rFonts w:cs="Calibri"/>
                <w:b/>
                <w:bCs/>
                <w:szCs w:val="24"/>
                <w:lang w:eastAsia="en-AU"/>
              </w:rPr>
              <w:t>532.5</w:t>
            </w:r>
          </w:p>
        </w:tc>
        <w:tc>
          <w:tcPr>
            <w:tcW w:w="1349"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bCs/>
                <w:lang w:eastAsia="en-AU"/>
              </w:rPr>
              <w:t xml:space="preserve">35 </w:t>
            </w:r>
            <w:r w:rsidRPr="003E2DBE">
              <w:rPr>
                <w:rFonts w:cs="Calibri"/>
                <w:b/>
                <w:bCs/>
                <w:szCs w:val="24"/>
                <w:lang w:eastAsia="en-AU"/>
              </w:rPr>
              <w:t>601.2</w:t>
            </w:r>
          </w:p>
        </w:tc>
        <w:tc>
          <w:tcPr>
            <w:tcW w:w="1080"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lang w:eastAsia="en-AU"/>
              </w:rPr>
              <w:t xml:space="preserve">54 </w:t>
            </w:r>
            <w:r w:rsidRPr="003E2DBE">
              <w:rPr>
                <w:rFonts w:cs="Calibri"/>
                <w:b/>
                <w:bCs/>
                <w:szCs w:val="24"/>
                <w:lang w:eastAsia="en-AU"/>
              </w:rPr>
              <w:t>643.9</w:t>
            </w:r>
          </w:p>
        </w:tc>
        <w:tc>
          <w:tcPr>
            <w:tcW w:w="135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4"/>
                <w:lang w:eastAsia="en-AU"/>
              </w:rPr>
            </w:pPr>
            <w:r w:rsidRPr="003E2DBE">
              <w:rPr>
                <w:b/>
                <w:bCs/>
                <w:lang w:eastAsia="en-AU"/>
              </w:rPr>
              <w:t xml:space="preserve">51 </w:t>
            </w:r>
            <w:r w:rsidRPr="003E2DBE">
              <w:rPr>
                <w:rFonts w:cs="Calibri"/>
                <w:b/>
                <w:bCs/>
                <w:szCs w:val="24"/>
                <w:lang w:eastAsia="en-AU"/>
              </w:rPr>
              <w:t>747.7</w:t>
            </w:r>
          </w:p>
        </w:tc>
      </w:tr>
    </w:tbl>
    <w:bookmarkEnd w:id="189"/>
    <w:p w:rsidR="000B4A1E" w:rsidRPr="00D00665" w:rsidRDefault="000B4A1E" w:rsidP="00517E51">
      <w:pPr>
        <w:pStyle w:val="Notes"/>
      </w:pPr>
      <w:r w:rsidRPr="00D00665">
        <w:t>Notes:</w:t>
      </w:r>
    </w:p>
    <w:p w:rsidR="000B4A1E" w:rsidRPr="00D00665" w:rsidRDefault="000B4A1E" w:rsidP="00517E51">
      <w:pPr>
        <w:pStyle w:val="Notes"/>
      </w:pPr>
      <w:r w:rsidRPr="00D00665">
        <w:t xml:space="preserve">(a) </w:t>
      </w:r>
      <w:r w:rsidRPr="00D00665">
        <w:tab/>
        <w:t>The figures presented are inclusive of GST.</w:t>
      </w:r>
    </w:p>
    <w:p w:rsidR="000B4A1E" w:rsidRPr="00D00665" w:rsidRDefault="000B4A1E" w:rsidP="00517E51">
      <w:pPr>
        <w:pStyle w:val="Notes"/>
      </w:pPr>
      <w:r w:rsidRPr="00D00665">
        <w:t>(b)</w:t>
      </w:r>
      <w:r w:rsidRPr="00D00665">
        <w:tab/>
        <w:t>A number of the 2012 comparatives have been corrected and now reflect current information.</w:t>
      </w:r>
    </w:p>
    <w:p w:rsidR="000B4A1E" w:rsidRPr="00D00665" w:rsidRDefault="000B4A1E" w:rsidP="00517E51">
      <w:pPr>
        <w:pStyle w:val="Notes"/>
      </w:pPr>
    </w:p>
    <w:p w:rsidR="000B4A1E" w:rsidRPr="00D00665" w:rsidRDefault="000B4A1E" w:rsidP="00517E51"/>
    <w:p w:rsidR="000B4A1E" w:rsidRPr="00D00665" w:rsidRDefault="000B4A1E" w:rsidP="00517E51"/>
    <w:p w:rsidR="000B4A1E" w:rsidRPr="00D00665" w:rsidRDefault="000B4A1E" w:rsidP="00517E51">
      <w:pPr>
        <w:pStyle w:val="Heading2Notes"/>
      </w:pPr>
      <w:r w:rsidRPr="00D00665">
        <w:br w:type="page"/>
      </w:r>
      <w:bookmarkStart w:id="190" w:name="_Toc367947893"/>
      <w:r w:rsidRPr="00D00665">
        <w:lastRenderedPageBreak/>
        <w:t>Note 34:</w:t>
      </w:r>
      <w:r w:rsidRPr="00D00665">
        <w:tab/>
        <w:t>Contingent assets and contingent liabilities (State of Victoria)</w:t>
      </w:r>
      <w:bookmarkEnd w:id="190"/>
    </w:p>
    <w:p w:rsidR="000B4A1E" w:rsidRPr="00D00665" w:rsidRDefault="000B4A1E" w:rsidP="00517E51">
      <w:pPr>
        <w:pStyle w:val="Tableheading"/>
      </w:pPr>
      <w:r w:rsidRPr="00D00665">
        <w:t>Contingent assets</w:t>
      </w:r>
    </w:p>
    <w:p w:rsidR="000B4A1E" w:rsidRPr="00D00665" w:rsidRDefault="000B4A1E" w:rsidP="00517E51">
      <w:r w:rsidRPr="00D00665">
        <w:t>Contingent assets are possible assets that arise from past events, whose existence will be confirmed only by the occurrence or non occurrence of one or more uncertain future events not wholly within the control of the entity.</w:t>
      </w:r>
    </w:p>
    <w:p w:rsidR="000B4A1E" w:rsidRPr="00D00665" w:rsidRDefault="000B4A1E" w:rsidP="00517E51">
      <w:r w:rsidRPr="00D00665">
        <w:t>These are classified as either quantifiable, where the potential economic benefit is known, or non</w:t>
      </w:r>
      <w:r w:rsidRPr="00D00665">
        <w:noBreakHyphen/>
        <w:t>quantifiable. The table below contains quantifiable contingent assets as at 30 June 2013.</w:t>
      </w:r>
    </w:p>
    <w:p w:rsidR="000B4A1E" w:rsidRPr="00D00665" w:rsidRDefault="000B4A1E" w:rsidP="00517E51">
      <w:pPr>
        <w:pStyle w:val="Tableheading"/>
      </w:pPr>
      <w:r w:rsidRPr="00D00665">
        <w:t>Quantifiable contingent assets</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262"/>
        <w:gridCol w:w="861"/>
        <w:gridCol w:w="1123"/>
      </w:tblGrid>
      <w:tr w:rsidR="000B4A1E" w:rsidRPr="003E2DBE" w:rsidTr="00517E51">
        <w:tc>
          <w:tcPr>
            <w:tcW w:w="7402"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6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 xml:space="preserve"> </w:t>
            </w:r>
          </w:p>
        </w:tc>
        <w:tc>
          <w:tcPr>
            <w:tcW w:w="1984"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r>
      <w:tr w:rsidR="000B4A1E" w:rsidRPr="003E2DBE" w:rsidTr="00517E51">
        <w:tc>
          <w:tcPr>
            <w:tcW w:w="7402"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iCs/>
                <w:lang w:eastAsia="en-AU"/>
              </w:rPr>
            </w:pPr>
            <w:r w:rsidRPr="003E2DBE">
              <w:rPr>
                <w:rFonts w:eastAsiaTheme="minorEastAsia"/>
                <w:iCs/>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7402" w:type="dxa"/>
            <w:tcBorders>
              <w:top w:val="single" w:sz="4"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General government</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30.5</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22.8</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Public non-financial corporations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116.6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112.1</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Public financial corporations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7402"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contingent assets – </w:t>
            </w:r>
            <w:r w:rsidRPr="003E2DBE">
              <w:rPr>
                <w:rFonts w:eastAsiaTheme="minorEastAsia" w:cs="Calibri"/>
                <w:b/>
                <w:bCs/>
                <w:szCs w:val="22"/>
                <w:lang w:eastAsia="en-AU"/>
              </w:rPr>
              <w:t>State of Victoria</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147.1</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134.9</w:t>
            </w:r>
          </w:p>
        </w:tc>
      </w:tr>
      <w:tr w:rsidR="000B4A1E" w:rsidRPr="003E2DBE" w:rsidTr="00517E51">
        <w:trPr>
          <w:trHeight w:hRule="exact" w:val="120"/>
        </w:trPr>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Guarantees, indemnities and warranties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35.5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49.6</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Legal proceedings and disputes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38.7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36.2</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Other</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72.9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49.1</w:t>
            </w:r>
          </w:p>
        </w:tc>
      </w:tr>
      <w:tr w:rsidR="000B4A1E" w:rsidRPr="003E2DBE" w:rsidTr="00517E51">
        <w:tc>
          <w:tcPr>
            <w:tcW w:w="7402"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contingent assets – </w:t>
            </w:r>
            <w:r w:rsidRPr="003E2DBE">
              <w:rPr>
                <w:rFonts w:eastAsiaTheme="minorEastAsia" w:cs="Calibri"/>
                <w:b/>
                <w:bCs/>
                <w:szCs w:val="22"/>
                <w:lang w:eastAsia="en-AU"/>
              </w:rPr>
              <w:t>State of Victoria</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147.1</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134.9</w:t>
            </w:r>
          </w:p>
        </w:tc>
      </w:tr>
    </w:tbl>
    <w:p w:rsidR="000B4A1E" w:rsidRPr="00D00665" w:rsidRDefault="000B4A1E" w:rsidP="00517E51">
      <w:pPr>
        <w:pStyle w:val="Notes"/>
      </w:pPr>
    </w:p>
    <w:p w:rsidR="000B4A1E" w:rsidRPr="00D00665" w:rsidRDefault="000B4A1E" w:rsidP="00517E51">
      <w:pPr>
        <w:pStyle w:val="Tableheading"/>
      </w:pPr>
      <w:r w:rsidRPr="00D00665">
        <w:t>Non</w:t>
      </w:r>
      <w:r w:rsidRPr="00D00665">
        <w:noBreakHyphen/>
        <w:t>quantifiable contingent assets</w:t>
      </w:r>
    </w:p>
    <w:p w:rsidR="000B4A1E" w:rsidRPr="00D00665" w:rsidRDefault="000B4A1E" w:rsidP="00517E51">
      <w:pPr>
        <w:pStyle w:val="Heading3"/>
        <w:spacing w:before="180"/>
      </w:pPr>
      <w:r w:rsidRPr="00D00665">
        <w:t>CityLink compensable enhancement claims</w:t>
      </w:r>
    </w:p>
    <w:p w:rsidR="000B4A1E" w:rsidRPr="00D00665" w:rsidRDefault="000B4A1E" w:rsidP="00517E51">
      <w:r w:rsidRPr="00D00665">
        <w:t>The Melbourne CityLink Concession Deed contains compensable enhancement provisions that enable the State to claim 50</w:t>
      </w:r>
      <w:r>
        <w:t> per cent</w:t>
      </w:r>
      <w:r w:rsidRPr="00D00665">
        <w:t xml:space="preserve"> of additional revenue derived by CityLink Melbourne Limited (CML) as a result of certain events that particularly benefit CityLink, including changes to the adjoining road network</w:t>
      </w:r>
      <w:r>
        <w:t xml:space="preserve">. </w:t>
      </w:r>
    </w:p>
    <w:p w:rsidR="000B4A1E" w:rsidRPr="00D00665" w:rsidRDefault="000B4A1E" w:rsidP="00517E51">
      <w:r w:rsidRPr="00D00665">
        <w:t>Compensable enhancement claims have previously been lodged in respect of works for improving traffic flows on the West Gate Freeway (between Lorimer and Montague Streets), and in the vicinity of the intersection of the Bulla Road and the Tullamarine Freeway. The claims were lodged on 20 May 2005 and 29 September 2006 respectively, and are still outstanding.</w:t>
      </w:r>
    </w:p>
    <w:p w:rsidR="000B4A1E" w:rsidRPr="00D00665" w:rsidRDefault="000B4A1E" w:rsidP="00517E51">
      <w:pPr>
        <w:pStyle w:val="Heading3"/>
        <w:spacing w:before="180"/>
      </w:pPr>
      <w:r w:rsidRPr="00D00665">
        <w:t xml:space="preserve">Revenue sharing from the Monash CityLink West Gate upgrade </w:t>
      </w:r>
    </w:p>
    <w:p w:rsidR="000B4A1E" w:rsidRPr="00D00665" w:rsidRDefault="000B4A1E" w:rsidP="00517E51">
      <w:r w:rsidRPr="00D00665">
        <w:t>On 25 July 2006, CityLink Melbourne Limited (CML), Transurban Infrastructure Management Ltd (TIML) and the State entered into the M1 Corridor Redevelopment Deed.</w:t>
      </w:r>
    </w:p>
    <w:p w:rsidR="000B4A1E" w:rsidRPr="00D00665" w:rsidRDefault="000B4A1E" w:rsidP="00517E51">
      <w:r w:rsidRPr="00D00665">
        <w:t>Under the terms of the deed:</w:t>
      </w:r>
    </w:p>
    <w:p w:rsidR="000B4A1E" w:rsidRPr="00D00665" w:rsidRDefault="000B4A1E" w:rsidP="00517E51">
      <w:pPr>
        <w:pStyle w:val="BulletText"/>
      </w:pPr>
      <w:r w:rsidRPr="00D00665">
        <w:t>the State upgraded the Monash and West Gate Freeways, while CML upgraded the Southern Link section of CityLink; and</w:t>
      </w:r>
    </w:p>
    <w:p w:rsidR="000B4A1E" w:rsidRPr="00D00665" w:rsidRDefault="000B4A1E" w:rsidP="00517E51">
      <w:pPr>
        <w:pStyle w:val="BulletText"/>
      </w:pPr>
      <w:r w:rsidRPr="00D00665">
        <w:t>the State became entitled to 50</w:t>
      </w:r>
      <w:r>
        <w:t> per cent</w:t>
      </w:r>
      <w:r w:rsidRPr="00D00665">
        <w:t xml:space="preserve"> of the additional CityLink revenue created by the Monash CityLink West Gate upgrade after CML recovers its construction and additional operating costs relating to works on the Southern Link.</w:t>
      </w:r>
    </w:p>
    <w:p w:rsidR="000B4A1E" w:rsidRPr="00D00665" w:rsidRDefault="000B4A1E" w:rsidP="00517E51">
      <w:r w:rsidRPr="00D00665">
        <w:t>The method used to calculate the additional CityLink revenue generated from the upgrade is based on comparing actual CityLink revenue with agreed trends. The calculation date for the additional CityLink revenue and the State</w:t>
      </w:r>
      <w:r>
        <w:t>’</w:t>
      </w:r>
      <w:r w:rsidRPr="00D00665">
        <w:t>s revenue sharing entitlement is 30 June 2014.</w:t>
      </w:r>
    </w:p>
    <w:p w:rsidR="000B4A1E" w:rsidRPr="00D00665" w:rsidRDefault="000B4A1E" w:rsidP="00517E51">
      <w:pPr>
        <w:pStyle w:val="Heading2Notes"/>
      </w:pPr>
      <w:r w:rsidRPr="00D00665">
        <w:lastRenderedPageBreak/>
        <w:t>Note 34:</w:t>
      </w:r>
      <w:r w:rsidRPr="00D00665">
        <w:tab/>
        <w:t>Contingent assets and contingent liabilities (State of Victoria)</w:t>
      </w:r>
      <w:r>
        <w:t xml:space="preserve"> </w:t>
      </w:r>
      <w:r w:rsidRPr="0080733C">
        <w:rPr>
          <w:i/>
        </w:rPr>
        <w:t>(continued)</w:t>
      </w:r>
    </w:p>
    <w:p w:rsidR="000B4A1E" w:rsidRPr="00D00665" w:rsidRDefault="000B4A1E" w:rsidP="00517E51">
      <w:pPr>
        <w:pStyle w:val="Heading2"/>
      </w:pPr>
      <w:r w:rsidRPr="00D00665">
        <w:t>Contingent liabilities</w:t>
      </w:r>
    </w:p>
    <w:p w:rsidR="000B4A1E" w:rsidRPr="00D00665" w:rsidRDefault="000B4A1E" w:rsidP="00517E51">
      <w:r w:rsidRPr="00D00665">
        <w:t>Contingent liabilities are:</w:t>
      </w:r>
    </w:p>
    <w:p w:rsidR="000B4A1E" w:rsidRPr="00D00665" w:rsidRDefault="000B4A1E" w:rsidP="00517E51">
      <w:pPr>
        <w:pStyle w:val="BulletText"/>
      </w:pPr>
      <w:r w:rsidRPr="00D00665">
        <w:t>possible obligations that arise from past events, whose existence will be confirmed only by the occurrence or non occurrence of one or more uncertain future events not wholly within the control of the entity; or</w:t>
      </w:r>
    </w:p>
    <w:p w:rsidR="000B4A1E" w:rsidRPr="00D00665" w:rsidRDefault="000B4A1E" w:rsidP="00517E51">
      <w:pPr>
        <w:pStyle w:val="BulletText"/>
      </w:pPr>
      <w:r w:rsidRPr="00D00665">
        <w:t>present obligations that arise from past events but are not recognised because:</w:t>
      </w:r>
    </w:p>
    <w:p w:rsidR="000B4A1E" w:rsidRPr="00D00665" w:rsidRDefault="000B4A1E" w:rsidP="00517E51">
      <w:pPr>
        <w:pStyle w:val="DashText"/>
      </w:pPr>
      <w:r w:rsidRPr="00D00665">
        <w:t>it is not probable that an outflow of resources embodying economic benefits will be required to settle the obligations; or</w:t>
      </w:r>
    </w:p>
    <w:p w:rsidR="000B4A1E" w:rsidRPr="00D00665" w:rsidRDefault="000B4A1E" w:rsidP="00517E51">
      <w:pPr>
        <w:pStyle w:val="DashText"/>
      </w:pPr>
      <w:r w:rsidRPr="00D00665">
        <w:t>the amount of the obligations cannot be measured with sufficient reliability.</w:t>
      </w:r>
    </w:p>
    <w:p w:rsidR="000B4A1E" w:rsidRPr="00D00665" w:rsidRDefault="000B4A1E" w:rsidP="00517E51">
      <w:r w:rsidRPr="00D00665">
        <w:t>As with contingent assets, contingent liabilities are also classified as either quantifiable or non</w:t>
      </w:r>
      <w:r w:rsidRPr="00D00665">
        <w:noBreakHyphen/>
        <w:t>quantifiable. The table below contains quantifiable contingent liabilities as at 30 June 2013.</w:t>
      </w:r>
    </w:p>
    <w:p w:rsidR="000B4A1E" w:rsidRPr="00D00665" w:rsidRDefault="000B4A1E" w:rsidP="00517E51">
      <w:pPr>
        <w:pStyle w:val="Tableheading"/>
      </w:pPr>
      <w:r w:rsidRPr="00D00665">
        <w:t>Quantifiable contingent liabilities</w:t>
      </w:r>
      <w:r w:rsidRPr="00D00665">
        <w:rPr>
          <w:vertAlign w:val="superscript"/>
        </w:rPr>
        <w:t>(a)</w:t>
      </w:r>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262"/>
        <w:gridCol w:w="861"/>
        <w:gridCol w:w="1123"/>
      </w:tblGrid>
      <w:tr w:rsidR="000B4A1E" w:rsidRPr="003E2DBE" w:rsidTr="00517E51">
        <w:tc>
          <w:tcPr>
            <w:tcW w:w="7402"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262"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w:t>
            </w:r>
          </w:p>
        </w:tc>
        <w:tc>
          <w:tcPr>
            <w:tcW w:w="1984" w:type="dxa"/>
            <w:gridSpan w:val="2"/>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Centred"/>
              <w:rPr>
                <w:rFonts w:eastAsiaTheme="minorEastAsia"/>
                <w:lang w:eastAsia="en-AU"/>
              </w:rPr>
            </w:pPr>
            <w:r w:rsidRPr="003E2DBE">
              <w:rPr>
                <w:rFonts w:eastAsiaTheme="minorEastAsia"/>
                <w:lang w:eastAsia="en-AU"/>
              </w:rPr>
              <w:t>State of Victoria</w:t>
            </w:r>
          </w:p>
        </w:tc>
      </w:tr>
      <w:tr w:rsidR="000B4A1E" w:rsidRPr="003E2DBE" w:rsidTr="00517E51">
        <w:tc>
          <w:tcPr>
            <w:tcW w:w="7402" w:type="dxa"/>
            <w:tcBorders>
              <w:top w:val="single" w:sz="6" w:space="0" w:color="auto"/>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2"/>
            <w:tcBorders>
              <w:top w:val="single" w:sz="6" w:space="0" w:color="auto"/>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single" w:sz="6" w:space="0" w:color="auto"/>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7402" w:type="dxa"/>
            <w:tcBorders>
              <w:top w:val="single" w:sz="4"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General government</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12 183.9</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11 272.2</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Public non-financial corporations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189.8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212.3</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Public financial corporations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0.5</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cs="Calibri"/>
                <w:i/>
                <w:iCs/>
                <w:szCs w:val="22"/>
                <w:vertAlign w:val="superscript"/>
                <w:lang w:eastAsia="en-AU"/>
              </w:rPr>
            </w:pPr>
            <w:r w:rsidRPr="003E2DBE">
              <w:rPr>
                <w:rFonts w:eastAsiaTheme="minorEastAsia"/>
                <w:i/>
                <w:iCs/>
                <w:lang w:eastAsia="en-AU"/>
              </w:rPr>
              <w:t xml:space="preserve">Eliminations for whole of government </w:t>
            </w:r>
            <w:r w:rsidRPr="003E2DBE">
              <w:rPr>
                <w:rFonts w:eastAsiaTheme="minorEastAsia" w:cs="Calibri"/>
                <w:i/>
                <w:iCs/>
                <w:szCs w:val="22"/>
                <w:vertAlign w:val="superscript"/>
                <w:lang w:eastAsia="en-AU"/>
              </w:rPr>
              <w:t>(b)</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(10</w:t>
            </w:r>
            <w:r w:rsidRPr="003E2DBE">
              <w:rPr>
                <w:rFonts w:eastAsiaTheme="minorEastAsia" w:cs="Calibri"/>
                <w:szCs w:val="22"/>
                <w:lang w:eastAsia="en-AU"/>
              </w:rPr>
              <w:t xml:space="preserve"> 840.4)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(9 807.2)</w:t>
            </w:r>
          </w:p>
        </w:tc>
      </w:tr>
      <w:tr w:rsidR="000B4A1E" w:rsidRPr="003E2DBE" w:rsidTr="00517E51">
        <w:tc>
          <w:tcPr>
            <w:tcW w:w="7402"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contingent liabilities – </w:t>
            </w:r>
            <w:r w:rsidRPr="003E2DBE">
              <w:rPr>
                <w:rFonts w:eastAsiaTheme="minorEastAsia" w:cs="Calibri"/>
                <w:b/>
                <w:bCs/>
                <w:szCs w:val="22"/>
                <w:lang w:eastAsia="en-AU"/>
              </w:rPr>
              <w:t>State of Victoria</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1 533.3</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1 677.9</w:t>
            </w:r>
          </w:p>
        </w:tc>
      </w:tr>
      <w:tr w:rsidR="000B4A1E" w:rsidRPr="003E2DBE" w:rsidTr="00517E51">
        <w:trPr>
          <w:trHeight w:hRule="exact" w:val="120"/>
        </w:trPr>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Guarantees, indemnities and warranties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735.2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860.2</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Legal proceedings and disputes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506.4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404.3</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Other</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291.8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413.4</w:t>
            </w:r>
          </w:p>
        </w:tc>
      </w:tr>
      <w:tr w:rsidR="000B4A1E" w:rsidRPr="003E2DBE" w:rsidTr="00517E51">
        <w:tc>
          <w:tcPr>
            <w:tcW w:w="7402"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contingent liabilities – </w:t>
            </w:r>
            <w:r w:rsidRPr="003E2DBE">
              <w:rPr>
                <w:rFonts w:eastAsiaTheme="minorEastAsia" w:cs="Calibri"/>
                <w:b/>
                <w:bCs/>
                <w:szCs w:val="22"/>
                <w:lang w:eastAsia="en-AU"/>
              </w:rPr>
              <w:t>State of Victoria</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1 533.3</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1 677.9</w:t>
            </w:r>
          </w:p>
        </w:tc>
      </w:tr>
    </w:tbl>
    <w:p w:rsidR="000B4A1E" w:rsidRPr="00D00665" w:rsidRDefault="000B4A1E" w:rsidP="00517E51">
      <w:pPr>
        <w:pStyle w:val="Notes"/>
      </w:pPr>
      <w:r w:rsidRPr="00D00665">
        <w:t>Note</w:t>
      </w:r>
      <w:r>
        <w:t>s</w:t>
      </w:r>
      <w:r w:rsidRPr="00D00665">
        <w:t>:</w:t>
      </w:r>
    </w:p>
    <w:p w:rsidR="000B4A1E" w:rsidRPr="00D00665" w:rsidRDefault="000B4A1E" w:rsidP="00517E51">
      <w:pPr>
        <w:pStyle w:val="Notes"/>
      </w:pPr>
      <w:r w:rsidRPr="00D00665">
        <w:t xml:space="preserve">(a) </w:t>
      </w:r>
      <w:r w:rsidRPr="00D00665">
        <w:tab/>
        <w:t>A number of the 2012 comparatives have been corrected and now reflect current information.</w:t>
      </w:r>
    </w:p>
    <w:p w:rsidR="000B4A1E" w:rsidRPr="00D00665" w:rsidRDefault="000B4A1E" w:rsidP="00517E51">
      <w:pPr>
        <w:pStyle w:val="Notes"/>
      </w:pPr>
      <w:r w:rsidRPr="00D00665">
        <w:t xml:space="preserve">(b) </w:t>
      </w:r>
      <w:r w:rsidRPr="00D00665">
        <w:tab/>
        <w:t>Represents the guarantee of borrowings provided by the Treasurer for the public sector borrowings portfolio.</w:t>
      </w:r>
    </w:p>
    <w:p w:rsidR="000B4A1E" w:rsidRPr="00D00665" w:rsidRDefault="000B4A1E" w:rsidP="00517E51">
      <w:pPr>
        <w:pStyle w:val="Heading2"/>
      </w:pPr>
      <w:r w:rsidRPr="00D00665">
        <w:t>Non</w:t>
      </w:r>
      <w:r w:rsidRPr="00D00665">
        <w:noBreakHyphen/>
        <w:t>quantifiable contingent liabilities</w:t>
      </w:r>
    </w:p>
    <w:p w:rsidR="000B4A1E" w:rsidRPr="00D00665" w:rsidRDefault="000B4A1E" w:rsidP="00517E51">
      <w:r w:rsidRPr="00D00665">
        <w:t>A number of potential obligations are non</w:t>
      </w:r>
      <w:r w:rsidRPr="00D00665">
        <w:noBreakHyphen/>
        <w:t>quantifiable at this time arising from:</w:t>
      </w:r>
    </w:p>
    <w:p w:rsidR="000B4A1E" w:rsidRPr="00D00665" w:rsidRDefault="000B4A1E" w:rsidP="00517E51">
      <w:pPr>
        <w:pStyle w:val="BulletText"/>
      </w:pPr>
      <w:r w:rsidRPr="00D00665">
        <w:t>indemnities provided in relation to transactions, including financial arrangements and consultancy services, as well as for directors and administrators;</w:t>
      </w:r>
    </w:p>
    <w:p w:rsidR="000B4A1E" w:rsidRPr="00D00665" w:rsidRDefault="000B4A1E" w:rsidP="00517E51">
      <w:pPr>
        <w:pStyle w:val="BulletText"/>
      </w:pPr>
      <w:r w:rsidRPr="00D00665">
        <w:t>performance guarantees, warranties, letters of comfort and the like;</w:t>
      </w:r>
    </w:p>
    <w:p w:rsidR="000B4A1E" w:rsidRPr="00D00665" w:rsidRDefault="000B4A1E" w:rsidP="00517E51">
      <w:pPr>
        <w:pStyle w:val="BulletText"/>
      </w:pPr>
      <w:r w:rsidRPr="00D00665">
        <w:t>deeds in respect of certain obligations; and</w:t>
      </w:r>
    </w:p>
    <w:p w:rsidR="000B4A1E" w:rsidRPr="00D00665" w:rsidRDefault="000B4A1E" w:rsidP="00517E51">
      <w:pPr>
        <w:pStyle w:val="BulletText"/>
      </w:pPr>
      <w:r w:rsidRPr="00D00665">
        <w:t>unclaimed monies, which may be subject to future claims by the general public against the State.</w:t>
      </w:r>
    </w:p>
    <w:p w:rsidR="000B4A1E" w:rsidRPr="00D00665" w:rsidRDefault="000B4A1E" w:rsidP="00517E51">
      <w:r w:rsidRPr="00D00665">
        <w:t>An overview of the more significant non</w:t>
      </w:r>
      <w:r w:rsidRPr="00D00665">
        <w:noBreakHyphen/>
        <w:t>quantifiable liabilities follows.</w:t>
      </w:r>
    </w:p>
    <w:p w:rsidR="000B4A1E" w:rsidRPr="00D00665" w:rsidRDefault="000B4A1E" w:rsidP="00517E51">
      <w:pPr>
        <w:pStyle w:val="Heading3"/>
      </w:pPr>
      <w:r w:rsidRPr="00D00665">
        <w:t>Asset sales</w:t>
      </w:r>
    </w:p>
    <w:p w:rsidR="000B4A1E" w:rsidRPr="00D00665" w:rsidRDefault="000B4A1E" w:rsidP="00517E51">
      <w:r w:rsidRPr="00D00665">
        <w:t>Potential exposures are associated with the sale of a number of assets and services where the purchaser was provided with various indemnities and warranties.</w:t>
      </w:r>
    </w:p>
    <w:p w:rsidR="000B4A1E" w:rsidRPr="00D00665" w:rsidRDefault="000B4A1E" w:rsidP="00517E51">
      <w:pPr>
        <w:pStyle w:val="Heading2Notes"/>
      </w:pPr>
      <w:r w:rsidRPr="00D00665">
        <w:lastRenderedPageBreak/>
        <w:t>Note 34:</w:t>
      </w:r>
      <w:r w:rsidRPr="00D00665">
        <w:tab/>
        <w:t>Contingent assets and contingent liabilities (State of Victoria)</w:t>
      </w:r>
      <w:r>
        <w:t xml:space="preserve"> </w:t>
      </w:r>
      <w:r w:rsidRPr="0080733C">
        <w:rPr>
          <w:i/>
        </w:rPr>
        <w:t>(continued)</w:t>
      </w:r>
    </w:p>
    <w:p w:rsidR="000B4A1E" w:rsidRPr="00D00665" w:rsidRDefault="000B4A1E" w:rsidP="00517E51">
      <w:pPr>
        <w:pStyle w:val="Heading3"/>
      </w:pPr>
      <w:r w:rsidRPr="00D00665">
        <w:t>National Electricity Code Administrator</w:t>
      </w:r>
    </w:p>
    <w:p w:rsidR="000B4A1E" w:rsidRPr="00D00665" w:rsidRDefault="000B4A1E" w:rsidP="00517E51">
      <w:r w:rsidRPr="00D00665">
        <w:t>As part of the windup of the National Electricity Code Administrator (NECA) the State of Victoria has undertaken to indemnify the actions of the NECA Directors for a period of seven years on completion of their tenure in 2015.</w:t>
      </w:r>
    </w:p>
    <w:p w:rsidR="000B4A1E" w:rsidRPr="00D00665" w:rsidRDefault="000B4A1E" w:rsidP="00517E51">
      <w:pPr>
        <w:pStyle w:val="Heading3"/>
      </w:pPr>
      <w:r w:rsidRPr="00D00665">
        <w:t>Royal Melbourne Showground Joint venture</w:t>
      </w:r>
    </w:p>
    <w:p w:rsidR="000B4A1E" w:rsidRPr="00D00665" w:rsidRDefault="000B4A1E" w:rsidP="00517E51">
      <w:r w:rsidRPr="00D00665">
        <w:t>Under the State commitment to the Royal Agriculture Society of Victoria (RASV), the State has agreed to support certain obligations of RASV which may arise out of the joint venture agreement. In accordance with the terms set out in the State Commitment to RASV, the State will pay (in the form of a loan) the amount requested by RASV. If any outstanding loan amount remains unpaid at the date which is 25 years after the commencement of the operation term under the development and operation agreement, RASV will be obliged to satisfy and discharge each such outstanding loan amount. This may take the form of a transfer to the State, of the whole of the RASV participating interest in the joint venture.</w:t>
      </w:r>
    </w:p>
    <w:p w:rsidR="000B4A1E" w:rsidRPr="00D00665" w:rsidRDefault="000B4A1E" w:rsidP="00517E51">
      <w:r w:rsidRPr="00D00665">
        <w:t>The State has also entered into an agreement through the State Support Deed – Non</w:t>
      </w:r>
      <w:r w:rsidRPr="00D00665">
        <w:noBreakHyphen/>
        <w:t>Core Land with Showgrounds Retail Developments Pty Ltd and the RASV whereby the State agrees to support certain payment obligations of the RASV that may arise under the non</w:t>
      </w:r>
      <w:r w:rsidRPr="00D00665">
        <w:noBreakHyphen/>
        <w:t>core development agreement.</w:t>
      </w:r>
    </w:p>
    <w:p w:rsidR="000B4A1E" w:rsidRPr="00D00665" w:rsidRDefault="000B4A1E" w:rsidP="00517E51">
      <w:pPr>
        <w:pStyle w:val="Heading3"/>
      </w:pPr>
      <w:r w:rsidRPr="00D00665">
        <w:t>Public transport rail partnership agreements</w:t>
      </w:r>
    </w:p>
    <w:p w:rsidR="000B4A1E" w:rsidRPr="00D00665" w:rsidRDefault="000B4A1E" w:rsidP="00517E51">
      <w:r w:rsidRPr="00D00665">
        <w:t>Public Transport Victoria (PTV) is party to partnership contractual arrangements with franchisees to operate metropolitan rail transport services in the State, operative from 30 November 2009 until 30 November 2017. The following summarises the major contingent liabilities arising from the contractual arrangements in the event of early termination or expiry of the partnership contractual agreement:</w:t>
      </w:r>
    </w:p>
    <w:p w:rsidR="000B4A1E" w:rsidRPr="00D00665" w:rsidRDefault="000B4A1E" w:rsidP="00517E51">
      <w:pPr>
        <w:pStyle w:val="BulletText"/>
      </w:pPr>
      <w:r w:rsidRPr="00D00665">
        <w:rPr>
          <w:b/>
        </w:rPr>
        <w:t>partnership assets</w:t>
      </w:r>
      <w:r w:rsidRPr="00D00665">
        <w:t>: To maintain continuity of services, at early termination or expiry of the franchise contract, assets will revert to PTV or a successor. In the case of some assets, a reversion back to PTV would entail those assets being purchased; and</w:t>
      </w:r>
    </w:p>
    <w:p w:rsidR="000B4A1E" w:rsidRPr="00D00665" w:rsidRDefault="000B4A1E" w:rsidP="00517E51">
      <w:pPr>
        <w:pStyle w:val="BulletText"/>
      </w:pPr>
      <w:r w:rsidRPr="00D00665">
        <w:rPr>
          <w:b/>
        </w:rPr>
        <w:t>unfunded superannuation</w:t>
      </w:r>
      <w:r w:rsidRPr="00D00665">
        <w:t>: At the early termination or expiry of the contract, PTV will assume any unfunded superannuation amounts (apart from contributions the operator is required to pay over the contract term) to the extent that the State becomes the successor operator.</w:t>
      </w:r>
    </w:p>
    <w:p w:rsidR="000B4A1E" w:rsidRPr="00D00665" w:rsidRDefault="000B4A1E" w:rsidP="00517E51">
      <w:pPr>
        <w:pStyle w:val="Heading3"/>
        <w:rPr>
          <w:rFonts w:eastAsia="Calibri"/>
        </w:rPr>
      </w:pPr>
      <w:r w:rsidRPr="00D00665">
        <w:rPr>
          <w:rFonts w:eastAsia="Calibri"/>
        </w:rPr>
        <w:t>Compulsory property acquisitions</w:t>
      </w:r>
    </w:p>
    <w:p w:rsidR="000B4A1E" w:rsidRPr="00D00665" w:rsidRDefault="000B4A1E" w:rsidP="00517E51">
      <w:r w:rsidRPr="00D00665">
        <w:rPr>
          <w:rFonts w:eastAsia="Calibri"/>
        </w:rPr>
        <w:t xml:space="preserve">The State has compulsorily acquired a number of properties (residential and commercial) through the </w:t>
      </w:r>
      <w:r w:rsidRPr="00D00665">
        <w:rPr>
          <w:rFonts w:eastAsia="Calibri"/>
          <w:i/>
        </w:rPr>
        <w:t>Land Acquisition and Compensation Act 1986</w:t>
      </w:r>
      <w:r w:rsidRPr="00D00665">
        <w:rPr>
          <w:rFonts w:eastAsia="Calibri"/>
        </w:rPr>
        <w:t xml:space="preserve"> to facilitate delivery of various projects. Possible future claims for compensation arising from the compulsory acquisition of these properties cannot be quantified at this stage.</w:t>
      </w:r>
    </w:p>
    <w:p w:rsidR="000B4A1E" w:rsidRPr="00D00665" w:rsidRDefault="000B4A1E" w:rsidP="00517E51">
      <w:pPr>
        <w:pStyle w:val="Heading3"/>
      </w:pPr>
      <w:r w:rsidRPr="00D00665">
        <w:t xml:space="preserve">Public acquisition overlays for the future development of rail and road infrastructure </w:t>
      </w:r>
    </w:p>
    <w:p w:rsidR="000B4A1E" w:rsidRPr="00D00665" w:rsidRDefault="000B4A1E" w:rsidP="00517E51">
      <w:r w:rsidRPr="00D00665">
        <w:t xml:space="preserve">Public acquisition overlays are place in order to reserve certain areas of land for future development of rail and road infrastructure. Under section 98 of the </w:t>
      </w:r>
      <w:r w:rsidRPr="00D00665">
        <w:rPr>
          <w:i/>
        </w:rPr>
        <w:t>Planning and Environment Act</w:t>
      </w:r>
      <w:r w:rsidRPr="00D00665">
        <w:t xml:space="preserve"> 1987, the State has a legislative responsibility to pay compensation to eligible land and property owners who face either:</w:t>
      </w:r>
    </w:p>
    <w:p w:rsidR="000B4A1E" w:rsidRPr="00D00665" w:rsidRDefault="000B4A1E" w:rsidP="00517E51">
      <w:pPr>
        <w:pStyle w:val="BulletText"/>
      </w:pPr>
      <w:r w:rsidRPr="00D00665">
        <w:t>loss on sale</w:t>
      </w:r>
      <w:r>
        <w:t xml:space="preserve"> </w:t>
      </w:r>
      <w:r w:rsidRPr="00D00665">
        <w:t>– an eligible landowner is entitled to compensation for the incremental loss on sale when a property affected by a public acquisition overlay is sold for less than its market value; or</w:t>
      </w:r>
    </w:p>
    <w:p w:rsidR="000B4A1E" w:rsidRPr="00D00665" w:rsidRDefault="000B4A1E" w:rsidP="00517E51">
      <w:pPr>
        <w:pStyle w:val="BulletText"/>
      </w:pPr>
      <w:r w:rsidRPr="00D00665">
        <w:t>financial loss – the entitlement to financial loss compensation is triggered when a development permit is refused because the property is required for a public purpose.</w:t>
      </w:r>
    </w:p>
    <w:p w:rsidR="000B4A1E" w:rsidRPr="00D00665" w:rsidRDefault="000B4A1E" w:rsidP="00517E51">
      <w:pPr>
        <w:pStyle w:val="Heading2Notes"/>
      </w:pPr>
      <w:r w:rsidRPr="00D00665">
        <w:lastRenderedPageBreak/>
        <w:t>Note 34:</w:t>
      </w:r>
      <w:r w:rsidRPr="00D00665">
        <w:tab/>
        <w:t>Contingent assets and contingent liabilities (State of Victoria)</w:t>
      </w:r>
      <w:r>
        <w:t xml:space="preserve"> </w:t>
      </w:r>
      <w:r w:rsidRPr="0080733C">
        <w:rPr>
          <w:i/>
        </w:rPr>
        <w:t>(continued)</w:t>
      </w:r>
    </w:p>
    <w:p w:rsidR="000B4A1E" w:rsidRPr="00D00665" w:rsidRDefault="000B4A1E" w:rsidP="00517E51">
      <w:r w:rsidRPr="00D00665">
        <w:t>Compensation and purchase claims occur as a result of claims by land owners. The quantum of the future liability depends on factors including the number of claims received and the prevailing value of land at the time the claim is made, which cannot be reliably quantified.</w:t>
      </w:r>
    </w:p>
    <w:p w:rsidR="000B4A1E" w:rsidRPr="00D00665" w:rsidRDefault="000B4A1E" w:rsidP="00517E51">
      <w:pPr>
        <w:pStyle w:val="Heading3"/>
        <w:spacing w:before="180"/>
      </w:pPr>
      <w:r w:rsidRPr="00D00665">
        <w:t>Land remediation – environmental concerns</w:t>
      </w:r>
    </w:p>
    <w:p w:rsidR="000B4A1E" w:rsidRPr="00D00665" w:rsidRDefault="000B4A1E" w:rsidP="00517E51">
      <w:r w:rsidRPr="00D00665">
        <w:t>In addition to properties for which remediation costs have been provided in the State</w:t>
      </w:r>
      <w:r>
        <w:t>’</w:t>
      </w:r>
      <w:r w:rsidRPr="00D00665">
        <w:t>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of future developments taking place.</w:t>
      </w:r>
    </w:p>
    <w:p w:rsidR="000B4A1E" w:rsidRPr="00D00665" w:rsidRDefault="000B4A1E" w:rsidP="00517E51">
      <w:pPr>
        <w:pStyle w:val="Heading3"/>
        <w:spacing w:before="180"/>
      </w:pPr>
      <w:r w:rsidRPr="00D00665">
        <w:t>The Biosciences Research Centre</w:t>
      </w:r>
    </w:p>
    <w:p w:rsidR="000B4A1E" w:rsidRPr="00D00665" w:rsidRDefault="000B4A1E" w:rsidP="00517E51">
      <w:r w:rsidRPr="00D00665">
        <w:t>The service fee payment obligations of Biosciences Research Centre Pty Ltd (on behalf of the joint venture participants) are supported by the State of Victoria via a State support deed. Under this deed, the State ensures that the joint venture participants have the financial capacity to meet their payment obligations to the company, thereby enabling the company to meet its obligations to pay the service fee to the concessionaire pursuant to the project agreement. The State underwrites the risk of any default by the Biosciences Research Centre Pty Ltd.</w:t>
      </w:r>
    </w:p>
    <w:p w:rsidR="000B4A1E" w:rsidRPr="00D00665" w:rsidRDefault="000B4A1E" w:rsidP="00517E51">
      <w:pPr>
        <w:pStyle w:val="Heading3"/>
        <w:spacing w:before="180"/>
      </w:pPr>
      <w:r w:rsidRPr="00D00665">
        <w:t>Department of Education and Early Childhood Development</w:t>
      </w:r>
    </w:p>
    <w:p w:rsidR="000B4A1E" w:rsidRPr="00D00665" w:rsidRDefault="000B4A1E" w:rsidP="00517E51">
      <w:r w:rsidRPr="00D00665">
        <w:t>The Department has a number of unquantifiable contingent liabilities as follows:</w:t>
      </w:r>
    </w:p>
    <w:p w:rsidR="000B4A1E" w:rsidRPr="00D00665" w:rsidRDefault="000B4A1E" w:rsidP="00517E51">
      <w:r w:rsidRPr="00D00665">
        <w:t>Indemnities are provided by the Department to:</w:t>
      </w:r>
    </w:p>
    <w:p w:rsidR="000B4A1E" w:rsidRPr="00D00665" w:rsidRDefault="000B4A1E" w:rsidP="00517E51">
      <w:pPr>
        <w:pStyle w:val="BulletText"/>
      </w:pPr>
      <w:r w:rsidRPr="00D00665">
        <w:t xml:space="preserve">volunteer school workers and volunteer student workers: the </w:t>
      </w:r>
      <w:r w:rsidRPr="00D00665">
        <w:rPr>
          <w:i/>
        </w:rPr>
        <w:t>Education and Training Reform Act</w:t>
      </w:r>
      <w:r w:rsidRPr="00D00665">
        <w:t xml:space="preserve"> </w:t>
      </w:r>
      <w:r w:rsidRPr="00D00665">
        <w:rPr>
          <w:i/>
        </w:rPr>
        <w:t xml:space="preserve">2006 </w:t>
      </w:r>
      <w:r w:rsidRPr="00D00665">
        <w:t>provides a specific indemnity for personal injuries suffered by volunteer school workers and volunteer student workers arising out of or in the course of engaging in school work or community work respectively;</w:t>
      </w:r>
    </w:p>
    <w:p w:rsidR="000B4A1E" w:rsidRPr="00D00665" w:rsidRDefault="000B4A1E" w:rsidP="00517E51">
      <w:pPr>
        <w:pStyle w:val="BulletText"/>
      </w:pPr>
      <w:r w:rsidRPr="00D00665">
        <w:t xml:space="preserve">members of school councils: the </w:t>
      </w:r>
      <w:r w:rsidRPr="00D00665">
        <w:rPr>
          <w:i/>
        </w:rPr>
        <w:t>Education and Training Reform Act</w:t>
      </w:r>
      <w:r w:rsidRPr="00D00665">
        <w:t xml:space="preserve"> </w:t>
      </w:r>
      <w:r w:rsidRPr="00D00665">
        <w:rPr>
          <w:i/>
        </w:rPr>
        <w:t>2006</w:t>
      </w:r>
      <w:r w:rsidRPr="00D00665">
        <w:t xml:space="preserve"> provides an indemnity to members of school councils for any legal liability, whether in contract, negligence or defamation; and</w:t>
      </w:r>
    </w:p>
    <w:p w:rsidR="000B4A1E" w:rsidRPr="00D00665" w:rsidRDefault="000B4A1E" w:rsidP="00517E51">
      <w:pPr>
        <w:pStyle w:val="BulletText"/>
      </w:pPr>
      <w:r w:rsidRPr="00D00665">
        <w:t>teachers: in the event that a teacher is named as a defendant in a student personal injury claim, any costs and damages will generally be paid by the Department provided the teacher was not drunk, under the influence of illicit drugs or engaging in a criminal offence and the behaviour was not outrageous and was related to their employment.</w:t>
      </w:r>
      <w:r w:rsidRPr="00D00665">
        <w:tab/>
      </w:r>
    </w:p>
    <w:p w:rsidR="000B4A1E" w:rsidRPr="00D00665" w:rsidRDefault="000B4A1E" w:rsidP="00517E51">
      <w:pPr>
        <w:pStyle w:val="Heading3"/>
        <w:spacing w:before="180"/>
      </w:pPr>
      <w:r w:rsidRPr="00D00665">
        <w:t>Native Title</w:t>
      </w:r>
    </w:p>
    <w:p w:rsidR="000B4A1E" w:rsidRPr="00D00665" w:rsidRDefault="000B4A1E" w:rsidP="00517E51">
      <w:r w:rsidRPr="00D00665">
        <w:t xml:space="preserve">A number of claims have been filed with the Federal Court under the Commonwealth </w:t>
      </w:r>
      <w:r w:rsidRPr="00D00665">
        <w:rPr>
          <w:i/>
        </w:rPr>
        <w:t>Native Title Act 1993</w:t>
      </w:r>
      <w:r w:rsidRPr="00D00665">
        <w:t xml:space="preserve"> that affect Victoria. It is not feasible at this time to quantify any future liability. </w:t>
      </w:r>
    </w:p>
    <w:p w:rsidR="000B4A1E" w:rsidRPr="00D00665" w:rsidRDefault="000B4A1E" w:rsidP="00517E51">
      <w:pPr>
        <w:pStyle w:val="Heading3"/>
        <w:spacing w:before="180"/>
      </w:pPr>
      <w:r w:rsidRPr="00D00665">
        <w:t>Victorian Managed Insurance Authority – Insurance cover</w:t>
      </w:r>
    </w:p>
    <w:p w:rsidR="000B4A1E" w:rsidRPr="00D00665" w:rsidRDefault="000B4A1E" w:rsidP="00517E51">
      <w:r w:rsidRPr="00D00665">
        <w:t xml:space="preserve">The Victorian Managed Insurance Authority (VMIA) was established in 1996 as an insurer for State Government departments, participating bodies and other entities as defined under the </w:t>
      </w:r>
      <w:r w:rsidRPr="00D00665">
        <w:rPr>
          <w:i/>
        </w:rPr>
        <w:t>Victorian Managed Insurance Authority Act 1996</w:t>
      </w:r>
      <w:r w:rsidRPr="00D00665">
        <w:t>. VMIA provides its clients with a range of insurance cover, including for property, public and products liability, professional indemnity and contract works. VMIA reinsures in the private market for losses above $50</w:t>
      </w:r>
      <w:r>
        <w:t> million</w:t>
      </w:r>
      <w:r w:rsidRPr="00D00665">
        <w:t xml:space="preserve"> arising out of any one occurrence, up to a maximum of $750</w:t>
      </w:r>
      <w:r>
        <w:t> million</w:t>
      </w:r>
      <w:r w:rsidRPr="00D00665">
        <w:t xml:space="preserve"> for public and products liability, and for losses above $50</w:t>
      </w:r>
      <w:r>
        <w:t> million</w:t>
      </w:r>
      <w:r w:rsidRPr="00D00665">
        <w:t xml:space="preserve"> arising out of any one event, up to a maximum of $2.1</w:t>
      </w:r>
      <w:r>
        <w:t> billion</w:t>
      </w:r>
      <w:r w:rsidRPr="00D00665">
        <w:t xml:space="preserve"> for property. The risk of losses above these reinsured levels is borne by the State.</w:t>
      </w:r>
    </w:p>
    <w:p w:rsidR="000B4A1E" w:rsidRPr="00D00665" w:rsidRDefault="000B4A1E" w:rsidP="00517E51">
      <w:pPr>
        <w:pStyle w:val="Heading2Notes"/>
      </w:pPr>
      <w:r w:rsidRPr="00D00665">
        <w:lastRenderedPageBreak/>
        <w:t>Note 34:</w:t>
      </w:r>
      <w:r w:rsidRPr="00D00665">
        <w:tab/>
        <w:t>Contingent assets and contingent liabilities (State of Victoria)</w:t>
      </w:r>
      <w:r>
        <w:t xml:space="preserve"> </w:t>
      </w:r>
      <w:r w:rsidRPr="0080733C">
        <w:rPr>
          <w:i/>
        </w:rPr>
        <w:t>(continued)</w:t>
      </w:r>
    </w:p>
    <w:p w:rsidR="000B4A1E" w:rsidRPr="00D00665" w:rsidRDefault="000B4A1E" w:rsidP="00517E51">
      <w:r w:rsidRPr="00D00665">
        <w:t>VMIA also insures the Department of Health for all public sector medical indemnity claims incurred. The Department of Treasury and Finance has agreed to provide stop loss protection for VMIA for each policy year from 1 July 2003, regardless of when the claims are finally settled. Under the indemnity deed</w:t>
      </w:r>
      <w:r>
        <w:t>,</w:t>
      </w:r>
      <w:r w:rsidRPr="00D00665">
        <w:t xml:space="preserve"> the Department of Treasury and Finance will reimburse VMIA if the ultimate claims payouts exceed by more than 20</w:t>
      </w:r>
      <w:r>
        <w:t> per cent</w:t>
      </w:r>
      <w:r w:rsidRPr="00D00665">
        <w:t xml:space="preserve"> of the initial estimate on which the risk premium was based. </w:t>
      </w:r>
    </w:p>
    <w:p w:rsidR="000B4A1E" w:rsidRPr="00D00665" w:rsidRDefault="000B4A1E" w:rsidP="00517E51">
      <w:pPr>
        <w:pStyle w:val="Heading3"/>
      </w:pPr>
      <w:r>
        <w:t>Fiskville fire</w:t>
      </w:r>
      <w:r w:rsidRPr="00D00665">
        <w:t>fighting independent investigation</w:t>
      </w:r>
    </w:p>
    <w:p w:rsidR="000B4A1E" w:rsidRPr="00D00665" w:rsidRDefault="000B4A1E" w:rsidP="00517E51">
      <w:pPr>
        <w:rPr>
          <w:bCs/>
        </w:rPr>
      </w:pPr>
      <w:r w:rsidRPr="00D00665">
        <w:rPr>
          <w:bCs/>
        </w:rPr>
        <w:t xml:space="preserve">An independent investigation was undertaken into the historical use of chemicals for live fire fighting training at Fiskville between 1971 and 1999. The report of the independent investigation has been released and the Country Fire Authority has accepted all of the facts, recommendations and conclusions and </w:t>
      </w:r>
      <w:r>
        <w:rPr>
          <w:bCs/>
        </w:rPr>
        <w:t>is</w:t>
      </w:r>
      <w:r w:rsidRPr="00D00665">
        <w:rPr>
          <w:bCs/>
        </w:rPr>
        <w:t xml:space="preserve"> committed to implementing all recommendations. </w:t>
      </w:r>
    </w:p>
    <w:p w:rsidR="000B4A1E" w:rsidRPr="00D00665" w:rsidRDefault="000B4A1E" w:rsidP="00517E51">
      <w:pPr>
        <w:rPr>
          <w:bCs/>
        </w:rPr>
      </w:pPr>
      <w:r w:rsidRPr="00D00665">
        <w:rPr>
          <w:bCs/>
        </w:rPr>
        <w:t>In August 2012</w:t>
      </w:r>
      <w:r>
        <w:rPr>
          <w:bCs/>
        </w:rPr>
        <w:t>,</w:t>
      </w:r>
      <w:r w:rsidRPr="00D00665">
        <w:rPr>
          <w:bCs/>
        </w:rPr>
        <w:t xml:space="preserve"> CFA established a Program Office to manage the implementation of report</w:t>
      </w:r>
      <w:r>
        <w:rPr>
          <w:bCs/>
        </w:rPr>
        <w:t>’</w:t>
      </w:r>
      <w:r w:rsidRPr="00D00665">
        <w:rPr>
          <w:bCs/>
        </w:rPr>
        <w:t>s recommendations and an additional 11 management initiatives to which the CFA Board committed in its response to his report. At this stage it is impractical to quantify the financial effects as a result of the investigation</w:t>
      </w:r>
      <w:r>
        <w:rPr>
          <w:bCs/>
        </w:rPr>
        <w:t>’s recommendations</w:t>
      </w:r>
      <w:r w:rsidRPr="00D00665">
        <w:rPr>
          <w:bCs/>
        </w:rPr>
        <w:t>.</w:t>
      </w:r>
    </w:p>
    <w:p w:rsidR="000B4A1E" w:rsidRPr="00D00665" w:rsidRDefault="000B4A1E" w:rsidP="00517E51">
      <w:pPr>
        <w:pStyle w:val="Heading3"/>
      </w:pPr>
      <w:r w:rsidRPr="00D00665">
        <w:t>Gambling licences</w:t>
      </w:r>
    </w:p>
    <w:p w:rsidR="000B4A1E" w:rsidRPr="00D00665" w:rsidRDefault="000B4A1E" w:rsidP="00517E51">
      <w:r w:rsidRPr="00D00665">
        <w:t>In 1992, a gaming operator</w:t>
      </w:r>
      <w:r>
        <w:t>’</w:t>
      </w:r>
      <w:r w:rsidRPr="00D00665">
        <w:t>s licence was issued to the Trustees of the Will and Estate of the late George Adams, later succeeded by Tatts Group. In 1994, the State issued a wagering and gaming licence to Tabcorp Holdings Limited (Tabcorp). These licences expired in August 2012. The </w:t>
      </w:r>
      <w:r w:rsidRPr="00D00665">
        <w:rPr>
          <w:i/>
        </w:rPr>
        <w:t>Gambling Regulation Act 2003</w:t>
      </w:r>
      <w:r w:rsidRPr="00D00665">
        <w:t xml:space="preserve"> specified end of licence arrangements which included compensation provisions for the licensees predicated on the previous licensing arrangements being rolled over beyond their scheduled expiry date.</w:t>
      </w:r>
    </w:p>
    <w:p w:rsidR="000B4A1E" w:rsidRPr="00D00665" w:rsidRDefault="000B4A1E" w:rsidP="00517E51">
      <w:r w:rsidRPr="00D00665">
        <w:t>On 10 April 2008, the previous Government announced a new regulatory and licencing regime post August 2012. The main changes included:</w:t>
      </w:r>
    </w:p>
    <w:p w:rsidR="000B4A1E" w:rsidRPr="00D00665" w:rsidRDefault="000B4A1E" w:rsidP="00517E51">
      <w:pPr>
        <w:pStyle w:val="BulletText"/>
      </w:pPr>
      <w:r w:rsidRPr="00D00665">
        <w:t>separating the wagering and gaming licence to instead license wagering on a stand</w:t>
      </w:r>
      <w:r w:rsidRPr="00D00665">
        <w:noBreakHyphen/>
        <w:t>alone basis; and</w:t>
      </w:r>
    </w:p>
    <w:p w:rsidR="000B4A1E" w:rsidRPr="00D00665" w:rsidRDefault="000B4A1E" w:rsidP="00517E51">
      <w:pPr>
        <w:pStyle w:val="BulletText"/>
      </w:pPr>
      <w:r w:rsidRPr="00D00665">
        <w:t>transitioning from the gaming operator duopoly to a system where venue operators are licensed to own and operate gaming machines in their own right.</w:t>
      </w:r>
    </w:p>
    <w:p w:rsidR="000B4A1E" w:rsidRPr="00D00665" w:rsidRDefault="000B4A1E" w:rsidP="00517E51">
      <w:r w:rsidRPr="00D00665">
        <w:t>After considering the end of licence arrangements in the </w:t>
      </w:r>
      <w:r w:rsidRPr="00D00665">
        <w:rPr>
          <w:i/>
        </w:rPr>
        <w:t>Gambling Regulation Act 2003</w:t>
      </w:r>
      <w:r w:rsidRPr="00D00665">
        <w:t>, the previous Government formed the view that neither Tatts Group nor Tabcorp were entitled to compensation after the expiration of their previous licences.</w:t>
      </w:r>
    </w:p>
    <w:p w:rsidR="000B4A1E" w:rsidRPr="00D00665" w:rsidRDefault="000B4A1E" w:rsidP="00517E51">
      <w:r w:rsidRPr="00D00665">
        <w:t>On 16 August 2012, Tatts Group commenced formal legal proceedings against the State. Tabcorp commenced proceedings on 24 August 2012. Each seeks, in essence, to hold the State to an obligation to provide compensation. Tatts Group is claiming $490.50</w:t>
      </w:r>
      <w:r>
        <w:t> million</w:t>
      </w:r>
      <w:r w:rsidRPr="00D00665">
        <w:t xml:space="preserve"> and in the alternative, remedies including damages and equitable compensation. Tabcorp is claiming $686.83</w:t>
      </w:r>
      <w:r>
        <w:t> million</w:t>
      </w:r>
      <w:r w:rsidRPr="00D00665">
        <w:t xml:space="preserve"> and various alternative relief including damages.</w:t>
      </w:r>
    </w:p>
    <w:p w:rsidR="000B4A1E" w:rsidRPr="00D00665" w:rsidRDefault="000B4A1E" w:rsidP="00517E51">
      <w:r w:rsidRPr="00D00665">
        <w:t>The Government will defend the State against both claims.</w:t>
      </w:r>
    </w:p>
    <w:p w:rsidR="000B4A1E" w:rsidRPr="00D00665" w:rsidRDefault="000B4A1E" w:rsidP="00517E51">
      <w:pPr>
        <w:pStyle w:val="Heading3"/>
      </w:pPr>
      <w:r w:rsidRPr="00D00665">
        <w:t>Health benefit levy</w:t>
      </w:r>
    </w:p>
    <w:p w:rsidR="000B4A1E" w:rsidRPr="00D00665" w:rsidRDefault="000B4A1E" w:rsidP="00517E51">
      <w:r w:rsidRPr="00D00665">
        <w:t xml:space="preserve">Under the </w:t>
      </w:r>
      <w:r w:rsidRPr="00D00665">
        <w:rPr>
          <w:i/>
          <w:iCs/>
        </w:rPr>
        <w:t>Gambling Regulation Act 2003</w:t>
      </w:r>
      <w:r w:rsidRPr="00D00665">
        <w:t xml:space="preserve">, the two former gaming operator licensees, Tabcorp and Tatts were required to pay a Health Benefit Levy. </w:t>
      </w:r>
    </w:p>
    <w:p w:rsidR="000B4A1E" w:rsidRPr="00D00665" w:rsidRDefault="000B4A1E" w:rsidP="00517E51">
      <w:r w:rsidRPr="00D00665">
        <w:t>On 1 May 2013, the Treasurer determined that Tabcorp</w:t>
      </w:r>
      <w:r>
        <w:t>’</w:t>
      </w:r>
      <w:r w:rsidRPr="00D00665">
        <w:t>s and Tatts</w:t>
      </w:r>
      <w:r>
        <w:t>’</w:t>
      </w:r>
      <w:r w:rsidRPr="00D00665">
        <w:t xml:space="preserve"> 2012-13 levy was $42.1</w:t>
      </w:r>
      <w:r>
        <w:t> million</w:t>
      </w:r>
      <w:r w:rsidRPr="00D00665">
        <w:t xml:space="preserve"> and $42.6</w:t>
      </w:r>
      <w:r>
        <w:t> million</w:t>
      </w:r>
      <w:r w:rsidRPr="00D00665">
        <w:t xml:space="preserve"> respectively, </w:t>
      </w:r>
      <w:r>
        <w:t>on the basis</w:t>
      </w:r>
      <w:r w:rsidRPr="00D00665">
        <w:t xml:space="preserve"> that he did not have discretion under the Act to determine a pro-rata based levy amount. </w:t>
      </w:r>
    </w:p>
    <w:p w:rsidR="000B4A1E" w:rsidRDefault="000B4A1E">
      <w:pPr>
        <w:spacing w:after="0"/>
      </w:pPr>
      <w:r>
        <w:br w:type="page"/>
      </w:r>
    </w:p>
    <w:p w:rsidR="000B4A1E" w:rsidRPr="00D00665" w:rsidRDefault="000B4A1E" w:rsidP="00517E51">
      <w:pPr>
        <w:pStyle w:val="Heading2Notes"/>
      </w:pPr>
      <w:r w:rsidRPr="00D00665">
        <w:lastRenderedPageBreak/>
        <w:t>Note 34:</w:t>
      </w:r>
      <w:r w:rsidRPr="00D00665">
        <w:tab/>
        <w:t>Contingent assets and contingent liabilities (State of Victoria)</w:t>
      </w:r>
      <w:r>
        <w:t xml:space="preserve"> </w:t>
      </w:r>
      <w:r w:rsidRPr="0080733C">
        <w:rPr>
          <w:i/>
        </w:rPr>
        <w:t>(continued)</w:t>
      </w:r>
    </w:p>
    <w:p w:rsidR="000B4A1E" w:rsidRPr="00D00665" w:rsidRDefault="000B4A1E" w:rsidP="00517E51">
      <w:r w:rsidRPr="00D00665">
        <w:t>Tabcorp and Tatts subsequently commenced legal proceedings against the Treasurer in the Supreme Court of Victoria. Tabcorp and Tatts claim that the Treasurer had discretion under the Act to determine a pro-rata based levy amount to reflect the 45 days they operated gaming machines in 2012</w:t>
      </w:r>
      <w:r w:rsidRPr="00D00665">
        <w:noBreakHyphen/>
        <w:t xml:space="preserve">13. </w:t>
      </w:r>
    </w:p>
    <w:p w:rsidR="000B4A1E" w:rsidRPr="00D00665" w:rsidRDefault="000B4A1E" w:rsidP="00517E51">
      <w:r w:rsidRPr="00D00665">
        <w:t xml:space="preserve">On 24 June 2013, a Supreme Court judgement was handed down in favour of Tabcorp and Tatts quashing the determinations. The Government has lodged an appeal to the Court of Appeal in the Supreme Court of Victoria, maintaining that the determinations are valid and that the Treasurer did not have discretion to adjust the application of the levy formula under the Act. </w:t>
      </w:r>
    </w:p>
    <w:p w:rsidR="000B4A1E" w:rsidRPr="00D00665" w:rsidRDefault="000B4A1E" w:rsidP="00517E51">
      <w:r w:rsidRPr="00D00665">
        <w:t>Tabcorp and Tatts had each paid the first instalment of the levy prior to the Supreme Court judgment. The State</w:t>
      </w:r>
      <w:r>
        <w:t>’</w:t>
      </w:r>
      <w:r w:rsidRPr="00D00665">
        <w:t>s solicitors are currently discussing with Tatts</w:t>
      </w:r>
      <w:r>
        <w:t>’</w:t>
      </w:r>
      <w:r w:rsidRPr="00D00665">
        <w:t xml:space="preserve"> and Tabcorp</w:t>
      </w:r>
      <w:r>
        <w:t>’</w:t>
      </w:r>
      <w:r w:rsidRPr="00D00665">
        <w:t xml:space="preserve">s solicitors an appropriate arrangement with respect to the monies that have been paid. </w:t>
      </w:r>
    </w:p>
    <w:p w:rsidR="000B4A1E" w:rsidRPr="00D00665" w:rsidRDefault="000B4A1E" w:rsidP="00517E51">
      <w:pPr>
        <w:pStyle w:val="Heading3"/>
      </w:pPr>
      <w:r w:rsidRPr="00D00665">
        <w:t>Melbourne Park redevelopment</w:t>
      </w:r>
    </w:p>
    <w:p w:rsidR="000B4A1E" w:rsidRPr="00D00665" w:rsidRDefault="000B4A1E" w:rsidP="00517E51">
      <w:r w:rsidRPr="00D00665">
        <w:t>The State entered into an agreement with Tennis Australia and the Melbourne and Olympic Park Trust for the Australian Open to remain at Melbourne Park until 2036. Stage 1 of the redevelopment of Melbourne Park (total estimated investment of $363</w:t>
      </w:r>
      <w:r>
        <w:t> million</w:t>
      </w:r>
      <w:r w:rsidRPr="00D00665">
        <w:t xml:space="preserve"> announced in the </w:t>
      </w:r>
      <w:r w:rsidRPr="00D00665">
        <w:rPr>
          <w:i/>
        </w:rPr>
        <w:t>2010</w:t>
      </w:r>
      <w:r w:rsidRPr="00D00665">
        <w:rPr>
          <w:i/>
        </w:rPr>
        <w:noBreakHyphen/>
        <w:t>11 Budget</w:t>
      </w:r>
      <w:r w:rsidRPr="00D00665">
        <w:t>) was negotiated at the same time. The agreement had a number of conditions, including that further improvements will be made to Melbourne Park or that a rights fee will be paid to Tennis Australia, if works beyond Stage 1 do not proceed for the Australian Open to remain at Melbourne Park.</w:t>
      </w:r>
    </w:p>
    <w:p w:rsidR="000B4A1E" w:rsidRPr="00D00665" w:rsidRDefault="000B4A1E" w:rsidP="00517E51">
      <w:pPr>
        <w:rPr>
          <w:rFonts w:ascii="Calibri" w:hAnsi="Calibri"/>
          <w:b/>
          <w:i/>
          <w:sz w:val="26"/>
          <w:szCs w:val="22"/>
        </w:rPr>
      </w:pPr>
      <w:r w:rsidRPr="00D00665">
        <w:rPr>
          <w:rFonts w:ascii="Calibri" w:hAnsi="Calibri"/>
          <w:b/>
          <w:i/>
          <w:sz w:val="26"/>
          <w:szCs w:val="22"/>
        </w:rPr>
        <w:t xml:space="preserve">Melbourne Metropolitan Bus Franchise </w:t>
      </w:r>
    </w:p>
    <w:p w:rsidR="000B4A1E" w:rsidRPr="00D00665" w:rsidRDefault="000B4A1E" w:rsidP="00517E51">
      <w:r w:rsidRPr="00D00665">
        <w:t>Public Transport Victoria is party to a franchise agreement with Transdev Australasia Pty Ltd to operate metropolitan bus services from 4 August 2013. The Melbourne Metropolitan Bus Franchise may entail the acquisition of bus assets at the expiration or early termination of the franchise agreement.</w:t>
      </w:r>
    </w:p>
    <w:p w:rsidR="000B4A1E" w:rsidRDefault="000B4A1E">
      <w:pPr>
        <w:spacing w:after="0"/>
        <w:rPr>
          <w:rFonts w:ascii="Calibri" w:hAnsi="Calibri"/>
          <w:b/>
          <w:sz w:val="28"/>
          <w:szCs w:val="22"/>
        </w:rPr>
      </w:pPr>
      <w:bookmarkStart w:id="191" w:name="_Toc367947894"/>
      <w:r>
        <w:br w:type="page"/>
      </w:r>
    </w:p>
    <w:p w:rsidR="000B4A1E" w:rsidRPr="00D00665" w:rsidRDefault="000B4A1E" w:rsidP="00517E51">
      <w:pPr>
        <w:pStyle w:val="Heading2Notes"/>
      </w:pPr>
      <w:r w:rsidRPr="00D00665">
        <w:lastRenderedPageBreak/>
        <w:t>Note 35:</w:t>
      </w:r>
      <w:r w:rsidRPr="00D00665">
        <w:tab/>
        <w:t>Funds under management</w:t>
      </w:r>
      <w:r w:rsidRPr="00D00665">
        <w:rPr>
          <w:vertAlign w:val="superscript"/>
        </w:rPr>
        <w:t>(a)</w:t>
      </w:r>
      <w:bookmarkEnd w:id="191"/>
    </w:p>
    <w:p w:rsidR="000B4A1E" w:rsidRPr="003E2DBE" w:rsidRDefault="000B4A1E" w:rsidP="00517E51">
      <w:pPr>
        <w:pStyle w:val="million"/>
      </w:pPr>
      <w:r w:rsidRPr="00D00665">
        <w:t>($</w:t>
      </w:r>
      <w:r>
        <w:t> million</w:t>
      </w:r>
      <w:r w:rsidRPr="00D00665">
        <w:t>)</w:t>
      </w:r>
    </w:p>
    <w:tbl>
      <w:tblPr>
        <w:tblW w:w="9648" w:type="dxa"/>
        <w:tblInd w:w="29" w:type="dxa"/>
        <w:tblLayout w:type="fixed"/>
        <w:tblCellMar>
          <w:left w:w="43" w:type="dxa"/>
          <w:right w:w="43" w:type="dxa"/>
        </w:tblCellMar>
        <w:tblLook w:val="0000" w:firstRow="0" w:lastRow="0" w:firstColumn="0" w:lastColumn="0" w:noHBand="0" w:noVBand="0"/>
      </w:tblPr>
      <w:tblGrid>
        <w:gridCol w:w="5156"/>
        <w:gridCol w:w="258"/>
        <w:gridCol w:w="865"/>
        <w:gridCol w:w="1123"/>
        <w:gridCol w:w="262"/>
        <w:gridCol w:w="861"/>
        <w:gridCol w:w="1123"/>
      </w:tblGrid>
      <w:tr w:rsidR="000B4A1E" w:rsidRPr="003E2DBE" w:rsidTr="00517E51">
        <w:tc>
          <w:tcPr>
            <w:tcW w:w="5156"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 xml:space="preserve"> </w:t>
            </w:r>
          </w:p>
        </w:tc>
        <w:tc>
          <w:tcPr>
            <w:tcW w:w="258"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 xml:space="preserve"> </w:t>
            </w:r>
          </w:p>
        </w:tc>
        <w:tc>
          <w:tcPr>
            <w:tcW w:w="1988"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p>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State of Victoria</w:t>
            </w:r>
          </w:p>
        </w:tc>
        <w:tc>
          <w:tcPr>
            <w:tcW w:w="262"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 xml:space="preserve"> </w:t>
            </w:r>
          </w:p>
        </w:tc>
        <w:tc>
          <w:tcPr>
            <w:tcW w:w="1984" w:type="dxa"/>
            <w:gridSpan w:val="2"/>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 xml:space="preserve">General </w:t>
            </w:r>
          </w:p>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government sector</w:t>
            </w:r>
          </w:p>
        </w:tc>
      </w:tr>
      <w:tr w:rsidR="000B4A1E" w:rsidRPr="003E2DBE" w:rsidTr="00517E51">
        <w:tc>
          <w:tcPr>
            <w:tcW w:w="5156"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i/>
                <w:iCs/>
                <w:sz w:val="21"/>
                <w:lang w:eastAsia="en-AU"/>
              </w:rPr>
            </w:pPr>
            <w:r w:rsidRPr="003E2DBE">
              <w:rPr>
                <w:rFonts w:eastAsiaTheme="minorEastAsia"/>
                <w:i/>
                <w:iCs/>
                <w:sz w:val="21"/>
                <w:lang w:eastAsia="en-AU"/>
              </w:rPr>
              <w:t xml:space="preserve"> </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2012</w:t>
            </w:r>
          </w:p>
        </w:tc>
        <w:tc>
          <w:tcPr>
            <w:tcW w:w="1123"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2012</w:t>
            </w:r>
          </w:p>
        </w:tc>
      </w:tr>
      <w:tr w:rsidR="000B4A1E" w:rsidRPr="003E2DBE" w:rsidTr="00517E51">
        <w:tc>
          <w:tcPr>
            <w:tcW w:w="5156" w:type="dxa"/>
            <w:tcBorders>
              <w:top w:val="single" w:sz="4" w:space="0" w:color="auto"/>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Investments, real estate, personal and other assets</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rFonts w:eastAsiaTheme="minorEastAsia"/>
                <w:sz w:val="21"/>
                <w:lang w:eastAsia="en-AU"/>
              </w:rPr>
              <w:t>3 692.1</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3 136.4</w:t>
            </w:r>
          </w:p>
        </w:tc>
        <w:tc>
          <w:tcPr>
            <w:tcW w:w="1123"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Cash and investments in common and premium funds</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937.9</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890.1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Residential tenancies bond money</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747.3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683.1</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747.3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683.1</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Funds under management by the Senior Master of the Supreme Court</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rFonts w:eastAsiaTheme="minorEastAsia"/>
                <w:sz w:val="21"/>
                <w:lang w:eastAsia="en-AU"/>
              </w:rPr>
              <w:t>1 377.9</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1 259.7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cs="Calibri"/>
                <w:sz w:val="21"/>
                <w:szCs w:val="22"/>
                <w:lang w:eastAsia="en-AU"/>
              </w:rPr>
            </w:pPr>
            <w:r w:rsidRPr="003E2DBE">
              <w:rPr>
                <w:rFonts w:eastAsiaTheme="minorEastAsia"/>
                <w:sz w:val="21"/>
                <w:lang w:eastAsia="en-AU"/>
              </w:rPr>
              <w:t>1 377.9</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1 259.7</w:t>
            </w:r>
          </w:p>
        </w:tc>
      </w:tr>
      <w:tr w:rsidR="000B4A1E" w:rsidRPr="003E2DBE" w:rsidTr="00517E51">
        <w:tc>
          <w:tcPr>
            <w:tcW w:w="5156" w:type="dxa"/>
            <w:tcBorders>
              <w:top w:val="nil"/>
              <w:left w:val="nil"/>
              <w:bottom w:val="nil"/>
              <w:right w:val="nil"/>
            </w:tcBorders>
            <w:shd w:val="solid" w:color="FFFFFF" w:fill="auto"/>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Funds under management by Legal Services Board</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524.7</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463.7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524.7</w:t>
            </w:r>
          </w:p>
        </w:tc>
        <w:tc>
          <w:tcPr>
            <w:tcW w:w="1123"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463.7</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sz w:val="21"/>
                <w:vertAlign w:val="superscript"/>
                <w:lang w:eastAsia="en-AU"/>
              </w:rPr>
            </w:pPr>
            <w:r w:rsidRPr="003E2DBE">
              <w:rPr>
                <w:rFonts w:eastAsiaTheme="minorEastAsia"/>
                <w:sz w:val="21"/>
                <w:lang w:eastAsia="en-AU"/>
              </w:rPr>
              <w:t xml:space="preserve">Funds under management for the Victorian Bushfire Appeal Fund </w:t>
            </w:r>
            <w:r w:rsidRPr="003E2DBE">
              <w:rPr>
                <w:rFonts w:eastAsiaTheme="minorEastAsia"/>
                <w:sz w:val="21"/>
                <w:vertAlign w:val="superscript"/>
                <w:lang w:eastAsia="en-AU"/>
              </w:rPr>
              <w:t>(b)</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26.4</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54.7</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26.4</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54.7</w:t>
            </w:r>
          </w:p>
        </w:tc>
      </w:tr>
      <w:tr w:rsidR="000B4A1E" w:rsidRPr="003E2DBE" w:rsidTr="00517E51">
        <w:tc>
          <w:tcPr>
            <w:tcW w:w="5156" w:type="dxa"/>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Other funds held</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23.7</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7.6</w:t>
            </w:r>
          </w:p>
        </w:tc>
        <w:tc>
          <w:tcPr>
            <w:tcW w:w="1123"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8.7</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7.6</w:t>
            </w:r>
          </w:p>
        </w:tc>
      </w:tr>
      <w:tr w:rsidR="000B4A1E" w:rsidRPr="003E2DBE" w:rsidTr="00517E51">
        <w:tc>
          <w:tcPr>
            <w:tcW w:w="5156"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Total funds under management</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rFonts w:eastAsiaTheme="minorEastAsia"/>
                <w:b/>
                <w:bCs/>
                <w:sz w:val="21"/>
                <w:lang w:eastAsia="en-AU"/>
              </w:rPr>
              <w:t>7 330.0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6 495.4</w:t>
            </w:r>
          </w:p>
        </w:tc>
        <w:tc>
          <w:tcPr>
            <w:tcW w:w="1123"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2"/>
                <w:lang w:eastAsia="en-AU"/>
              </w:rPr>
            </w:pPr>
            <w:r w:rsidRPr="003E2DBE">
              <w:rPr>
                <w:rFonts w:eastAsiaTheme="minorEastAsia"/>
                <w:b/>
                <w:bCs/>
                <w:sz w:val="21"/>
                <w:lang w:eastAsia="en-AU"/>
              </w:rPr>
              <w:t>2 684.9</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2 468.8</w:t>
            </w:r>
          </w:p>
        </w:tc>
      </w:tr>
    </w:tbl>
    <w:p w:rsidR="000B4A1E" w:rsidRPr="00D00665" w:rsidRDefault="000B4A1E" w:rsidP="00517E51">
      <w:pPr>
        <w:pStyle w:val="Notes"/>
      </w:pPr>
      <w:r w:rsidRPr="00D00665">
        <w:t>Notes:</w:t>
      </w:r>
    </w:p>
    <w:p w:rsidR="000B4A1E" w:rsidRPr="00D00665" w:rsidRDefault="000B4A1E" w:rsidP="00517E51">
      <w:pPr>
        <w:pStyle w:val="Notes"/>
      </w:pPr>
      <w:r w:rsidRPr="00D00665">
        <w:t>(a)</w:t>
      </w:r>
      <w:r w:rsidRPr="00D00665">
        <w:tab/>
        <w:t>A number of the 2012 comparatives have been corrected and now reflect current information.</w:t>
      </w:r>
    </w:p>
    <w:p w:rsidR="000B4A1E" w:rsidRDefault="000B4A1E" w:rsidP="00517E51">
      <w:pPr>
        <w:pStyle w:val="Notes"/>
      </w:pPr>
      <w:r w:rsidRPr="00D00665">
        <w:t>(b)</w:t>
      </w:r>
      <w:r w:rsidRPr="00D00665">
        <w:tab/>
        <w:t>The Victorian Government has collected appeal proceeds on behalf of the Red Cross Victorian Bushfire Appeal Fund. The purpose of the trust is for the receipt of donations and other contributions, and their disbursement for assistance to individuals and communities in towns, suburbs and rural areas affected by the 2009 Victorian bushfires. Contributions will, inter alia, include funds provided by the Victorian, Commonwealth and other jurisdictions, as well as the general public, for the above purpose.</w:t>
      </w:r>
    </w:p>
    <w:p w:rsidR="000B4A1E" w:rsidRDefault="000B4A1E" w:rsidP="00517E51">
      <w:pPr>
        <w:pStyle w:val="Notes"/>
      </w:pPr>
    </w:p>
    <w:p w:rsidR="000B4A1E" w:rsidRPr="00D00665" w:rsidRDefault="000B4A1E" w:rsidP="00517E51">
      <w:pPr>
        <w:pStyle w:val="Notes"/>
      </w:pPr>
    </w:p>
    <w:p w:rsidR="000B4A1E" w:rsidRPr="00D00665" w:rsidRDefault="000B4A1E" w:rsidP="00517E51">
      <w:pPr>
        <w:pStyle w:val="Heading2Notes"/>
      </w:pPr>
      <w:bookmarkStart w:id="192" w:name="_Toc367947895"/>
      <w:r w:rsidRPr="00D00665">
        <w:t>Note 36:</w:t>
      </w:r>
      <w:r w:rsidRPr="00D00665">
        <w:tab/>
        <w:t>Restatement of financial statements due to prior period correction</w:t>
      </w:r>
      <w:bookmarkEnd w:id="192"/>
    </w:p>
    <w:p w:rsidR="000B4A1E" w:rsidRPr="00D00665" w:rsidRDefault="000B4A1E" w:rsidP="00517E51">
      <w:r w:rsidRPr="00D00665">
        <w:t>The following disclosures present the 2011</w:t>
      </w:r>
      <w:r w:rsidRPr="00D00665">
        <w:noBreakHyphen/>
        <w:t xml:space="preserve">12 financial statements restated on a line item basis, comparing them to those published in the audited </w:t>
      </w:r>
      <w:r w:rsidRPr="00D00665">
        <w:rPr>
          <w:i/>
        </w:rPr>
        <w:t>2011</w:t>
      </w:r>
      <w:r w:rsidRPr="00D00665">
        <w:rPr>
          <w:i/>
        </w:rPr>
        <w:noBreakHyphen/>
        <w:t>12 Financial Report for the State of Victoria</w:t>
      </w:r>
      <w:r w:rsidRPr="00D00665">
        <w:t>.</w:t>
      </w:r>
    </w:p>
    <w:p w:rsidR="000B4A1E" w:rsidRPr="00D00665" w:rsidRDefault="000B4A1E" w:rsidP="00517E51">
      <w:pPr>
        <w:pStyle w:val="Heading5"/>
      </w:pPr>
      <w:r w:rsidRPr="00D00665">
        <w:t>Correction of error</w:t>
      </w:r>
    </w:p>
    <w:p w:rsidR="000B4A1E" w:rsidRPr="00D00665" w:rsidRDefault="000B4A1E" w:rsidP="00517E51">
      <w:pPr>
        <w:pStyle w:val="Heading5a"/>
      </w:pPr>
      <w:r w:rsidRPr="00D00665">
        <w:t>Investment in Snowy Hydro Limited</w:t>
      </w:r>
    </w:p>
    <w:p w:rsidR="000B4A1E" w:rsidRPr="00D00665" w:rsidRDefault="000B4A1E" w:rsidP="00517E51">
      <w:r w:rsidRPr="00D00665">
        <w:t>The State recognises its investment in Snowy Hydro Limited (SHL) based upon 29</w:t>
      </w:r>
      <w:r>
        <w:t> per cent</w:t>
      </w:r>
      <w:r w:rsidRPr="00D00665">
        <w:t xml:space="preserve"> of net assets reported in SHL</w:t>
      </w:r>
      <w:r>
        <w:t>’</w:t>
      </w:r>
      <w:r w:rsidRPr="00D00665">
        <w:t xml:space="preserve">s financial statements, with the exception of property, plant and equipment. As SHL recognises its property, plant and equipment using the cost model under AASB 116 </w:t>
      </w:r>
      <w:r w:rsidRPr="00D00665">
        <w:rPr>
          <w:i/>
        </w:rPr>
        <w:t>Property, Plant and Equipment</w:t>
      </w:r>
      <w:r w:rsidRPr="00D00665">
        <w:t>, the State recognises 29</w:t>
      </w:r>
      <w:r>
        <w:t> per cent</w:t>
      </w:r>
      <w:r w:rsidRPr="00D00665">
        <w:t xml:space="preserve"> of SHL</w:t>
      </w:r>
      <w:r>
        <w:t>’</w:t>
      </w:r>
      <w:r w:rsidRPr="00D00665">
        <w:t>s property, plant and equipment after adjusting them to fair value under AASB 116 to ensure consistency with the State</w:t>
      </w:r>
      <w:r>
        <w:t>’</w:t>
      </w:r>
      <w:r w:rsidRPr="00D00665">
        <w:t>s accounting policy. </w:t>
      </w:r>
    </w:p>
    <w:p w:rsidR="000B4A1E" w:rsidRPr="00D00665" w:rsidRDefault="000B4A1E" w:rsidP="00517E51">
      <w:r w:rsidRPr="00D00665">
        <w:t>This has occurred for the first time in 2012</w:t>
      </w:r>
      <w:r w:rsidRPr="00D00665">
        <w:noBreakHyphen/>
        <w:t>13, and the impact has been backcast to 1 July 2011, the date of the earliest available information.</w:t>
      </w:r>
    </w:p>
    <w:p w:rsidR="000B4A1E" w:rsidRPr="00D00665" w:rsidRDefault="000B4A1E" w:rsidP="00517E51">
      <w:pPr>
        <w:pStyle w:val="Heading5"/>
      </w:pPr>
      <w:r w:rsidRPr="00D00665">
        <w:t>Restatement of balances previously eliminated on consolidation</w:t>
      </w:r>
    </w:p>
    <w:p w:rsidR="000B4A1E" w:rsidRDefault="000B4A1E" w:rsidP="00517E51">
      <w:r w:rsidRPr="00D00665">
        <w:t>The receivables and payables for the general government sector as at 30 June 2012 have been restated to reflect balances that were previously eliminated on consolidation. The restatement of these balances, of $366.4</w:t>
      </w:r>
      <w:r>
        <w:t> million</w:t>
      </w:r>
      <w:r w:rsidRPr="00D00665">
        <w:t xml:space="preserve"> respectively,  has no impact on the overall net worth of the general government sector or the State of Victoria.</w:t>
      </w:r>
    </w:p>
    <w:p w:rsidR="000B4A1E" w:rsidRDefault="000B4A1E" w:rsidP="00517E51">
      <w:pPr>
        <w:pStyle w:val="Heading5"/>
      </w:pPr>
      <w:r>
        <w:t>Reclassification of term deposits</w:t>
      </w:r>
    </w:p>
    <w:p w:rsidR="000B4A1E" w:rsidRPr="00D15311" w:rsidRDefault="000B4A1E" w:rsidP="00517E51">
      <w:r>
        <w:t xml:space="preserve">For 30 June 2012, $400.8 million of term deposit has been reclassified from investments, loans and placements to cash and deposits. The restatement of these balances has no impact on the overall net worth of the general government sector or the State of Victoria. </w:t>
      </w:r>
    </w:p>
    <w:p w:rsidR="000B4A1E" w:rsidRDefault="000B4A1E">
      <w:pPr>
        <w:spacing w:after="0"/>
        <w:rPr>
          <w:rFonts w:ascii="Calibri" w:hAnsi="Calibri"/>
          <w:i/>
          <w:sz w:val="20"/>
          <w:szCs w:val="18"/>
        </w:rPr>
      </w:pPr>
      <w:r>
        <w:br w:type="page"/>
      </w:r>
    </w:p>
    <w:p w:rsidR="000B4A1E" w:rsidRPr="0080733C" w:rsidRDefault="000B4A1E" w:rsidP="00517E51">
      <w:pPr>
        <w:pStyle w:val="Heading2Notes"/>
        <w:rPr>
          <w:i/>
        </w:rPr>
      </w:pPr>
      <w:r w:rsidRPr="00D00665">
        <w:lastRenderedPageBreak/>
        <w:t>Note 36:</w:t>
      </w:r>
      <w:r w:rsidRPr="00D00665">
        <w:tab/>
        <w:t>Restatement of financial statements due to prior period correction</w:t>
      </w:r>
      <w:r>
        <w:t xml:space="preserve"> </w:t>
      </w:r>
      <w:r>
        <w:rPr>
          <w:i/>
        </w:rPr>
        <w:t>(continued)</w:t>
      </w:r>
    </w:p>
    <w:p w:rsidR="000B4A1E" w:rsidRPr="003E2DBE" w:rsidRDefault="000B4A1E" w:rsidP="00517E51">
      <w:pPr>
        <w:pStyle w:val="million"/>
      </w:pPr>
      <w:r w:rsidRPr="00D00665">
        <w:t>($</w:t>
      </w:r>
      <w:r>
        <w:t> million)</w:t>
      </w:r>
    </w:p>
    <w:tbl>
      <w:tblPr>
        <w:tblW w:w="9648" w:type="dxa"/>
        <w:tblInd w:w="29" w:type="dxa"/>
        <w:tblLayout w:type="fixed"/>
        <w:tblCellMar>
          <w:left w:w="43" w:type="dxa"/>
          <w:right w:w="43" w:type="dxa"/>
        </w:tblCellMar>
        <w:tblLook w:val="0000" w:firstRow="0" w:lastRow="0" w:firstColumn="0" w:lastColumn="0" w:noHBand="0" w:noVBand="0"/>
      </w:tblPr>
      <w:tblGrid>
        <w:gridCol w:w="3794"/>
        <w:gridCol w:w="180"/>
        <w:gridCol w:w="90"/>
        <w:gridCol w:w="720"/>
        <w:gridCol w:w="900"/>
        <w:gridCol w:w="810"/>
        <w:gridCol w:w="270"/>
        <w:gridCol w:w="270"/>
        <w:gridCol w:w="720"/>
        <w:gridCol w:w="900"/>
        <w:gridCol w:w="270"/>
        <w:gridCol w:w="122"/>
        <w:gridCol w:w="111"/>
        <w:gridCol w:w="134"/>
        <w:gridCol w:w="83"/>
        <w:gridCol w:w="39"/>
        <w:gridCol w:w="111"/>
        <w:gridCol w:w="124"/>
      </w:tblGrid>
      <w:tr w:rsidR="000B4A1E" w:rsidRPr="003E2DBE" w:rsidTr="00517E51">
        <w:trPr>
          <w:cantSplit/>
          <w:tblHeader/>
        </w:trPr>
        <w:tc>
          <w:tcPr>
            <w:tcW w:w="379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sz w:val="21"/>
                <w:lang w:eastAsia="en-AU"/>
              </w:rPr>
            </w:pPr>
          </w:p>
        </w:tc>
        <w:tc>
          <w:tcPr>
            <w:tcW w:w="270"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21"/>
                <w:lang w:eastAsia="en-AU"/>
              </w:rPr>
            </w:pPr>
          </w:p>
        </w:tc>
        <w:tc>
          <w:tcPr>
            <w:tcW w:w="2430" w:type="dxa"/>
            <w:gridSpan w:val="3"/>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State of Victoria</w:t>
            </w:r>
          </w:p>
        </w:tc>
        <w:tc>
          <w:tcPr>
            <w:tcW w:w="270"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 xml:space="preserve"> </w:t>
            </w:r>
          </w:p>
        </w:tc>
        <w:tc>
          <w:tcPr>
            <w:tcW w:w="270"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p>
        </w:tc>
        <w:tc>
          <w:tcPr>
            <w:tcW w:w="2340" w:type="dxa"/>
            <w:gridSpan w:val="7"/>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General government</w:t>
            </w:r>
          </w:p>
        </w:tc>
        <w:tc>
          <w:tcPr>
            <w:tcW w:w="274" w:type="dxa"/>
            <w:gridSpan w:val="3"/>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 xml:space="preserve"> </w:t>
            </w:r>
          </w:p>
        </w:tc>
      </w:tr>
      <w:tr w:rsidR="000B4A1E" w:rsidRPr="003E2DBE" w:rsidTr="00517E51">
        <w:trPr>
          <w:cantSplit/>
          <w:tblHeader/>
        </w:trPr>
        <w:tc>
          <w:tcPr>
            <w:tcW w:w="3794"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sz w:val="21"/>
                <w:lang w:eastAsia="en-AU"/>
              </w:rPr>
            </w:pPr>
          </w:p>
        </w:tc>
        <w:tc>
          <w:tcPr>
            <w:tcW w:w="990" w:type="dxa"/>
            <w:gridSpan w:val="3"/>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Published</w:t>
            </w:r>
          </w:p>
        </w:tc>
        <w:tc>
          <w:tcPr>
            <w:tcW w:w="900"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Effect of change</w:t>
            </w:r>
          </w:p>
        </w:tc>
        <w:tc>
          <w:tcPr>
            <w:tcW w:w="1080"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Restated</w:t>
            </w:r>
          </w:p>
        </w:tc>
        <w:tc>
          <w:tcPr>
            <w:tcW w:w="990"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Published</w:t>
            </w:r>
          </w:p>
        </w:tc>
        <w:tc>
          <w:tcPr>
            <w:tcW w:w="900"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Effect of change</w:t>
            </w:r>
          </w:p>
        </w:tc>
        <w:tc>
          <w:tcPr>
            <w:tcW w:w="994" w:type="dxa"/>
            <w:gridSpan w:val="8"/>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Restated</w:t>
            </w:r>
          </w:p>
        </w:tc>
      </w:tr>
      <w:tr w:rsidR="000B4A1E" w:rsidRPr="003E2DBE" w:rsidTr="00517E51">
        <w:tc>
          <w:tcPr>
            <w:tcW w:w="8924" w:type="dxa"/>
            <w:gridSpan w:val="11"/>
            <w:tcBorders>
              <w:top w:val="single" w:sz="4" w:space="0" w:color="auto"/>
              <w:left w:val="nil"/>
              <w:bottom w:val="nil"/>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Consolidated comprehensive operating statement for the financial year ended 30 June 2012 (Extract)</w:t>
            </w:r>
          </w:p>
        </w:tc>
        <w:tc>
          <w:tcPr>
            <w:tcW w:w="122"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11"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34"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22"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11"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24"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r>
      <w:tr w:rsidR="000B4A1E" w:rsidRPr="003E2DBE" w:rsidTr="00517E51">
        <w:tc>
          <w:tcPr>
            <w:tcW w:w="8924" w:type="dxa"/>
            <w:gridSpan w:val="11"/>
            <w:tcBorders>
              <w:top w:val="nil"/>
              <w:left w:val="nil"/>
              <w:bottom w:val="nil"/>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Other economic flows included in net result</w:t>
            </w:r>
          </w:p>
        </w:tc>
        <w:tc>
          <w:tcPr>
            <w:tcW w:w="122"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p>
        </w:tc>
        <w:tc>
          <w:tcPr>
            <w:tcW w:w="111"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p>
        </w:tc>
        <w:tc>
          <w:tcPr>
            <w:tcW w:w="134"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p>
        </w:tc>
        <w:tc>
          <w:tcPr>
            <w:tcW w:w="122"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p>
        </w:tc>
        <w:tc>
          <w:tcPr>
            <w:tcW w:w="111"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p>
        </w:tc>
        <w:tc>
          <w:tcPr>
            <w:tcW w:w="124"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p>
        </w:tc>
      </w:tr>
      <w:tr w:rsidR="000B4A1E" w:rsidRPr="003E2DBE" w:rsidTr="00517E51">
        <w:tc>
          <w:tcPr>
            <w:tcW w:w="3794" w:type="dxa"/>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Net gain/(loss) on disposal of non-financial assets</w:t>
            </w:r>
          </w:p>
        </w:tc>
        <w:tc>
          <w:tcPr>
            <w:tcW w:w="990" w:type="dxa"/>
            <w:gridSpan w:val="3"/>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( 101.6)</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( 101.6)</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( 106.0)</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( 106.0)</w:t>
            </w:r>
          </w:p>
        </w:tc>
      </w:tr>
      <w:tr w:rsidR="000B4A1E" w:rsidRPr="003E2DBE" w:rsidTr="00517E51">
        <w:tc>
          <w:tcPr>
            <w:tcW w:w="3794" w:type="dxa"/>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Net gain/(loss) on financial assets or liabilities at fair value</w:t>
            </w:r>
          </w:p>
        </w:tc>
        <w:tc>
          <w:tcPr>
            <w:tcW w:w="990" w:type="dxa"/>
            <w:gridSpan w:val="3"/>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(3 249.7)</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(3 249.7)</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( 3.5)</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( 3.5)</w:t>
            </w:r>
          </w:p>
        </w:tc>
      </w:tr>
      <w:tr w:rsidR="000B4A1E" w:rsidRPr="003E2DBE" w:rsidTr="00517E51">
        <w:tc>
          <w:tcPr>
            <w:tcW w:w="3794" w:type="dxa"/>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Net actuarial gain/(loss) of superannuation defined benefits plans</w:t>
            </w:r>
          </w:p>
        </w:tc>
        <w:tc>
          <w:tcPr>
            <w:tcW w:w="990" w:type="dxa"/>
            <w:gridSpan w:val="3"/>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(9 389.2)</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(9 389.2)</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(9 327.0)</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(9 327.0)</w:t>
            </w:r>
          </w:p>
        </w:tc>
      </w:tr>
      <w:tr w:rsidR="000B4A1E" w:rsidRPr="003E2DBE" w:rsidTr="00517E51">
        <w:tc>
          <w:tcPr>
            <w:tcW w:w="397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Share of net profit/(loss) from associates/joint venture entities, excluding dividends</w:t>
            </w:r>
          </w:p>
        </w:tc>
        <w:tc>
          <w:tcPr>
            <w:tcW w:w="81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5.1</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5.1</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( 0.4)</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( 0.4)</w:t>
            </w:r>
          </w:p>
        </w:tc>
      </w:tr>
      <w:tr w:rsidR="000B4A1E" w:rsidRPr="003E2DBE" w:rsidTr="00517E51">
        <w:tc>
          <w:tcPr>
            <w:tcW w:w="3794" w:type="dxa"/>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 xml:space="preserve">Other gains/(losses) from other economic flows </w:t>
            </w:r>
          </w:p>
        </w:tc>
        <w:tc>
          <w:tcPr>
            <w:tcW w:w="990" w:type="dxa"/>
            <w:gridSpan w:val="3"/>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(1 979.0)</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(1 979.0)</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( 861.6)</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74.4</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( 787.2)</w:t>
            </w:r>
          </w:p>
        </w:tc>
      </w:tr>
      <w:tr w:rsidR="000B4A1E" w:rsidRPr="003E2DBE" w:rsidTr="00517E51">
        <w:tc>
          <w:tcPr>
            <w:tcW w:w="379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Total other economic flows included in net result</w:t>
            </w:r>
          </w:p>
        </w:tc>
        <w:tc>
          <w:tcPr>
            <w:tcW w:w="990"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sz w:val="21"/>
                <w:lang w:eastAsia="en-AU"/>
              </w:rPr>
            </w:pPr>
            <w:r w:rsidRPr="003E2DBE">
              <w:rPr>
                <w:rFonts w:eastAsiaTheme="minorEastAsia"/>
                <w:b/>
                <w:sz w:val="21"/>
                <w:lang w:eastAsia="en-AU"/>
              </w:rPr>
              <w:t>(14 714.3)</w:t>
            </w:r>
          </w:p>
        </w:tc>
        <w:tc>
          <w:tcPr>
            <w:tcW w:w="90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sz w:val="21"/>
                <w:lang w:eastAsia="en-AU"/>
              </w:rPr>
            </w:pPr>
            <w:r w:rsidRPr="003E2DBE">
              <w:rPr>
                <w:rFonts w:eastAsiaTheme="minorEastAsia"/>
                <w:b/>
                <w:sz w:val="21"/>
                <w:lang w:eastAsia="en-AU"/>
              </w:rPr>
              <w:t>..</w:t>
            </w:r>
          </w:p>
        </w:tc>
        <w:tc>
          <w:tcPr>
            <w:tcW w:w="108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sz w:val="21"/>
                <w:lang w:eastAsia="en-AU"/>
              </w:rPr>
            </w:pPr>
            <w:r w:rsidRPr="003E2DBE">
              <w:rPr>
                <w:rFonts w:eastAsiaTheme="minorEastAsia"/>
                <w:b/>
                <w:sz w:val="21"/>
                <w:lang w:eastAsia="en-AU"/>
              </w:rPr>
              <w:t>(14 714.3)</w:t>
            </w:r>
          </w:p>
        </w:tc>
        <w:tc>
          <w:tcPr>
            <w:tcW w:w="9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sz w:val="21"/>
                <w:lang w:eastAsia="en-AU"/>
              </w:rPr>
            </w:pPr>
            <w:r w:rsidRPr="003E2DBE">
              <w:rPr>
                <w:rFonts w:eastAsiaTheme="minorEastAsia"/>
                <w:b/>
                <w:sz w:val="21"/>
                <w:lang w:eastAsia="en-AU"/>
              </w:rPr>
              <w:t>(10 298.6)</w:t>
            </w:r>
          </w:p>
        </w:tc>
        <w:tc>
          <w:tcPr>
            <w:tcW w:w="90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sz w:val="21"/>
                <w:lang w:eastAsia="en-AU"/>
              </w:rPr>
            </w:pPr>
            <w:r w:rsidRPr="003E2DBE">
              <w:rPr>
                <w:rFonts w:eastAsiaTheme="minorEastAsia"/>
                <w:b/>
                <w:sz w:val="21"/>
                <w:lang w:eastAsia="en-AU"/>
              </w:rPr>
              <w:t xml:space="preserve"> 74.4</w:t>
            </w:r>
          </w:p>
        </w:tc>
        <w:tc>
          <w:tcPr>
            <w:tcW w:w="994" w:type="dxa"/>
            <w:gridSpan w:val="8"/>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sz w:val="21"/>
                <w:lang w:eastAsia="en-AU"/>
              </w:rPr>
            </w:pPr>
            <w:r w:rsidRPr="003E2DBE">
              <w:rPr>
                <w:rFonts w:eastAsiaTheme="minorEastAsia"/>
                <w:b/>
                <w:sz w:val="21"/>
                <w:lang w:eastAsia="en-AU"/>
              </w:rPr>
              <w:t>(10 224.2)</w:t>
            </w:r>
          </w:p>
        </w:tc>
      </w:tr>
      <w:tr w:rsidR="000B4A1E" w:rsidRPr="003E2DBE" w:rsidTr="00517E51">
        <w:tc>
          <w:tcPr>
            <w:tcW w:w="379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Net result</w:t>
            </w:r>
          </w:p>
        </w:tc>
        <w:tc>
          <w:tcPr>
            <w:tcW w:w="990"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sz w:val="21"/>
                <w:lang w:eastAsia="en-AU"/>
              </w:rPr>
            </w:pPr>
            <w:r w:rsidRPr="003E2DBE">
              <w:rPr>
                <w:rFonts w:eastAsiaTheme="minorEastAsia"/>
                <w:b/>
                <w:sz w:val="21"/>
                <w:lang w:eastAsia="en-AU"/>
              </w:rPr>
              <w:t>(15 961.9)</w:t>
            </w:r>
          </w:p>
        </w:tc>
        <w:tc>
          <w:tcPr>
            <w:tcW w:w="90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sz w:val="21"/>
                <w:lang w:eastAsia="en-AU"/>
              </w:rPr>
            </w:pPr>
            <w:r w:rsidRPr="003E2DBE">
              <w:rPr>
                <w:rFonts w:eastAsiaTheme="minorEastAsia"/>
                <w:b/>
                <w:sz w:val="21"/>
                <w:lang w:eastAsia="en-AU"/>
              </w:rPr>
              <w:t>..</w:t>
            </w:r>
          </w:p>
        </w:tc>
        <w:tc>
          <w:tcPr>
            <w:tcW w:w="108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sz w:val="21"/>
                <w:lang w:eastAsia="en-AU"/>
              </w:rPr>
            </w:pPr>
            <w:r w:rsidRPr="003E2DBE">
              <w:rPr>
                <w:rFonts w:eastAsiaTheme="minorEastAsia"/>
                <w:b/>
                <w:sz w:val="21"/>
                <w:lang w:eastAsia="en-AU"/>
              </w:rPr>
              <w:t>(15 961.9)</w:t>
            </w:r>
          </w:p>
        </w:tc>
        <w:tc>
          <w:tcPr>
            <w:tcW w:w="9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sz w:val="21"/>
                <w:lang w:eastAsia="en-AU"/>
              </w:rPr>
            </w:pPr>
            <w:r w:rsidRPr="003E2DBE">
              <w:rPr>
                <w:rFonts w:eastAsiaTheme="minorEastAsia"/>
                <w:b/>
                <w:sz w:val="21"/>
                <w:lang w:eastAsia="en-AU"/>
              </w:rPr>
              <w:t>(9 727.3)</w:t>
            </w:r>
          </w:p>
        </w:tc>
        <w:tc>
          <w:tcPr>
            <w:tcW w:w="90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sz w:val="21"/>
                <w:lang w:eastAsia="en-AU"/>
              </w:rPr>
            </w:pPr>
            <w:r w:rsidRPr="003E2DBE">
              <w:rPr>
                <w:rFonts w:eastAsiaTheme="minorEastAsia"/>
                <w:b/>
                <w:sz w:val="21"/>
                <w:lang w:eastAsia="en-AU"/>
              </w:rPr>
              <w:t xml:space="preserve"> 74.4</w:t>
            </w:r>
          </w:p>
        </w:tc>
        <w:tc>
          <w:tcPr>
            <w:tcW w:w="994" w:type="dxa"/>
            <w:gridSpan w:val="8"/>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sz w:val="21"/>
                <w:lang w:eastAsia="en-AU"/>
              </w:rPr>
            </w:pPr>
            <w:r w:rsidRPr="003E2DBE">
              <w:rPr>
                <w:rFonts w:eastAsiaTheme="minorEastAsia"/>
                <w:b/>
                <w:sz w:val="21"/>
                <w:lang w:eastAsia="en-AU"/>
              </w:rPr>
              <w:t>(9 652.9)</w:t>
            </w:r>
          </w:p>
        </w:tc>
      </w:tr>
      <w:tr w:rsidR="000B4A1E" w:rsidRPr="003E2DBE" w:rsidTr="00517E51">
        <w:tc>
          <w:tcPr>
            <w:tcW w:w="8924" w:type="dxa"/>
            <w:gridSpan w:val="11"/>
            <w:tcBorders>
              <w:top w:val="nil"/>
              <w:left w:val="nil"/>
              <w:bottom w:val="nil"/>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 xml:space="preserve">Other economic flows – other comprehensive income </w:t>
            </w:r>
          </w:p>
        </w:tc>
        <w:tc>
          <w:tcPr>
            <w:tcW w:w="122"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11"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34"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22"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11"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24"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r>
      <w:tr w:rsidR="000B4A1E" w:rsidRPr="003E2DBE" w:rsidTr="00517E51">
        <w:tc>
          <w:tcPr>
            <w:tcW w:w="8924" w:type="dxa"/>
            <w:gridSpan w:val="11"/>
            <w:tcBorders>
              <w:top w:val="nil"/>
              <w:left w:val="nil"/>
              <w:bottom w:val="nil"/>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Items that will not be reclassified to net result</w:t>
            </w:r>
          </w:p>
        </w:tc>
        <w:tc>
          <w:tcPr>
            <w:tcW w:w="122"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11"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34"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22"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11"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24"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r>
      <w:tr w:rsidR="000B4A1E" w:rsidRPr="003E2DBE" w:rsidTr="00517E51">
        <w:tc>
          <w:tcPr>
            <w:tcW w:w="3794" w:type="dxa"/>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Changes in non-financial assets revaluation surplus</w:t>
            </w:r>
          </w:p>
        </w:tc>
        <w:tc>
          <w:tcPr>
            <w:tcW w:w="990" w:type="dxa"/>
            <w:gridSpan w:val="3"/>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1 751.1</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278.9</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2 030.0</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2 006.2</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2 006.2</w:t>
            </w:r>
          </w:p>
        </w:tc>
      </w:tr>
      <w:tr w:rsidR="000B4A1E" w:rsidRPr="003E2DBE" w:rsidTr="00517E51">
        <w:tc>
          <w:tcPr>
            <w:tcW w:w="4064" w:type="dxa"/>
            <w:gridSpan w:val="3"/>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Net gain/(loss) on equity investments in other sector entities at proportional share of the carrying amount of net assets</w:t>
            </w:r>
          </w:p>
        </w:tc>
        <w:tc>
          <w:tcPr>
            <w:tcW w:w="72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( 874.7)</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174.2</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( 700.5)</w:t>
            </w:r>
          </w:p>
        </w:tc>
      </w:tr>
      <w:tr w:rsidR="000B4A1E" w:rsidRPr="003E2DBE" w:rsidTr="00517E51">
        <w:tc>
          <w:tcPr>
            <w:tcW w:w="3794" w:type="dxa"/>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Other movements in equity</w:t>
            </w:r>
          </w:p>
        </w:tc>
        <w:tc>
          <w:tcPr>
            <w:tcW w:w="990" w:type="dxa"/>
            <w:gridSpan w:val="3"/>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242.0</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( 30.2)</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211.7</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401.9</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401.9</w:t>
            </w:r>
          </w:p>
        </w:tc>
      </w:tr>
      <w:tr w:rsidR="000B4A1E" w:rsidRPr="003E2DBE" w:rsidTr="00517E51">
        <w:tc>
          <w:tcPr>
            <w:tcW w:w="3794" w:type="dxa"/>
            <w:tcBorders>
              <w:top w:val="nil"/>
              <w:left w:val="nil"/>
              <w:bottom w:val="nil"/>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Items that may be reclassified subsequently to net result</w:t>
            </w:r>
          </w:p>
        </w:tc>
        <w:tc>
          <w:tcPr>
            <w:tcW w:w="990" w:type="dxa"/>
            <w:gridSpan w:val="3"/>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w:t>
            </w:r>
          </w:p>
        </w:tc>
      </w:tr>
      <w:tr w:rsidR="000B4A1E" w:rsidRPr="003E2DBE" w:rsidTr="00517E51">
        <w:tc>
          <w:tcPr>
            <w:tcW w:w="3794" w:type="dxa"/>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Net gain/(loss) on financial assets at fair value</w:t>
            </w:r>
          </w:p>
        </w:tc>
        <w:tc>
          <w:tcPr>
            <w:tcW w:w="990" w:type="dxa"/>
            <w:gridSpan w:val="3"/>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( 22.2)</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( 22.2)</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( 15.3)</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( 15.3)</w:t>
            </w:r>
          </w:p>
        </w:tc>
      </w:tr>
      <w:tr w:rsidR="000B4A1E" w:rsidRPr="003E2DBE" w:rsidTr="00517E51">
        <w:tc>
          <w:tcPr>
            <w:tcW w:w="379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Total other economic flows – other comprehensive income</w:t>
            </w:r>
          </w:p>
        </w:tc>
        <w:tc>
          <w:tcPr>
            <w:tcW w:w="990"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1 970.9</w:t>
            </w:r>
          </w:p>
        </w:tc>
        <w:tc>
          <w:tcPr>
            <w:tcW w:w="90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248.6</w:t>
            </w:r>
          </w:p>
        </w:tc>
        <w:tc>
          <w:tcPr>
            <w:tcW w:w="108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2 219.5</w:t>
            </w:r>
          </w:p>
        </w:tc>
        <w:tc>
          <w:tcPr>
            <w:tcW w:w="9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1 518.1</w:t>
            </w:r>
          </w:p>
        </w:tc>
        <w:tc>
          <w:tcPr>
            <w:tcW w:w="90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174.2</w:t>
            </w:r>
          </w:p>
        </w:tc>
        <w:tc>
          <w:tcPr>
            <w:tcW w:w="994" w:type="dxa"/>
            <w:gridSpan w:val="8"/>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1 692.3</w:t>
            </w:r>
          </w:p>
        </w:tc>
      </w:tr>
      <w:tr w:rsidR="000B4A1E" w:rsidRPr="003E2DBE" w:rsidTr="00517E51">
        <w:tc>
          <w:tcPr>
            <w:tcW w:w="379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Comprehensive result – total change in net worth</w:t>
            </w:r>
          </w:p>
        </w:tc>
        <w:tc>
          <w:tcPr>
            <w:tcW w:w="990" w:type="dxa"/>
            <w:gridSpan w:val="3"/>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(13 991.0)</w:t>
            </w:r>
          </w:p>
        </w:tc>
        <w:tc>
          <w:tcPr>
            <w:tcW w:w="90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248.6</w:t>
            </w:r>
          </w:p>
        </w:tc>
        <w:tc>
          <w:tcPr>
            <w:tcW w:w="108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(13 742.4)</w:t>
            </w:r>
          </w:p>
        </w:tc>
        <w:tc>
          <w:tcPr>
            <w:tcW w:w="99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(8 209.2)</w:t>
            </w:r>
          </w:p>
        </w:tc>
        <w:tc>
          <w:tcPr>
            <w:tcW w:w="90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248.6</w:t>
            </w:r>
          </w:p>
        </w:tc>
        <w:tc>
          <w:tcPr>
            <w:tcW w:w="994" w:type="dxa"/>
            <w:gridSpan w:val="8"/>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(7 960.6)</w:t>
            </w:r>
          </w:p>
        </w:tc>
      </w:tr>
    </w:tbl>
    <w:p w:rsidR="000B4A1E" w:rsidRPr="00D00665" w:rsidRDefault="000B4A1E" w:rsidP="00517E51">
      <w:pPr>
        <w:pStyle w:val="million"/>
      </w:pPr>
    </w:p>
    <w:p w:rsidR="000B4A1E" w:rsidRPr="00D00665" w:rsidRDefault="000B4A1E" w:rsidP="00517E51">
      <w:pPr>
        <w:pStyle w:val="Notes"/>
      </w:pPr>
    </w:p>
    <w:p w:rsidR="000B4A1E" w:rsidRPr="00D00665" w:rsidRDefault="000B4A1E">
      <w:pPr>
        <w:spacing w:after="0"/>
        <w:rPr>
          <w:rFonts w:ascii="Calibri" w:hAnsi="Calibri"/>
          <w:i/>
          <w:sz w:val="20"/>
          <w:szCs w:val="18"/>
        </w:rPr>
      </w:pPr>
    </w:p>
    <w:p w:rsidR="000B4A1E" w:rsidRPr="00D00665" w:rsidRDefault="000B4A1E">
      <w:pPr>
        <w:spacing w:after="0"/>
        <w:rPr>
          <w:rFonts w:ascii="Calibri" w:hAnsi="Calibri"/>
          <w:i/>
          <w:sz w:val="20"/>
          <w:szCs w:val="18"/>
        </w:rPr>
      </w:pPr>
      <w:r w:rsidRPr="00D00665">
        <w:br w:type="page"/>
      </w:r>
    </w:p>
    <w:p w:rsidR="000B4A1E" w:rsidRPr="0080733C" w:rsidRDefault="000B4A1E" w:rsidP="00517E51">
      <w:pPr>
        <w:pStyle w:val="Heading2Notes"/>
        <w:rPr>
          <w:i/>
        </w:rPr>
      </w:pPr>
      <w:r w:rsidRPr="00D00665">
        <w:lastRenderedPageBreak/>
        <w:t>Note 36:</w:t>
      </w:r>
      <w:r w:rsidRPr="00D00665">
        <w:tab/>
        <w:t>Restatement of financial statements due to prior period correction</w:t>
      </w:r>
      <w:r>
        <w:t xml:space="preserve"> </w:t>
      </w:r>
      <w:r>
        <w:rPr>
          <w:i/>
        </w:rPr>
        <w:t>(continued)</w:t>
      </w:r>
    </w:p>
    <w:p w:rsidR="000B4A1E" w:rsidRPr="003E2DBE" w:rsidRDefault="000B4A1E" w:rsidP="00517E51">
      <w:pPr>
        <w:pStyle w:val="million"/>
      </w:pPr>
      <w:r w:rsidRPr="00D00665">
        <w:t xml:space="preserve"> ($</w:t>
      </w:r>
      <w:r>
        <w:t> million)</w:t>
      </w:r>
    </w:p>
    <w:tbl>
      <w:tblPr>
        <w:tblW w:w="9648" w:type="dxa"/>
        <w:tblInd w:w="29" w:type="dxa"/>
        <w:tblLayout w:type="fixed"/>
        <w:tblCellMar>
          <w:left w:w="43" w:type="dxa"/>
          <w:right w:w="43" w:type="dxa"/>
        </w:tblCellMar>
        <w:tblLook w:val="0000" w:firstRow="0" w:lastRow="0" w:firstColumn="0" w:lastColumn="0" w:noHBand="0" w:noVBand="0"/>
      </w:tblPr>
      <w:tblGrid>
        <w:gridCol w:w="3704"/>
        <w:gridCol w:w="90"/>
        <w:gridCol w:w="270"/>
        <w:gridCol w:w="720"/>
        <w:gridCol w:w="900"/>
        <w:gridCol w:w="810"/>
        <w:gridCol w:w="270"/>
        <w:gridCol w:w="270"/>
        <w:gridCol w:w="720"/>
        <w:gridCol w:w="900"/>
        <w:gridCol w:w="270"/>
        <w:gridCol w:w="122"/>
        <w:gridCol w:w="111"/>
        <w:gridCol w:w="134"/>
        <w:gridCol w:w="83"/>
        <w:gridCol w:w="39"/>
        <w:gridCol w:w="111"/>
        <w:gridCol w:w="124"/>
      </w:tblGrid>
      <w:tr w:rsidR="000B4A1E" w:rsidRPr="003E2DBE" w:rsidTr="00517E51">
        <w:tc>
          <w:tcPr>
            <w:tcW w:w="3794" w:type="dxa"/>
            <w:gridSpan w:val="2"/>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sz w:val="21"/>
                <w:lang w:eastAsia="en-AU"/>
              </w:rPr>
            </w:pPr>
          </w:p>
        </w:tc>
        <w:tc>
          <w:tcPr>
            <w:tcW w:w="270"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p>
        </w:tc>
        <w:tc>
          <w:tcPr>
            <w:tcW w:w="2430" w:type="dxa"/>
            <w:gridSpan w:val="3"/>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State of Victoria</w:t>
            </w:r>
          </w:p>
        </w:tc>
        <w:tc>
          <w:tcPr>
            <w:tcW w:w="270"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 xml:space="preserve"> </w:t>
            </w:r>
          </w:p>
        </w:tc>
        <w:tc>
          <w:tcPr>
            <w:tcW w:w="270"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p>
        </w:tc>
        <w:tc>
          <w:tcPr>
            <w:tcW w:w="2340" w:type="dxa"/>
            <w:gridSpan w:val="7"/>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General government</w:t>
            </w:r>
          </w:p>
        </w:tc>
        <w:tc>
          <w:tcPr>
            <w:tcW w:w="274" w:type="dxa"/>
            <w:gridSpan w:val="3"/>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 xml:space="preserve"> </w:t>
            </w:r>
          </w:p>
        </w:tc>
      </w:tr>
      <w:tr w:rsidR="000B4A1E" w:rsidRPr="003E2DBE" w:rsidTr="00517E51">
        <w:tc>
          <w:tcPr>
            <w:tcW w:w="3794" w:type="dxa"/>
            <w:gridSpan w:val="2"/>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sz w:val="21"/>
                <w:lang w:eastAsia="en-AU"/>
              </w:rPr>
            </w:pPr>
          </w:p>
        </w:tc>
        <w:tc>
          <w:tcPr>
            <w:tcW w:w="990"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Published</w:t>
            </w:r>
          </w:p>
        </w:tc>
        <w:tc>
          <w:tcPr>
            <w:tcW w:w="900"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Effect of change</w:t>
            </w:r>
          </w:p>
        </w:tc>
        <w:tc>
          <w:tcPr>
            <w:tcW w:w="1080"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Restated</w:t>
            </w:r>
          </w:p>
        </w:tc>
        <w:tc>
          <w:tcPr>
            <w:tcW w:w="990"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Published</w:t>
            </w:r>
          </w:p>
        </w:tc>
        <w:tc>
          <w:tcPr>
            <w:tcW w:w="900"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Effect of change</w:t>
            </w:r>
          </w:p>
        </w:tc>
        <w:tc>
          <w:tcPr>
            <w:tcW w:w="994" w:type="dxa"/>
            <w:gridSpan w:val="8"/>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Restated</w:t>
            </w:r>
          </w:p>
        </w:tc>
      </w:tr>
      <w:tr w:rsidR="000B4A1E" w:rsidRPr="003E2DBE" w:rsidTr="00517E51">
        <w:tc>
          <w:tcPr>
            <w:tcW w:w="8924" w:type="dxa"/>
            <w:gridSpan w:val="11"/>
            <w:tcBorders>
              <w:top w:val="single" w:sz="4" w:space="0" w:color="auto"/>
              <w:left w:val="nil"/>
              <w:bottom w:val="nil"/>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Consolidated balance sheet as at 1 July 2011 (Extract)</w:t>
            </w:r>
          </w:p>
        </w:tc>
        <w:tc>
          <w:tcPr>
            <w:tcW w:w="122"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11"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34"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22"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11"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24"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Assets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Financial assets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Cash and deposits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5 165.1</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5 165.1</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3 667.6</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3 667.6</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Advances paid</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1 537.6</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1 537.6</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289.5</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289.5</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Receivables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5 918.6</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5 918.6</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3 407.1</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208.9</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3 616.0</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Investments, loans and placements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25 502.1</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25 502.1</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2 367.8</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2 367.8</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Investments accounted for using the equity method</w:t>
            </w:r>
          </w:p>
        </w:tc>
        <w:tc>
          <w:tcPr>
            <w:tcW w:w="1080" w:type="dxa"/>
            <w:gridSpan w:val="3"/>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602.1</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799.2</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1 401.3</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35.1</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35.1</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Investments in other sectors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65 173.2</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590.3</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65 763.5</w:t>
            </w:r>
          </w:p>
        </w:tc>
      </w:tr>
      <w:tr w:rsidR="000B4A1E" w:rsidRPr="003E2DBE" w:rsidTr="00517E51">
        <w:tc>
          <w:tcPr>
            <w:tcW w:w="3794" w:type="dxa"/>
            <w:gridSpan w:val="2"/>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Total financial assets</w:t>
            </w:r>
          </w:p>
        </w:tc>
        <w:tc>
          <w:tcPr>
            <w:tcW w:w="9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38 725.7</w:t>
            </w:r>
          </w:p>
        </w:tc>
        <w:tc>
          <w:tcPr>
            <w:tcW w:w="90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799.2</w:t>
            </w:r>
          </w:p>
        </w:tc>
        <w:tc>
          <w:tcPr>
            <w:tcW w:w="108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39 524.8</w:t>
            </w:r>
          </w:p>
        </w:tc>
        <w:tc>
          <w:tcPr>
            <w:tcW w:w="9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74 940.3</w:t>
            </w:r>
          </w:p>
        </w:tc>
        <w:tc>
          <w:tcPr>
            <w:tcW w:w="90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799.2</w:t>
            </w:r>
          </w:p>
        </w:tc>
        <w:tc>
          <w:tcPr>
            <w:tcW w:w="994" w:type="dxa"/>
            <w:gridSpan w:val="8"/>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75 739.5</w:t>
            </w:r>
          </w:p>
        </w:tc>
      </w:tr>
      <w:tr w:rsidR="000B4A1E" w:rsidRPr="003E2DBE" w:rsidTr="00517E51">
        <w:trPr>
          <w:trHeight w:hRule="exact" w:val="120"/>
        </w:trPr>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Accumulated surplus/(deficit)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50 436.9</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( 72.4)</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50 364.5</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43 840.0</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208.9</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44 048.9</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Reserves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75 313.9</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871.6</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76 185.5</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75 035.1</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590.3</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75 625.4</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Non-controlling interest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48.5</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48.5</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48.5</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48.5</w:t>
            </w:r>
          </w:p>
        </w:tc>
      </w:tr>
      <w:tr w:rsidR="000B4A1E" w:rsidRPr="003E2DBE" w:rsidTr="00517E51">
        <w:tc>
          <w:tcPr>
            <w:tcW w:w="3794" w:type="dxa"/>
            <w:gridSpan w:val="2"/>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Net worth</w:t>
            </w:r>
          </w:p>
        </w:tc>
        <w:tc>
          <w:tcPr>
            <w:tcW w:w="99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125 799.3</w:t>
            </w:r>
          </w:p>
        </w:tc>
        <w:tc>
          <w:tcPr>
            <w:tcW w:w="90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799.2</w:t>
            </w:r>
          </w:p>
        </w:tc>
        <w:tc>
          <w:tcPr>
            <w:tcW w:w="108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126 598.5</w:t>
            </w:r>
          </w:p>
        </w:tc>
        <w:tc>
          <w:tcPr>
            <w:tcW w:w="99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118 923.6</w:t>
            </w:r>
          </w:p>
        </w:tc>
        <w:tc>
          <w:tcPr>
            <w:tcW w:w="90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799.2</w:t>
            </w:r>
          </w:p>
        </w:tc>
        <w:tc>
          <w:tcPr>
            <w:tcW w:w="994" w:type="dxa"/>
            <w:gridSpan w:val="8"/>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119 722.8</w:t>
            </w:r>
          </w:p>
        </w:tc>
      </w:tr>
    </w:tbl>
    <w:p w:rsidR="000B4A1E" w:rsidRPr="00D00665" w:rsidRDefault="000B4A1E" w:rsidP="00517E51">
      <w:pPr>
        <w:pStyle w:val="Notes"/>
      </w:pPr>
    </w:p>
    <w:p w:rsidR="000B4A1E" w:rsidRPr="00D00665" w:rsidRDefault="000B4A1E" w:rsidP="00517E51">
      <w:pPr>
        <w:pStyle w:val="Notes"/>
      </w:pPr>
    </w:p>
    <w:p w:rsidR="000B4A1E" w:rsidRPr="00D00665" w:rsidRDefault="000B4A1E">
      <w:pPr>
        <w:spacing w:after="0"/>
        <w:rPr>
          <w:rFonts w:ascii="Calibri" w:hAnsi="Calibri"/>
          <w:i/>
          <w:sz w:val="20"/>
          <w:szCs w:val="18"/>
        </w:rPr>
      </w:pPr>
    </w:p>
    <w:p w:rsidR="000B4A1E" w:rsidRPr="003E2DBE" w:rsidRDefault="000B4A1E" w:rsidP="00517E51">
      <w:pPr>
        <w:pStyle w:val="million"/>
      </w:pPr>
      <w:r w:rsidRPr="00D00665">
        <w:t>($</w:t>
      </w:r>
      <w:r>
        <w:t> million)</w:t>
      </w:r>
    </w:p>
    <w:tbl>
      <w:tblPr>
        <w:tblW w:w="9648" w:type="dxa"/>
        <w:tblInd w:w="29" w:type="dxa"/>
        <w:tblLayout w:type="fixed"/>
        <w:tblCellMar>
          <w:left w:w="43" w:type="dxa"/>
          <w:right w:w="43" w:type="dxa"/>
        </w:tblCellMar>
        <w:tblLook w:val="0000" w:firstRow="0" w:lastRow="0" w:firstColumn="0" w:lastColumn="0" w:noHBand="0" w:noVBand="0"/>
      </w:tblPr>
      <w:tblGrid>
        <w:gridCol w:w="3704"/>
        <w:gridCol w:w="90"/>
        <w:gridCol w:w="270"/>
        <w:gridCol w:w="720"/>
        <w:gridCol w:w="900"/>
        <w:gridCol w:w="810"/>
        <w:gridCol w:w="270"/>
        <w:gridCol w:w="270"/>
        <w:gridCol w:w="720"/>
        <w:gridCol w:w="900"/>
        <w:gridCol w:w="270"/>
        <w:gridCol w:w="122"/>
        <w:gridCol w:w="111"/>
        <w:gridCol w:w="134"/>
        <w:gridCol w:w="83"/>
        <w:gridCol w:w="39"/>
        <w:gridCol w:w="111"/>
        <w:gridCol w:w="124"/>
      </w:tblGrid>
      <w:tr w:rsidR="000B4A1E" w:rsidRPr="003E2DBE" w:rsidTr="00517E51">
        <w:tc>
          <w:tcPr>
            <w:tcW w:w="3794" w:type="dxa"/>
            <w:gridSpan w:val="2"/>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sz w:val="21"/>
                <w:lang w:eastAsia="en-AU"/>
              </w:rPr>
            </w:pPr>
          </w:p>
        </w:tc>
        <w:tc>
          <w:tcPr>
            <w:tcW w:w="270"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p>
        </w:tc>
        <w:tc>
          <w:tcPr>
            <w:tcW w:w="2430" w:type="dxa"/>
            <w:gridSpan w:val="3"/>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State of Victoria</w:t>
            </w:r>
          </w:p>
        </w:tc>
        <w:tc>
          <w:tcPr>
            <w:tcW w:w="270"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 xml:space="preserve"> </w:t>
            </w:r>
          </w:p>
        </w:tc>
        <w:tc>
          <w:tcPr>
            <w:tcW w:w="270" w:type="dxa"/>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p>
        </w:tc>
        <w:tc>
          <w:tcPr>
            <w:tcW w:w="2340" w:type="dxa"/>
            <w:gridSpan w:val="7"/>
            <w:tcBorders>
              <w:top w:val="single" w:sz="4" w:space="0" w:color="auto"/>
              <w:left w:val="nil"/>
              <w:bottom w:val="nil"/>
              <w:right w:val="nil"/>
            </w:tcBorders>
            <w:shd w:val="clear" w:color="auto" w:fill="000000"/>
          </w:tcPr>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General government</w:t>
            </w:r>
          </w:p>
        </w:tc>
        <w:tc>
          <w:tcPr>
            <w:tcW w:w="274" w:type="dxa"/>
            <w:gridSpan w:val="3"/>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Centred"/>
              <w:rPr>
                <w:rFonts w:eastAsiaTheme="minorEastAsia"/>
                <w:sz w:val="21"/>
                <w:lang w:eastAsia="en-AU"/>
              </w:rPr>
            </w:pPr>
            <w:r w:rsidRPr="003E2DBE">
              <w:rPr>
                <w:rFonts w:eastAsiaTheme="minorEastAsia"/>
                <w:sz w:val="21"/>
                <w:lang w:eastAsia="en-AU"/>
              </w:rPr>
              <w:t xml:space="preserve"> </w:t>
            </w:r>
          </w:p>
        </w:tc>
      </w:tr>
      <w:tr w:rsidR="000B4A1E" w:rsidRPr="003E2DBE" w:rsidTr="00517E51">
        <w:tc>
          <w:tcPr>
            <w:tcW w:w="3794" w:type="dxa"/>
            <w:gridSpan w:val="2"/>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sz w:val="21"/>
                <w:lang w:eastAsia="en-AU"/>
              </w:rPr>
            </w:pPr>
          </w:p>
        </w:tc>
        <w:tc>
          <w:tcPr>
            <w:tcW w:w="990"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Published</w:t>
            </w:r>
          </w:p>
        </w:tc>
        <w:tc>
          <w:tcPr>
            <w:tcW w:w="900"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Effect of change</w:t>
            </w:r>
          </w:p>
        </w:tc>
        <w:tc>
          <w:tcPr>
            <w:tcW w:w="1080"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Restated</w:t>
            </w:r>
          </w:p>
        </w:tc>
        <w:tc>
          <w:tcPr>
            <w:tcW w:w="990"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Published</w:t>
            </w:r>
          </w:p>
        </w:tc>
        <w:tc>
          <w:tcPr>
            <w:tcW w:w="900"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Effect of change</w:t>
            </w:r>
          </w:p>
        </w:tc>
        <w:tc>
          <w:tcPr>
            <w:tcW w:w="994" w:type="dxa"/>
            <w:gridSpan w:val="8"/>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sz w:val="21"/>
                <w:lang w:eastAsia="en-AU"/>
              </w:rPr>
            </w:pPr>
            <w:r w:rsidRPr="003E2DBE">
              <w:rPr>
                <w:rFonts w:eastAsiaTheme="minorEastAsia"/>
                <w:sz w:val="21"/>
                <w:lang w:eastAsia="en-AU"/>
              </w:rPr>
              <w:t>Restated</w:t>
            </w:r>
          </w:p>
        </w:tc>
      </w:tr>
      <w:tr w:rsidR="000B4A1E" w:rsidRPr="003E2DBE" w:rsidTr="00517E51">
        <w:tc>
          <w:tcPr>
            <w:tcW w:w="8924" w:type="dxa"/>
            <w:gridSpan w:val="11"/>
            <w:tcBorders>
              <w:top w:val="single" w:sz="4" w:space="0" w:color="auto"/>
              <w:left w:val="nil"/>
              <w:bottom w:val="nil"/>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Consolidated balance sheet as at 30 June 2012 (Extract)</w:t>
            </w:r>
          </w:p>
        </w:tc>
        <w:tc>
          <w:tcPr>
            <w:tcW w:w="122"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11"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34"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22"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11"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24"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Assets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Financial assets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Cash and deposits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6 055.6</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6 055.6</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4 600.5</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400.8</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5 001.3</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Advances paid</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1 619.5</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1 619.5</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301.0</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301.0</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Receivables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5 093.9</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366.3</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5 460.2</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3 183.8</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649.7</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3 833.5</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Investments, loans and placements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25 125.3</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25 125.3</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2 621.7</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( 400.8)</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2 220.8</w:t>
            </w:r>
          </w:p>
        </w:tc>
      </w:tr>
      <w:tr w:rsidR="000B4A1E" w:rsidRPr="003E2DBE" w:rsidTr="00517E51">
        <w:tc>
          <w:tcPr>
            <w:tcW w:w="3704" w:type="dxa"/>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Investments accounted for using the equity method</w:t>
            </w:r>
          </w:p>
        </w:tc>
        <w:tc>
          <w:tcPr>
            <w:tcW w:w="1080" w:type="dxa"/>
            <w:gridSpan w:val="3"/>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616.9</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1 047.8</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1 664.7</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44.3</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44.3</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Investments in other sectors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Pr>
                <w:rFonts w:eastAsiaTheme="minorEastAsia"/>
                <w:sz w:val="21"/>
                <w:lang w:eastAsia="en-AU"/>
              </w:rPr>
              <w:t>..</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Pr>
                <w:rFonts w:eastAsiaTheme="minorEastAsia"/>
                <w:sz w:val="21"/>
                <w:lang w:eastAsia="en-AU"/>
              </w:rPr>
              <w: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66 749.4</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764.4</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67 513.8</w:t>
            </w:r>
          </w:p>
        </w:tc>
      </w:tr>
      <w:tr w:rsidR="000B4A1E" w:rsidRPr="003E2DBE" w:rsidTr="00517E51">
        <w:tc>
          <w:tcPr>
            <w:tcW w:w="3794" w:type="dxa"/>
            <w:gridSpan w:val="2"/>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Total financial assets</w:t>
            </w:r>
          </w:p>
        </w:tc>
        <w:tc>
          <w:tcPr>
            <w:tcW w:w="9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38 511.3</w:t>
            </w:r>
          </w:p>
        </w:tc>
        <w:tc>
          <w:tcPr>
            <w:tcW w:w="90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1 414.1</w:t>
            </w:r>
          </w:p>
        </w:tc>
        <w:tc>
          <w:tcPr>
            <w:tcW w:w="108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39 925.3</w:t>
            </w:r>
          </w:p>
        </w:tc>
        <w:tc>
          <w:tcPr>
            <w:tcW w:w="9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77 500.6</w:t>
            </w:r>
          </w:p>
        </w:tc>
        <w:tc>
          <w:tcPr>
            <w:tcW w:w="90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1 414.1</w:t>
            </w:r>
          </w:p>
        </w:tc>
        <w:tc>
          <w:tcPr>
            <w:tcW w:w="994" w:type="dxa"/>
            <w:gridSpan w:val="8"/>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78 914.7</w:t>
            </w:r>
          </w:p>
        </w:tc>
      </w:tr>
      <w:tr w:rsidR="000B4A1E" w:rsidRPr="003E2DBE" w:rsidTr="00517E51">
        <w:trPr>
          <w:trHeight w:hRule="exact" w:val="120"/>
        </w:trPr>
        <w:tc>
          <w:tcPr>
            <w:tcW w:w="3794" w:type="dxa"/>
            <w:gridSpan w:val="2"/>
            <w:tcBorders>
              <w:top w:val="nil"/>
              <w:left w:val="nil"/>
              <w:bottom w:val="nil"/>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b/>
                <w:bCs/>
                <w:sz w:val="21"/>
                <w:szCs w:val="22"/>
                <w:lang w:eastAsia="en-AU"/>
              </w:rPr>
            </w:pPr>
            <w:r w:rsidRPr="003E2DBE">
              <w:rPr>
                <w:rFonts w:eastAsiaTheme="minorEastAsia"/>
                <w:b/>
                <w:bCs/>
                <w:sz w:val="21"/>
                <w:szCs w:val="22"/>
                <w:lang w:eastAsia="en-AU"/>
              </w:rPr>
              <w:t>Liabilities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Deposits held and advances received</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1 020.3</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1 020.3</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366.2</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366.2</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Payables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5 928.3</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366.4</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6 294.7</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4 734.4</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366.4</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5 100.8</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Borrowings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40 637.7</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40 637.7</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22 393.9</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22 393.9</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Employee benefits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5 442.4</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5 442.4</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5 043.2</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5 043.2</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Superannuation</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32 750.8</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32 750.8</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32 597.5</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32 597.5</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Other provisions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23 918.3</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23 918.3</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635.5</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635.5</w:t>
            </w:r>
          </w:p>
        </w:tc>
      </w:tr>
      <w:tr w:rsidR="000B4A1E" w:rsidRPr="003E2DBE" w:rsidTr="00517E51">
        <w:tc>
          <w:tcPr>
            <w:tcW w:w="3794" w:type="dxa"/>
            <w:gridSpan w:val="2"/>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Total liabilities</w:t>
            </w:r>
          </w:p>
        </w:tc>
        <w:tc>
          <w:tcPr>
            <w:tcW w:w="9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109 697.8</w:t>
            </w:r>
          </w:p>
        </w:tc>
        <w:tc>
          <w:tcPr>
            <w:tcW w:w="90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366.4</w:t>
            </w:r>
          </w:p>
        </w:tc>
        <w:tc>
          <w:tcPr>
            <w:tcW w:w="108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110 064.2</w:t>
            </w:r>
          </w:p>
        </w:tc>
        <w:tc>
          <w:tcPr>
            <w:tcW w:w="990"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65 770.6</w:t>
            </w:r>
          </w:p>
        </w:tc>
        <w:tc>
          <w:tcPr>
            <w:tcW w:w="90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366.4</w:t>
            </w:r>
          </w:p>
        </w:tc>
        <w:tc>
          <w:tcPr>
            <w:tcW w:w="994" w:type="dxa"/>
            <w:gridSpan w:val="8"/>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66 137.0</w:t>
            </w:r>
          </w:p>
        </w:tc>
      </w:tr>
      <w:tr w:rsidR="000B4A1E" w:rsidRPr="003E2DBE" w:rsidTr="00517E51">
        <w:trPr>
          <w:trHeight w:hRule="exact" w:val="120"/>
        </w:trPr>
        <w:tc>
          <w:tcPr>
            <w:tcW w:w="3794" w:type="dxa"/>
            <w:gridSpan w:val="2"/>
            <w:tcBorders>
              <w:top w:val="nil"/>
              <w:left w:val="nil"/>
              <w:bottom w:val="nil"/>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00" w:type="dxa"/>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 xml:space="preserve"> </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Accumulated surplus/(deficit)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34 714.6</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( 102.6)</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34 612.0</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34 524.9</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283.3</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34 808.2</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Reserves</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77 045.2</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1 150.4</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78 195.6</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76 141.0</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764.4</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76 905.5</w:t>
            </w:r>
          </w:p>
        </w:tc>
      </w:tr>
      <w:tr w:rsidR="000B4A1E" w:rsidRPr="003E2DBE" w:rsidTr="00517E51">
        <w:tc>
          <w:tcPr>
            <w:tcW w:w="3794" w:type="dxa"/>
            <w:gridSpan w:val="2"/>
            <w:tcBorders>
              <w:top w:val="nil"/>
              <w:left w:val="nil"/>
              <w:bottom w:val="nil"/>
              <w:right w:val="nil"/>
            </w:tcBorders>
          </w:tcPr>
          <w:p w:rsidR="000B4A1E" w:rsidRPr="003E2DBE" w:rsidRDefault="000B4A1E" w:rsidP="00517E51">
            <w:pPr>
              <w:pStyle w:val="Tabletext"/>
              <w:rPr>
                <w:rFonts w:eastAsiaTheme="minorEastAsia"/>
                <w:sz w:val="21"/>
                <w:lang w:eastAsia="en-AU"/>
              </w:rPr>
            </w:pPr>
            <w:r w:rsidRPr="003E2DBE">
              <w:rPr>
                <w:rFonts w:eastAsiaTheme="minorEastAsia"/>
                <w:sz w:val="21"/>
                <w:lang w:eastAsia="en-AU"/>
              </w:rPr>
              <w:t>Non-controlling interest</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50.0</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108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50.0</w:t>
            </w:r>
          </w:p>
        </w:tc>
        <w:tc>
          <w:tcPr>
            <w:tcW w:w="990" w:type="dxa"/>
            <w:gridSpan w:val="2"/>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50.0</w:t>
            </w:r>
          </w:p>
        </w:tc>
        <w:tc>
          <w:tcPr>
            <w:tcW w:w="900" w:type="dxa"/>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w:t>
            </w:r>
          </w:p>
        </w:tc>
        <w:tc>
          <w:tcPr>
            <w:tcW w:w="994" w:type="dxa"/>
            <w:gridSpan w:val="8"/>
            <w:tcBorders>
              <w:top w:val="nil"/>
              <w:left w:val="nil"/>
              <w:bottom w:val="nil"/>
              <w:right w:val="nil"/>
            </w:tcBorders>
          </w:tcPr>
          <w:p w:rsidR="000B4A1E" w:rsidRPr="003E2DBE" w:rsidRDefault="000B4A1E" w:rsidP="00517E51">
            <w:pPr>
              <w:pStyle w:val="TableofFigures"/>
              <w:rPr>
                <w:rFonts w:eastAsiaTheme="minorEastAsia"/>
                <w:sz w:val="21"/>
                <w:lang w:eastAsia="en-AU"/>
              </w:rPr>
            </w:pPr>
            <w:r w:rsidRPr="003E2DBE">
              <w:rPr>
                <w:rFonts w:eastAsiaTheme="minorEastAsia"/>
                <w:sz w:val="21"/>
                <w:lang w:eastAsia="en-AU"/>
              </w:rPr>
              <w:t xml:space="preserve"> 50.0</w:t>
            </w:r>
          </w:p>
        </w:tc>
      </w:tr>
      <w:tr w:rsidR="000B4A1E" w:rsidRPr="003E2DBE" w:rsidTr="00517E51">
        <w:tc>
          <w:tcPr>
            <w:tcW w:w="3794" w:type="dxa"/>
            <w:gridSpan w:val="2"/>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sz w:val="21"/>
                <w:lang w:eastAsia="en-AU"/>
              </w:rPr>
            </w:pPr>
            <w:r w:rsidRPr="003E2DBE">
              <w:rPr>
                <w:rFonts w:eastAsiaTheme="minorEastAsia"/>
                <w:b/>
                <w:bCs/>
                <w:sz w:val="21"/>
                <w:lang w:eastAsia="en-AU"/>
              </w:rPr>
              <w:t>Net worth</w:t>
            </w:r>
          </w:p>
        </w:tc>
        <w:tc>
          <w:tcPr>
            <w:tcW w:w="99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111 809.8</w:t>
            </w:r>
          </w:p>
        </w:tc>
        <w:tc>
          <w:tcPr>
            <w:tcW w:w="90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1 047.8</w:t>
            </w:r>
          </w:p>
        </w:tc>
        <w:tc>
          <w:tcPr>
            <w:tcW w:w="108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112 857.6</w:t>
            </w:r>
          </w:p>
        </w:tc>
        <w:tc>
          <w:tcPr>
            <w:tcW w:w="990"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110 716.0</w:t>
            </w:r>
          </w:p>
        </w:tc>
        <w:tc>
          <w:tcPr>
            <w:tcW w:w="90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1 047.8</w:t>
            </w:r>
          </w:p>
        </w:tc>
        <w:tc>
          <w:tcPr>
            <w:tcW w:w="994" w:type="dxa"/>
            <w:gridSpan w:val="8"/>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lang w:eastAsia="en-AU"/>
              </w:rPr>
            </w:pPr>
            <w:r w:rsidRPr="003E2DBE">
              <w:rPr>
                <w:rFonts w:eastAsiaTheme="minorEastAsia"/>
                <w:b/>
                <w:bCs/>
                <w:sz w:val="21"/>
                <w:lang w:eastAsia="en-AU"/>
              </w:rPr>
              <w:t>111 763.7</w:t>
            </w:r>
          </w:p>
        </w:tc>
      </w:tr>
    </w:tbl>
    <w:p w:rsidR="000B4A1E" w:rsidRPr="00D00665" w:rsidRDefault="000B4A1E" w:rsidP="00517E51">
      <w:pPr>
        <w:pStyle w:val="Notes"/>
      </w:pPr>
    </w:p>
    <w:p w:rsidR="000B4A1E" w:rsidRDefault="000B4A1E">
      <w:pPr>
        <w:spacing w:after="0"/>
        <w:rPr>
          <w:rFonts w:ascii="Calibri" w:hAnsi="Calibri"/>
          <w:b/>
        </w:rPr>
      </w:pPr>
      <w:r>
        <w:br w:type="page"/>
      </w:r>
    </w:p>
    <w:p w:rsidR="000B4A1E" w:rsidRPr="0080733C" w:rsidRDefault="000B4A1E" w:rsidP="00517E51">
      <w:pPr>
        <w:pStyle w:val="Heading2Notes"/>
        <w:rPr>
          <w:i/>
        </w:rPr>
      </w:pPr>
      <w:r w:rsidRPr="00D00665">
        <w:lastRenderedPageBreak/>
        <w:t>Note 36:</w:t>
      </w:r>
      <w:r w:rsidRPr="00D00665">
        <w:tab/>
        <w:t>Restatement of financial statements due to prior period correction</w:t>
      </w:r>
      <w:r>
        <w:t xml:space="preserve"> </w:t>
      </w:r>
      <w:r>
        <w:rPr>
          <w:i/>
        </w:rPr>
        <w:t>(continued)</w:t>
      </w:r>
    </w:p>
    <w:p w:rsidR="000B4A1E" w:rsidRPr="00D00665" w:rsidRDefault="000B4A1E" w:rsidP="00517E51">
      <w:pPr>
        <w:pStyle w:val="Heading5"/>
      </w:pPr>
      <w:r w:rsidRPr="00D00665">
        <w:t>Asset reclassification</w:t>
      </w:r>
    </w:p>
    <w:p w:rsidR="000B4A1E" w:rsidRDefault="000B4A1E" w:rsidP="00517E51">
      <w:r w:rsidRPr="00D00665">
        <w:t>In addition to the above disclosures, during 2012</w:t>
      </w:r>
      <w:r w:rsidRPr="00D00665">
        <w:noBreakHyphen/>
        <w:t>13, a review was undertaken with the resultant reclassification of assets from Roads Infrastructure to Property Plant and Equipment (restated June 2012). This reclassification has been reflected in Notes 22 (c) and (d) with no net impact on the general government sector or the State of Victoria.</w:t>
      </w:r>
    </w:p>
    <w:p w:rsidR="000B4A1E" w:rsidRPr="00D00665" w:rsidRDefault="000B4A1E" w:rsidP="00517E51"/>
    <w:p w:rsidR="000B4A1E" w:rsidRPr="00D00665" w:rsidRDefault="000B4A1E" w:rsidP="00517E51">
      <w:pPr>
        <w:pStyle w:val="Heading2Notes"/>
      </w:pPr>
      <w:bookmarkStart w:id="193" w:name="_Toc367947896"/>
      <w:r w:rsidRPr="00D00665">
        <w:t>Note 37:</w:t>
      </w:r>
      <w:r w:rsidRPr="00D00665">
        <w:tab/>
        <w:t>Subsequent events</w:t>
      </w:r>
      <w:bookmarkEnd w:id="193"/>
    </w:p>
    <w:p w:rsidR="000B4A1E" w:rsidRPr="00D00665" w:rsidRDefault="000B4A1E" w:rsidP="00517E51">
      <w:r>
        <w:t>There are no significant subsequent events that would require disclosure.</w:t>
      </w:r>
    </w:p>
    <w:p w:rsidR="000B4A1E" w:rsidRPr="00D00665" w:rsidRDefault="000B4A1E" w:rsidP="00517E51"/>
    <w:p w:rsidR="000B4A1E" w:rsidRPr="00D00665" w:rsidRDefault="000B4A1E" w:rsidP="00517E51">
      <w:pPr>
        <w:pStyle w:val="Heading2Notes"/>
      </w:pPr>
      <w:r w:rsidRPr="00D00665">
        <w:br w:type="page"/>
      </w:r>
      <w:bookmarkStart w:id="194" w:name="_Toc367947897"/>
      <w:r w:rsidRPr="00D00665">
        <w:lastRenderedPageBreak/>
        <w:t>Note 38:</w:t>
      </w:r>
      <w:r w:rsidRPr="00D00665">
        <w:tab/>
        <w:t>Public account disclosure</w:t>
      </w:r>
      <w:bookmarkEnd w:id="194"/>
    </w:p>
    <w:p w:rsidR="000B4A1E" w:rsidRPr="00D00665" w:rsidRDefault="000B4A1E" w:rsidP="00517E51">
      <w:pPr>
        <w:pStyle w:val="Heading5"/>
      </w:pPr>
      <w:r w:rsidRPr="00D00665">
        <w:t>(a)</w:t>
      </w:r>
      <w:r w:rsidRPr="00D00665">
        <w:tab/>
        <w:t>Consolidated fund receipts and payments for the financial year ended 30 June</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6677"/>
        <w:gridCol w:w="1485"/>
        <w:gridCol w:w="1486"/>
      </w:tblGrid>
      <w:tr w:rsidR="000B4A1E" w:rsidRPr="003E2DBE" w:rsidTr="00517E51">
        <w:trPr>
          <w:cantSplit/>
          <w:tblHeader/>
        </w:trPr>
        <w:tc>
          <w:tcPr>
            <w:tcW w:w="6677" w:type="dxa"/>
            <w:tcBorders>
              <w:top w:val="single" w:sz="4" w:space="0" w:color="1F497D" w:themeColor="text2"/>
              <w:left w:val="single" w:sz="4" w:space="0" w:color="1F497D" w:themeColor="text2"/>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85" w:type="dxa"/>
            <w:tcBorders>
              <w:top w:val="single" w:sz="4" w:space="0" w:color="1F497D" w:themeColor="text2"/>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486" w:type="dxa"/>
            <w:tcBorders>
              <w:top w:val="single" w:sz="4" w:space="0" w:color="1F497D" w:themeColor="text2"/>
              <w:left w:val="nil"/>
              <w:bottom w:val="single" w:sz="6" w:space="0" w:color="auto"/>
              <w:right w:val="single" w:sz="4" w:space="0" w:color="1F497D" w:themeColor="text2"/>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6677" w:type="dxa"/>
            <w:tcBorders>
              <w:top w:val="single" w:sz="4" w:space="0" w:color="1F497D" w:themeColor="text2"/>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Receipts</w:t>
            </w:r>
          </w:p>
        </w:tc>
        <w:tc>
          <w:tcPr>
            <w:tcW w:w="1485" w:type="dxa"/>
            <w:tcBorders>
              <w:top w:val="single" w:sz="4" w:space="0" w:color="1F497D" w:themeColor="text2"/>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486" w:type="dxa"/>
            <w:tcBorders>
              <w:top w:val="single" w:sz="4" w:space="0" w:color="1F497D" w:themeColor="text2"/>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Taxation</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14 916 863</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15 194 504</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Fines and regulatory fees</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680 155</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559 536</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Grants received</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16 001 494</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19 085 329</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Sales of goods and services</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5 153 842</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4 701 143</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Interest received</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367 401</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13 983</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Dividends and income tax equivalent and rate equivalent receipts</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1 340 671</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912 906</w:t>
            </w:r>
          </w:p>
        </w:tc>
      </w:tr>
      <w:tr w:rsidR="000B4A1E" w:rsidRPr="003E2DBE" w:rsidTr="00517E51">
        <w:tc>
          <w:tcPr>
            <w:tcW w:w="6677"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Other receipts</w:t>
            </w:r>
          </w:p>
        </w:tc>
        <w:tc>
          <w:tcPr>
            <w:tcW w:w="1485"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287 851</w:t>
            </w:r>
          </w:p>
        </w:tc>
        <w:tc>
          <w:tcPr>
            <w:tcW w:w="1486"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382 453</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cash inflows from operating activities</w:t>
            </w:r>
          </w:p>
        </w:tc>
        <w:tc>
          <w:tcPr>
            <w:tcW w:w="1485"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38 748 278</w:t>
            </w:r>
          </w:p>
        </w:tc>
        <w:tc>
          <w:tcPr>
            <w:tcW w:w="148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40 849 853</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cash inflows from investing and financing activities</w:t>
            </w:r>
          </w:p>
        </w:tc>
        <w:tc>
          <w:tcPr>
            <w:tcW w:w="1485"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3 703 779</w:t>
            </w:r>
          </w:p>
        </w:tc>
        <w:tc>
          <w:tcPr>
            <w:tcW w:w="1486"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4 419 440</w:t>
            </w:r>
          </w:p>
        </w:tc>
      </w:tr>
      <w:tr w:rsidR="000B4A1E" w:rsidRPr="003E2DBE" w:rsidTr="00517E51">
        <w:tc>
          <w:tcPr>
            <w:tcW w:w="6677"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consolidated fund receipts</w:t>
            </w:r>
          </w:p>
        </w:tc>
        <w:tc>
          <w:tcPr>
            <w:tcW w:w="1485"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42 452 057</w:t>
            </w:r>
          </w:p>
        </w:tc>
        <w:tc>
          <w:tcPr>
            <w:tcW w:w="1486"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45 269 293</w:t>
            </w:r>
          </w:p>
        </w:tc>
      </w:tr>
      <w:tr w:rsidR="000B4A1E" w:rsidRPr="003E2DBE" w:rsidTr="00517E51">
        <w:trPr>
          <w:trHeight w:hRule="exact" w:val="120"/>
        </w:trPr>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Payments</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Special appropriations</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Special appropriations (excluding Section 33, </w:t>
            </w:r>
            <w:r w:rsidRPr="003E2DBE">
              <w:rPr>
                <w:rFonts w:eastAsiaTheme="minorEastAsia"/>
                <w:i/>
                <w:lang w:eastAsia="en-AU"/>
              </w:rPr>
              <w:t>Financial Management Act</w:t>
            </w:r>
            <w:r w:rsidRPr="003E2DBE">
              <w:rPr>
                <w:rFonts w:eastAsiaTheme="minorEastAsia"/>
                <w:lang w:eastAsia="en-AU"/>
              </w:rPr>
              <w:t xml:space="preserve">, </w:t>
            </w:r>
            <w:r w:rsidRPr="003E2DBE">
              <w:rPr>
                <w:rFonts w:eastAsiaTheme="minorEastAsia"/>
                <w:i/>
                <w:lang w:eastAsia="en-AU"/>
              </w:rPr>
              <w:t>No. 18 of 1994</w:t>
            </w:r>
            <w:r w:rsidRPr="003E2DBE">
              <w:rPr>
                <w:rFonts w:eastAsiaTheme="minorEastAsia"/>
                <w:lang w:eastAsia="en-AU"/>
              </w:rPr>
              <w:t>)</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2 829 504</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2 421 260</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28 </w:t>
            </w:r>
            <w:r w:rsidRPr="003E2DBE">
              <w:rPr>
                <w:rFonts w:eastAsiaTheme="minorEastAsia"/>
                <w:i/>
                <w:lang w:eastAsia="en-AU"/>
              </w:rPr>
              <w:t>Financial Management Act</w:t>
            </w:r>
            <w:r w:rsidRPr="003E2DBE">
              <w:rPr>
                <w:rFonts w:eastAsiaTheme="minorEastAsia"/>
                <w:lang w:eastAsia="en-AU"/>
              </w:rPr>
              <w:t>,</w:t>
            </w:r>
            <w:r w:rsidRPr="003E2DBE">
              <w:rPr>
                <w:rFonts w:eastAsiaTheme="minorEastAsia"/>
                <w:i/>
                <w:lang w:eastAsia="en-AU"/>
              </w:rPr>
              <w:t xml:space="preserve"> No. 18 of 1994</w:t>
            </w:r>
            <w:r w:rsidRPr="003E2DBE">
              <w:rPr>
                <w:rFonts w:eastAsiaTheme="minorEastAsia"/>
                <w:lang w:eastAsia="en-AU"/>
              </w:rPr>
              <w:t xml:space="preserve"> (Appropriation for borrowing against future appropriations) </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6 000</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33 </w:t>
            </w:r>
            <w:r w:rsidRPr="003E2DBE">
              <w:rPr>
                <w:rFonts w:eastAsiaTheme="minorEastAsia"/>
                <w:i/>
                <w:lang w:eastAsia="en-AU"/>
              </w:rPr>
              <w:t>Financial Management Act</w:t>
            </w:r>
            <w:r w:rsidRPr="003E2DBE">
              <w:rPr>
                <w:rFonts w:eastAsiaTheme="minorEastAsia"/>
                <w:lang w:eastAsia="en-AU"/>
              </w:rPr>
              <w:t xml:space="preserve">, </w:t>
            </w:r>
            <w:r w:rsidRPr="003E2DBE">
              <w:rPr>
                <w:rFonts w:eastAsiaTheme="minorEastAsia"/>
                <w:i/>
                <w:lang w:eastAsia="en-AU"/>
              </w:rPr>
              <w:t>No. 18 of 1994</w:t>
            </w:r>
          </w:p>
        </w:tc>
        <w:tc>
          <w:tcPr>
            <w:tcW w:w="1485"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142 877</w:t>
            </w:r>
          </w:p>
        </w:tc>
        <w:tc>
          <w:tcPr>
            <w:tcW w:w="1486"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133 451</w:t>
            </w:r>
          </w:p>
        </w:tc>
      </w:tr>
      <w:tr w:rsidR="000B4A1E" w:rsidRPr="003E2DBE" w:rsidTr="00517E51">
        <w:tc>
          <w:tcPr>
            <w:tcW w:w="6677" w:type="dxa"/>
            <w:tcBorders>
              <w:top w:val="single" w:sz="6"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special appropriations</w:t>
            </w:r>
          </w:p>
        </w:tc>
        <w:tc>
          <w:tcPr>
            <w:tcW w:w="1485"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2 972 381</w:t>
            </w:r>
          </w:p>
        </w:tc>
        <w:tc>
          <w:tcPr>
            <w:tcW w:w="148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2 560 710</w:t>
            </w:r>
          </w:p>
        </w:tc>
      </w:tr>
      <w:tr w:rsidR="000B4A1E" w:rsidRPr="003E2DBE" w:rsidTr="00517E51">
        <w:trPr>
          <w:trHeight w:hRule="exact" w:val="120"/>
        </w:trPr>
        <w:tc>
          <w:tcPr>
            <w:tcW w:w="6677"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Annual appropriations</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Provision of outputs</w:t>
            </w:r>
            <w:r>
              <w:rPr>
                <w:rFonts w:eastAsiaTheme="minorEastAsia"/>
                <w:lang w:eastAsia="en-AU"/>
              </w:rPr>
              <w:t xml:space="preserve"> – </w:t>
            </w:r>
            <w:r w:rsidRPr="003E2DBE">
              <w:rPr>
                <w:rFonts w:eastAsiaTheme="minorEastAsia"/>
                <w:lang w:eastAsia="en-AU"/>
              </w:rPr>
              <w:t>net application</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30 451 865</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32 508 610</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29 </w:t>
            </w:r>
            <w:r w:rsidRPr="003E2DBE">
              <w:rPr>
                <w:rFonts w:eastAsiaTheme="minorEastAsia"/>
                <w:i/>
                <w:lang w:eastAsia="en-AU"/>
              </w:rPr>
              <w:t>Financial Management Act, No. 18 of 1994</w:t>
            </w:r>
            <w:r w:rsidRPr="003E2DBE">
              <w:rPr>
                <w:rFonts w:eastAsiaTheme="minorEastAsia"/>
                <w:lang w:eastAsia="en-AU"/>
              </w:rPr>
              <w:t xml:space="preserve"> (appropriation of annotated receipts)</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2 900 179</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2 610 502</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r w:rsidRPr="003E2DBE">
              <w:rPr>
                <w:rFonts w:eastAsiaTheme="minorEastAsia"/>
                <w:lang w:eastAsia="en-AU"/>
              </w:rPr>
              <w:t xml:space="preserve"> (prior year unspent appropriations brought forward) </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706 170</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486 336</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35 </w:t>
            </w:r>
            <w:r w:rsidRPr="003E2DBE">
              <w:rPr>
                <w:rFonts w:eastAsiaTheme="minorEastAsia"/>
                <w:i/>
                <w:lang w:eastAsia="en-AU"/>
              </w:rPr>
              <w:t>Financial Management Act</w:t>
            </w:r>
            <w:r w:rsidRPr="003E2DBE">
              <w:rPr>
                <w:rFonts w:eastAsiaTheme="minorEastAsia"/>
                <w:lang w:eastAsia="en-AU"/>
              </w:rPr>
              <w:t>,</w:t>
            </w:r>
            <w:r w:rsidRPr="003E2DBE">
              <w:rPr>
                <w:rFonts w:eastAsiaTheme="minorEastAsia"/>
                <w:i/>
                <w:lang w:eastAsia="en-AU"/>
              </w:rPr>
              <w:t xml:space="preserve"> No. 18 of 1994</w:t>
            </w:r>
            <w:r w:rsidRPr="003E2DBE">
              <w:rPr>
                <w:rFonts w:eastAsiaTheme="minorEastAsia"/>
                <w:lang w:eastAsia="en-AU"/>
              </w:rPr>
              <w:t xml:space="preserve"> (temporary advances)</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199 822</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Advance to Treasurer to be sanctioned</w:t>
            </w:r>
          </w:p>
        </w:tc>
        <w:tc>
          <w:tcPr>
            <w:tcW w:w="1485"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498 598</w:t>
            </w:r>
          </w:p>
        </w:tc>
        <w:tc>
          <w:tcPr>
            <w:tcW w:w="1486"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771 884</w:t>
            </w:r>
          </w:p>
        </w:tc>
      </w:tr>
      <w:tr w:rsidR="000B4A1E" w:rsidRPr="003E2DBE" w:rsidTr="00517E51">
        <w:tc>
          <w:tcPr>
            <w:tcW w:w="6677" w:type="dxa"/>
            <w:tcBorders>
              <w:top w:val="single" w:sz="6"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provision of outputs</w:t>
            </w:r>
          </w:p>
        </w:tc>
        <w:tc>
          <w:tcPr>
            <w:tcW w:w="1485"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34 756 634</w:t>
            </w:r>
          </w:p>
        </w:tc>
        <w:tc>
          <w:tcPr>
            <w:tcW w:w="148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36 377 333</w:t>
            </w:r>
          </w:p>
        </w:tc>
      </w:tr>
      <w:tr w:rsidR="000B4A1E" w:rsidRPr="003E2DBE" w:rsidTr="00517E51">
        <w:trPr>
          <w:trHeight w:hRule="exact" w:val="120"/>
        </w:trPr>
        <w:tc>
          <w:tcPr>
            <w:tcW w:w="6677"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Additions to net asset base</w:t>
            </w:r>
            <w:r>
              <w:rPr>
                <w:rFonts w:eastAsiaTheme="minorEastAsia"/>
                <w:lang w:eastAsia="en-AU"/>
              </w:rPr>
              <w:t xml:space="preserve"> – </w:t>
            </w:r>
            <w:r w:rsidRPr="003E2DBE">
              <w:rPr>
                <w:rFonts w:eastAsiaTheme="minorEastAsia"/>
                <w:lang w:eastAsia="en-AU"/>
              </w:rPr>
              <w:t>net application</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1 394 897</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1 599 831</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29 </w:t>
            </w:r>
            <w:r w:rsidRPr="003E2DBE">
              <w:rPr>
                <w:rFonts w:eastAsiaTheme="minorEastAsia"/>
                <w:i/>
                <w:lang w:eastAsia="en-AU"/>
              </w:rPr>
              <w:t>Financial Management Act</w:t>
            </w:r>
            <w:r w:rsidRPr="003E2DBE">
              <w:rPr>
                <w:rFonts w:eastAsiaTheme="minorEastAsia"/>
                <w:lang w:eastAsia="en-AU"/>
              </w:rPr>
              <w:t xml:space="preserve">, </w:t>
            </w:r>
            <w:r w:rsidRPr="003E2DBE">
              <w:rPr>
                <w:rFonts w:eastAsiaTheme="minorEastAsia"/>
                <w:i/>
                <w:lang w:eastAsia="en-AU"/>
              </w:rPr>
              <w:t>No. 18 of 1994</w:t>
            </w:r>
            <w:r w:rsidRPr="003E2DBE">
              <w:rPr>
                <w:rFonts w:eastAsiaTheme="minorEastAsia"/>
                <w:lang w:eastAsia="en-AU"/>
              </w:rPr>
              <w:t xml:space="preserve"> (appropriation of annotated receipts)</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560 682</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820 349</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w:t>
            </w:r>
            <w:r w:rsidRPr="003E2DBE">
              <w:rPr>
                <w:rFonts w:eastAsiaTheme="minorEastAsia"/>
                <w:lang w:eastAsia="en-AU"/>
              </w:rPr>
              <w:t xml:space="preserve">, </w:t>
            </w:r>
            <w:r w:rsidRPr="003E2DBE">
              <w:rPr>
                <w:rFonts w:eastAsiaTheme="minorEastAsia"/>
                <w:i/>
                <w:lang w:eastAsia="en-AU"/>
              </w:rPr>
              <w:t>No. 18 of 1994</w:t>
            </w:r>
            <w:r w:rsidRPr="003E2DBE">
              <w:rPr>
                <w:rFonts w:eastAsiaTheme="minorEastAsia"/>
                <w:lang w:eastAsia="en-AU"/>
              </w:rPr>
              <w:t xml:space="preserve"> (prior year unspent appropriations brought forward) </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639 470</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762 607</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35 </w:t>
            </w:r>
            <w:r w:rsidRPr="003E2DBE">
              <w:rPr>
                <w:rFonts w:eastAsiaTheme="minorEastAsia"/>
                <w:i/>
                <w:lang w:eastAsia="en-AU"/>
              </w:rPr>
              <w:t>Financial Management Act</w:t>
            </w:r>
            <w:r w:rsidRPr="003E2DBE">
              <w:rPr>
                <w:rFonts w:eastAsiaTheme="minorEastAsia"/>
                <w:lang w:eastAsia="en-AU"/>
              </w:rPr>
              <w:t xml:space="preserve">, </w:t>
            </w:r>
            <w:r w:rsidRPr="003E2DBE">
              <w:rPr>
                <w:rFonts w:eastAsiaTheme="minorEastAsia"/>
                <w:i/>
                <w:lang w:eastAsia="en-AU"/>
              </w:rPr>
              <w:t>No. 18 of 1994</w:t>
            </w:r>
            <w:r w:rsidRPr="003E2DBE">
              <w:rPr>
                <w:rFonts w:eastAsiaTheme="minorEastAsia"/>
                <w:lang w:eastAsia="en-AU"/>
              </w:rPr>
              <w:t xml:space="preserve"> (temporary advances)</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4 170</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180 388</w:t>
            </w:r>
          </w:p>
        </w:tc>
      </w:tr>
      <w:tr w:rsidR="000B4A1E" w:rsidRPr="003E2DBE" w:rsidTr="00517E51">
        <w:tc>
          <w:tcPr>
            <w:tcW w:w="6677"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Advance to Treasurer to be sanctioned</w:t>
            </w:r>
          </w:p>
        </w:tc>
        <w:tc>
          <w:tcPr>
            <w:tcW w:w="1485"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780</w:t>
            </w:r>
          </w:p>
        </w:tc>
        <w:tc>
          <w:tcPr>
            <w:tcW w:w="1486"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additions to net asset base</w:t>
            </w:r>
          </w:p>
        </w:tc>
        <w:tc>
          <w:tcPr>
            <w:tcW w:w="1485"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2 599 998</w:t>
            </w:r>
          </w:p>
        </w:tc>
        <w:tc>
          <w:tcPr>
            <w:tcW w:w="148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3 363 176</w:t>
            </w:r>
          </w:p>
        </w:tc>
      </w:tr>
      <w:tr w:rsidR="000B4A1E" w:rsidRPr="003E2DBE" w:rsidTr="00517E51">
        <w:trPr>
          <w:trHeight w:hRule="exact" w:val="120"/>
        </w:trPr>
        <w:tc>
          <w:tcPr>
            <w:tcW w:w="6677"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Payments made on behalf of the State</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2 729 763</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2 093 509</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w:t>
            </w:r>
            <w:r w:rsidRPr="003E2DBE">
              <w:rPr>
                <w:rFonts w:eastAsiaTheme="minorEastAsia"/>
                <w:lang w:eastAsia="en-AU"/>
              </w:rPr>
              <w:t xml:space="preserve">, </w:t>
            </w:r>
            <w:r w:rsidRPr="003E2DBE">
              <w:rPr>
                <w:rFonts w:eastAsiaTheme="minorEastAsia"/>
                <w:i/>
                <w:lang w:eastAsia="en-AU"/>
              </w:rPr>
              <w:t>No. 18 of 1994</w:t>
            </w:r>
            <w:r w:rsidRPr="003E2DBE">
              <w:rPr>
                <w:rFonts w:eastAsiaTheme="minorEastAsia"/>
                <w:lang w:eastAsia="en-AU"/>
              </w:rPr>
              <w:t xml:space="preserve"> (prior year unspent appropriations brought forward) </w:t>
            </w:r>
          </w:p>
        </w:tc>
        <w:tc>
          <w:tcPr>
            <w:tcW w:w="1485"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6 764</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813</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Advance to Treasurer to be sanctioned</w:t>
            </w:r>
          </w:p>
        </w:tc>
        <w:tc>
          <w:tcPr>
            <w:tcW w:w="1485"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3 </w:t>
            </w:r>
            <w:r w:rsidRPr="003E2DBE">
              <w:rPr>
                <w:rFonts w:eastAsiaTheme="minorEastAsia" w:cs="Calibri"/>
                <w:szCs w:val="22"/>
                <w:lang w:eastAsia="en-AU"/>
              </w:rPr>
              <w:t>952</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4 251</w:t>
            </w:r>
          </w:p>
        </w:tc>
      </w:tr>
      <w:tr w:rsidR="000B4A1E" w:rsidRPr="003E2DBE" w:rsidTr="001C7CDE">
        <w:tc>
          <w:tcPr>
            <w:tcW w:w="6677"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35 </w:t>
            </w:r>
            <w:r w:rsidRPr="003E2DBE">
              <w:rPr>
                <w:rFonts w:eastAsiaTheme="minorEastAsia"/>
                <w:i/>
                <w:lang w:eastAsia="en-AU"/>
              </w:rPr>
              <w:t>Financial Management Act</w:t>
            </w:r>
            <w:r w:rsidRPr="003E2DBE">
              <w:rPr>
                <w:rFonts w:eastAsiaTheme="minorEastAsia"/>
                <w:lang w:eastAsia="en-AU"/>
              </w:rPr>
              <w:t xml:space="preserve">, </w:t>
            </w:r>
            <w:r w:rsidRPr="003E2DBE">
              <w:rPr>
                <w:rFonts w:eastAsiaTheme="minorEastAsia"/>
                <w:i/>
                <w:lang w:eastAsia="en-AU"/>
              </w:rPr>
              <w:t>No. 18 of 1994</w:t>
            </w:r>
            <w:r w:rsidRPr="003E2DBE">
              <w:rPr>
                <w:rFonts w:eastAsiaTheme="minorEastAsia"/>
                <w:lang w:eastAsia="en-AU"/>
              </w:rPr>
              <w:t xml:space="preserve"> (temporary advances)</w:t>
            </w:r>
          </w:p>
        </w:tc>
        <w:tc>
          <w:tcPr>
            <w:tcW w:w="1485"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486"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30 000</w:t>
            </w:r>
          </w:p>
        </w:tc>
      </w:tr>
      <w:tr w:rsidR="000B4A1E" w:rsidRPr="003E2DBE" w:rsidTr="001C7CDE">
        <w:tc>
          <w:tcPr>
            <w:tcW w:w="6677"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payments made on behalf of State</w:t>
            </w:r>
          </w:p>
        </w:tc>
        <w:tc>
          <w:tcPr>
            <w:tcW w:w="1485"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2 740 479</w:t>
            </w:r>
          </w:p>
        </w:tc>
        <w:tc>
          <w:tcPr>
            <w:tcW w:w="148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2 128 573</w:t>
            </w:r>
          </w:p>
        </w:tc>
      </w:tr>
      <w:tr w:rsidR="000B4A1E" w:rsidRPr="003E2DBE" w:rsidTr="001C7CDE">
        <w:trPr>
          <w:trHeight w:hRule="exact" w:val="120"/>
        </w:trPr>
        <w:tc>
          <w:tcPr>
            <w:tcW w:w="6677" w:type="dxa"/>
            <w:tcBorders>
              <w:top w:val="single" w:sz="12"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85" w:type="dxa"/>
            <w:tcBorders>
              <w:top w:val="single" w:sz="12"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486" w:type="dxa"/>
            <w:tcBorders>
              <w:top w:val="single" w:sz="12"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bl>
    <w:p w:rsidR="000B4A1E" w:rsidRDefault="000B4A1E">
      <w:r>
        <w:br w:type="page"/>
      </w:r>
    </w:p>
    <w:p w:rsidR="000B4A1E" w:rsidRPr="0080733C"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80733C" w:rsidRDefault="000B4A1E" w:rsidP="00517E51">
      <w:pPr>
        <w:pStyle w:val="Heading5"/>
        <w:rPr>
          <w:i/>
        </w:rPr>
      </w:pPr>
      <w:r w:rsidRPr="00D00665">
        <w:t>(a)</w:t>
      </w:r>
      <w:r w:rsidRPr="00D00665">
        <w:tab/>
        <w:t>Consolidated fund receipts and payments for the financial year ended 30 June</w:t>
      </w:r>
      <w:r>
        <w:t xml:space="preserve"> </w:t>
      </w:r>
      <w:r>
        <w:rPr>
          <w:i/>
        </w:rPr>
        <w:t>(continued)</w:t>
      </w:r>
    </w:p>
    <w:p w:rsidR="000B4A1E" w:rsidRDefault="000B4A1E" w:rsidP="00517E51">
      <w:pPr>
        <w:pStyle w:val="million"/>
      </w:pPr>
      <w:r>
        <w:t>($ thousand)</w:t>
      </w:r>
    </w:p>
    <w:tbl>
      <w:tblPr>
        <w:tblW w:w="9648" w:type="dxa"/>
        <w:tblInd w:w="29" w:type="dxa"/>
        <w:tblLayout w:type="fixed"/>
        <w:tblCellMar>
          <w:left w:w="43" w:type="dxa"/>
          <w:right w:w="43" w:type="dxa"/>
        </w:tblCellMar>
        <w:tblLook w:val="0000" w:firstRow="0" w:lastRow="0" w:firstColumn="0" w:lastColumn="0" w:noHBand="0" w:noVBand="0"/>
      </w:tblPr>
      <w:tblGrid>
        <w:gridCol w:w="6677"/>
        <w:gridCol w:w="267"/>
        <w:gridCol w:w="1218"/>
        <w:gridCol w:w="1486"/>
      </w:tblGrid>
      <w:tr w:rsidR="000B4A1E" w:rsidRPr="003E2DBE" w:rsidTr="00517E51">
        <w:trPr>
          <w:cantSplit/>
          <w:tblHeader/>
        </w:trPr>
        <w:tc>
          <w:tcPr>
            <w:tcW w:w="6677" w:type="dxa"/>
            <w:tcBorders>
              <w:top w:val="single" w:sz="4" w:space="0" w:color="1F497D" w:themeColor="text2"/>
              <w:left w:val="single" w:sz="4" w:space="0" w:color="1F497D" w:themeColor="text2"/>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p>
        </w:tc>
        <w:tc>
          <w:tcPr>
            <w:tcW w:w="1485" w:type="dxa"/>
            <w:gridSpan w:val="2"/>
            <w:tcBorders>
              <w:top w:val="single" w:sz="4" w:space="0" w:color="1F497D" w:themeColor="text2"/>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486" w:type="dxa"/>
            <w:tcBorders>
              <w:top w:val="single" w:sz="4" w:space="0" w:color="1F497D" w:themeColor="text2"/>
              <w:left w:val="nil"/>
              <w:bottom w:val="single" w:sz="6" w:space="0" w:color="auto"/>
              <w:right w:val="single" w:sz="4" w:space="0" w:color="1F497D" w:themeColor="text2"/>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ind w:left="187" w:hanging="187"/>
              <w:rPr>
                <w:rFonts w:eastAsiaTheme="minorEastAsia"/>
                <w:b/>
                <w:bCs/>
                <w:lang w:eastAsia="en-AU"/>
              </w:rPr>
            </w:pPr>
            <w:r w:rsidRPr="003E2DBE">
              <w:rPr>
                <w:rFonts w:eastAsiaTheme="minorEastAsia"/>
                <w:b/>
                <w:bCs/>
                <w:lang w:eastAsia="en-AU"/>
              </w:rPr>
              <w:t>Other</w:t>
            </w:r>
          </w:p>
        </w:tc>
        <w:tc>
          <w:tcPr>
            <w:tcW w:w="1485" w:type="dxa"/>
            <w:gridSpan w:val="2"/>
            <w:tcBorders>
              <w:top w:val="nil"/>
              <w:left w:val="nil"/>
              <w:bottom w:val="nil"/>
              <w:right w:val="nil"/>
            </w:tcBorders>
          </w:tcPr>
          <w:p w:rsidR="000B4A1E" w:rsidRPr="003E2DBE" w:rsidRDefault="000B4A1E" w:rsidP="00517E51">
            <w:pPr>
              <w:pStyle w:val="TableofFigures"/>
              <w:keepNext/>
              <w:rPr>
                <w:rFonts w:eastAsiaTheme="minorEastAsia"/>
                <w:lang w:eastAsia="en-AU"/>
              </w:rPr>
            </w:pPr>
          </w:p>
        </w:tc>
        <w:tc>
          <w:tcPr>
            <w:tcW w:w="1486" w:type="dxa"/>
            <w:tcBorders>
              <w:top w:val="nil"/>
              <w:left w:val="nil"/>
              <w:bottom w:val="nil"/>
              <w:right w:val="nil"/>
            </w:tcBorders>
          </w:tcPr>
          <w:p w:rsidR="000B4A1E" w:rsidRPr="003E2DBE" w:rsidRDefault="000B4A1E" w:rsidP="00517E51">
            <w:pPr>
              <w:pStyle w:val="TableofFigures"/>
              <w:keepNext/>
              <w:rPr>
                <w:rFonts w:eastAsiaTheme="minorEastAsia"/>
                <w:lang w:eastAsia="en-AU"/>
              </w:rPr>
            </w:pPr>
            <w:r w:rsidRPr="003E2DBE">
              <w:rPr>
                <w:rFonts w:eastAsiaTheme="minorEastAsia"/>
                <w:lang w:eastAsia="en-AU"/>
              </w:rPr>
              <w:t xml:space="preserve">   </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Contribution by the State under agreements pursuant to Section 25 of the </w:t>
            </w:r>
            <w:r w:rsidRPr="003E2DBE">
              <w:rPr>
                <w:rFonts w:eastAsiaTheme="minorEastAsia"/>
                <w:i/>
                <w:lang w:eastAsia="en-AU"/>
              </w:rPr>
              <w:t>Murray-Darling Basin Act 1993</w:t>
            </w:r>
          </w:p>
        </w:tc>
        <w:tc>
          <w:tcPr>
            <w:tcW w:w="148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30 650</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29 724</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Victorian Law Reform Commission</w:t>
            </w:r>
            <w:r>
              <w:rPr>
                <w:rFonts w:eastAsiaTheme="minorEastAsia"/>
                <w:lang w:eastAsia="en-AU"/>
              </w:rPr>
              <w:t xml:space="preserve"> – </w:t>
            </w:r>
            <w:r w:rsidRPr="003E2DBE">
              <w:rPr>
                <w:rFonts w:eastAsiaTheme="minorEastAsia"/>
                <w:lang w:eastAsia="en-AU"/>
              </w:rPr>
              <w:t xml:space="preserve">pursuant to Section 17(b) of the </w:t>
            </w:r>
            <w:r w:rsidRPr="003E2DBE">
              <w:rPr>
                <w:rFonts w:eastAsiaTheme="minorEastAsia"/>
                <w:i/>
                <w:lang w:eastAsia="en-AU"/>
              </w:rPr>
              <w:t>Victorian Law Reform Commission Act 2000</w:t>
            </w:r>
          </w:p>
        </w:tc>
        <w:tc>
          <w:tcPr>
            <w:tcW w:w="148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791</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894</w:t>
            </w:r>
          </w:p>
        </w:tc>
      </w:tr>
      <w:tr w:rsidR="000B4A1E" w:rsidRPr="003E2DBE" w:rsidTr="00517E51">
        <w:tc>
          <w:tcPr>
            <w:tcW w:w="6677"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Payment to Regional Growth Fund pursuant to Section 4 of the </w:t>
            </w:r>
            <w:r w:rsidRPr="003E2DBE">
              <w:rPr>
                <w:rFonts w:eastAsiaTheme="minorEastAsia"/>
                <w:i/>
                <w:lang w:eastAsia="en-AU"/>
              </w:rPr>
              <w:t>Regional Growth Fund Act</w:t>
            </w:r>
            <w:r w:rsidRPr="003E2DBE">
              <w:rPr>
                <w:rFonts w:eastAsiaTheme="minorEastAsia"/>
                <w:lang w:eastAsia="en-AU"/>
              </w:rPr>
              <w:t xml:space="preserve"> </w:t>
            </w:r>
            <w:r w:rsidRPr="003E2DBE">
              <w:rPr>
                <w:rFonts w:eastAsiaTheme="minorEastAsia"/>
                <w:i/>
                <w:lang w:eastAsia="en-AU"/>
              </w:rPr>
              <w:t>No. 8 of 2011</w:t>
            </w:r>
          </w:p>
        </w:tc>
        <w:tc>
          <w:tcPr>
            <w:tcW w:w="1485"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122 000</w:t>
            </w:r>
          </w:p>
        </w:tc>
        <w:tc>
          <w:tcPr>
            <w:tcW w:w="1486"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127 000</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annual appropriations</w:t>
            </w:r>
          </w:p>
        </w:tc>
        <w:tc>
          <w:tcPr>
            <w:tcW w:w="1485"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40 250 553</w:t>
            </w:r>
          </w:p>
        </w:tc>
        <w:tc>
          <w:tcPr>
            <w:tcW w:w="148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42 026 700</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Applied appropriations remaining unspent relating to the 2012-13 appropriations </w:t>
            </w:r>
          </w:p>
        </w:tc>
        <w:tc>
          <w:tcPr>
            <w:tcW w:w="1485"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573 334)</w:t>
            </w:r>
          </w:p>
        </w:tc>
        <w:tc>
          <w:tcPr>
            <w:tcW w:w="1486"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540 419)</w:t>
            </w:r>
          </w:p>
        </w:tc>
      </w:tr>
      <w:tr w:rsidR="000B4A1E" w:rsidRPr="003E2DBE" w:rsidTr="00517E51">
        <w:tc>
          <w:tcPr>
            <w:tcW w:w="6677"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Total payments </w:t>
            </w:r>
          </w:p>
        </w:tc>
        <w:tc>
          <w:tcPr>
            <w:tcW w:w="1485"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42 649 600</w:t>
            </w:r>
          </w:p>
        </w:tc>
        <w:tc>
          <w:tcPr>
            <w:tcW w:w="1486"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44 046 991</w:t>
            </w:r>
          </w:p>
        </w:tc>
      </w:tr>
      <w:tr w:rsidR="000B4A1E" w:rsidRPr="003E2DBE" w:rsidTr="00517E51">
        <w:trPr>
          <w:trHeight w:hRule="exact" w:val="120"/>
        </w:trPr>
        <w:tc>
          <w:tcPr>
            <w:tcW w:w="6677"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85"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486"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Consolidated fund balance 1 July </w:t>
            </w:r>
          </w:p>
        </w:tc>
        <w:tc>
          <w:tcPr>
            <w:tcW w:w="1485"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432 907</w:t>
            </w:r>
          </w:p>
        </w:tc>
        <w:tc>
          <w:tcPr>
            <w:tcW w:w="148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789 394)</w:t>
            </w:r>
          </w:p>
        </w:tc>
      </w:tr>
      <w:tr w:rsidR="000B4A1E" w:rsidRPr="003E2DBE" w:rsidTr="00517E51">
        <w:tc>
          <w:tcPr>
            <w:tcW w:w="6677"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Add total receipts for year</w:t>
            </w:r>
          </w:p>
        </w:tc>
        <w:tc>
          <w:tcPr>
            <w:tcW w:w="1485"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42 452 057</w:t>
            </w:r>
          </w:p>
        </w:tc>
        <w:tc>
          <w:tcPr>
            <w:tcW w:w="1486"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45 269 293</w:t>
            </w:r>
          </w:p>
        </w:tc>
      </w:tr>
      <w:tr w:rsidR="000B4A1E" w:rsidRPr="003E2DBE" w:rsidTr="00517E51">
        <w:tc>
          <w:tcPr>
            <w:tcW w:w="6677" w:type="dxa"/>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Less total payments for year</w:t>
            </w:r>
          </w:p>
        </w:tc>
        <w:tc>
          <w:tcPr>
            <w:tcW w:w="1485"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( 42 649 600)</w:t>
            </w:r>
          </w:p>
        </w:tc>
        <w:tc>
          <w:tcPr>
            <w:tcW w:w="1486"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( 44 046 991)</w:t>
            </w:r>
          </w:p>
        </w:tc>
      </w:tr>
      <w:tr w:rsidR="000B4A1E" w:rsidRPr="003E2DBE" w:rsidTr="00517E51">
        <w:trPr>
          <w:trHeight w:val="99"/>
        </w:trPr>
        <w:tc>
          <w:tcPr>
            <w:tcW w:w="6677"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Consolidated fund balance 30 June</w:t>
            </w:r>
          </w:p>
        </w:tc>
        <w:tc>
          <w:tcPr>
            <w:tcW w:w="1485" w:type="dxa"/>
            <w:gridSpan w:val="2"/>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235 365</w:t>
            </w:r>
          </w:p>
        </w:tc>
        <w:tc>
          <w:tcPr>
            <w:tcW w:w="1486"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432 907</w:t>
            </w:r>
          </w:p>
        </w:tc>
      </w:tr>
      <w:tr w:rsidR="000B4A1E" w:rsidRPr="003E2DBE" w:rsidTr="00517E51">
        <w:tc>
          <w:tcPr>
            <w:tcW w:w="6677" w:type="dxa"/>
            <w:tcBorders>
              <w:top w:val="single" w:sz="12" w:space="0" w:color="auto"/>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i/>
                <w:sz w:val="18"/>
                <w:lang w:eastAsia="en-AU"/>
              </w:rPr>
              <w:t>Notes</w:t>
            </w:r>
            <w:r w:rsidRPr="003E2DBE">
              <w:rPr>
                <w:rFonts w:eastAsiaTheme="minorEastAsia"/>
                <w:sz w:val="18"/>
                <w:lang w:eastAsia="en-AU"/>
              </w:rPr>
              <w:t>:</w:t>
            </w:r>
          </w:p>
        </w:tc>
        <w:tc>
          <w:tcPr>
            <w:tcW w:w="1485" w:type="dxa"/>
            <w:gridSpan w:val="2"/>
            <w:tcBorders>
              <w:top w:val="single" w:sz="12" w:space="0" w:color="auto"/>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1486" w:type="dxa"/>
            <w:tcBorders>
              <w:top w:val="single" w:sz="12" w:space="0" w:color="auto"/>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r>
      <w:tr w:rsidR="000B4A1E" w:rsidRPr="003E2DBE" w:rsidTr="00517E51">
        <w:trPr>
          <w:trHeight w:hRule="exact" w:val="120"/>
        </w:trPr>
        <w:tc>
          <w:tcPr>
            <w:tcW w:w="6677" w:type="dxa"/>
            <w:tcBorders>
              <w:top w:val="nil"/>
              <w:left w:val="nil"/>
              <w:bottom w:val="nil"/>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 xml:space="preserve"> </w:t>
            </w:r>
          </w:p>
        </w:tc>
        <w:tc>
          <w:tcPr>
            <w:tcW w:w="1485" w:type="dxa"/>
            <w:gridSpan w:val="2"/>
            <w:tcBorders>
              <w:top w:val="nil"/>
              <w:left w:val="nil"/>
              <w:bottom w:val="nil"/>
              <w:right w:val="nil"/>
            </w:tcBorders>
          </w:tcPr>
          <w:p w:rsidR="000B4A1E" w:rsidRPr="003E2DBE" w:rsidRDefault="000B4A1E" w:rsidP="00517E51">
            <w:pPr>
              <w:pStyle w:val="TableofFigures"/>
              <w:rPr>
                <w:rFonts w:eastAsiaTheme="minorEastAsia"/>
                <w:sz w:val="18"/>
                <w:lang w:eastAsia="en-AU"/>
              </w:rPr>
            </w:pPr>
          </w:p>
        </w:tc>
        <w:tc>
          <w:tcPr>
            <w:tcW w:w="1486"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r>
      <w:tr w:rsidR="000B4A1E" w:rsidRPr="003E2DBE" w:rsidTr="00517E51">
        <w:tc>
          <w:tcPr>
            <w:tcW w:w="6944" w:type="dxa"/>
            <w:gridSpan w:val="2"/>
            <w:tcBorders>
              <w:top w:val="nil"/>
              <w:left w:val="nil"/>
              <w:bottom w:val="nil"/>
              <w:right w:val="nil"/>
            </w:tcBorders>
          </w:tcPr>
          <w:p w:rsidR="000B4A1E" w:rsidRPr="003E2DBE" w:rsidRDefault="000B4A1E" w:rsidP="00517E51">
            <w:pPr>
              <w:pStyle w:val="Tabletext"/>
              <w:rPr>
                <w:rFonts w:eastAsiaTheme="minorEastAsia"/>
                <w:i/>
                <w:iCs/>
                <w:sz w:val="18"/>
                <w:lang w:eastAsia="en-AU"/>
              </w:rPr>
            </w:pPr>
            <w:r w:rsidRPr="003E2DBE">
              <w:rPr>
                <w:rFonts w:eastAsiaTheme="minorEastAsia"/>
                <w:i/>
                <w:iCs/>
                <w:sz w:val="18"/>
                <w:lang w:eastAsia="en-AU"/>
              </w:rPr>
              <w:t>Reconciliation of unspent appropriations:</w:t>
            </w:r>
          </w:p>
        </w:tc>
        <w:tc>
          <w:tcPr>
            <w:tcW w:w="1218"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c>
          <w:tcPr>
            <w:tcW w:w="1486" w:type="dxa"/>
            <w:tcBorders>
              <w:top w:val="nil"/>
              <w:left w:val="nil"/>
              <w:bottom w:val="nil"/>
              <w:right w:val="nil"/>
            </w:tcBorders>
          </w:tcPr>
          <w:p w:rsidR="000B4A1E" w:rsidRPr="003E2DBE" w:rsidRDefault="000B4A1E" w:rsidP="00517E51">
            <w:pPr>
              <w:pStyle w:val="TableofFigures"/>
              <w:rPr>
                <w:rFonts w:eastAsiaTheme="minorEastAsia"/>
                <w:sz w:val="18"/>
                <w:lang w:eastAsia="en-AU"/>
              </w:rPr>
            </w:pPr>
            <w:r w:rsidRPr="003E2DBE">
              <w:rPr>
                <w:rFonts w:eastAsiaTheme="minorEastAsia"/>
                <w:sz w:val="18"/>
                <w:lang w:eastAsia="en-AU"/>
              </w:rPr>
              <w:t xml:space="preserve"> </w:t>
            </w:r>
          </w:p>
        </w:tc>
      </w:tr>
      <w:tr w:rsidR="000B4A1E" w:rsidRPr="003E2DBE" w:rsidTr="00517E51">
        <w:tc>
          <w:tcPr>
            <w:tcW w:w="6944" w:type="dxa"/>
            <w:gridSpan w:val="2"/>
            <w:tcBorders>
              <w:top w:val="nil"/>
              <w:left w:val="nil"/>
              <w:bottom w:val="nil"/>
              <w:right w:val="nil"/>
            </w:tcBorders>
          </w:tcPr>
          <w:p w:rsidR="000B4A1E" w:rsidRPr="003E2DBE" w:rsidRDefault="000B4A1E" w:rsidP="00517E51">
            <w:pPr>
              <w:pStyle w:val="Tabletext"/>
              <w:rPr>
                <w:rFonts w:eastAsiaTheme="minorEastAsia"/>
                <w:i/>
                <w:iCs/>
                <w:sz w:val="18"/>
                <w:lang w:eastAsia="en-AU"/>
              </w:rPr>
            </w:pPr>
            <w:r w:rsidRPr="003E2DBE">
              <w:rPr>
                <w:rFonts w:eastAsiaTheme="minorEastAsia"/>
                <w:i/>
                <w:iCs/>
                <w:sz w:val="18"/>
                <w:lang w:eastAsia="en-AU"/>
              </w:rPr>
              <w:t xml:space="preserve">   Applied appropriations unspent at end of year</w:t>
            </w:r>
          </w:p>
        </w:tc>
        <w:tc>
          <w:tcPr>
            <w:tcW w:w="1218" w:type="dxa"/>
            <w:tcBorders>
              <w:top w:val="nil"/>
              <w:left w:val="nil"/>
              <w:bottom w:val="nil"/>
              <w:right w:val="nil"/>
            </w:tcBorders>
          </w:tcPr>
          <w:p w:rsidR="000B4A1E" w:rsidRPr="003E2DBE" w:rsidRDefault="000B4A1E" w:rsidP="00517E51">
            <w:pPr>
              <w:pStyle w:val="TableofFigures"/>
              <w:rPr>
                <w:rFonts w:eastAsiaTheme="minorEastAsia"/>
                <w:i/>
                <w:sz w:val="18"/>
                <w:lang w:eastAsia="en-AU"/>
              </w:rPr>
            </w:pPr>
            <w:r w:rsidRPr="003E2DBE">
              <w:rPr>
                <w:rFonts w:eastAsiaTheme="minorEastAsia"/>
                <w:i/>
                <w:sz w:val="18"/>
                <w:lang w:eastAsia="en-AU"/>
              </w:rPr>
              <w:t>4 654 518</w:t>
            </w:r>
          </w:p>
        </w:tc>
        <w:tc>
          <w:tcPr>
            <w:tcW w:w="1486" w:type="dxa"/>
            <w:tcBorders>
              <w:top w:val="nil"/>
              <w:left w:val="nil"/>
              <w:bottom w:val="nil"/>
              <w:right w:val="nil"/>
            </w:tcBorders>
          </w:tcPr>
          <w:p w:rsidR="000B4A1E" w:rsidRPr="003E2DBE" w:rsidRDefault="000B4A1E" w:rsidP="00517E51">
            <w:pPr>
              <w:pStyle w:val="TableofFigures"/>
              <w:rPr>
                <w:rFonts w:eastAsiaTheme="minorEastAsia"/>
                <w:i/>
                <w:sz w:val="18"/>
                <w:lang w:eastAsia="en-AU"/>
              </w:rPr>
            </w:pPr>
            <w:r w:rsidRPr="003E2DBE">
              <w:rPr>
                <w:rFonts w:eastAsiaTheme="minorEastAsia"/>
                <w:i/>
                <w:sz w:val="18"/>
                <w:lang w:eastAsia="en-AU"/>
              </w:rPr>
              <w:t>4 224 060</w:t>
            </w:r>
          </w:p>
        </w:tc>
      </w:tr>
      <w:tr w:rsidR="000B4A1E" w:rsidRPr="003E2DBE" w:rsidTr="00517E51">
        <w:tc>
          <w:tcPr>
            <w:tcW w:w="6944" w:type="dxa"/>
            <w:gridSpan w:val="2"/>
            <w:tcBorders>
              <w:top w:val="nil"/>
              <w:left w:val="nil"/>
              <w:bottom w:val="nil"/>
              <w:right w:val="nil"/>
            </w:tcBorders>
          </w:tcPr>
          <w:p w:rsidR="000B4A1E" w:rsidRPr="003E2DBE" w:rsidRDefault="000B4A1E" w:rsidP="00517E51">
            <w:pPr>
              <w:pStyle w:val="Tabletext"/>
              <w:ind w:left="151" w:hanging="151"/>
              <w:rPr>
                <w:rFonts w:eastAsiaTheme="minorEastAsia"/>
                <w:i/>
                <w:iCs/>
                <w:sz w:val="18"/>
                <w:lang w:eastAsia="en-AU"/>
              </w:rPr>
            </w:pPr>
            <w:r w:rsidRPr="003E2DBE">
              <w:rPr>
                <w:rFonts w:eastAsiaTheme="minorEastAsia"/>
                <w:i/>
                <w:iCs/>
                <w:sz w:val="18"/>
                <w:lang w:eastAsia="en-AU"/>
              </w:rPr>
              <w:t xml:space="preserve">   add payments made during the year under the </w:t>
            </w:r>
            <w:r w:rsidRPr="003E2DBE">
              <w:rPr>
                <w:rFonts w:eastAsiaTheme="minorEastAsia"/>
                <w:iCs/>
                <w:sz w:val="18"/>
                <w:lang w:eastAsia="en-AU"/>
              </w:rPr>
              <w:t>Financial Management Act, No. 18 of 1994,</w:t>
            </w:r>
            <w:r w:rsidRPr="003E2DBE">
              <w:rPr>
                <w:rFonts w:eastAsiaTheme="minorEastAsia"/>
                <w:i/>
                <w:iCs/>
                <w:sz w:val="18"/>
                <w:lang w:eastAsia="en-AU"/>
              </w:rPr>
              <w:t xml:space="preserve"> Section 33</w:t>
            </w:r>
          </w:p>
        </w:tc>
        <w:tc>
          <w:tcPr>
            <w:tcW w:w="1218" w:type="dxa"/>
            <w:tcBorders>
              <w:top w:val="nil"/>
              <w:left w:val="nil"/>
              <w:bottom w:val="nil"/>
              <w:right w:val="nil"/>
            </w:tcBorders>
          </w:tcPr>
          <w:p w:rsidR="000B4A1E" w:rsidRPr="003E2DBE" w:rsidRDefault="000B4A1E" w:rsidP="00517E51">
            <w:pPr>
              <w:pStyle w:val="TableofFigures"/>
              <w:rPr>
                <w:rFonts w:eastAsiaTheme="minorEastAsia"/>
                <w:i/>
                <w:sz w:val="18"/>
                <w:lang w:eastAsia="en-AU"/>
              </w:rPr>
            </w:pPr>
            <w:r w:rsidRPr="003E2DBE">
              <w:rPr>
                <w:rFonts w:eastAsiaTheme="minorEastAsia"/>
                <w:i/>
                <w:sz w:val="18"/>
                <w:lang w:eastAsia="en-AU"/>
              </w:rPr>
              <w:t xml:space="preserve"> 142 877</w:t>
            </w:r>
          </w:p>
        </w:tc>
        <w:tc>
          <w:tcPr>
            <w:tcW w:w="1486" w:type="dxa"/>
            <w:tcBorders>
              <w:top w:val="nil"/>
              <w:left w:val="nil"/>
              <w:bottom w:val="nil"/>
              <w:right w:val="nil"/>
            </w:tcBorders>
          </w:tcPr>
          <w:p w:rsidR="000B4A1E" w:rsidRPr="003E2DBE" w:rsidRDefault="000B4A1E" w:rsidP="00517E51">
            <w:pPr>
              <w:pStyle w:val="TableofFigures"/>
              <w:rPr>
                <w:rFonts w:eastAsiaTheme="minorEastAsia"/>
                <w:i/>
                <w:sz w:val="18"/>
                <w:lang w:eastAsia="en-AU"/>
              </w:rPr>
            </w:pPr>
            <w:r w:rsidRPr="003E2DBE">
              <w:rPr>
                <w:rFonts w:eastAsiaTheme="minorEastAsia"/>
                <w:i/>
                <w:sz w:val="18"/>
                <w:lang w:eastAsia="en-AU"/>
              </w:rPr>
              <w:t xml:space="preserve"> 133 451</w:t>
            </w:r>
          </w:p>
        </w:tc>
      </w:tr>
      <w:tr w:rsidR="000B4A1E" w:rsidRPr="003E2DBE" w:rsidTr="00517E51">
        <w:tc>
          <w:tcPr>
            <w:tcW w:w="6944" w:type="dxa"/>
            <w:gridSpan w:val="2"/>
            <w:tcBorders>
              <w:top w:val="nil"/>
              <w:left w:val="nil"/>
              <w:bottom w:val="nil"/>
              <w:right w:val="nil"/>
            </w:tcBorders>
          </w:tcPr>
          <w:p w:rsidR="000B4A1E" w:rsidRPr="003E2DBE" w:rsidRDefault="000B4A1E" w:rsidP="00517E51">
            <w:pPr>
              <w:pStyle w:val="Tabletext"/>
              <w:rPr>
                <w:rFonts w:eastAsiaTheme="minorEastAsia"/>
                <w:b/>
                <w:i/>
                <w:iCs/>
                <w:sz w:val="18"/>
                <w:lang w:eastAsia="en-AU"/>
              </w:rPr>
            </w:pPr>
            <w:r w:rsidRPr="003E2DBE">
              <w:rPr>
                <w:rFonts w:eastAsiaTheme="minorEastAsia"/>
                <w:i/>
                <w:iCs/>
                <w:sz w:val="18"/>
                <w:lang w:eastAsia="en-AU"/>
              </w:rPr>
              <w:t xml:space="preserve">   </w:t>
            </w:r>
            <w:r w:rsidRPr="003E2DBE">
              <w:rPr>
                <w:rFonts w:eastAsiaTheme="minorEastAsia"/>
                <w:b/>
                <w:i/>
                <w:iCs/>
                <w:sz w:val="18"/>
                <w:lang w:eastAsia="en-AU"/>
              </w:rPr>
              <w:t>Subtotal</w:t>
            </w:r>
          </w:p>
        </w:tc>
        <w:tc>
          <w:tcPr>
            <w:tcW w:w="1218"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i/>
                <w:iCs/>
                <w:sz w:val="18"/>
                <w:szCs w:val="22"/>
                <w:lang w:eastAsia="en-AU"/>
              </w:rPr>
            </w:pPr>
            <w:r w:rsidRPr="003E2DBE">
              <w:rPr>
                <w:rFonts w:eastAsiaTheme="minorEastAsia"/>
                <w:i/>
                <w:sz w:val="18"/>
                <w:lang w:eastAsia="en-AU"/>
              </w:rPr>
              <w:t>4 797</w:t>
            </w:r>
            <w:r w:rsidRPr="003E2DBE">
              <w:rPr>
                <w:rFonts w:eastAsiaTheme="minorEastAsia" w:cs="Calibri"/>
                <w:i/>
                <w:iCs/>
                <w:sz w:val="18"/>
                <w:szCs w:val="22"/>
                <w:lang w:eastAsia="en-AU"/>
              </w:rPr>
              <w:t xml:space="preserve"> 394</w:t>
            </w:r>
          </w:p>
        </w:tc>
        <w:tc>
          <w:tcPr>
            <w:tcW w:w="1486"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i/>
                <w:iCs/>
                <w:sz w:val="18"/>
                <w:szCs w:val="22"/>
                <w:lang w:eastAsia="en-AU"/>
              </w:rPr>
            </w:pPr>
            <w:r w:rsidRPr="003E2DBE">
              <w:rPr>
                <w:rFonts w:eastAsiaTheme="minorEastAsia"/>
                <w:i/>
                <w:sz w:val="18"/>
                <w:lang w:eastAsia="en-AU"/>
              </w:rPr>
              <w:t>4 357</w:t>
            </w:r>
            <w:r w:rsidRPr="003E2DBE">
              <w:rPr>
                <w:rFonts w:eastAsiaTheme="minorEastAsia" w:cs="Calibri"/>
                <w:i/>
                <w:iCs/>
                <w:sz w:val="18"/>
                <w:szCs w:val="22"/>
                <w:lang w:eastAsia="en-AU"/>
              </w:rPr>
              <w:t xml:space="preserve"> 511</w:t>
            </w:r>
          </w:p>
        </w:tc>
      </w:tr>
      <w:tr w:rsidR="000B4A1E" w:rsidRPr="003E2DBE" w:rsidTr="00517E51">
        <w:tc>
          <w:tcPr>
            <w:tcW w:w="6944" w:type="dxa"/>
            <w:gridSpan w:val="2"/>
            <w:tcBorders>
              <w:top w:val="nil"/>
              <w:left w:val="nil"/>
              <w:bottom w:val="nil"/>
              <w:right w:val="nil"/>
            </w:tcBorders>
          </w:tcPr>
          <w:p w:rsidR="000B4A1E" w:rsidRPr="003E2DBE" w:rsidRDefault="000B4A1E" w:rsidP="00517E51">
            <w:pPr>
              <w:pStyle w:val="Tabletext"/>
              <w:rPr>
                <w:rFonts w:eastAsiaTheme="minorEastAsia" w:cs="Calibri"/>
                <w:i/>
                <w:iCs/>
                <w:sz w:val="18"/>
                <w:szCs w:val="22"/>
                <w:lang w:eastAsia="en-AU"/>
              </w:rPr>
            </w:pPr>
            <w:r w:rsidRPr="003E2DBE">
              <w:rPr>
                <w:rFonts w:eastAsiaTheme="minorEastAsia"/>
                <w:b/>
                <w:bCs/>
                <w:i/>
                <w:iCs/>
                <w:sz w:val="18"/>
                <w:lang w:eastAsia="en-AU"/>
              </w:rPr>
              <w:t xml:space="preserve">   </w:t>
            </w:r>
            <w:r w:rsidRPr="003E2DBE">
              <w:rPr>
                <w:rFonts w:eastAsiaTheme="minorEastAsia"/>
                <w:bCs/>
                <w:i/>
                <w:iCs/>
                <w:sz w:val="18"/>
                <w:lang w:eastAsia="en-AU"/>
              </w:rPr>
              <w:t>less</w:t>
            </w:r>
            <w:r w:rsidRPr="003E2DBE">
              <w:rPr>
                <w:rFonts w:eastAsiaTheme="minorEastAsia"/>
                <w:b/>
                <w:bCs/>
                <w:i/>
                <w:iCs/>
                <w:sz w:val="18"/>
                <w:lang w:eastAsia="en-AU"/>
              </w:rPr>
              <w:t xml:space="preserve"> </w:t>
            </w:r>
            <w:r w:rsidRPr="003E2DBE">
              <w:rPr>
                <w:rFonts w:eastAsiaTheme="minorEastAsia" w:cs="Calibri"/>
                <w:i/>
                <w:iCs/>
                <w:sz w:val="18"/>
                <w:szCs w:val="22"/>
                <w:lang w:eastAsia="en-AU"/>
              </w:rPr>
              <w:t>applied appropriations unspent at beginning of year</w:t>
            </w:r>
          </w:p>
        </w:tc>
        <w:tc>
          <w:tcPr>
            <w:tcW w:w="1218" w:type="dxa"/>
            <w:tcBorders>
              <w:top w:val="nil"/>
              <w:left w:val="nil"/>
              <w:bottom w:val="nil"/>
              <w:right w:val="nil"/>
            </w:tcBorders>
          </w:tcPr>
          <w:p w:rsidR="000B4A1E" w:rsidRPr="003E2DBE" w:rsidRDefault="000B4A1E" w:rsidP="00517E51">
            <w:pPr>
              <w:pStyle w:val="TableofFigures"/>
              <w:rPr>
                <w:rFonts w:eastAsiaTheme="minorEastAsia" w:cs="Calibri"/>
                <w:i/>
                <w:iCs/>
                <w:sz w:val="18"/>
                <w:szCs w:val="22"/>
                <w:lang w:eastAsia="en-AU"/>
              </w:rPr>
            </w:pPr>
            <w:r w:rsidRPr="003E2DBE">
              <w:rPr>
                <w:rFonts w:eastAsiaTheme="minorEastAsia"/>
                <w:i/>
                <w:sz w:val="18"/>
                <w:lang w:eastAsia="en-AU"/>
              </w:rPr>
              <w:t xml:space="preserve">( 4 224 </w:t>
            </w:r>
            <w:r w:rsidRPr="003E2DBE">
              <w:rPr>
                <w:rFonts w:eastAsiaTheme="minorEastAsia" w:cs="Calibri"/>
                <w:i/>
                <w:iCs/>
                <w:sz w:val="18"/>
                <w:szCs w:val="22"/>
                <w:lang w:eastAsia="en-AU"/>
              </w:rPr>
              <w:t>060)</w:t>
            </w:r>
          </w:p>
        </w:tc>
        <w:tc>
          <w:tcPr>
            <w:tcW w:w="1486" w:type="dxa"/>
            <w:tcBorders>
              <w:top w:val="nil"/>
              <w:left w:val="nil"/>
              <w:bottom w:val="nil"/>
              <w:right w:val="nil"/>
            </w:tcBorders>
          </w:tcPr>
          <w:p w:rsidR="000B4A1E" w:rsidRPr="003E2DBE" w:rsidRDefault="000B4A1E" w:rsidP="00517E51">
            <w:pPr>
              <w:pStyle w:val="TableofFigures"/>
              <w:rPr>
                <w:rFonts w:eastAsiaTheme="minorEastAsia" w:cs="Calibri"/>
                <w:i/>
                <w:iCs/>
                <w:sz w:val="18"/>
                <w:szCs w:val="22"/>
                <w:lang w:eastAsia="en-AU"/>
              </w:rPr>
            </w:pPr>
            <w:r w:rsidRPr="003E2DBE">
              <w:rPr>
                <w:rFonts w:eastAsiaTheme="minorEastAsia"/>
                <w:i/>
                <w:sz w:val="18"/>
                <w:lang w:eastAsia="en-AU"/>
              </w:rPr>
              <w:t xml:space="preserve">( 3 817 </w:t>
            </w:r>
            <w:r w:rsidRPr="003E2DBE">
              <w:rPr>
                <w:rFonts w:eastAsiaTheme="minorEastAsia" w:cs="Calibri"/>
                <w:i/>
                <w:iCs/>
                <w:sz w:val="18"/>
                <w:szCs w:val="22"/>
                <w:lang w:eastAsia="en-AU"/>
              </w:rPr>
              <w:t>092)</w:t>
            </w:r>
          </w:p>
        </w:tc>
      </w:tr>
      <w:tr w:rsidR="000B4A1E" w:rsidRPr="003E2DBE" w:rsidTr="00517E51">
        <w:tc>
          <w:tcPr>
            <w:tcW w:w="6944" w:type="dxa"/>
            <w:gridSpan w:val="2"/>
            <w:tcBorders>
              <w:top w:val="nil"/>
              <w:left w:val="nil"/>
              <w:bottom w:val="nil"/>
              <w:right w:val="nil"/>
            </w:tcBorders>
          </w:tcPr>
          <w:p w:rsidR="000B4A1E" w:rsidRPr="003E2DBE" w:rsidRDefault="000B4A1E" w:rsidP="00517E51">
            <w:pPr>
              <w:pStyle w:val="Tabletext"/>
              <w:rPr>
                <w:rFonts w:eastAsiaTheme="minorEastAsia" w:cs="Calibri"/>
                <w:i/>
                <w:iCs/>
                <w:sz w:val="18"/>
                <w:szCs w:val="22"/>
                <w:lang w:eastAsia="en-AU"/>
              </w:rPr>
            </w:pPr>
            <w:r w:rsidRPr="003E2DBE">
              <w:rPr>
                <w:rFonts w:eastAsiaTheme="minorEastAsia"/>
                <w:i/>
                <w:iCs/>
                <w:sz w:val="18"/>
                <w:lang w:eastAsia="en-AU"/>
              </w:rPr>
              <w:t xml:space="preserve">   Current year appropriations remaining unspent as at 30 </w:t>
            </w:r>
            <w:r w:rsidRPr="003E2DBE">
              <w:rPr>
                <w:rFonts w:eastAsiaTheme="minorEastAsia" w:cs="Calibri"/>
                <w:i/>
                <w:iCs/>
                <w:sz w:val="18"/>
                <w:szCs w:val="22"/>
                <w:lang w:eastAsia="en-AU"/>
              </w:rPr>
              <w:t xml:space="preserve">June </w:t>
            </w:r>
          </w:p>
        </w:tc>
        <w:tc>
          <w:tcPr>
            <w:tcW w:w="1218" w:type="dxa"/>
            <w:tcBorders>
              <w:top w:val="nil"/>
              <w:left w:val="nil"/>
              <w:bottom w:val="single" w:sz="6" w:space="0" w:color="auto"/>
              <w:right w:val="nil"/>
            </w:tcBorders>
          </w:tcPr>
          <w:p w:rsidR="000B4A1E" w:rsidRPr="003E2DBE" w:rsidRDefault="000B4A1E" w:rsidP="00517E51">
            <w:pPr>
              <w:pStyle w:val="TableofFigures"/>
              <w:rPr>
                <w:rFonts w:eastAsiaTheme="minorEastAsia"/>
                <w:i/>
                <w:sz w:val="18"/>
                <w:lang w:eastAsia="en-AU"/>
              </w:rPr>
            </w:pPr>
            <w:r w:rsidRPr="003E2DBE">
              <w:rPr>
                <w:rFonts w:eastAsiaTheme="minorEastAsia"/>
                <w:i/>
                <w:sz w:val="18"/>
                <w:lang w:eastAsia="en-AU"/>
              </w:rPr>
              <w:t xml:space="preserve"> 573 334</w:t>
            </w:r>
          </w:p>
        </w:tc>
        <w:tc>
          <w:tcPr>
            <w:tcW w:w="1486" w:type="dxa"/>
            <w:tcBorders>
              <w:top w:val="nil"/>
              <w:left w:val="nil"/>
              <w:bottom w:val="single" w:sz="6" w:space="0" w:color="auto"/>
              <w:right w:val="nil"/>
            </w:tcBorders>
          </w:tcPr>
          <w:p w:rsidR="000B4A1E" w:rsidRPr="003E2DBE" w:rsidRDefault="000B4A1E" w:rsidP="00517E51">
            <w:pPr>
              <w:pStyle w:val="TableofFigures"/>
              <w:rPr>
                <w:rFonts w:eastAsiaTheme="minorEastAsia"/>
                <w:i/>
                <w:sz w:val="18"/>
                <w:lang w:eastAsia="en-AU"/>
              </w:rPr>
            </w:pPr>
            <w:r w:rsidRPr="003E2DBE">
              <w:rPr>
                <w:rFonts w:eastAsiaTheme="minorEastAsia"/>
                <w:i/>
                <w:sz w:val="18"/>
                <w:lang w:eastAsia="en-AU"/>
              </w:rPr>
              <w:t xml:space="preserve"> 540 419</w:t>
            </w:r>
          </w:p>
        </w:tc>
      </w:tr>
    </w:tbl>
    <w:p w:rsidR="000B4A1E" w:rsidRPr="00D00665" w:rsidRDefault="000B4A1E" w:rsidP="00517E51">
      <w:pPr>
        <w:pStyle w:val="million"/>
      </w:pPr>
    </w:p>
    <w:p w:rsidR="000B4A1E" w:rsidRPr="00D00665" w:rsidRDefault="000B4A1E" w:rsidP="00517E51">
      <w:pPr>
        <w:pStyle w:val="Notes"/>
      </w:pPr>
    </w:p>
    <w:p w:rsidR="000B4A1E" w:rsidRPr="00D00665" w:rsidRDefault="000B4A1E">
      <w:pPr>
        <w:pStyle w:val="Notes"/>
      </w:pPr>
    </w:p>
    <w:p w:rsidR="000B4A1E" w:rsidRPr="00D00665" w:rsidRDefault="000B4A1E" w:rsidP="00517E51">
      <w:pPr>
        <w:pStyle w:val="Heading2NotesContd"/>
      </w:pPr>
      <w:r w:rsidRPr="00D00665">
        <w:br w:type="page"/>
      </w:r>
    </w:p>
    <w:p w:rsidR="000B4A1E" w:rsidRPr="0080733C"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pPr>
      <w:r w:rsidRPr="00D00665">
        <w:t>(b)</w:t>
      </w:r>
      <w:r w:rsidRPr="00D00665">
        <w:tab/>
        <w:t>Consolidated fund gross receipts for the financial year ended 30 June</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6314"/>
        <w:gridCol w:w="1088"/>
        <w:gridCol w:w="1123"/>
        <w:gridCol w:w="1123"/>
      </w:tblGrid>
      <w:tr w:rsidR="000B4A1E" w:rsidRPr="003E2DBE" w:rsidTr="00517E51">
        <w:trPr>
          <w:cantSplit/>
          <w:tblHeader/>
        </w:trPr>
        <w:tc>
          <w:tcPr>
            <w:tcW w:w="631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w:t>
            </w:r>
          </w:p>
        </w:tc>
        <w:tc>
          <w:tcPr>
            <w:tcW w:w="1088"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Estimate</w:t>
            </w:r>
          </w:p>
        </w:tc>
        <w:tc>
          <w:tcPr>
            <w:tcW w:w="1123"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Actual</w:t>
            </w:r>
          </w:p>
        </w:tc>
        <w:tc>
          <w:tcPr>
            <w:tcW w:w="1123"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 xml:space="preserve">Actual </w:t>
            </w:r>
          </w:p>
        </w:tc>
      </w:tr>
      <w:tr w:rsidR="000B4A1E" w:rsidRPr="003E2DBE" w:rsidTr="00517E51">
        <w:trPr>
          <w:cantSplit/>
          <w:tblHeader/>
        </w:trPr>
        <w:tc>
          <w:tcPr>
            <w:tcW w:w="6314"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w:t>
            </w:r>
          </w:p>
        </w:tc>
        <w:tc>
          <w:tcPr>
            <w:tcW w:w="1088"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2012</w:t>
            </w:r>
          </w:p>
        </w:tc>
      </w:tr>
      <w:tr w:rsidR="000B4A1E" w:rsidRPr="003E2DBE" w:rsidTr="00517E51">
        <w:tc>
          <w:tcPr>
            <w:tcW w:w="6314" w:type="dxa"/>
            <w:tcBorders>
              <w:top w:val="single" w:sz="4" w:space="0" w:color="auto"/>
              <w:left w:val="nil"/>
              <w:bottom w:val="nil"/>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Operating activities</w:t>
            </w:r>
          </w:p>
        </w:tc>
        <w:tc>
          <w:tcPr>
            <w:tcW w:w="1088"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r>
      <w:tr w:rsidR="000B4A1E" w:rsidRPr="003E2DBE" w:rsidTr="00517E51">
        <w:trPr>
          <w:trHeight w:hRule="exact" w:val="120"/>
        </w:trPr>
        <w:tc>
          <w:tcPr>
            <w:tcW w:w="6314" w:type="dxa"/>
            <w:tcBorders>
              <w:top w:val="nil"/>
              <w:left w:val="nil"/>
              <w:bottom w:val="nil"/>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 xml:space="preserve"> </w:t>
            </w:r>
          </w:p>
        </w:tc>
        <w:tc>
          <w:tcPr>
            <w:tcW w:w="1088"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Taxation</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Payroll tax</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5 328 791</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5 278 657</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5 210 287</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Land tax</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1 552 852</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1 570 543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1 378 403</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Congestion levy</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46 768</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48 203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46 106</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Cs w:val="22"/>
                <w:vertAlign w:val="superscript"/>
                <w:lang w:eastAsia="en-AU"/>
              </w:rPr>
            </w:pPr>
            <w:r w:rsidRPr="003E2DBE">
              <w:rPr>
                <w:rFonts w:eastAsiaTheme="minorEastAsia"/>
                <w:sz w:val="21"/>
                <w:szCs w:val="21"/>
                <w:lang w:eastAsia="en-AU"/>
              </w:rPr>
              <w:t xml:space="preserve">    Land transfer duty </w:t>
            </w:r>
            <w:r w:rsidRPr="003E2DBE">
              <w:rPr>
                <w:rFonts w:eastAsiaTheme="minorEastAsia" w:cs="Calibri"/>
                <w:szCs w:val="22"/>
                <w:vertAlign w:val="superscript"/>
                <w:lang w:eastAsia="en-AU"/>
              </w:rPr>
              <w:t>(a)</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2 </w:t>
            </w:r>
            <w:r w:rsidRPr="003E2DBE">
              <w:rPr>
                <w:rFonts w:eastAsiaTheme="minorEastAsia" w:cs="Calibri"/>
                <w:sz w:val="21"/>
                <w:szCs w:val="21"/>
                <w:lang w:eastAsia="en-AU"/>
              </w:rPr>
              <w:t>776 449</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2 </w:t>
            </w:r>
            <w:r w:rsidRPr="003E2DBE">
              <w:rPr>
                <w:rFonts w:eastAsiaTheme="minorEastAsia" w:cs="Calibri"/>
                <w:sz w:val="21"/>
                <w:szCs w:val="21"/>
                <w:lang w:eastAsia="en-AU"/>
              </w:rPr>
              <w:t>872 160</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3 </w:t>
            </w:r>
            <w:r w:rsidRPr="003E2DBE">
              <w:rPr>
                <w:rFonts w:eastAsiaTheme="minorEastAsia" w:cs="Calibri"/>
                <w:sz w:val="21"/>
                <w:szCs w:val="21"/>
                <w:lang w:eastAsia="en-AU"/>
              </w:rPr>
              <w:t>572 463</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Stamp duties </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4 043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3 235</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3 163</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    Financial accommodation levy</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101 550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96 902</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83 126</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Levies on statutory corporations</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70 150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69 420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69 420</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b/>
                <w:bCs/>
                <w:szCs w:val="22"/>
                <w:vertAlign w:val="superscript"/>
                <w:lang w:eastAsia="en-AU"/>
              </w:rPr>
            </w:pPr>
            <w:r w:rsidRPr="003E2DBE">
              <w:rPr>
                <w:rFonts w:eastAsiaTheme="minorEastAsia"/>
                <w:b/>
                <w:sz w:val="21"/>
                <w:szCs w:val="21"/>
                <w:lang w:eastAsia="en-AU"/>
              </w:rPr>
              <w:t xml:space="preserve">Gambling </w:t>
            </w:r>
            <w:r w:rsidRPr="003E2DBE">
              <w:rPr>
                <w:rFonts w:eastAsiaTheme="minorEastAsia"/>
                <w:b/>
                <w:sz w:val="21"/>
                <w:szCs w:val="21"/>
                <w:vertAlign w:val="superscript"/>
                <w:lang w:eastAsia="en-AU"/>
              </w:rPr>
              <w:t>(</w:t>
            </w:r>
            <w:r w:rsidRPr="003E2DBE">
              <w:rPr>
                <w:rFonts w:eastAsiaTheme="minorEastAsia" w:cs="Calibri"/>
                <w:b/>
                <w:bCs/>
                <w:szCs w:val="22"/>
                <w:vertAlign w:val="superscript"/>
                <w:lang w:eastAsia="en-AU"/>
              </w:rPr>
              <w:t>a)</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    Private </w:t>
            </w:r>
            <w:r w:rsidRPr="003E2DBE">
              <w:rPr>
                <w:rFonts w:eastAsiaTheme="minorEastAsia" w:cs="Calibri"/>
                <w:sz w:val="21"/>
                <w:szCs w:val="21"/>
                <w:lang w:eastAsia="en-AU"/>
              </w:rPr>
              <w:t>lotteries</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441</w:t>
            </w:r>
            <w:r w:rsidRPr="003E2DBE">
              <w:rPr>
                <w:rFonts w:eastAsiaTheme="minorEastAsia" w:cs="Calibri"/>
                <w:sz w:val="21"/>
                <w:szCs w:val="21"/>
                <w:lang w:eastAsia="en-AU"/>
              </w:rPr>
              <w:t xml:space="preserve"> 733</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464</w:t>
            </w:r>
            <w:r w:rsidRPr="003E2DBE">
              <w:rPr>
                <w:rFonts w:eastAsiaTheme="minorEastAsia" w:cs="Calibri"/>
                <w:sz w:val="21"/>
                <w:szCs w:val="21"/>
                <w:lang w:eastAsia="en-AU"/>
              </w:rPr>
              <w:t xml:space="preserve"> 307</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425</w:t>
            </w:r>
            <w:r w:rsidRPr="003E2DBE">
              <w:rPr>
                <w:rFonts w:eastAsiaTheme="minorEastAsia" w:cs="Calibri"/>
                <w:sz w:val="21"/>
                <w:szCs w:val="21"/>
                <w:lang w:eastAsia="en-AU"/>
              </w:rPr>
              <w:t xml:space="preserve"> 889</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    Electronic gaming </w:t>
            </w:r>
            <w:r w:rsidRPr="003E2DBE">
              <w:rPr>
                <w:rFonts w:eastAsiaTheme="minorEastAsia" w:cs="Calibri"/>
                <w:sz w:val="21"/>
                <w:szCs w:val="21"/>
                <w:lang w:eastAsia="en-AU"/>
              </w:rPr>
              <w:t>machines</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1 847 918</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1 138 782</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1 011 845</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Casino taxes</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199 910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200 815</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194 392</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Racing</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95 235</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56 150</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531 117</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    Other </w:t>
            </w:r>
            <w:r w:rsidRPr="003E2DBE">
              <w:rPr>
                <w:rFonts w:eastAsiaTheme="minorEastAsia" w:cs="Calibri"/>
                <w:sz w:val="21"/>
                <w:szCs w:val="21"/>
                <w:lang w:eastAsia="en-AU"/>
              </w:rPr>
              <w:t>gambling</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104 313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100 475</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17 496</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Insurance</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1 025 302</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1 055 795</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984 824</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b/>
                <w:bCs/>
                <w:sz w:val="21"/>
                <w:szCs w:val="21"/>
                <w:lang w:eastAsia="en-AU"/>
              </w:rPr>
            </w:pPr>
            <w:r w:rsidRPr="003E2DBE">
              <w:rPr>
                <w:rFonts w:eastAsiaTheme="minorEastAsia"/>
                <w:b/>
                <w:sz w:val="21"/>
                <w:szCs w:val="21"/>
                <w:lang w:eastAsia="en-AU"/>
              </w:rPr>
              <w:t xml:space="preserve">Motor </w:t>
            </w:r>
            <w:r w:rsidRPr="003E2DBE">
              <w:rPr>
                <w:rFonts w:eastAsiaTheme="minorEastAsia" w:cs="Calibri"/>
                <w:b/>
                <w:bCs/>
                <w:sz w:val="21"/>
                <w:szCs w:val="21"/>
                <w:lang w:eastAsia="en-AU"/>
              </w:rPr>
              <w:t>vehicle</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    Registration fees</w:t>
            </w:r>
            <w:r w:rsidRPr="003E2DBE">
              <w:rPr>
                <w:rFonts w:eastAsiaTheme="minorEastAsia" w:cs="Calibri"/>
                <w:sz w:val="21"/>
                <w:szCs w:val="21"/>
                <w:lang w:eastAsia="en-AU"/>
              </w:rPr>
              <w:t xml:space="preserve"> pursuant to the </w:t>
            </w:r>
            <w:r w:rsidRPr="003E2DBE">
              <w:rPr>
                <w:rFonts w:eastAsiaTheme="minorEastAsia" w:cs="Calibri"/>
                <w:i/>
                <w:sz w:val="21"/>
                <w:szCs w:val="21"/>
                <w:lang w:eastAsia="en-AU"/>
              </w:rPr>
              <w:t>Road Safety Act, No. 127 of 1986</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1 </w:t>
            </w:r>
            <w:r w:rsidRPr="003E2DBE">
              <w:rPr>
                <w:rFonts w:eastAsiaTheme="minorEastAsia" w:cs="Calibri"/>
                <w:sz w:val="21"/>
                <w:szCs w:val="21"/>
                <w:lang w:eastAsia="en-AU"/>
              </w:rPr>
              <w:t>177 923</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1 </w:t>
            </w:r>
            <w:r w:rsidRPr="003E2DBE">
              <w:rPr>
                <w:rFonts w:eastAsiaTheme="minorEastAsia" w:cs="Calibri"/>
                <w:sz w:val="21"/>
                <w:szCs w:val="21"/>
                <w:lang w:eastAsia="en-AU"/>
              </w:rPr>
              <w:t>182 507</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1 </w:t>
            </w:r>
            <w:r w:rsidRPr="003E2DBE">
              <w:rPr>
                <w:rFonts w:eastAsiaTheme="minorEastAsia" w:cs="Calibri"/>
                <w:sz w:val="21"/>
                <w:szCs w:val="21"/>
                <w:lang w:eastAsia="en-AU"/>
              </w:rPr>
              <w:t>015 007</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Stamp duty on vehicle transfers</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647 640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636 088</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584 309</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Franchise fees</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Liquor </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21</w:t>
            </w:r>
            <w:r w:rsidRPr="003E2DBE">
              <w:rPr>
                <w:rFonts w:eastAsiaTheme="minorEastAsia" w:cs="Calibri"/>
                <w:sz w:val="21"/>
                <w:szCs w:val="21"/>
                <w:lang w:eastAsia="en-AU"/>
              </w:rPr>
              <w:t xml:space="preserve"> 813</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22</w:t>
            </w:r>
            <w:r w:rsidRPr="003E2DBE">
              <w:rPr>
                <w:rFonts w:eastAsiaTheme="minorEastAsia" w:cs="Calibri"/>
                <w:sz w:val="21"/>
                <w:szCs w:val="21"/>
                <w:lang w:eastAsia="en-AU"/>
              </w:rPr>
              <w:t xml:space="preserve"> 813</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22</w:t>
            </w:r>
            <w:r w:rsidRPr="003E2DBE">
              <w:rPr>
                <w:rFonts w:eastAsiaTheme="minorEastAsia" w:cs="Calibri"/>
                <w:sz w:val="21"/>
                <w:szCs w:val="21"/>
                <w:lang w:eastAsia="en-AU"/>
              </w:rPr>
              <w:t xml:space="preserve"> 577</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b/>
                <w:sz w:val="21"/>
                <w:szCs w:val="21"/>
                <w:lang w:eastAsia="en-AU"/>
              </w:rPr>
            </w:pPr>
            <w:r w:rsidRPr="003E2DBE">
              <w:rPr>
                <w:rFonts w:eastAsiaTheme="minorEastAsia"/>
                <w:b/>
                <w:sz w:val="21"/>
                <w:szCs w:val="21"/>
                <w:lang w:eastAsia="en-AU"/>
              </w:rPr>
              <w:t>Other taxes</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103 965</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103 965</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27 942</w:t>
            </w:r>
          </w:p>
        </w:tc>
      </w:tr>
      <w:tr w:rsidR="000B4A1E" w:rsidRPr="003E2DBE" w:rsidTr="00517E51">
        <w:tc>
          <w:tcPr>
            <w:tcW w:w="6314" w:type="dxa"/>
            <w:tcBorders>
              <w:top w:val="nil"/>
              <w:left w:val="nil"/>
              <w:bottom w:val="single" w:sz="6" w:space="0" w:color="auto"/>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Growth Areas </w:t>
            </w:r>
            <w:r w:rsidRPr="003E2DBE">
              <w:rPr>
                <w:rFonts w:eastAsiaTheme="minorEastAsia" w:cs="Calibri"/>
                <w:sz w:val="21"/>
                <w:szCs w:val="21"/>
                <w:lang w:eastAsia="en-AU"/>
              </w:rPr>
              <w:t>Infrastructure Contribution</w:t>
            </w:r>
          </w:p>
        </w:tc>
        <w:tc>
          <w:tcPr>
            <w:tcW w:w="1088"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13 312</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16 046</w:t>
            </w:r>
          </w:p>
        </w:tc>
        <w:tc>
          <w:tcPr>
            <w:tcW w:w="1123" w:type="dxa"/>
            <w:tcBorders>
              <w:top w:val="nil"/>
              <w:left w:val="nil"/>
              <w:bottom w:val="single" w:sz="6" w:space="0" w:color="auto"/>
              <w:right w:val="nil"/>
            </w:tcBorders>
            <w:shd w:val="clear" w:color="auto" w:fill="auto"/>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16 137</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Total taxation</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15 559 667</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14 916 863</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15 194 504</w:t>
            </w:r>
          </w:p>
        </w:tc>
      </w:tr>
      <w:tr w:rsidR="000B4A1E" w:rsidRPr="003E2DBE" w:rsidTr="00517E51">
        <w:trPr>
          <w:trHeight w:hRule="exact" w:val="120"/>
        </w:trPr>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b/>
                <w:bCs/>
                <w:sz w:val="21"/>
                <w:szCs w:val="21"/>
                <w:lang w:eastAsia="en-AU"/>
              </w:rPr>
            </w:pPr>
            <w:r w:rsidRPr="003E2DBE">
              <w:rPr>
                <w:rFonts w:eastAsiaTheme="minorEastAsia"/>
                <w:b/>
                <w:bCs/>
                <w:sz w:val="21"/>
                <w:szCs w:val="21"/>
                <w:lang w:eastAsia="en-AU"/>
              </w:rPr>
              <w:t xml:space="preserve">Fines </w:t>
            </w:r>
            <w:r w:rsidRPr="003E2DBE">
              <w:rPr>
                <w:rFonts w:eastAsiaTheme="minorEastAsia" w:cs="Calibri"/>
                <w:b/>
                <w:bCs/>
                <w:sz w:val="21"/>
                <w:szCs w:val="21"/>
                <w:lang w:eastAsia="en-AU"/>
              </w:rPr>
              <w:t>and regulatory fees</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Fines</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354</w:t>
            </w:r>
            <w:r w:rsidRPr="003E2DBE">
              <w:rPr>
                <w:rFonts w:eastAsiaTheme="minorEastAsia" w:cs="Calibri"/>
                <w:sz w:val="21"/>
                <w:szCs w:val="21"/>
                <w:lang w:eastAsia="en-AU"/>
              </w:rPr>
              <w:t xml:space="preserve"> 238</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227</w:t>
            </w:r>
            <w:r w:rsidRPr="003E2DBE">
              <w:rPr>
                <w:rFonts w:eastAsiaTheme="minorEastAsia" w:cs="Calibri"/>
                <w:sz w:val="21"/>
                <w:szCs w:val="21"/>
                <w:lang w:eastAsia="en-AU"/>
              </w:rPr>
              <w:t xml:space="preserve"> 721</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229</w:t>
            </w:r>
            <w:r w:rsidRPr="003E2DBE">
              <w:rPr>
                <w:rFonts w:eastAsiaTheme="minorEastAsia" w:cs="Calibri"/>
                <w:sz w:val="21"/>
                <w:szCs w:val="21"/>
                <w:lang w:eastAsia="en-AU"/>
              </w:rPr>
              <w:t xml:space="preserve"> 128</w:t>
            </w:r>
          </w:p>
        </w:tc>
      </w:tr>
      <w:tr w:rsidR="000B4A1E" w:rsidRPr="003E2DBE" w:rsidTr="00517E51">
        <w:tc>
          <w:tcPr>
            <w:tcW w:w="6314" w:type="dxa"/>
            <w:tcBorders>
              <w:top w:val="nil"/>
              <w:left w:val="nil"/>
              <w:bottom w:val="single" w:sz="6" w:space="0" w:color="auto"/>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Regulatory </w:t>
            </w:r>
            <w:r w:rsidRPr="003E2DBE">
              <w:rPr>
                <w:rFonts w:eastAsiaTheme="minorEastAsia" w:cs="Calibri"/>
                <w:sz w:val="21"/>
                <w:szCs w:val="21"/>
                <w:lang w:eastAsia="en-AU"/>
              </w:rPr>
              <w:t>fees</w:t>
            </w:r>
          </w:p>
        </w:tc>
        <w:tc>
          <w:tcPr>
            <w:tcW w:w="1088"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358 672</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452 434</w:t>
            </w:r>
          </w:p>
        </w:tc>
        <w:tc>
          <w:tcPr>
            <w:tcW w:w="1123" w:type="dxa"/>
            <w:tcBorders>
              <w:top w:val="nil"/>
              <w:left w:val="nil"/>
              <w:bottom w:val="single" w:sz="6" w:space="0" w:color="auto"/>
              <w:right w:val="nil"/>
            </w:tcBorders>
            <w:shd w:val="clear" w:color="auto" w:fill="auto"/>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330 408</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Total</w:t>
            </w:r>
          </w:p>
        </w:tc>
        <w:tc>
          <w:tcPr>
            <w:tcW w:w="1088"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712 909</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680 155</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559 536</w:t>
            </w:r>
          </w:p>
        </w:tc>
      </w:tr>
      <w:tr w:rsidR="000B4A1E" w:rsidRPr="003E2DBE" w:rsidTr="00517E51">
        <w:trPr>
          <w:trHeight w:hRule="exact" w:val="120"/>
        </w:trPr>
        <w:tc>
          <w:tcPr>
            <w:tcW w:w="6314" w:type="dxa"/>
            <w:tcBorders>
              <w:top w:val="nil"/>
              <w:left w:val="nil"/>
              <w:bottom w:val="nil"/>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 xml:space="preserve"> </w:t>
            </w:r>
          </w:p>
        </w:tc>
        <w:tc>
          <w:tcPr>
            <w:tcW w:w="1088"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b/>
                <w:bCs/>
                <w:sz w:val="21"/>
                <w:szCs w:val="21"/>
                <w:lang w:eastAsia="en-AU"/>
              </w:rPr>
            </w:pPr>
            <w:r w:rsidRPr="003E2DBE">
              <w:rPr>
                <w:rFonts w:eastAsiaTheme="minorEastAsia"/>
                <w:b/>
                <w:bCs/>
                <w:sz w:val="21"/>
                <w:szCs w:val="21"/>
                <w:lang w:eastAsia="en-AU"/>
              </w:rPr>
              <w:t xml:space="preserve">Grants </w:t>
            </w:r>
            <w:r w:rsidRPr="003E2DBE">
              <w:rPr>
                <w:rFonts w:eastAsiaTheme="minorEastAsia" w:cs="Calibri"/>
                <w:b/>
                <w:bCs/>
                <w:sz w:val="21"/>
                <w:szCs w:val="21"/>
                <w:lang w:eastAsia="en-AU"/>
              </w:rPr>
              <w:t>received</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sz w:val="21"/>
                <w:szCs w:val="21"/>
                <w:lang w:eastAsia="en-AU"/>
              </w:rPr>
              <w:t xml:space="preserve">    Education and</w:t>
            </w:r>
            <w:r w:rsidRPr="003E2DBE">
              <w:rPr>
                <w:rFonts w:eastAsiaTheme="minorEastAsia" w:cs="Calibri"/>
                <w:sz w:val="21"/>
                <w:szCs w:val="21"/>
                <w:lang w:eastAsia="en-AU"/>
              </w:rPr>
              <w:t xml:space="preserve"> Early </w:t>
            </w:r>
            <w:r w:rsidRPr="003E2DBE">
              <w:rPr>
                <w:rFonts w:eastAsiaTheme="minorEastAsia" w:cs="Calibri"/>
                <w:szCs w:val="22"/>
                <w:lang w:eastAsia="en-AU"/>
              </w:rPr>
              <w:t>Childhood Development</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Cs w:val="22"/>
                <w:vertAlign w:val="superscript"/>
                <w:lang w:eastAsia="en-AU"/>
              </w:rPr>
            </w:pPr>
            <w:r w:rsidRPr="003E2DBE">
              <w:rPr>
                <w:rFonts w:eastAsiaTheme="minorEastAsia"/>
                <w:sz w:val="21"/>
                <w:szCs w:val="21"/>
                <w:lang w:eastAsia="en-AU"/>
              </w:rPr>
              <w:t xml:space="preserve">    Environment and Primary </w:t>
            </w:r>
            <w:r w:rsidRPr="003E2DBE">
              <w:rPr>
                <w:rFonts w:eastAsiaTheme="minorEastAsia" w:cs="Calibri"/>
                <w:sz w:val="21"/>
                <w:szCs w:val="21"/>
                <w:lang w:eastAsia="en-AU"/>
              </w:rPr>
              <w:t xml:space="preserve">Industries </w:t>
            </w:r>
            <w:r w:rsidRPr="003E2DBE">
              <w:rPr>
                <w:rFonts w:eastAsiaTheme="minorEastAsia" w:cs="Calibri"/>
                <w:sz w:val="21"/>
                <w:szCs w:val="21"/>
                <w:vertAlign w:val="superscript"/>
                <w:lang w:eastAsia="en-AU"/>
              </w:rPr>
              <w:t>(b</w:t>
            </w:r>
            <w:r w:rsidRPr="003E2DBE">
              <w:rPr>
                <w:rFonts w:eastAsiaTheme="minorEastAsia" w:cs="Calibri"/>
                <w:szCs w:val="22"/>
                <w:vertAlign w:val="superscript"/>
                <w:lang w:eastAsia="en-AU"/>
              </w:rPr>
              <w:t>)</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sz w:val="21"/>
                <w:szCs w:val="21"/>
                <w:lang w:eastAsia="en-AU"/>
              </w:rPr>
              <w:t xml:space="preserve"> 22 </w:t>
            </w:r>
            <w:r w:rsidRPr="003E2DBE">
              <w:rPr>
                <w:rFonts w:eastAsiaTheme="minorEastAsia" w:cs="Calibri"/>
                <w:szCs w:val="22"/>
                <w:lang w:eastAsia="en-AU"/>
              </w:rPr>
              <w:t>257</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sz w:val="21"/>
                <w:szCs w:val="21"/>
                <w:lang w:eastAsia="en-AU"/>
              </w:rPr>
              <w:t xml:space="preserve"> 27 </w:t>
            </w:r>
            <w:r w:rsidRPr="003E2DBE">
              <w:rPr>
                <w:rFonts w:eastAsiaTheme="minorEastAsia" w:cs="Calibri"/>
                <w:szCs w:val="22"/>
                <w:lang w:eastAsia="en-AU"/>
              </w:rPr>
              <w:t>520</w:t>
            </w:r>
          </w:p>
        </w:tc>
        <w:tc>
          <w:tcPr>
            <w:tcW w:w="1123" w:type="dxa"/>
            <w:tcBorders>
              <w:top w:val="nil"/>
              <w:left w:val="nil"/>
              <w:bottom w:val="nil"/>
              <w:right w:val="nil"/>
            </w:tcBorders>
            <w:shd w:val="clear" w:color="auto" w:fill="auto"/>
          </w:tcPr>
          <w:p w:rsidR="000B4A1E" w:rsidRPr="003E2DBE" w:rsidRDefault="000B4A1E" w:rsidP="00517E51">
            <w:pPr>
              <w:pStyle w:val="TableofFigures"/>
              <w:rPr>
                <w:rFonts w:eastAsiaTheme="minorEastAsia" w:cs="Calibri"/>
                <w:szCs w:val="22"/>
                <w:lang w:eastAsia="en-AU"/>
              </w:rPr>
            </w:pPr>
            <w:r w:rsidRPr="003E2DBE">
              <w:rPr>
                <w:rFonts w:eastAsiaTheme="minorEastAsia"/>
                <w:sz w:val="21"/>
                <w:szCs w:val="21"/>
                <w:lang w:eastAsia="en-AU"/>
              </w:rPr>
              <w:t xml:space="preserve"> 6 </w:t>
            </w:r>
            <w:r w:rsidRPr="003E2DBE">
              <w:rPr>
                <w:rFonts w:eastAsiaTheme="minorEastAsia" w:cs="Calibri"/>
                <w:szCs w:val="22"/>
                <w:lang w:eastAsia="en-AU"/>
              </w:rPr>
              <w:t>698</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Health</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28 </w:t>
            </w:r>
            <w:r w:rsidRPr="003E2DBE">
              <w:rPr>
                <w:rFonts w:eastAsiaTheme="minorEastAsia" w:cs="Calibri"/>
                <w:sz w:val="21"/>
                <w:szCs w:val="21"/>
                <w:lang w:eastAsia="en-AU"/>
              </w:rPr>
              <w:t>571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53 </w:t>
            </w:r>
            <w:r w:rsidRPr="003E2DBE">
              <w:rPr>
                <w:rFonts w:eastAsiaTheme="minorEastAsia" w:cs="Calibri"/>
                <w:sz w:val="21"/>
                <w:szCs w:val="21"/>
                <w:lang w:eastAsia="en-AU"/>
              </w:rPr>
              <w:t>664</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100 </w:t>
            </w:r>
            <w:r w:rsidRPr="003E2DBE">
              <w:rPr>
                <w:rFonts w:eastAsiaTheme="minorEastAsia" w:cs="Calibri"/>
                <w:sz w:val="21"/>
                <w:szCs w:val="21"/>
                <w:lang w:eastAsia="en-AU"/>
              </w:rPr>
              <w:t>744</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    Human </w:t>
            </w:r>
            <w:r w:rsidRPr="003E2DBE">
              <w:rPr>
                <w:rFonts w:eastAsiaTheme="minorEastAsia" w:cs="Calibri"/>
                <w:sz w:val="21"/>
                <w:szCs w:val="21"/>
                <w:lang w:eastAsia="en-AU"/>
              </w:rPr>
              <w:t>Services</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84 913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11 713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130 050</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Justice</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2 829</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    Planning </w:t>
            </w:r>
            <w:r w:rsidRPr="003E2DBE">
              <w:rPr>
                <w:rFonts w:eastAsiaTheme="minorEastAsia" w:cs="Calibri"/>
                <w:sz w:val="21"/>
                <w:szCs w:val="21"/>
                <w:lang w:eastAsia="en-AU"/>
              </w:rPr>
              <w:t>and Community Development</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6 </w:t>
            </w:r>
            <w:r w:rsidRPr="003E2DBE">
              <w:rPr>
                <w:rFonts w:eastAsiaTheme="minorEastAsia" w:cs="Calibri"/>
                <w:sz w:val="21"/>
                <w:szCs w:val="21"/>
                <w:lang w:eastAsia="en-AU"/>
              </w:rPr>
              <w:t>880</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Premier and Cabinet</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Primary Industries</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10 </w:t>
            </w:r>
            <w:r w:rsidRPr="003E2DBE">
              <w:rPr>
                <w:rFonts w:eastAsiaTheme="minorEastAsia" w:cs="Calibri"/>
                <w:sz w:val="21"/>
                <w:szCs w:val="21"/>
                <w:lang w:eastAsia="en-AU"/>
              </w:rPr>
              <w:t>900</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2 </w:t>
            </w:r>
            <w:r w:rsidRPr="003E2DBE">
              <w:rPr>
                <w:rFonts w:eastAsiaTheme="minorEastAsia" w:cs="Calibri"/>
                <w:sz w:val="21"/>
                <w:szCs w:val="21"/>
                <w:lang w:eastAsia="en-AU"/>
              </w:rPr>
              <w:t>779</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3 </w:t>
            </w:r>
            <w:r w:rsidRPr="003E2DBE">
              <w:rPr>
                <w:rFonts w:eastAsiaTheme="minorEastAsia" w:cs="Calibri"/>
                <w:sz w:val="21"/>
                <w:szCs w:val="21"/>
                <w:lang w:eastAsia="en-AU"/>
              </w:rPr>
              <w:t>608</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Cs w:val="22"/>
                <w:vertAlign w:val="superscript"/>
                <w:lang w:eastAsia="en-AU"/>
              </w:rPr>
            </w:pPr>
            <w:r w:rsidRPr="003E2DBE">
              <w:rPr>
                <w:rFonts w:eastAsiaTheme="minorEastAsia"/>
                <w:sz w:val="21"/>
                <w:szCs w:val="21"/>
                <w:lang w:eastAsia="en-AU"/>
              </w:rPr>
              <w:t xml:space="preserve">    State Development,</w:t>
            </w:r>
            <w:r w:rsidRPr="003E2DBE">
              <w:rPr>
                <w:rFonts w:eastAsiaTheme="minorEastAsia" w:cs="Calibri"/>
                <w:sz w:val="21"/>
                <w:szCs w:val="21"/>
                <w:lang w:eastAsia="en-AU"/>
              </w:rPr>
              <w:t xml:space="preserve"> Business</w:t>
            </w:r>
            <w:r w:rsidRPr="003E2DBE">
              <w:rPr>
                <w:rFonts w:eastAsiaTheme="minorEastAsia" w:cs="Calibri"/>
                <w:szCs w:val="22"/>
                <w:lang w:eastAsia="en-AU"/>
              </w:rPr>
              <w:t xml:space="preserve"> and Innovation</w:t>
            </w:r>
            <w:r w:rsidRPr="003E2DBE">
              <w:rPr>
                <w:rFonts w:eastAsiaTheme="minorEastAsia" w:cs="Calibri"/>
                <w:szCs w:val="22"/>
                <w:vertAlign w:val="superscript"/>
                <w:lang w:eastAsia="en-AU"/>
              </w:rPr>
              <w:t xml:space="preserve"> (b)</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5 000</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1 078</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3 259</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Cs w:val="22"/>
                <w:vertAlign w:val="superscript"/>
                <w:lang w:eastAsia="en-AU"/>
              </w:rPr>
            </w:pPr>
            <w:r w:rsidRPr="003E2DBE">
              <w:rPr>
                <w:rFonts w:eastAsiaTheme="minorEastAsia"/>
                <w:sz w:val="21"/>
                <w:szCs w:val="21"/>
                <w:lang w:eastAsia="en-AU"/>
              </w:rPr>
              <w:t xml:space="preserve">    Transport,</w:t>
            </w:r>
            <w:r w:rsidRPr="003E2DBE">
              <w:rPr>
                <w:rFonts w:eastAsiaTheme="minorEastAsia" w:cs="Calibri"/>
                <w:szCs w:val="22"/>
                <w:lang w:eastAsia="en-AU"/>
              </w:rPr>
              <w:t xml:space="preserve"> Planning and Local Infrastructure </w:t>
            </w:r>
            <w:r w:rsidRPr="003E2DBE">
              <w:rPr>
                <w:rFonts w:eastAsiaTheme="minorEastAsia" w:cs="Calibri"/>
                <w:szCs w:val="22"/>
                <w:vertAlign w:val="superscript"/>
                <w:lang w:eastAsia="en-AU"/>
              </w:rPr>
              <w:t>(b)</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    Treasury </w:t>
            </w:r>
            <w:r w:rsidRPr="003E2DBE">
              <w:rPr>
                <w:rFonts w:eastAsiaTheme="minorEastAsia" w:cs="Calibri"/>
                <w:sz w:val="21"/>
                <w:szCs w:val="21"/>
                <w:lang w:eastAsia="en-AU"/>
              </w:rPr>
              <w:t>and Finance</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15 211</w:t>
            </w:r>
            <w:r w:rsidRPr="003E2DBE">
              <w:rPr>
                <w:rFonts w:eastAsiaTheme="minorEastAsia" w:cs="Calibri"/>
                <w:sz w:val="21"/>
                <w:szCs w:val="21"/>
                <w:lang w:eastAsia="en-AU"/>
              </w:rPr>
              <w:t xml:space="preserve"> 187</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15 904</w:t>
            </w:r>
            <w:r w:rsidRPr="003E2DBE">
              <w:rPr>
                <w:rFonts w:eastAsiaTheme="minorEastAsia" w:cs="Calibri"/>
                <w:sz w:val="21"/>
                <w:szCs w:val="21"/>
                <w:lang w:eastAsia="en-AU"/>
              </w:rPr>
              <w:t xml:space="preserve"> 741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18 834</w:t>
            </w:r>
            <w:r w:rsidRPr="003E2DBE">
              <w:rPr>
                <w:rFonts w:eastAsiaTheme="minorEastAsia" w:cs="Calibri"/>
                <w:sz w:val="21"/>
                <w:szCs w:val="21"/>
                <w:lang w:eastAsia="en-AU"/>
              </w:rPr>
              <w:t xml:space="preserve"> 090</w:t>
            </w:r>
          </w:p>
        </w:tc>
      </w:tr>
      <w:tr w:rsidR="000B4A1E" w:rsidRPr="003E2DBE" w:rsidTr="00517E51">
        <w:tc>
          <w:tcPr>
            <w:tcW w:w="6314" w:type="dxa"/>
            <w:tcBorders>
              <w:top w:val="nil"/>
              <w:left w:val="nil"/>
              <w:bottom w:val="single" w:sz="6" w:space="0" w:color="auto"/>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Parliament</w:t>
            </w:r>
          </w:p>
        </w:tc>
        <w:tc>
          <w:tcPr>
            <w:tcW w:w="1088"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r>
      <w:tr w:rsidR="000B4A1E" w:rsidRPr="003E2DBE" w:rsidTr="00517E51">
        <w:tc>
          <w:tcPr>
            <w:tcW w:w="631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 w:val="21"/>
                <w:szCs w:val="21"/>
                <w:lang w:eastAsia="en-AU"/>
              </w:rPr>
            </w:pPr>
            <w:r w:rsidRPr="003E2DBE">
              <w:rPr>
                <w:rFonts w:eastAsiaTheme="minorEastAsia"/>
                <w:b/>
                <w:bCs/>
                <w:sz w:val="21"/>
                <w:szCs w:val="21"/>
                <w:lang w:eastAsia="en-AU"/>
              </w:rPr>
              <w:t>Total grants</w:t>
            </w:r>
            <w:r w:rsidRPr="003E2DBE">
              <w:rPr>
                <w:rFonts w:eastAsiaTheme="minorEastAsia" w:cs="Calibri"/>
                <w:b/>
                <w:bCs/>
                <w:sz w:val="21"/>
                <w:szCs w:val="21"/>
                <w:lang w:eastAsia="en-AU"/>
              </w:rPr>
              <w:t xml:space="preserve"> received</w:t>
            </w:r>
          </w:p>
        </w:tc>
        <w:tc>
          <w:tcPr>
            <w:tcW w:w="108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15 365</w:t>
            </w:r>
            <w:r w:rsidRPr="003E2DBE">
              <w:rPr>
                <w:rFonts w:eastAsiaTheme="minorEastAsia" w:cs="Calibri"/>
                <w:b/>
                <w:bCs/>
                <w:sz w:val="21"/>
                <w:szCs w:val="21"/>
                <w:lang w:eastAsia="en-AU"/>
              </w:rPr>
              <w:t xml:space="preserve"> 656</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16 001</w:t>
            </w:r>
            <w:r w:rsidRPr="003E2DBE">
              <w:rPr>
                <w:rFonts w:eastAsiaTheme="minorEastAsia" w:cs="Calibri"/>
                <w:b/>
                <w:bCs/>
                <w:sz w:val="21"/>
                <w:szCs w:val="21"/>
                <w:lang w:eastAsia="en-AU"/>
              </w:rPr>
              <w:t xml:space="preserve"> 494</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19 085</w:t>
            </w:r>
            <w:r w:rsidRPr="003E2DBE">
              <w:rPr>
                <w:rFonts w:eastAsiaTheme="minorEastAsia" w:cs="Calibri"/>
                <w:b/>
                <w:bCs/>
                <w:sz w:val="21"/>
                <w:szCs w:val="21"/>
                <w:lang w:eastAsia="en-AU"/>
              </w:rPr>
              <w:t xml:space="preserve"> 329</w:t>
            </w:r>
          </w:p>
        </w:tc>
      </w:tr>
      <w:tr w:rsidR="000B4A1E" w:rsidRPr="003E2DBE" w:rsidTr="00517E51">
        <w:trPr>
          <w:trHeight w:hRule="exact" w:val="120"/>
        </w:trPr>
        <w:tc>
          <w:tcPr>
            <w:tcW w:w="6314" w:type="dxa"/>
            <w:tcBorders>
              <w:top w:val="single" w:sz="6" w:space="0" w:color="auto"/>
              <w:left w:val="nil"/>
              <w:bottom w:val="nil"/>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 xml:space="preserve"> </w:t>
            </w:r>
          </w:p>
        </w:tc>
        <w:tc>
          <w:tcPr>
            <w:tcW w:w="1088" w:type="dxa"/>
            <w:tcBorders>
              <w:top w:val="single" w:sz="6" w:space="0" w:color="auto"/>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ind w:left="187" w:hanging="187"/>
              <w:rPr>
                <w:rFonts w:eastAsiaTheme="minorEastAsia" w:cs="Calibri"/>
                <w:b/>
                <w:bCs/>
                <w:sz w:val="21"/>
                <w:szCs w:val="21"/>
                <w:lang w:eastAsia="en-AU"/>
              </w:rPr>
            </w:pPr>
            <w:r w:rsidRPr="003E2DBE">
              <w:rPr>
                <w:rFonts w:eastAsiaTheme="minorEastAsia"/>
                <w:b/>
                <w:bCs/>
                <w:sz w:val="21"/>
                <w:szCs w:val="21"/>
                <w:lang w:eastAsia="en-AU"/>
              </w:rPr>
              <w:t xml:space="preserve">Sales </w:t>
            </w:r>
            <w:r w:rsidRPr="003E2DBE">
              <w:rPr>
                <w:rFonts w:eastAsiaTheme="minorEastAsia" w:cs="Calibri"/>
                <w:b/>
                <w:bCs/>
                <w:sz w:val="21"/>
                <w:szCs w:val="21"/>
                <w:lang w:eastAsia="en-AU"/>
              </w:rPr>
              <w:t>of goods and services</w:t>
            </w:r>
          </w:p>
        </w:tc>
        <w:tc>
          <w:tcPr>
            <w:tcW w:w="1088"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Capital asset charge</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4 </w:t>
            </w:r>
            <w:r w:rsidRPr="003E2DBE">
              <w:rPr>
                <w:rFonts w:eastAsiaTheme="minorEastAsia" w:cs="Calibri"/>
                <w:sz w:val="21"/>
                <w:szCs w:val="21"/>
                <w:lang w:eastAsia="en-AU"/>
              </w:rPr>
              <w:t>026 006</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4 </w:t>
            </w:r>
            <w:r w:rsidRPr="003E2DBE">
              <w:rPr>
                <w:rFonts w:eastAsiaTheme="minorEastAsia" w:cs="Calibri"/>
                <w:sz w:val="21"/>
                <w:szCs w:val="21"/>
                <w:lang w:eastAsia="en-AU"/>
              </w:rPr>
              <w:t>023 019</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3 </w:t>
            </w:r>
            <w:r w:rsidRPr="003E2DBE">
              <w:rPr>
                <w:rFonts w:eastAsiaTheme="minorEastAsia" w:cs="Calibri"/>
                <w:sz w:val="21"/>
                <w:szCs w:val="21"/>
                <w:lang w:eastAsia="en-AU"/>
              </w:rPr>
              <w:t>778 662</w:t>
            </w:r>
          </w:p>
        </w:tc>
      </w:tr>
      <w:tr w:rsidR="000B4A1E" w:rsidRPr="003E2DBE" w:rsidTr="001C7CDE">
        <w:tc>
          <w:tcPr>
            <w:tcW w:w="6314" w:type="dxa"/>
            <w:tcBorders>
              <w:top w:val="nil"/>
              <w:left w:val="nil"/>
              <w:bottom w:val="single" w:sz="6" w:space="0" w:color="auto"/>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Other sales of </w:t>
            </w:r>
            <w:r w:rsidRPr="003E2DBE">
              <w:rPr>
                <w:rFonts w:eastAsiaTheme="minorEastAsia" w:cs="Calibri"/>
                <w:sz w:val="21"/>
                <w:szCs w:val="21"/>
                <w:lang w:eastAsia="en-AU"/>
              </w:rPr>
              <w:t>goods and services</w:t>
            </w:r>
          </w:p>
        </w:tc>
        <w:tc>
          <w:tcPr>
            <w:tcW w:w="1088"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1 212 613</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sz w:val="21"/>
                <w:szCs w:val="21"/>
                <w:lang w:eastAsia="en-AU"/>
              </w:rPr>
              <w:t>1 130 823</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922 482</w:t>
            </w:r>
          </w:p>
        </w:tc>
      </w:tr>
      <w:tr w:rsidR="000B4A1E" w:rsidRPr="003E2DBE" w:rsidTr="001C7CDE">
        <w:tc>
          <w:tcPr>
            <w:tcW w:w="631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Total sales of goods and services</w:t>
            </w:r>
          </w:p>
        </w:tc>
        <w:tc>
          <w:tcPr>
            <w:tcW w:w="1088"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5 238 619</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5 153 842</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4 701 143</w:t>
            </w:r>
          </w:p>
        </w:tc>
      </w:tr>
      <w:tr w:rsidR="000B4A1E" w:rsidRPr="003E2DBE" w:rsidTr="001C7CDE">
        <w:trPr>
          <w:trHeight w:hRule="exact" w:val="120"/>
        </w:trPr>
        <w:tc>
          <w:tcPr>
            <w:tcW w:w="6314" w:type="dxa"/>
            <w:tcBorders>
              <w:top w:val="single" w:sz="12" w:space="0" w:color="auto"/>
              <w:left w:val="nil"/>
              <w:bottom w:val="nil"/>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 xml:space="preserve"> </w:t>
            </w:r>
          </w:p>
        </w:tc>
        <w:tc>
          <w:tcPr>
            <w:tcW w:w="1088" w:type="dxa"/>
            <w:tcBorders>
              <w:top w:val="single" w:sz="12" w:space="0" w:color="auto"/>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single" w:sz="12" w:space="0" w:color="auto"/>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single" w:sz="12" w:space="0" w:color="auto"/>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bl>
    <w:p w:rsidR="000B4A1E" w:rsidRDefault="000B4A1E">
      <w:r>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80733C" w:rsidRDefault="000B4A1E" w:rsidP="00517E51">
      <w:pPr>
        <w:pStyle w:val="Heading5"/>
        <w:rPr>
          <w:i/>
        </w:rPr>
      </w:pPr>
      <w:r w:rsidRPr="00D00665">
        <w:t>(b)</w:t>
      </w:r>
      <w:r w:rsidRPr="00D00665">
        <w:tab/>
        <w:t>Consolidated fund gross receipts for the financial year ended 30 June</w:t>
      </w:r>
      <w:r>
        <w:t xml:space="preserve"> </w:t>
      </w:r>
      <w:r>
        <w:rPr>
          <w:i/>
        </w:rPr>
        <w:t>(continued)</w:t>
      </w:r>
    </w:p>
    <w:p w:rsidR="000B4A1E" w:rsidRDefault="000B4A1E" w:rsidP="00517E51">
      <w:pPr>
        <w:pStyle w:val="million"/>
      </w:pPr>
      <w:r>
        <w:t>($ thousand)</w:t>
      </w:r>
    </w:p>
    <w:tbl>
      <w:tblPr>
        <w:tblW w:w="9648" w:type="dxa"/>
        <w:tblInd w:w="29" w:type="dxa"/>
        <w:tblLayout w:type="fixed"/>
        <w:tblCellMar>
          <w:left w:w="43" w:type="dxa"/>
          <w:right w:w="43" w:type="dxa"/>
        </w:tblCellMar>
        <w:tblLook w:val="0000" w:firstRow="0" w:lastRow="0" w:firstColumn="0" w:lastColumn="0" w:noHBand="0" w:noVBand="0"/>
      </w:tblPr>
      <w:tblGrid>
        <w:gridCol w:w="6314"/>
        <w:gridCol w:w="1088"/>
        <w:gridCol w:w="1123"/>
        <w:gridCol w:w="1123"/>
      </w:tblGrid>
      <w:tr w:rsidR="000B4A1E" w:rsidRPr="003E2DBE" w:rsidTr="00517E51">
        <w:trPr>
          <w:cantSplit/>
          <w:tblHeader/>
        </w:trPr>
        <w:tc>
          <w:tcPr>
            <w:tcW w:w="631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sz w:val="21"/>
                <w:szCs w:val="21"/>
                <w:lang w:eastAsia="en-AU"/>
              </w:rPr>
            </w:pPr>
          </w:p>
        </w:tc>
        <w:tc>
          <w:tcPr>
            <w:tcW w:w="1088"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Estimate</w:t>
            </w:r>
          </w:p>
        </w:tc>
        <w:tc>
          <w:tcPr>
            <w:tcW w:w="1123"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Actual</w:t>
            </w:r>
          </w:p>
        </w:tc>
        <w:tc>
          <w:tcPr>
            <w:tcW w:w="1123"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 xml:space="preserve">Actual </w:t>
            </w:r>
          </w:p>
        </w:tc>
      </w:tr>
      <w:tr w:rsidR="000B4A1E" w:rsidRPr="003E2DBE" w:rsidTr="00517E51">
        <w:trPr>
          <w:cantSplit/>
          <w:tblHeader/>
        </w:trPr>
        <w:tc>
          <w:tcPr>
            <w:tcW w:w="6314"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w:t>
            </w:r>
          </w:p>
        </w:tc>
        <w:tc>
          <w:tcPr>
            <w:tcW w:w="1088"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2013</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sz w:val="21"/>
                <w:szCs w:val="21"/>
                <w:lang w:eastAsia="en-AU"/>
              </w:rPr>
            </w:pPr>
            <w:r w:rsidRPr="003E2DBE">
              <w:rPr>
                <w:rFonts w:eastAsiaTheme="minorEastAsia"/>
                <w:sz w:val="21"/>
                <w:szCs w:val="21"/>
                <w:lang w:eastAsia="en-AU"/>
              </w:rPr>
              <w:t>2012</w:t>
            </w:r>
          </w:p>
        </w:tc>
      </w:tr>
      <w:tr w:rsidR="000B4A1E" w:rsidRPr="0080733C"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b/>
                <w:bCs/>
                <w:sz w:val="21"/>
                <w:szCs w:val="21"/>
                <w:lang w:eastAsia="en-AU"/>
              </w:rPr>
            </w:pPr>
            <w:r w:rsidRPr="003E2DBE">
              <w:rPr>
                <w:rFonts w:eastAsiaTheme="minorEastAsia"/>
                <w:b/>
                <w:bCs/>
                <w:sz w:val="21"/>
                <w:szCs w:val="21"/>
                <w:lang w:eastAsia="en-AU"/>
              </w:rPr>
              <w:t xml:space="preserve">Interest </w:t>
            </w:r>
            <w:r w:rsidRPr="003E2DBE">
              <w:rPr>
                <w:rFonts w:eastAsiaTheme="minorEastAsia" w:cs="Calibri"/>
                <w:b/>
                <w:bCs/>
                <w:sz w:val="21"/>
                <w:szCs w:val="21"/>
                <w:lang w:eastAsia="en-AU"/>
              </w:rPr>
              <w:t>received</w:t>
            </w:r>
          </w:p>
        </w:tc>
        <w:tc>
          <w:tcPr>
            <w:tcW w:w="1088" w:type="dxa"/>
            <w:tcBorders>
              <w:top w:val="nil"/>
              <w:left w:val="nil"/>
              <w:bottom w:val="nil"/>
              <w:right w:val="nil"/>
            </w:tcBorders>
          </w:tcPr>
          <w:p w:rsidR="000B4A1E" w:rsidRPr="0080733C" w:rsidRDefault="000B4A1E" w:rsidP="00517E51">
            <w:pPr>
              <w:pStyle w:val="TableofFigures"/>
              <w:rPr>
                <w:rFonts w:eastAsiaTheme="minorEastAsia" w:cs="Calibri"/>
                <w:b/>
                <w:bCs/>
                <w:sz w:val="21"/>
                <w:szCs w:val="21"/>
                <w:lang w:eastAsia="en-AU"/>
              </w:rPr>
            </w:pPr>
            <w:r w:rsidRPr="0080733C">
              <w:rPr>
                <w:rFonts w:eastAsiaTheme="minorEastAsia"/>
                <w:b/>
                <w:sz w:val="21"/>
                <w:szCs w:val="21"/>
                <w:lang w:eastAsia="en-AU"/>
              </w:rPr>
              <w:t xml:space="preserve"> 302</w:t>
            </w:r>
            <w:r w:rsidRPr="0080733C">
              <w:rPr>
                <w:rFonts w:eastAsiaTheme="minorEastAsia" w:cs="Calibri"/>
                <w:b/>
                <w:bCs/>
                <w:sz w:val="21"/>
                <w:szCs w:val="21"/>
                <w:lang w:eastAsia="en-AU"/>
              </w:rPr>
              <w:t xml:space="preserve"> 587</w:t>
            </w:r>
          </w:p>
        </w:tc>
        <w:tc>
          <w:tcPr>
            <w:tcW w:w="1123" w:type="dxa"/>
            <w:tcBorders>
              <w:top w:val="nil"/>
              <w:left w:val="nil"/>
              <w:bottom w:val="nil"/>
              <w:right w:val="nil"/>
            </w:tcBorders>
          </w:tcPr>
          <w:p w:rsidR="000B4A1E" w:rsidRPr="0080733C" w:rsidRDefault="000B4A1E" w:rsidP="00517E51">
            <w:pPr>
              <w:pStyle w:val="TableofFigures"/>
              <w:rPr>
                <w:rFonts w:eastAsiaTheme="minorEastAsia" w:cs="Calibri"/>
                <w:b/>
                <w:bCs/>
                <w:sz w:val="21"/>
                <w:szCs w:val="21"/>
                <w:lang w:eastAsia="en-AU"/>
              </w:rPr>
            </w:pPr>
            <w:r w:rsidRPr="0080733C">
              <w:rPr>
                <w:rFonts w:eastAsiaTheme="minorEastAsia"/>
                <w:b/>
                <w:sz w:val="21"/>
                <w:szCs w:val="21"/>
                <w:lang w:eastAsia="en-AU"/>
              </w:rPr>
              <w:t xml:space="preserve"> 367</w:t>
            </w:r>
            <w:r w:rsidRPr="0080733C">
              <w:rPr>
                <w:rFonts w:eastAsiaTheme="minorEastAsia" w:cs="Calibri"/>
                <w:b/>
                <w:bCs/>
                <w:sz w:val="21"/>
                <w:szCs w:val="21"/>
                <w:lang w:eastAsia="en-AU"/>
              </w:rPr>
              <w:t xml:space="preserve"> 401</w:t>
            </w:r>
          </w:p>
        </w:tc>
        <w:tc>
          <w:tcPr>
            <w:tcW w:w="1123" w:type="dxa"/>
            <w:tcBorders>
              <w:top w:val="nil"/>
              <w:left w:val="nil"/>
              <w:bottom w:val="nil"/>
              <w:right w:val="nil"/>
            </w:tcBorders>
          </w:tcPr>
          <w:p w:rsidR="000B4A1E" w:rsidRPr="0080733C" w:rsidRDefault="000B4A1E" w:rsidP="00517E51">
            <w:pPr>
              <w:pStyle w:val="TableofFigures"/>
              <w:rPr>
                <w:rFonts w:eastAsiaTheme="minorEastAsia" w:cs="Calibri"/>
                <w:b/>
                <w:bCs/>
                <w:sz w:val="21"/>
                <w:szCs w:val="21"/>
                <w:lang w:eastAsia="en-AU"/>
              </w:rPr>
            </w:pPr>
            <w:r w:rsidRPr="0080733C">
              <w:rPr>
                <w:rFonts w:eastAsiaTheme="minorEastAsia"/>
                <w:b/>
                <w:sz w:val="21"/>
                <w:szCs w:val="21"/>
                <w:lang w:eastAsia="en-AU"/>
              </w:rPr>
              <w:t xml:space="preserve"> 13</w:t>
            </w:r>
            <w:r w:rsidRPr="0080733C">
              <w:rPr>
                <w:rFonts w:eastAsiaTheme="minorEastAsia" w:cs="Calibri"/>
                <w:b/>
                <w:bCs/>
                <w:sz w:val="21"/>
                <w:szCs w:val="21"/>
                <w:lang w:eastAsia="en-AU"/>
              </w:rPr>
              <w:t xml:space="preserve"> 983</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b/>
                <w:bCs/>
                <w:sz w:val="21"/>
                <w:szCs w:val="21"/>
                <w:lang w:eastAsia="en-AU"/>
              </w:rPr>
            </w:pPr>
            <w:r w:rsidRPr="003E2DBE">
              <w:rPr>
                <w:rFonts w:eastAsiaTheme="minorEastAsia"/>
                <w:b/>
                <w:bCs/>
                <w:sz w:val="21"/>
                <w:szCs w:val="21"/>
                <w:lang w:eastAsia="en-AU"/>
              </w:rPr>
              <w:t xml:space="preserve">Dividends and </w:t>
            </w:r>
            <w:r w:rsidRPr="003E2DBE">
              <w:rPr>
                <w:rFonts w:eastAsiaTheme="minorEastAsia" w:cs="Calibri"/>
                <w:b/>
                <w:bCs/>
                <w:sz w:val="21"/>
                <w:szCs w:val="21"/>
                <w:lang w:eastAsia="en-AU"/>
              </w:rPr>
              <w:t>income tax equivalent and rate equivalent revenue</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  Dividends</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840</w:t>
            </w:r>
            <w:r w:rsidRPr="003E2DBE">
              <w:rPr>
                <w:rFonts w:eastAsiaTheme="minorEastAsia" w:cs="Calibri"/>
                <w:sz w:val="21"/>
                <w:szCs w:val="21"/>
                <w:lang w:eastAsia="en-AU"/>
              </w:rPr>
              <w:t xml:space="preserve"> 493</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1 </w:t>
            </w:r>
            <w:r w:rsidRPr="003E2DBE">
              <w:rPr>
                <w:rFonts w:eastAsiaTheme="minorEastAsia" w:cs="Calibri"/>
                <w:sz w:val="21"/>
                <w:szCs w:val="21"/>
                <w:lang w:eastAsia="en-AU"/>
              </w:rPr>
              <w:t>144 933</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659</w:t>
            </w:r>
            <w:r w:rsidRPr="003E2DBE">
              <w:rPr>
                <w:rFonts w:eastAsiaTheme="minorEastAsia" w:cs="Calibri"/>
                <w:sz w:val="21"/>
                <w:szCs w:val="21"/>
                <w:lang w:eastAsia="en-AU"/>
              </w:rPr>
              <w:t xml:space="preserve"> 288</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  Income </w:t>
            </w:r>
            <w:r w:rsidRPr="003E2DBE">
              <w:rPr>
                <w:rFonts w:eastAsiaTheme="minorEastAsia" w:cs="Calibri"/>
                <w:sz w:val="21"/>
                <w:szCs w:val="21"/>
                <w:lang w:eastAsia="en-AU"/>
              </w:rPr>
              <w:t>tax equivalent revenue</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174 149</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192 768</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248 311</w:t>
            </w:r>
          </w:p>
        </w:tc>
      </w:tr>
      <w:tr w:rsidR="000B4A1E" w:rsidRPr="003E2DBE" w:rsidTr="00517E51">
        <w:tc>
          <w:tcPr>
            <w:tcW w:w="6314" w:type="dxa"/>
            <w:tcBorders>
              <w:top w:val="nil"/>
              <w:left w:val="nil"/>
              <w:bottom w:val="single" w:sz="6" w:space="0" w:color="auto"/>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  Local government tax equivalent </w:t>
            </w:r>
            <w:r w:rsidRPr="003E2DBE">
              <w:rPr>
                <w:rFonts w:eastAsiaTheme="minorEastAsia" w:cs="Calibri"/>
                <w:sz w:val="21"/>
                <w:szCs w:val="21"/>
                <w:lang w:eastAsia="en-AU"/>
              </w:rPr>
              <w:t>revenue</w:t>
            </w:r>
          </w:p>
        </w:tc>
        <w:tc>
          <w:tcPr>
            <w:tcW w:w="1088"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5 200</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2 971</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5 307</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b/>
                <w:bCs/>
                <w:sz w:val="21"/>
                <w:szCs w:val="21"/>
                <w:lang w:eastAsia="en-AU"/>
              </w:rPr>
            </w:pPr>
            <w:r w:rsidRPr="003E2DBE">
              <w:rPr>
                <w:rFonts w:eastAsiaTheme="minorEastAsia"/>
                <w:b/>
                <w:bCs/>
                <w:sz w:val="21"/>
                <w:szCs w:val="21"/>
                <w:lang w:eastAsia="en-AU"/>
              </w:rPr>
              <w:t>Total dividends and income tax equivalent</w:t>
            </w:r>
            <w:r w:rsidRPr="003E2DBE">
              <w:rPr>
                <w:rFonts w:eastAsiaTheme="minorEastAsia" w:cs="Calibri"/>
                <w:b/>
                <w:bCs/>
                <w:sz w:val="21"/>
                <w:szCs w:val="21"/>
                <w:lang w:eastAsia="en-AU"/>
              </w:rPr>
              <w:t xml:space="preserve"> and rate equivalent revenue</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1 019 841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1 340 671</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912 906</w:t>
            </w:r>
          </w:p>
        </w:tc>
      </w:tr>
      <w:tr w:rsidR="000B4A1E" w:rsidRPr="003E2DBE" w:rsidTr="00517E51">
        <w:trPr>
          <w:trHeight w:hRule="exact" w:val="120"/>
        </w:trPr>
        <w:tc>
          <w:tcPr>
            <w:tcW w:w="6314" w:type="dxa"/>
            <w:tcBorders>
              <w:top w:val="nil"/>
              <w:left w:val="nil"/>
              <w:bottom w:val="nil"/>
              <w:right w:val="nil"/>
            </w:tcBorders>
          </w:tcPr>
          <w:p w:rsidR="000B4A1E" w:rsidRPr="003E2DBE" w:rsidRDefault="000B4A1E" w:rsidP="00517E51">
            <w:pPr>
              <w:pStyle w:val="Tabletext"/>
              <w:rPr>
                <w:rFonts w:eastAsiaTheme="minorEastAsia"/>
                <w:b/>
                <w:bCs/>
                <w:sz w:val="21"/>
                <w:szCs w:val="21"/>
                <w:lang w:eastAsia="en-AU"/>
              </w:rPr>
            </w:pPr>
            <w:r w:rsidRPr="003E2DBE">
              <w:rPr>
                <w:rFonts w:eastAsiaTheme="minorEastAsia"/>
                <w:b/>
                <w:bCs/>
                <w:sz w:val="21"/>
                <w:szCs w:val="21"/>
                <w:lang w:eastAsia="en-AU"/>
              </w:rPr>
              <w:t xml:space="preserve"> </w:t>
            </w:r>
          </w:p>
        </w:tc>
        <w:tc>
          <w:tcPr>
            <w:tcW w:w="1088" w:type="dxa"/>
            <w:tcBorders>
              <w:top w:val="nil"/>
              <w:left w:val="nil"/>
              <w:bottom w:val="nil"/>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b/>
                <w:bCs/>
                <w:sz w:val="21"/>
                <w:szCs w:val="21"/>
                <w:lang w:eastAsia="en-AU"/>
              </w:rPr>
            </w:pPr>
            <w:r w:rsidRPr="003E2DBE">
              <w:rPr>
                <w:rFonts w:eastAsiaTheme="minorEastAsia"/>
                <w:b/>
                <w:bCs/>
                <w:sz w:val="21"/>
                <w:szCs w:val="21"/>
                <w:lang w:eastAsia="en-AU"/>
              </w:rPr>
              <w:t xml:space="preserve">Other </w:t>
            </w:r>
            <w:r w:rsidRPr="003E2DBE">
              <w:rPr>
                <w:rFonts w:eastAsiaTheme="minorEastAsia" w:cs="Calibri"/>
                <w:b/>
                <w:bCs/>
                <w:sz w:val="21"/>
                <w:szCs w:val="21"/>
                <w:lang w:eastAsia="en-AU"/>
              </w:rPr>
              <w:t>receipts</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sz w:val="21"/>
                <w:szCs w:val="21"/>
                <w:lang w:eastAsia="en-AU"/>
              </w:rPr>
            </w:pPr>
            <w:r w:rsidRPr="003E2DBE">
              <w:rPr>
                <w:rFonts w:eastAsiaTheme="minorEastAsia"/>
                <w:sz w:val="21"/>
                <w:szCs w:val="21"/>
                <w:lang w:eastAsia="en-AU"/>
              </w:rPr>
              <w:t xml:space="preserve">    Land rent</w:t>
            </w:r>
            <w:r w:rsidRPr="003E2DBE">
              <w:rPr>
                <w:rFonts w:eastAsiaTheme="minorEastAsia" w:cs="Calibri"/>
                <w:sz w:val="21"/>
                <w:szCs w:val="21"/>
                <w:lang w:eastAsia="en-AU"/>
              </w:rPr>
              <w:t xml:space="preserve"> received</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15</w:t>
            </w:r>
            <w:r w:rsidRPr="003E2DBE">
              <w:rPr>
                <w:rFonts w:eastAsiaTheme="minorEastAsia" w:cs="Calibri"/>
                <w:sz w:val="21"/>
                <w:szCs w:val="21"/>
                <w:lang w:eastAsia="en-AU"/>
              </w:rPr>
              <w:t xml:space="preserve"> 110</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21</w:t>
            </w:r>
            <w:r w:rsidRPr="003E2DBE">
              <w:rPr>
                <w:rFonts w:eastAsiaTheme="minorEastAsia" w:cs="Calibri"/>
                <w:sz w:val="21"/>
                <w:szCs w:val="21"/>
                <w:lang w:eastAsia="en-AU"/>
              </w:rPr>
              <w:t xml:space="preserve"> 668</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22</w:t>
            </w:r>
            <w:r w:rsidRPr="003E2DBE">
              <w:rPr>
                <w:rFonts w:eastAsiaTheme="minorEastAsia" w:cs="Calibri"/>
                <w:sz w:val="21"/>
                <w:szCs w:val="21"/>
                <w:lang w:eastAsia="en-AU"/>
              </w:rPr>
              <w:t xml:space="preserve"> 538</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Royalties received</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46 005</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45 021</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65 502</w:t>
            </w:r>
          </w:p>
        </w:tc>
      </w:tr>
      <w:tr w:rsidR="000B4A1E" w:rsidRPr="003E2DBE" w:rsidTr="00517E51">
        <w:tc>
          <w:tcPr>
            <w:tcW w:w="6314" w:type="dxa"/>
            <w:tcBorders>
              <w:top w:val="nil"/>
              <w:left w:val="nil"/>
              <w:bottom w:val="single" w:sz="6" w:space="0" w:color="auto"/>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Other</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45 453</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221 162</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294 412</w:t>
            </w:r>
          </w:p>
        </w:tc>
      </w:tr>
      <w:tr w:rsidR="000B4A1E" w:rsidRPr="003E2DBE" w:rsidTr="00517E51">
        <w:tc>
          <w:tcPr>
            <w:tcW w:w="631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 w:val="21"/>
                <w:szCs w:val="21"/>
                <w:lang w:eastAsia="en-AU"/>
              </w:rPr>
            </w:pPr>
            <w:r w:rsidRPr="003E2DBE">
              <w:rPr>
                <w:rFonts w:eastAsiaTheme="minorEastAsia"/>
                <w:b/>
                <w:bCs/>
                <w:sz w:val="21"/>
                <w:szCs w:val="21"/>
                <w:lang w:eastAsia="en-AU"/>
              </w:rPr>
              <w:t>Total other</w:t>
            </w:r>
            <w:r w:rsidRPr="003E2DBE">
              <w:rPr>
                <w:rFonts w:eastAsiaTheme="minorEastAsia" w:cs="Calibri"/>
                <w:b/>
                <w:bCs/>
                <w:sz w:val="21"/>
                <w:szCs w:val="21"/>
                <w:lang w:eastAsia="en-AU"/>
              </w:rPr>
              <w:t xml:space="preserve"> receipts</w:t>
            </w:r>
          </w:p>
        </w:tc>
        <w:tc>
          <w:tcPr>
            <w:tcW w:w="108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106 567</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287 851</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 xml:space="preserve"> 382 453</w:t>
            </w:r>
          </w:p>
        </w:tc>
      </w:tr>
      <w:tr w:rsidR="000B4A1E" w:rsidRPr="003E2DBE" w:rsidTr="00517E51">
        <w:trPr>
          <w:trHeight w:hRule="exact" w:val="120"/>
        </w:trPr>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single" w:sz="6" w:space="0" w:color="auto"/>
              <w:right w:val="nil"/>
            </w:tcBorders>
          </w:tcPr>
          <w:p w:rsidR="000B4A1E" w:rsidRPr="003E2DBE" w:rsidRDefault="000B4A1E" w:rsidP="00517E51">
            <w:pPr>
              <w:pStyle w:val="Tabletext"/>
              <w:rPr>
                <w:rFonts w:eastAsiaTheme="minorEastAsia" w:cs="Calibri"/>
                <w:b/>
                <w:bCs/>
                <w:sz w:val="21"/>
                <w:szCs w:val="21"/>
                <w:lang w:eastAsia="en-AU"/>
              </w:rPr>
            </w:pPr>
            <w:r w:rsidRPr="003E2DBE">
              <w:rPr>
                <w:rFonts w:eastAsiaTheme="minorEastAsia"/>
                <w:b/>
                <w:bCs/>
                <w:sz w:val="21"/>
                <w:szCs w:val="21"/>
                <w:lang w:eastAsia="en-AU"/>
              </w:rPr>
              <w:t xml:space="preserve">Total </w:t>
            </w:r>
            <w:r w:rsidRPr="003E2DBE">
              <w:rPr>
                <w:rFonts w:eastAsiaTheme="minorEastAsia" w:cs="Calibri"/>
                <w:b/>
                <w:bCs/>
                <w:sz w:val="21"/>
                <w:szCs w:val="21"/>
                <w:lang w:eastAsia="en-AU"/>
              </w:rPr>
              <w:t>cash inflows from operating activities</w:t>
            </w:r>
          </w:p>
        </w:tc>
        <w:tc>
          <w:tcPr>
            <w:tcW w:w="1088"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sz w:val="21"/>
                <w:szCs w:val="21"/>
                <w:lang w:eastAsia="en-AU"/>
              </w:rPr>
              <w:t xml:space="preserve">38 </w:t>
            </w:r>
            <w:r w:rsidRPr="003E2DBE">
              <w:rPr>
                <w:rFonts w:eastAsiaTheme="minorEastAsia" w:cs="Calibri"/>
                <w:b/>
                <w:bCs/>
                <w:sz w:val="21"/>
                <w:szCs w:val="21"/>
                <w:lang w:eastAsia="en-AU"/>
              </w:rPr>
              <w:t>305 847</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 xml:space="preserve">38 </w:t>
            </w:r>
            <w:r w:rsidRPr="003E2DBE">
              <w:rPr>
                <w:rFonts w:eastAsiaTheme="minorEastAsia" w:cs="Calibri"/>
                <w:b/>
                <w:bCs/>
                <w:sz w:val="21"/>
                <w:szCs w:val="21"/>
                <w:lang w:eastAsia="en-AU"/>
              </w:rPr>
              <w:t>748 278</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 xml:space="preserve">40 </w:t>
            </w:r>
            <w:r w:rsidRPr="003E2DBE">
              <w:rPr>
                <w:rFonts w:eastAsiaTheme="minorEastAsia" w:cs="Calibri"/>
                <w:b/>
                <w:bCs/>
                <w:sz w:val="21"/>
                <w:szCs w:val="21"/>
                <w:lang w:eastAsia="en-AU"/>
              </w:rPr>
              <w:t>849 853</w:t>
            </w:r>
          </w:p>
        </w:tc>
      </w:tr>
      <w:tr w:rsidR="000B4A1E" w:rsidRPr="003E2DBE" w:rsidTr="00517E51">
        <w:trPr>
          <w:trHeight w:hRule="exact" w:val="120"/>
        </w:trPr>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cs="Calibri"/>
                <w:b/>
                <w:bCs/>
                <w:sz w:val="21"/>
                <w:szCs w:val="21"/>
                <w:lang w:eastAsia="en-AU"/>
              </w:rPr>
            </w:pPr>
            <w:r w:rsidRPr="003E2DBE">
              <w:rPr>
                <w:rFonts w:eastAsiaTheme="minorEastAsia"/>
                <w:b/>
                <w:bCs/>
                <w:sz w:val="21"/>
                <w:szCs w:val="21"/>
                <w:lang w:eastAsia="en-AU"/>
              </w:rPr>
              <w:t xml:space="preserve">Cash </w:t>
            </w:r>
            <w:r w:rsidRPr="003E2DBE">
              <w:rPr>
                <w:rFonts w:eastAsiaTheme="minorEastAsia" w:cs="Calibri"/>
                <w:b/>
                <w:bCs/>
                <w:sz w:val="21"/>
                <w:szCs w:val="21"/>
                <w:lang w:eastAsia="en-AU"/>
              </w:rPr>
              <w:t>inflows from investing and financing activities</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Loans to government agencies</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7</w:t>
            </w:r>
            <w:r w:rsidRPr="003E2DBE">
              <w:rPr>
                <w:rFonts w:eastAsiaTheme="minorEastAsia" w:cs="Calibri"/>
                <w:sz w:val="21"/>
                <w:szCs w:val="21"/>
                <w:lang w:eastAsia="en-AU"/>
              </w:rPr>
              <w:t xml:space="preserve"> 851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16</w:t>
            </w:r>
            <w:r w:rsidRPr="003E2DBE">
              <w:rPr>
                <w:rFonts w:eastAsiaTheme="minorEastAsia" w:cs="Calibri"/>
                <w:sz w:val="21"/>
                <w:szCs w:val="21"/>
                <w:lang w:eastAsia="en-AU"/>
              </w:rPr>
              <w:t xml:space="preserve"> 318</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Proceeds from investments</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581)</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817</w:t>
            </w:r>
          </w:p>
        </w:tc>
      </w:tr>
      <w:tr w:rsidR="000B4A1E" w:rsidRPr="003E2DBE" w:rsidTr="00517E51">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Other loans</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655</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( 40 199</w:t>
            </w:r>
            <w:r w:rsidRPr="003E2DBE">
              <w:rPr>
                <w:rFonts w:eastAsiaTheme="minorEastAsia" w:cs="Calibri"/>
                <w:sz w:val="21"/>
                <w:szCs w:val="21"/>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 3 </w:t>
            </w:r>
            <w:r w:rsidRPr="003E2DBE">
              <w:rPr>
                <w:rFonts w:eastAsiaTheme="minorEastAsia" w:cs="Calibri"/>
                <w:sz w:val="21"/>
                <w:szCs w:val="21"/>
                <w:lang w:eastAsia="en-AU"/>
              </w:rPr>
              <w:t>834</w:t>
            </w:r>
          </w:p>
        </w:tc>
      </w:tr>
      <w:tr w:rsidR="000B4A1E" w:rsidRPr="003E2DBE" w:rsidTr="00517E51">
        <w:tc>
          <w:tcPr>
            <w:tcW w:w="6314" w:type="dxa"/>
            <w:tcBorders>
              <w:top w:val="nil"/>
              <w:left w:val="nil"/>
              <w:bottom w:val="single" w:sz="6" w:space="0" w:color="auto"/>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Other</w:t>
            </w:r>
          </w:p>
        </w:tc>
        <w:tc>
          <w:tcPr>
            <w:tcW w:w="1088"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6 </w:t>
            </w:r>
            <w:r w:rsidRPr="003E2DBE">
              <w:rPr>
                <w:rFonts w:eastAsiaTheme="minorEastAsia" w:cs="Calibri"/>
                <w:sz w:val="21"/>
                <w:szCs w:val="21"/>
                <w:lang w:eastAsia="en-AU"/>
              </w:rPr>
              <w:t>162 260</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 xml:space="preserve">3 </w:t>
            </w:r>
            <w:r w:rsidRPr="003E2DBE">
              <w:rPr>
                <w:rFonts w:eastAsiaTheme="minorEastAsia" w:cs="Calibri"/>
                <w:sz w:val="21"/>
                <w:szCs w:val="21"/>
                <w:lang w:eastAsia="en-AU"/>
              </w:rPr>
              <w:t>728 241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 w:val="21"/>
                <w:szCs w:val="21"/>
                <w:lang w:eastAsia="en-AU"/>
              </w:rPr>
            </w:pPr>
            <w:r w:rsidRPr="003E2DBE">
              <w:rPr>
                <w:rFonts w:eastAsiaTheme="minorEastAsia"/>
                <w:sz w:val="21"/>
                <w:szCs w:val="21"/>
                <w:lang w:eastAsia="en-AU"/>
              </w:rPr>
              <w:t>4 414</w:t>
            </w:r>
            <w:r w:rsidRPr="003E2DBE">
              <w:rPr>
                <w:rFonts w:eastAsiaTheme="minorEastAsia" w:cs="Calibri"/>
                <w:sz w:val="21"/>
                <w:szCs w:val="21"/>
                <w:lang w:eastAsia="en-AU"/>
              </w:rPr>
              <w:t xml:space="preserve"> 790</w:t>
            </w:r>
          </w:p>
        </w:tc>
      </w:tr>
      <w:tr w:rsidR="000B4A1E" w:rsidRPr="003E2DBE" w:rsidTr="00517E51">
        <w:tc>
          <w:tcPr>
            <w:tcW w:w="6314" w:type="dxa"/>
            <w:tcBorders>
              <w:top w:val="nil"/>
              <w:left w:val="nil"/>
              <w:bottom w:val="single" w:sz="6" w:space="0" w:color="auto"/>
              <w:right w:val="nil"/>
            </w:tcBorders>
          </w:tcPr>
          <w:p w:rsidR="000B4A1E" w:rsidRPr="003E2DBE" w:rsidRDefault="000B4A1E" w:rsidP="00517E51">
            <w:pPr>
              <w:pStyle w:val="Tabletext"/>
              <w:rPr>
                <w:rFonts w:eastAsiaTheme="minorEastAsia" w:cs="Calibri"/>
                <w:b/>
                <w:bCs/>
                <w:sz w:val="21"/>
                <w:szCs w:val="21"/>
                <w:lang w:eastAsia="en-AU"/>
              </w:rPr>
            </w:pPr>
            <w:r w:rsidRPr="003E2DBE">
              <w:rPr>
                <w:rFonts w:eastAsiaTheme="minorEastAsia"/>
                <w:b/>
                <w:bCs/>
                <w:sz w:val="21"/>
                <w:szCs w:val="21"/>
                <w:lang w:eastAsia="en-AU"/>
              </w:rPr>
              <w:t>Total cash</w:t>
            </w:r>
            <w:r w:rsidRPr="003E2DBE">
              <w:rPr>
                <w:rFonts w:eastAsiaTheme="minorEastAsia" w:cs="Calibri"/>
                <w:b/>
                <w:bCs/>
                <w:sz w:val="21"/>
                <w:szCs w:val="21"/>
                <w:lang w:eastAsia="en-AU"/>
              </w:rPr>
              <w:t xml:space="preserve"> inflows from investing and financing activities</w:t>
            </w:r>
          </w:p>
        </w:tc>
        <w:tc>
          <w:tcPr>
            <w:tcW w:w="108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6 170 766</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3 703 779</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sz w:val="21"/>
                <w:szCs w:val="21"/>
                <w:lang w:eastAsia="en-AU"/>
              </w:rPr>
            </w:pPr>
            <w:r w:rsidRPr="003E2DBE">
              <w:rPr>
                <w:rFonts w:eastAsiaTheme="minorEastAsia"/>
                <w:b/>
                <w:bCs/>
                <w:sz w:val="21"/>
                <w:szCs w:val="21"/>
                <w:lang w:eastAsia="en-AU"/>
              </w:rPr>
              <w:t>4 419 440</w:t>
            </w:r>
          </w:p>
        </w:tc>
      </w:tr>
      <w:tr w:rsidR="000B4A1E" w:rsidRPr="003E2DBE" w:rsidTr="00517E51">
        <w:trPr>
          <w:trHeight w:hRule="exact" w:val="120"/>
        </w:trPr>
        <w:tc>
          <w:tcPr>
            <w:tcW w:w="6314" w:type="dxa"/>
            <w:tcBorders>
              <w:top w:val="nil"/>
              <w:left w:val="nil"/>
              <w:bottom w:val="nil"/>
              <w:right w:val="nil"/>
            </w:tcBorders>
          </w:tcPr>
          <w:p w:rsidR="000B4A1E" w:rsidRPr="003E2DBE" w:rsidRDefault="000B4A1E" w:rsidP="00517E51">
            <w:pPr>
              <w:pStyle w:val="Tabletext"/>
              <w:rPr>
                <w:rFonts w:eastAsiaTheme="minorEastAsia"/>
                <w:sz w:val="21"/>
                <w:szCs w:val="21"/>
                <w:lang w:eastAsia="en-AU"/>
              </w:rPr>
            </w:pPr>
            <w:r w:rsidRPr="003E2DBE">
              <w:rPr>
                <w:rFonts w:eastAsiaTheme="minorEastAsia"/>
                <w:sz w:val="21"/>
                <w:szCs w:val="21"/>
                <w:lang w:eastAsia="en-AU"/>
              </w:rPr>
              <w:t xml:space="preserve"> </w:t>
            </w:r>
          </w:p>
        </w:tc>
        <w:tc>
          <w:tcPr>
            <w:tcW w:w="1088"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sz w:val="21"/>
                <w:szCs w:val="21"/>
                <w:lang w:eastAsia="en-AU"/>
              </w:rPr>
            </w:pPr>
            <w:r w:rsidRPr="003E2DBE">
              <w:rPr>
                <w:rFonts w:eastAsiaTheme="minorEastAsia"/>
                <w:sz w:val="21"/>
                <w:szCs w:val="21"/>
                <w:lang w:eastAsia="en-AU"/>
              </w:rPr>
              <w:t xml:space="preserve"> </w:t>
            </w:r>
          </w:p>
        </w:tc>
      </w:tr>
      <w:tr w:rsidR="000B4A1E" w:rsidRPr="003E2DBE" w:rsidTr="00517E51">
        <w:tc>
          <w:tcPr>
            <w:tcW w:w="6314" w:type="dxa"/>
            <w:tcBorders>
              <w:top w:val="nil"/>
              <w:left w:val="nil"/>
              <w:bottom w:val="single" w:sz="12" w:space="0" w:color="auto"/>
              <w:right w:val="nil"/>
            </w:tcBorders>
          </w:tcPr>
          <w:p w:rsidR="000B4A1E" w:rsidRPr="003E2DBE" w:rsidRDefault="000B4A1E" w:rsidP="00517E51">
            <w:pPr>
              <w:pStyle w:val="Tabletext"/>
              <w:rPr>
                <w:rFonts w:eastAsiaTheme="minorEastAsia" w:cs="Calibri"/>
                <w:b/>
                <w:bCs/>
                <w:sz w:val="21"/>
                <w:szCs w:val="21"/>
                <w:lang w:eastAsia="en-AU"/>
              </w:rPr>
            </w:pPr>
            <w:r w:rsidRPr="003E2DBE">
              <w:rPr>
                <w:rFonts w:eastAsiaTheme="minorEastAsia"/>
                <w:b/>
                <w:bCs/>
                <w:sz w:val="21"/>
                <w:szCs w:val="21"/>
                <w:lang w:eastAsia="en-AU"/>
              </w:rPr>
              <w:t xml:space="preserve">Total </w:t>
            </w:r>
            <w:r w:rsidRPr="003E2DBE">
              <w:rPr>
                <w:rFonts w:eastAsiaTheme="minorEastAsia" w:cs="Calibri"/>
                <w:b/>
                <w:bCs/>
                <w:sz w:val="21"/>
                <w:szCs w:val="21"/>
                <w:lang w:eastAsia="en-AU"/>
              </w:rPr>
              <w:t>consolidated fund receipts</w:t>
            </w:r>
          </w:p>
        </w:tc>
        <w:tc>
          <w:tcPr>
            <w:tcW w:w="1088"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sz w:val="21"/>
                <w:szCs w:val="21"/>
                <w:lang w:eastAsia="en-AU"/>
              </w:rPr>
              <w:t xml:space="preserve">44 </w:t>
            </w:r>
            <w:r w:rsidRPr="003E2DBE">
              <w:rPr>
                <w:rFonts w:eastAsiaTheme="minorEastAsia" w:cs="Calibri"/>
                <w:b/>
                <w:bCs/>
                <w:sz w:val="21"/>
                <w:szCs w:val="21"/>
                <w:lang w:eastAsia="en-AU"/>
              </w:rPr>
              <w:t>476 614</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 xml:space="preserve">42 </w:t>
            </w:r>
            <w:r w:rsidRPr="003E2DBE">
              <w:rPr>
                <w:rFonts w:eastAsiaTheme="minorEastAsia" w:cs="Calibri"/>
                <w:b/>
                <w:bCs/>
                <w:sz w:val="21"/>
                <w:szCs w:val="21"/>
                <w:lang w:eastAsia="en-AU"/>
              </w:rPr>
              <w:t>452 057</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 w:val="21"/>
                <w:szCs w:val="21"/>
                <w:lang w:eastAsia="en-AU"/>
              </w:rPr>
            </w:pPr>
            <w:r w:rsidRPr="003E2DBE">
              <w:rPr>
                <w:rFonts w:eastAsiaTheme="minorEastAsia"/>
                <w:b/>
                <w:bCs/>
                <w:sz w:val="21"/>
                <w:szCs w:val="21"/>
                <w:lang w:eastAsia="en-AU"/>
              </w:rPr>
              <w:t xml:space="preserve">45 </w:t>
            </w:r>
            <w:r w:rsidRPr="003E2DBE">
              <w:rPr>
                <w:rFonts w:eastAsiaTheme="minorEastAsia" w:cs="Calibri"/>
                <w:b/>
                <w:bCs/>
                <w:sz w:val="21"/>
                <w:szCs w:val="21"/>
                <w:lang w:eastAsia="en-AU"/>
              </w:rPr>
              <w:t>269 293</w:t>
            </w:r>
          </w:p>
        </w:tc>
      </w:tr>
    </w:tbl>
    <w:p w:rsidR="000B4A1E" w:rsidRPr="00D00665" w:rsidRDefault="000B4A1E" w:rsidP="00517E51">
      <w:pPr>
        <w:pStyle w:val="Notes"/>
      </w:pPr>
      <w:r w:rsidRPr="00D00665">
        <w:t>Notes:</w:t>
      </w:r>
    </w:p>
    <w:p w:rsidR="000B4A1E" w:rsidRPr="00D00665" w:rsidRDefault="000B4A1E" w:rsidP="00517E51">
      <w:pPr>
        <w:pStyle w:val="Notes"/>
      </w:pPr>
      <w:r w:rsidRPr="00D00665">
        <w:t xml:space="preserve">(a) </w:t>
      </w:r>
      <w:r w:rsidRPr="00D00665">
        <w:tab/>
        <w:t>Taxes receivable has been reallocated from Gambling to Land transfer duty restating the Estimate for 2013 published in 2013</w:t>
      </w:r>
      <w:r w:rsidRPr="00D00665">
        <w:noBreakHyphen/>
        <w:t>14 Budget</w:t>
      </w:r>
      <w:r w:rsidRPr="00D00665">
        <w:rPr>
          <w:i w:val="0"/>
        </w:rPr>
        <w:t xml:space="preserve"> </w:t>
      </w:r>
      <w:r w:rsidRPr="00D00665">
        <w:t xml:space="preserve">Paper No.5, Appendix A  </w:t>
      </w:r>
      <w:r w:rsidRPr="00D00665">
        <w:rPr>
          <w:i w:val="0"/>
        </w:rPr>
        <w:t>Statement of Finances</w:t>
      </w:r>
      <w:r w:rsidRPr="00D00665">
        <w:t>.</w:t>
      </w:r>
    </w:p>
    <w:p w:rsidR="000B4A1E" w:rsidRPr="00D00665" w:rsidRDefault="000B4A1E" w:rsidP="00517E51">
      <w:pPr>
        <w:pStyle w:val="Notes"/>
      </w:pPr>
      <w:r w:rsidRPr="00D00665">
        <w:t xml:space="preserve">(b) </w:t>
      </w:r>
      <w:r w:rsidRPr="00D00665">
        <w:tab/>
        <w:t>Effective 9 April 2013 several departments were renamed due to machinery of government changes:</w:t>
      </w:r>
    </w:p>
    <w:p w:rsidR="000B4A1E" w:rsidRPr="00D00665" w:rsidRDefault="000B4A1E" w:rsidP="00517E51">
      <w:pPr>
        <w:pStyle w:val="NotesDash"/>
        <w:tabs>
          <w:tab w:val="clear" w:pos="922"/>
          <w:tab w:val="num" w:pos="810"/>
        </w:tabs>
        <w:ind w:left="810" w:hanging="356"/>
      </w:pPr>
      <w:r w:rsidRPr="00D00665">
        <w:t xml:space="preserve">the Department of </w:t>
      </w:r>
      <w:r w:rsidR="00405D0E">
        <w:t xml:space="preserve">Sustainability and Environment became the </w:t>
      </w:r>
      <w:r w:rsidRPr="00D00665">
        <w:t>Department of Environment and Primary Industries;</w:t>
      </w:r>
    </w:p>
    <w:p w:rsidR="000B4A1E" w:rsidRPr="00D00665" w:rsidRDefault="000B4A1E" w:rsidP="00517E51">
      <w:pPr>
        <w:pStyle w:val="NotesDash"/>
        <w:tabs>
          <w:tab w:val="clear" w:pos="922"/>
          <w:tab w:val="num" w:pos="810"/>
        </w:tabs>
        <w:ind w:left="810" w:hanging="356"/>
      </w:pPr>
      <w:r w:rsidRPr="00D00665">
        <w:t>the Department of Business and Innovation became the Department of State Development, Business and Innovation; and</w:t>
      </w:r>
    </w:p>
    <w:p w:rsidR="000B4A1E" w:rsidRPr="00D00665" w:rsidRDefault="000B4A1E" w:rsidP="00517E51">
      <w:pPr>
        <w:pStyle w:val="NotesDash"/>
        <w:tabs>
          <w:tab w:val="clear" w:pos="922"/>
          <w:tab w:val="num" w:pos="810"/>
        </w:tabs>
        <w:ind w:left="810" w:hanging="356"/>
      </w:pPr>
      <w:r w:rsidRPr="00D00665">
        <w:t>the Department of Transport became the Department of Transport, Planning and Local Infrastructure.</w:t>
      </w:r>
    </w:p>
    <w:p w:rsidR="000B4A1E" w:rsidRPr="00D00665" w:rsidRDefault="000B4A1E" w:rsidP="00517E51">
      <w:pPr>
        <w:pStyle w:val="Notes"/>
      </w:pPr>
    </w:p>
    <w:p w:rsidR="000B4A1E" w:rsidRPr="00D00665" w:rsidRDefault="000B4A1E" w:rsidP="00517E51"/>
    <w:p w:rsidR="000B4A1E" w:rsidRPr="00D00665" w:rsidRDefault="000B4A1E" w:rsidP="00517E51">
      <w:pPr>
        <w:pStyle w:val="Heading2NotesContd"/>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pPr>
      <w:r w:rsidRPr="00D00665">
        <w:t>(c)</w:t>
      </w:r>
      <w:r w:rsidRPr="00D00665">
        <w:tab/>
        <w:t>Trust fund cash flow statement for the financial year ended 30 June</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6944"/>
        <w:gridCol w:w="1352"/>
        <w:gridCol w:w="1352"/>
      </w:tblGrid>
      <w:tr w:rsidR="000B4A1E" w:rsidRPr="003E2DBE" w:rsidTr="00517E51">
        <w:tc>
          <w:tcPr>
            <w:tcW w:w="6944"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352" w:type="dxa"/>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352"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6944" w:type="dxa"/>
            <w:tcBorders>
              <w:top w:val="single" w:sz="4"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Cash flows from operating activities</w:t>
            </w:r>
          </w:p>
        </w:tc>
        <w:tc>
          <w:tcPr>
            <w:tcW w:w="1352"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352"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Receipts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Taxation</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280 549</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269 422</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Regulatory fees and fines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47 676</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53 516</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vertAlign w:val="superscript"/>
                <w:lang w:eastAsia="en-AU"/>
              </w:rPr>
            </w:pPr>
            <w:r w:rsidRPr="003E2DBE">
              <w:rPr>
                <w:rFonts w:eastAsiaTheme="minorEastAsia"/>
                <w:lang w:eastAsia="en-AU"/>
              </w:rPr>
              <w:t xml:space="preserve">Grants received </w:t>
            </w:r>
            <w:r w:rsidRPr="003E2DBE">
              <w:rPr>
                <w:rFonts w:eastAsiaTheme="minorEastAsia"/>
                <w:vertAlign w:val="superscript"/>
                <w:lang w:eastAsia="en-AU"/>
              </w:rPr>
              <w:t>(a)</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10 650 201</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5 606 351</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Sale of goods and services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704 087</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827 904</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Interest received</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95 196</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141 019</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Net transfers from the consolidated fund</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9 963 995</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12 189 689</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Other receipts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105 617</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212 051</w:t>
            </w:r>
          </w:p>
        </w:tc>
      </w:tr>
      <w:tr w:rsidR="000B4A1E" w:rsidRPr="003E2DBE" w:rsidTr="00517E51">
        <w:trPr>
          <w:trHeight w:hRule="exact" w:val="120"/>
        </w:trPr>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Payments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Payments for employees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( 150 353)</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( 156 135)</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Superannuation</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( 12 182)</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( 10 657)</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Interest paid</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( 11 292)</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( 11 737)</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vertAlign w:val="superscript"/>
                <w:lang w:eastAsia="en-AU"/>
              </w:rPr>
            </w:pPr>
            <w:r w:rsidRPr="003E2DBE">
              <w:rPr>
                <w:rFonts w:eastAsiaTheme="minorEastAsia"/>
                <w:lang w:eastAsia="en-AU"/>
              </w:rPr>
              <w:t xml:space="preserve">Grants and subsidies </w:t>
            </w:r>
            <w:r w:rsidRPr="003E2DBE">
              <w:rPr>
                <w:rFonts w:eastAsiaTheme="minorEastAsia"/>
                <w:vertAlign w:val="superscript"/>
                <w:lang w:eastAsia="en-AU"/>
              </w:rPr>
              <w:t>(a)</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(20 081 722)</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(15 623 881)</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Goods and services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(1 492 279)</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(3 645 974)</w:t>
            </w:r>
          </w:p>
        </w:tc>
      </w:tr>
      <w:tr w:rsidR="000B4A1E" w:rsidRPr="003E2DBE" w:rsidTr="00517E51">
        <w:tc>
          <w:tcPr>
            <w:tcW w:w="694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Net cash flows from operating activities</w:t>
            </w:r>
          </w:p>
        </w:tc>
        <w:tc>
          <w:tcPr>
            <w:tcW w:w="1352"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99 492</w:t>
            </w:r>
          </w:p>
        </w:tc>
        <w:tc>
          <w:tcPr>
            <w:tcW w:w="1352"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( 148 433)</w:t>
            </w:r>
          </w:p>
        </w:tc>
      </w:tr>
      <w:tr w:rsidR="000B4A1E" w:rsidRPr="003E2DBE" w:rsidTr="00517E51">
        <w:trPr>
          <w:trHeight w:hRule="exact" w:val="120"/>
        </w:trPr>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Cash flows from investing activities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Purchase of non-financial assets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( 42 963)</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( 12 299)</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Sales of non-financial assets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63 164</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62 615</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Net proceeds from customer loans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( 2 095)</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101</w:t>
            </w:r>
          </w:p>
        </w:tc>
      </w:tr>
      <w:tr w:rsidR="000B4A1E" w:rsidRPr="003E2DBE" w:rsidTr="00517E51">
        <w:tc>
          <w:tcPr>
            <w:tcW w:w="694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Other investing activities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162 101</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195 059</w:t>
            </w:r>
          </w:p>
        </w:tc>
      </w:tr>
      <w:tr w:rsidR="000B4A1E" w:rsidRPr="003E2DBE" w:rsidTr="00517E51">
        <w:tc>
          <w:tcPr>
            <w:tcW w:w="6944" w:type="dxa"/>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Net cash flows from investing activities</w:t>
            </w:r>
          </w:p>
        </w:tc>
        <w:tc>
          <w:tcPr>
            <w:tcW w:w="1352"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180 207</w:t>
            </w:r>
          </w:p>
        </w:tc>
        <w:tc>
          <w:tcPr>
            <w:tcW w:w="1352"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245 476</w:t>
            </w:r>
          </w:p>
        </w:tc>
      </w:tr>
      <w:tr w:rsidR="000B4A1E" w:rsidRPr="003E2DBE" w:rsidTr="00517E51">
        <w:trPr>
          <w:trHeight w:hRule="exact" w:val="120"/>
        </w:trPr>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Cash flows from financing activities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9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Net borrowings</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137 743</w:t>
            </w:r>
          </w:p>
        </w:tc>
        <w:tc>
          <w:tcPr>
            <w:tcW w:w="135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( 487 422)</w:t>
            </w:r>
          </w:p>
        </w:tc>
      </w:tr>
      <w:tr w:rsidR="000B4A1E" w:rsidRPr="003E2DBE" w:rsidTr="00517E51">
        <w:tc>
          <w:tcPr>
            <w:tcW w:w="694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Net cash flows from financing activities</w:t>
            </w:r>
          </w:p>
        </w:tc>
        <w:tc>
          <w:tcPr>
            <w:tcW w:w="1352"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137 743</w:t>
            </w:r>
          </w:p>
        </w:tc>
        <w:tc>
          <w:tcPr>
            <w:tcW w:w="1352"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( 487 422)</w:t>
            </w:r>
          </w:p>
        </w:tc>
      </w:tr>
      <w:tr w:rsidR="000B4A1E" w:rsidRPr="003E2DBE" w:rsidTr="00517E51">
        <w:tc>
          <w:tcPr>
            <w:tcW w:w="694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Net increase in trust fund cash and deposits</w:t>
            </w:r>
          </w:p>
        </w:tc>
        <w:tc>
          <w:tcPr>
            <w:tcW w:w="1352"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417 442</w:t>
            </w:r>
          </w:p>
        </w:tc>
        <w:tc>
          <w:tcPr>
            <w:tcW w:w="1352"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( 390 379)</w:t>
            </w:r>
          </w:p>
        </w:tc>
      </w:tr>
    </w:tbl>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rsidRPr="00D00665">
        <w:tab/>
        <w:t>Grants received and grants and subsidies figures for 2012 have been restated to reflect gross transactions.</w:t>
      </w:r>
    </w:p>
    <w:p w:rsidR="000B4A1E" w:rsidRPr="00D00665" w:rsidRDefault="000B4A1E" w:rsidP="00517E51">
      <w:pPr>
        <w:pStyle w:val="Heading2NotesContd"/>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pPr>
      <w:r w:rsidRPr="00D00665">
        <w:t>(d)</w:t>
      </w:r>
      <w:r w:rsidRPr="00D00665">
        <w:tab/>
        <w:t>Reconciliation of cash flows to balances held</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5864"/>
        <w:gridCol w:w="1350"/>
        <w:gridCol w:w="1112"/>
        <w:gridCol w:w="1322"/>
      </w:tblGrid>
      <w:tr w:rsidR="000B4A1E" w:rsidRPr="003E2DBE" w:rsidTr="00517E51">
        <w:tc>
          <w:tcPr>
            <w:tcW w:w="586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350"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rPr>
              <w:t>Balances</w:t>
            </w:r>
            <w:r w:rsidRPr="003E2DBE">
              <w:rPr>
                <w:rFonts w:eastAsiaTheme="minorEastAsia"/>
                <w:lang w:eastAsia="en-AU"/>
              </w:rPr>
              <w:t xml:space="preserve"> </w:t>
            </w:r>
          </w:p>
        </w:tc>
        <w:tc>
          <w:tcPr>
            <w:tcW w:w="1112"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Net</w:t>
            </w:r>
          </w:p>
        </w:tc>
        <w:tc>
          <w:tcPr>
            <w:tcW w:w="1322"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Balances </w:t>
            </w:r>
          </w:p>
        </w:tc>
      </w:tr>
      <w:tr w:rsidR="000B4A1E" w:rsidRPr="003E2DBE" w:rsidTr="00517E51">
        <w:tc>
          <w:tcPr>
            <w:tcW w:w="5864"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350"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held at</w:t>
            </w:r>
          </w:p>
        </w:tc>
        <w:tc>
          <w:tcPr>
            <w:tcW w:w="1112"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movement</w:t>
            </w:r>
          </w:p>
        </w:tc>
        <w:tc>
          <w:tcPr>
            <w:tcW w:w="1322"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held at</w:t>
            </w:r>
          </w:p>
        </w:tc>
      </w:tr>
      <w:tr w:rsidR="000B4A1E" w:rsidRPr="003E2DBE" w:rsidTr="00517E51">
        <w:tc>
          <w:tcPr>
            <w:tcW w:w="5864" w:type="dxa"/>
            <w:tcBorders>
              <w:top w:val="single" w:sz="4" w:space="0" w:color="auto"/>
              <w:left w:val="single" w:sz="4" w:space="0" w:color="auto"/>
              <w:bottom w:val="single" w:sz="4" w:space="0" w:color="auto"/>
              <w:right w:val="nil"/>
            </w:tcBorders>
            <w:shd w:val="solid" w:color="000000" w:fill="auto"/>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350" w:type="dxa"/>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30 June 2012</w:t>
            </w:r>
          </w:p>
        </w:tc>
        <w:tc>
          <w:tcPr>
            <w:tcW w:w="1112" w:type="dxa"/>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for year</w:t>
            </w:r>
          </w:p>
        </w:tc>
        <w:tc>
          <w:tcPr>
            <w:tcW w:w="1322" w:type="dxa"/>
            <w:tcBorders>
              <w:top w:val="single" w:sz="4" w:space="0" w:color="auto"/>
              <w:left w:val="nil"/>
              <w:bottom w:val="single" w:sz="4" w:space="0" w:color="auto"/>
              <w:right w:val="single" w:sz="4" w:space="0" w:color="auto"/>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30 June 2013</w:t>
            </w:r>
          </w:p>
        </w:tc>
      </w:tr>
      <w:tr w:rsidR="000B4A1E" w:rsidRPr="003E2DBE" w:rsidTr="00517E51">
        <w:tc>
          <w:tcPr>
            <w:tcW w:w="5864" w:type="dxa"/>
            <w:tcBorders>
              <w:top w:val="single" w:sz="4"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Cash and deposits</w:t>
            </w:r>
          </w:p>
        </w:tc>
        <w:tc>
          <w:tcPr>
            <w:tcW w:w="1350"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12"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322"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Cash balances outside the Public Account</w:t>
            </w:r>
          </w:p>
        </w:tc>
        <w:tc>
          <w:tcPr>
            <w:tcW w:w="135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659)</w:t>
            </w:r>
          </w:p>
        </w:tc>
        <w:tc>
          <w:tcPr>
            <w:tcW w:w="111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503</w:t>
            </w:r>
          </w:p>
        </w:tc>
        <w:tc>
          <w:tcPr>
            <w:tcW w:w="132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156)</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Deposits held with the Public Account</w:t>
            </w:r>
            <w:r>
              <w:rPr>
                <w:rFonts w:eastAsiaTheme="minorEastAsia"/>
                <w:lang w:eastAsia="en-AU"/>
              </w:rPr>
              <w:t xml:space="preserve"> – </w:t>
            </w:r>
            <w:r w:rsidRPr="003E2DBE">
              <w:rPr>
                <w:rFonts w:eastAsiaTheme="minorEastAsia"/>
                <w:lang w:eastAsia="en-AU"/>
              </w:rPr>
              <w:t>specific trusts</w:t>
            </w:r>
          </w:p>
        </w:tc>
        <w:tc>
          <w:tcPr>
            <w:tcW w:w="135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317 091</w:t>
            </w:r>
          </w:p>
        </w:tc>
        <w:tc>
          <w:tcPr>
            <w:tcW w:w="111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227 837</w:t>
            </w:r>
          </w:p>
        </w:tc>
        <w:tc>
          <w:tcPr>
            <w:tcW w:w="132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544 928</w:t>
            </w:r>
          </w:p>
        </w:tc>
      </w:tr>
      <w:tr w:rsidR="000B4A1E" w:rsidRPr="003E2DBE" w:rsidTr="00517E51">
        <w:tc>
          <w:tcPr>
            <w:tcW w:w="586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Other balances held in the Public Account</w:t>
            </w:r>
          </w:p>
        </w:tc>
        <w:tc>
          <w:tcPr>
            <w:tcW w:w="135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2 771 892</w:t>
            </w:r>
          </w:p>
        </w:tc>
        <w:tc>
          <w:tcPr>
            <w:tcW w:w="1112"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( 8 597</w:t>
            </w:r>
            <w:r w:rsidRPr="003E2DBE">
              <w:rPr>
                <w:rFonts w:eastAsiaTheme="minorEastAsia" w:cs="Calibri"/>
                <w:szCs w:val="22"/>
                <w:lang w:eastAsia="en-AU"/>
              </w:rPr>
              <w:t>)</w:t>
            </w:r>
          </w:p>
        </w:tc>
        <w:tc>
          <w:tcPr>
            <w:tcW w:w="132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2 763 296</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cash and deposits</w:t>
            </w:r>
          </w:p>
        </w:tc>
        <w:tc>
          <w:tcPr>
            <w:tcW w:w="1350" w:type="dxa"/>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3 088 324</w:t>
            </w:r>
          </w:p>
        </w:tc>
        <w:tc>
          <w:tcPr>
            <w:tcW w:w="1112"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219 743</w:t>
            </w:r>
          </w:p>
        </w:tc>
        <w:tc>
          <w:tcPr>
            <w:tcW w:w="1322" w:type="dxa"/>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3 308 067</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Investments</w:t>
            </w:r>
          </w:p>
        </w:tc>
        <w:tc>
          <w:tcPr>
            <w:tcW w:w="135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1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32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Investments held with the Public Account</w:t>
            </w:r>
            <w:r>
              <w:rPr>
                <w:rFonts w:eastAsiaTheme="minorEastAsia"/>
                <w:lang w:eastAsia="en-AU"/>
              </w:rPr>
              <w:t xml:space="preserve"> – </w:t>
            </w:r>
            <w:r w:rsidRPr="003E2DBE">
              <w:rPr>
                <w:rFonts w:eastAsiaTheme="minorEastAsia"/>
                <w:lang w:eastAsia="en-AU"/>
              </w:rPr>
              <w:t xml:space="preserve">specific trusts </w:t>
            </w:r>
          </w:p>
        </w:tc>
        <w:tc>
          <w:tcPr>
            <w:tcW w:w="135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112"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322"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Investments held with Victorian Funds Management Corporation</w:t>
            </w:r>
            <w:r>
              <w:rPr>
                <w:rFonts w:eastAsiaTheme="minorEastAsia"/>
                <w:lang w:eastAsia="en-AU"/>
              </w:rPr>
              <w:t xml:space="preserve"> – </w:t>
            </w:r>
            <w:r w:rsidRPr="003E2DBE">
              <w:rPr>
                <w:rFonts w:eastAsiaTheme="minorEastAsia"/>
                <w:lang w:eastAsia="en-AU"/>
              </w:rPr>
              <w:t>specific trusts</w:t>
            </w:r>
          </w:p>
        </w:tc>
        <w:tc>
          <w:tcPr>
            <w:tcW w:w="135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739 524</w:t>
            </w:r>
          </w:p>
        </w:tc>
        <w:tc>
          <w:tcPr>
            <w:tcW w:w="111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( 152 723)</w:t>
            </w:r>
          </w:p>
        </w:tc>
        <w:tc>
          <w:tcPr>
            <w:tcW w:w="132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586 802</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investments</w:t>
            </w:r>
          </w:p>
        </w:tc>
        <w:tc>
          <w:tcPr>
            <w:tcW w:w="135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 </w:t>
            </w:r>
            <w:r w:rsidRPr="003E2DBE">
              <w:rPr>
                <w:rFonts w:eastAsiaTheme="minorEastAsia" w:cs="Calibri"/>
                <w:b/>
                <w:bCs/>
                <w:szCs w:val="22"/>
                <w:lang w:eastAsia="en-AU"/>
              </w:rPr>
              <w:t>739 524</w:t>
            </w:r>
          </w:p>
        </w:tc>
        <w:tc>
          <w:tcPr>
            <w:tcW w:w="1112"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w:t>
            </w:r>
            <w:r w:rsidRPr="003E2DBE">
              <w:rPr>
                <w:rFonts w:eastAsiaTheme="minorEastAsia" w:cs="Calibri"/>
                <w:b/>
                <w:bCs/>
                <w:szCs w:val="22"/>
                <w:lang w:eastAsia="en-AU"/>
              </w:rPr>
              <w:t xml:space="preserve"> 152 723)</w:t>
            </w:r>
          </w:p>
        </w:tc>
        <w:tc>
          <w:tcPr>
            <w:tcW w:w="1322"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 </w:t>
            </w:r>
            <w:r w:rsidRPr="003E2DBE">
              <w:rPr>
                <w:rFonts w:eastAsiaTheme="minorEastAsia" w:cs="Calibri"/>
                <w:b/>
                <w:bCs/>
                <w:szCs w:val="22"/>
                <w:lang w:eastAsia="en-AU"/>
              </w:rPr>
              <w:t>586 802</w:t>
            </w:r>
          </w:p>
        </w:tc>
      </w:tr>
      <w:tr w:rsidR="000B4A1E" w:rsidRPr="003E2DBE" w:rsidTr="00517E51">
        <w:tc>
          <w:tcPr>
            <w:tcW w:w="5864" w:type="dxa"/>
            <w:tcBorders>
              <w:top w:val="single" w:sz="6"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fund balances</w:t>
            </w:r>
          </w:p>
        </w:tc>
        <w:tc>
          <w:tcPr>
            <w:tcW w:w="135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3 827 848</w:t>
            </w:r>
          </w:p>
        </w:tc>
        <w:tc>
          <w:tcPr>
            <w:tcW w:w="1112"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67 021</w:t>
            </w:r>
          </w:p>
        </w:tc>
        <w:tc>
          <w:tcPr>
            <w:tcW w:w="1322"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3 894 869</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Less funds held outside the Public Account</w:t>
            </w:r>
          </w:p>
        </w:tc>
        <w:tc>
          <w:tcPr>
            <w:tcW w:w="135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1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32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Cash</w:t>
            </w:r>
          </w:p>
        </w:tc>
        <w:tc>
          <w:tcPr>
            <w:tcW w:w="135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659)</w:t>
            </w:r>
          </w:p>
        </w:tc>
        <w:tc>
          <w:tcPr>
            <w:tcW w:w="111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503</w:t>
            </w:r>
          </w:p>
        </w:tc>
        <w:tc>
          <w:tcPr>
            <w:tcW w:w="1322"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156)</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fund balances held outside the Public Account</w:t>
            </w:r>
          </w:p>
        </w:tc>
        <w:tc>
          <w:tcPr>
            <w:tcW w:w="135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659)</w:t>
            </w:r>
          </w:p>
        </w:tc>
        <w:tc>
          <w:tcPr>
            <w:tcW w:w="1112"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503</w:t>
            </w:r>
          </w:p>
        </w:tc>
        <w:tc>
          <w:tcPr>
            <w:tcW w:w="1322"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156)</w:t>
            </w:r>
          </w:p>
        </w:tc>
      </w:tr>
      <w:tr w:rsidR="000B4A1E" w:rsidRPr="003E2DBE" w:rsidTr="00517E51">
        <w:tc>
          <w:tcPr>
            <w:tcW w:w="586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vertAlign w:val="superscript"/>
                <w:lang w:eastAsia="en-AU"/>
              </w:rPr>
            </w:pPr>
            <w:r w:rsidRPr="003E2DBE">
              <w:rPr>
                <w:rFonts w:eastAsiaTheme="minorEastAsia"/>
                <w:b/>
                <w:bCs/>
                <w:lang w:eastAsia="en-AU"/>
              </w:rPr>
              <w:t xml:space="preserve">Total funds held in the Public Account </w:t>
            </w:r>
            <w:r w:rsidRPr="003E2DBE">
              <w:rPr>
                <w:rFonts w:eastAsiaTheme="minorEastAsia"/>
                <w:b/>
                <w:bCs/>
                <w:vertAlign w:val="superscript"/>
                <w:lang w:eastAsia="en-AU"/>
              </w:rPr>
              <w:t>(a)</w:t>
            </w:r>
          </w:p>
        </w:tc>
        <w:tc>
          <w:tcPr>
            <w:tcW w:w="135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3 828 508</w:t>
            </w:r>
          </w:p>
        </w:tc>
        <w:tc>
          <w:tcPr>
            <w:tcW w:w="1112"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66 517</w:t>
            </w:r>
          </w:p>
        </w:tc>
        <w:tc>
          <w:tcPr>
            <w:tcW w:w="1322"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3 895 025</w:t>
            </w:r>
          </w:p>
        </w:tc>
      </w:tr>
    </w:tbl>
    <w:p w:rsidR="000B4A1E" w:rsidRPr="00D00665" w:rsidRDefault="000B4A1E" w:rsidP="00517E51">
      <w:pPr>
        <w:pStyle w:val="Notes"/>
      </w:pPr>
      <w:r w:rsidRPr="00D00665">
        <w:t>Note:</w:t>
      </w:r>
    </w:p>
    <w:p w:rsidR="000B4A1E" w:rsidRPr="00D00665" w:rsidRDefault="000B4A1E" w:rsidP="00517E51">
      <w:pPr>
        <w:pStyle w:val="Notes"/>
      </w:pPr>
      <w:r w:rsidRPr="00D00665">
        <w:t>(a)</w:t>
      </w:r>
      <w:r w:rsidRPr="00D00665">
        <w:tab/>
        <w:t>See Note 36(f) for details of securities and investments including amounts held in the Public Account on behalf of trust accounts.</w:t>
      </w:r>
    </w:p>
    <w:p w:rsidR="000B4A1E" w:rsidRPr="00D00665" w:rsidRDefault="000B4A1E" w:rsidP="00517E51">
      <w:pPr>
        <w:pStyle w:val="Notes"/>
      </w:pPr>
    </w:p>
    <w:p w:rsidR="000B4A1E" w:rsidRPr="00D00665" w:rsidRDefault="000B4A1E" w:rsidP="00517E51"/>
    <w:p w:rsidR="000B4A1E" w:rsidRPr="00D00665" w:rsidRDefault="000B4A1E" w:rsidP="00517E51">
      <w:pPr>
        <w:pStyle w:val="Heading5"/>
      </w:pPr>
      <w:r w:rsidRPr="00D00665">
        <w:t>(e)</w:t>
      </w:r>
      <w:r w:rsidRPr="00D00665">
        <w:tab/>
        <w:t>Trust fund summary for the financial year ended 30 June</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0B4A1E" w:rsidRPr="003E2DBE" w:rsidTr="00517E51">
        <w:tc>
          <w:tcPr>
            <w:tcW w:w="7402"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Balances </w:t>
            </w:r>
          </w:p>
        </w:tc>
        <w:tc>
          <w:tcPr>
            <w:tcW w:w="1123"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 Balances </w:t>
            </w:r>
          </w:p>
        </w:tc>
      </w:tr>
      <w:tr w:rsidR="000B4A1E" w:rsidRPr="003E2DBE" w:rsidTr="00517E51">
        <w:tc>
          <w:tcPr>
            <w:tcW w:w="7402" w:type="dxa"/>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held 2013</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held 2012</w:t>
            </w:r>
          </w:p>
        </w:tc>
      </w:tr>
      <w:tr w:rsidR="000B4A1E" w:rsidRPr="003E2DBE" w:rsidTr="00517E51">
        <w:tc>
          <w:tcPr>
            <w:tcW w:w="7402" w:type="dxa"/>
            <w:tcBorders>
              <w:top w:val="single" w:sz="4" w:space="0" w:color="auto"/>
              <w:left w:val="nil"/>
              <w:bottom w:val="nil"/>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State Government funds</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Accounts established to receive levies imposed by Parliament and record the expenditure thereof</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345 </w:t>
            </w:r>
            <w:r w:rsidRPr="003E2DBE">
              <w:rPr>
                <w:rFonts w:eastAsiaTheme="minorEastAsia" w:cs="Calibri"/>
                <w:szCs w:val="22"/>
                <w:lang w:eastAsia="en-AU"/>
              </w:rPr>
              <w:t>682</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296 </w:t>
            </w:r>
            <w:r w:rsidRPr="003E2DBE">
              <w:rPr>
                <w:rFonts w:eastAsiaTheme="minorEastAsia" w:cs="Calibri"/>
                <w:szCs w:val="22"/>
                <w:lang w:eastAsia="en-AU"/>
              </w:rPr>
              <w:t>237</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Accounts established to receive monies provided in the annual budget and record the expenditure thereof</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1 207 </w:t>
            </w:r>
            <w:r w:rsidRPr="003E2DBE">
              <w:rPr>
                <w:rFonts w:eastAsiaTheme="minorEastAsia" w:cs="Calibri"/>
                <w:szCs w:val="22"/>
                <w:lang w:eastAsia="en-AU"/>
              </w:rPr>
              <w:t>414</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1 106 334</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Specific purpose operating accounts established for various authorities etc.</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306 </w:t>
            </w:r>
            <w:r w:rsidRPr="003E2DBE">
              <w:rPr>
                <w:rFonts w:eastAsiaTheme="minorEastAsia" w:cs="Calibri"/>
                <w:szCs w:val="22"/>
                <w:lang w:eastAsia="en-AU"/>
              </w:rPr>
              <w:t>721</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240 </w:t>
            </w:r>
            <w:r w:rsidRPr="003E2DBE">
              <w:rPr>
                <w:rFonts w:eastAsiaTheme="minorEastAsia" w:cs="Calibri"/>
                <w:szCs w:val="22"/>
                <w:lang w:eastAsia="en-AU"/>
              </w:rPr>
              <w:t>814</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Suspense and clearing accounts to facilitate accounting procedures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457 648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307 475</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Treasury Trust </w:t>
            </w:r>
            <w:r w:rsidRPr="003E2DBE">
              <w:rPr>
                <w:rFonts w:eastAsiaTheme="minorEastAsia" w:cs="Calibri"/>
                <w:szCs w:val="22"/>
                <w:lang w:eastAsia="en-AU"/>
              </w:rPr>
              <w:t>Fund</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279 </w:t>
            </w:r>
            <w:r w:rsidRPr="003E2DBE">
              <w:rPr>
                <w:rFonts w:eastAsiaTheme="minorEastAsia" w:cs="Calibri"/>
                <w:szCs w:val="22"/>
                <w:lang w:eastAsia="en-AU"/>
              </w:rPr>
              <w:t>917</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260 </w:t>
            </w:r>
            <w:r w:rsidRPr="003E2DBE">
              <w:rPr>
                <w:rFonts w:eastAsiaTheme="minorEastAsia" w:cs="Calibri"/>
                <w:szCs w:val="22"/>
                <w:lang w:eastAsia="en-AU"/>
              </w:rPr>
              <w:t>652</w:t>
            </w:r>
          </w:p>
        </w:tc>
      </w:tr>
      <w:tr w:rsidR="000B4A1E" w:rsidRPr="003E2DBE" w:rsidTr="00517E51">
        <w:tc>
          <w:tcPr>
            <w:tcW w:w="7402" w:type="dxa"/>
            <w:tcBorders>
              <w:top w:val="nil"/>
              <w:left w:val="nil"/>
              <w:bottom w:val="single" w:sz="6" w:space="0" w:color="auto"/>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Agency and deposit </w:t>
            </w:r>
            <w:r w:rsidRPr="003E2DBE">
              <w:rPr>
                <w:rFonts w:eastAsiaTheme="minorEastAsia" w:cs="Calibri"/>
                <w:szCs w:val="22"/>
                <w:lang w:eastAsia="en-AU"/>
              </w:rPr>
              <w:t>accounts</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545 </w:t>
            </w:r>
            <w:r w:rsidRPr="003E2DBE">
              <w:rPr>
                <w:rFonts w:eastAsiaTheme="minorEastAsia" w:cs="Calibri"/>
                <w:szCs w:val="22"/>
                <w:lang w:eastAsia="en-AU"/>
              </w:rPr>
              <w:t>934</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562 282</w:t>
            </w:r>
          </w:p>
        </w:tc>
      </w:tr>
      <w:tr w:rsidR="000B4A1E" w:rsidRPr="003E2DBE" w:rsidTr="00517E51">
        <w:tc>
          <w:tcPr>
            <w:tcW w:w="7402"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Total State Government funds</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Cs w:val="22"/>
                <w:lang w:eastAsia="en-AU"/>
              </w:rPr>
            </w:pPr>
            <w:r w:rsidRPr="003E2DBE">
              <w:rPr>
                <w:rFonts w:eastAsiaTheme="minorEastAsia"/>
                <w:b/>
                <w:bCs/>
                <w:lang w:eastAsia="en-AU"/>
              </w:rPr>
              <w:t xml:space="preserve">3 143 </w:t>
            </w:r>
            <w:r w:rsidRPr="003E2DBE">
              <w:rPr>
                <w:rFonts w:eastAsiaTheme="minorEastAsia" w:cs="Calibri"/>
                <w:b/>
                <w:szCs w:val="22"/>
                <w:lang w:eastAsia="en-AU"/>
              </w:rPr>
              <w:t>316</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Cs w:val="22"/>
                <w:lang w:eastAsia="en-AU"/>
              </w:rPr>
            </w:pPr>
            <w:r w:rsidRPr="003E2DBE">
              <w:rPr>
                <w:rFonts w:eastAsiaTheme="minorEastAsia"/>
                <w:b/>
                <w:bCs/>
                <w:lang w:eastAsia="en-AU"/>
              </w:rPr>
              <w:t>2 773 794</w:t>
            </w:r>
          </w:p>
        </w:tc>
      </w:tr>
      <w:tr w:rsidR="000B4A1E" w:rsidRPr="003E2DBE" w:rsidTr="00517E51">
        <w:trPr>
          <w:trHeight w:hRule="exact" w:val="120"/>
        </w:trPr>
        <w:tc>
          <w:tcPr>
            <w:tcW w:w="7402" w:type="dxa"/>
            <w:tcBorders>
              <w:top w:val="single" w:sz="6"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 xml:space="preserve">Joint </w:t>
            </w:r>
            <w:r w:rsidRPr="003E2DBE">
              <w:rPr>
                <w:rFonts w:eastAsiaTheme="minorEastAsia" w:cs="Calibri"/>
                <w:b/>
                <w:bCs/>
                <w:szCs w:val="22"/>
                <w:lang w:eastAsia="en-AU"/>
              </w:rPr>
              <w:t>Commonwealth and State funds</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szCs w:val="22"/>
                <w:lang w:eastAsia="en-AU"/>
              </w:rPr>
            </w:pPr>
            <w:r w:rsidRPr="003E2DBE">
              <w:rPr>
                <w:rFonts w:eastAsiaTheme="minorEastAsia"/>
                <w:b/>
                <w:bCs/>
                <w:lang w:eastAsia="en-AU"/>
              </w:rPr>
              <w:t xml:space="preserve"> 329</w:t>
            </w:r>
            <w:r w:rsidRPr="003E2DBE">
              <w:rPr>
                <w:rFonts w:eastAsiaTheme="minorEastAsia" w:cs="Calibri"/>
                <w:b/>
                <w:szCs w:val="22"/>
                <w:lang w:eastAsia="en-AU"/>
              </w:rPr>
              <w:t xml:space="preserve"> 877</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szCs w:val="22"/>
                <w:lang w:eastAsia="en-AU"/>
              </w:rPr>
            </w:pPr>
            <w:r w:rsidRPr="003E2DBE">
              <w:rPr>
                <w:rFonts w:eastAsiaTheme="minorEastAsia"/>
                <w:b/>
                <w:bCs/>
                <w:lang w:eastAsia="en-AU"/>
              </w:rPr>
              <w:t xml:space="preserve"> 408</w:t>
            </w:r>
            <w:r w:rsidRPr="003E2DBE">
              <w:rPr>
                <w:rFonts w:eastAsiaTheme="minorEastAsia" w:cs="Calibri"/>
                <w:b/>
                <w:szCs w:val="22"/>
                <w:lang w:eastAsia="en-AU"/>
              </w:rPr>
              <w:t xml:space="preserve"> 592</w:t>
            </w:r>
          </w:p>
        </w:tc>
      </w:tr>
      <w:tr w:rsidR="000B4A1E" w:rsidRPr="003E2DBE" w:rsidTr="00517E51">
        <w:trPr>
          <w:trHeight w:hRule="exact" w:val="120"/>
        </w:trPr>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 xml:space="preserve">Commonwealth </w:t>
            </w:r>
            <w:r w:rsidRPr="003E2DBE">
              <w:rPr>
                <w:rFonts w:eastAsiaTheme="minorEastAsia" w:cs="Calibri"/>
                <w:b/>
                <w:bCs/>
                <w:szCs w:val="22"/>
                <w:lang w:eastAsia="en-AU"/>
              </w:rPr>
              <w:t>Government funds</w:t>
            </w:r>
          </w:p>
        </w:tc>
        <w:tc>
          <w:tcPr>
            <w:tcW w:w="1123" w:type="dxa"/>
            <w:tcBorders>
              <w:top w:val="nil"/>
              <w:left w:val="nil"/>
              <w:bottom w:val="nil"/>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Commonwealth Grants passed </w:t>
            </w:r>
            <w:r w:rsidRPr="003E2DBE">
              <w:rPr>
                <w:rFonts w:eastAsiaTheme="minorEastAsia" w:cs="Calibri"/>
                <w:szCs w:val="22"/>
                <w:lang w:eastAsia="en-AU"/>
              </w:rPr>
              <w:t xml:space="preserve">on to individuals and organisations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8</w:t>
            </w:r>
            <w:r w:rsidRPr="003E2DBE">
              <w:rPr>
                <w:rFonts w:eastAsiaTheme="minorEastAsia" w:cs="Calibri"/>
                <w:szCs w:val="22"/>
                <w:lang w:eastAsia="en-AU"/>
              </w:rPr>
              <w:t xml:space="preserve"> 028</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11</w:t>
            </w:r>
            <w:r w:rsidRPr="003E2DBE">
              <w:rPr>
                <w:rFonts w:eastAsiaTheme="minorEastAsia" w:cs="Calibri"/>
                <w:szCs w:val="22"/>
                <w:lang w:eastAsia="en-AU"/>
              </w:rPr>
              <w:t xml:space="preserve"> 120</w:t>
            </w:r>
          </w:p>
        </w:tc>
      </w:tr>
      <w:tr w:rsidR="000B4A1E" w:rsidRPr="003E2DBE" w:rsidTr="00517E51">
        <w:trPr>
          <w:trHeight w:hRule="exact" w:val="120"/>
        </w:trPr>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Total Commonwealth</w:t>
            </w:r>
            <w:r w:rsidRPr="003E2DBE">
              <w:rPr>
                <w:rFonts w:eastAsiaTheme="minorEastAsia" w:cs="Calibri"/>
                <w:b/>
                <w:bCs/>
                <w:szCs w:val="22"/>
                <w:lang w:eastAsia="en-AU"/>
              </w:rPr>
              <w:t xml:space="preserve"> Government funds</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Cs w:val="22"/>
                <w:lang w:eastAsia="en-AU"/>
              </w:rPr>
            </w:pPr>
            <w:r w:rsidRPr="003E2DBE">
              <w:rPr>
                <w:rFonts w:eastAsiaTheme="minorEastAsia"/>
                <w:b/>
                <w:bCs/>
                <w:lang w:eastAsia="en-AU"/>
              </w:rPr>
              <w:t xml:space="preserve"> 8 </w:t>
            </w:r>
            <w:r w:rsidRPr="003E2DBE">
              <w:rPr>
                <w:rFonts w:eastAsiaTheme="minorEastAsia" w:cs="Calibri"/>
                <w:b/>
                <w:szCs w:val="22"/>
                <w:lang w:eastAsia="en-AU"/>
              </w:rPr>
              <w:t>028</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cs="Calibri"/>
                <w:b/>
                <w:szCs w:val="22"/>
                <w:lang w:eastAsia="en-AU"/>
              </w:rPr>
            </w:pPr>
            <w:r w:rsidRPr="003E2DBE">
              <w:rPr>
                <w:rFonts w:eastAsiaTheme="minorEastAsia"/>
                <w:b/>
                <w:bCs/>
                <w:lang w:eastAsia="en-AU"/>
              </w:rPr>
              <w:t xml:space="preserve"> 11 </w:t>
            </w:r>
            <w:r w:rsidRPr="003E2DBE">
              <w:rPr>
                <w:rFonts w:eastAsiaTheme="minorEastAsia" w:cs="Calibri"/>
                <w:b/>
                <w:szCs w:val="22"/>
                <w:lang w:eastAsia="en-AU"/>
              </w:rPr>
              <w:t>120</w:t>
            </w:r>
          </w:p>
        </w:tc>
      </w:tr>
      <w:tr w:rsidR="000B4A1E" w:rsidRPr="003E2DBE" w:rsidTr="00517E51">
        <w:trPr>
          <w:trHeight w:hRule="exact" w:val="120"/>
        </w:trPr>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r>
      <w:tr w:rsidR="000B4A1E" w:rsidRPr="003E2DBE" w:rsidTr="00517E51">
        <w:tc>
          <w:tcPr>
            <w:tcW w:w="7402" w:type="dxa"/>
            <w:tcBorders>
              <w:top w:val="nil"/>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 xml:space="preserve">Prizes, scholarships, research </w:t>
            </w:r>
            <w:r w:rsidRPr="003E2DBE">
              <w:rPr>
                <w:rFonts w:eastAsiaTheme="minorEastAsia" w:cs="Calibri"/>
                <w:b/>
                <w:bCs/>
                <w:szCs w:val="22"/>
                <w:lang w:eastAsia="en-AU"/>
              </w:rPr>
              <w:t>and private donations</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szCs w:val="22"/>
                <w:lang w:eastAsia="en-AU"/>
              </w:rPr>
            </w:pPr>
            <w:r w:rsidRPr="003E2DBE">
              <w:rPr>
                <w:rFonts w:eastAsiaTheme="minorEastAsia"/>
                <w:b/>
                <w:bCs/>
                <w:lang w:eastAsia="en-AU"/>
              </w:rPr>
              <w:t xml:space="preserve"> 178 </w:t>
            </w:r>
            <w:r w:rsidRPr="003E2DBE">
              <w:rPr>
                <w:rFonts w:eastAsiaTheme="minorEastAsia" w:cs="Calibri"/>
                <w:b/>
                <w:szCs w:val="22"/>
                <w:lang w:eastAsia="en-AU"/>
              </w:rPr>
              <w:t>439</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szCs w:val="22"/>
                <w:lang w:eastAsia="en-AU"/>
              </w:rPr>
            </w:pPr>
            <w:r w:rsidRPr="003E2DBE">
              <w:rPr>
                <w:rFonts w:eastAsiaTheme="minorEastAsia"/>
                <w:b/>
                <w:bCs/>
                <w:lang w:eastAsia="en-AU"/>
              </w:rPr>
              <w:t xml:space="preserve"> 202 </w:t>
            </w:r>
            <w:r w:rsidRPr="003E2DBE">
              <w:rPr>
                <w:rFonts w:eastAsiaTheme="minorEastAsia" w:cs="Calibri"/>
                <w:b/>
                <w:szCs w:val="22"/>
                <w:lang w:eastAsia="en-AU"/>
              </w:rPr>
              <w:t>094</w:t>
            </w:r>
          </w:p>
        </w:tc>
      </w:tr>
      <w:tr w:rsidR="000B4A1E" w:rsidRPr="003E2DBE" w:rsidTr="00517E51">
        <w:trPr>
          <w:trHeight w:hRule="exact" w:val="120"/>
        </w:trPr>
        <w:tc>
          <w:tcPr>
            <w:tcW w:w="7402"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Total trust fund</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szCs w:val="22"/>
                <w:lang w:eastAsia="en-AU"/>
              </w:rPr>
            </w:pPr>
            <w:r w:rsidRPr="003E2DBE">
              <w:rPr>
                <w:rFonts w:eastAsiaTheme="minorEastAsia"/>
                <w:b/>
                <w:bCs/>
                <w:lang w:eastAsia="en-AU"/>
              </w:rPr>
              <w:t xml:space="preserve">3 659 </w:t>
            </w:r>
            <w:r w:rsidRPr="003E2DBE">
              <w:rPr>
                <w:rFonts w:eastAsiaTheme="minorEastAsia" w:cs="Calibri"/>
                <w:b/>
                <w:szCs w:val="22"/>
                <w:lang w:eastAsia="en-AU"/>
              </w:rPr>
              <w:t>660</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cs="Calibri"/>
                <w:b/>
                <w:szCs w:val="22"/>
                <w:lang w:eastAsia="en-AU"/>
              </w:rPr>
            </w:pPr>
            <w:r w:rsidRPr="003E2DBE">
              <w:rPr>
                <w:rFonts w:eastAsiaTheme="minorEastAsia"/>
                <w:b/>
                <w:bCs/>
                <w:lang w:eastAsia="en-AU"/>
              </w:rPr>
              <w:t xml:space="preserve">3 395 </w:t>
            </w:r>
            <w:r w:rsidRPr="003E2DBE">
              <w:rPr>
                <w:rFonts w:eastAsiaTheme="minorEastAsia" w:cs="Calibri"/>
                <w:b/>
                <w:szCs w:val="22"/>
                <w:lang w:eastAsia="en-AU"/>
              </w:rPr>
              <w:t>600</w:t>
            </w:r>
          </w:p>
        </w:tc>
      </w:tr>
    </w:tbl>
    <w:p w:rsidR="000B4A1E" w:rsidRPr="00D00665" w:rsidRDefault="000B4A1E" w:rsidP="00517E51">
      <w:pPr>
        <w:pStyle w:val="million"/>
      </w:pPr>
    </w:p>
    <w:p w:rsidR="000B4A1E" w:rsidRPr="00D00665" w:rsidRDefault="000B4A1E" w:rsidP="00517E51"/>
    <w:p w:rsidR="000B4A1E" w:rsidRPr="00D00665" w:rsidRDefault="000B4A1E" w:rsidP="00517E51">
      <w:pPr>
        <w:pStyle w:val="Heading2NotesContd"/>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pPr>
      <w:r w:rsidRPr="00D00665">
        <w:t>(f)</w:t>
      </w:r>
      <w:r w:rsidRPr="00D00665">
        <w:tab/>
        <w:t>Details of securities held and included in the balances at 30 June</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7214"/>
        <w:gridCol w:w="1170"/>
        <w:gridCol w:w="1264"/>
      </w:tblGrid>
      <w:tr w:rsidR="000B4A1E" w:rsidRPr="003E2DBE" w:rsidTr="00517E51">
        <w:tc>
          <w:tcPr>
            <w:tcW w:w="7214" w:type="dxa"/>
            <w:tcBorders>
              <w:top w:val="single" w:sz="6" w:space="0" w:color="auto"/>
              <w:left w:val="single" w:sz="6" w:space="0" w:color="auto"/>
              <w:bottom w:val="single" w:sz="6" w:space="0" w:color="auto"/>
              <w:right w:val="nil"/>
            </w:tcBorders>
            <w:shd w:val="clear" w:color="auto" w:fill="000000"/>
          </w:tcPr>
          <w:p w:rsidR="000B4A1E" w:rsidRPr="003E2DBE" w:rsidRDefault="000B4A1E" w:rsidP="00517E51">
            <w:pPr>
              <w:pStyle w:val="Tabletext"/>
              <w:rPr>
                <w:rFonts w:eastAsiaTheme="minorEastAsia" w:cs="Calibri"/>
                <w:szCs w:val="22"/>
                <w:lang w:eastAsia="en-AU"/>
              </w:rPr>
            </w:pPr>
          </w:p>
        </w:tc>
        <w:tc>
          <w:tcPr>
            <w:tcW w:w="1170"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264" w:type="dxa"/>
            <w:tcBorders>
              <w:top w:val="single" w:sz="6" w:space="0" w:color="auto"/>
              <w:left w:val="nil"/>
              <w:bottom w:val="single" w:sz="6" w:space="0" w:color="auto"/>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721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Funds held at 30 June</w:t>
            </w:r>
          </w:p>
        </w:tc>
        <w:tc>
          <w:tcPr>
            <w:tcW w:w="117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721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Trust accounts</w:t>
            </w:r>
          </w:p>
        </w:tc>
        <w:tc>
          <w:tcPr>
            <w:tcW w:w="117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721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Amounts invested on behalf of specific trust accounts</w:t>
            </w:r>
          </w:p>
        </w:tc>
        <w:tc>
          <w:tcPr>
            <w:tcW w:w="117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1 131 729</w:t>
            </w:r>
          </w:p>
        </w:tc>
        <w:tc>
          <w:tcPr>
            <w:tcW w:w="126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1 056 615</w:t>
            </w:r>
          </w:p>
        </w:tc>
      </w:tr>
      <w:tr w:rsidR="000B4A1E" w:rsidRPr="003E2DBE" w:rsidTr="00517E51">
        <w:tc>
          <w:tcPr>
            <w:tcW w:w="721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General account balances</w:t>
            </w:r>
          </w:p>
        </w:tc>
        <w:tc>
          <w:tcPr>
            <w:tcW w:w="1170"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2 527 931</w:t>
            </w:r>
          </w:p>
        </w:tc>
        <w:tc>
          <w:tcPr>
            <w:tcW w:w="1264"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2 338 985</w:t>
            </w:r>
          </w:p>
        </w:tc>
      </w:tr>
      <w:tr w:rsidR="000B4A1E" w:rsidRPr="003E2DBE" w:rsidTr="00517E51">
        <w:tc>
          <w:tcPr>
            <w:tcW w:w="721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public account</w:t>
            </w:r>
          </w:p>
        </w:tc>
        <w:tc>
          <w:tcPr>
            <w:tcW w:w="117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3 659 660</w:t>
            </w:r>
          </w:p>
        </w:tc>
        <w:tc>
          <w:tcPr>
            <w:tcW w:w="1264"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3 395 600</w:t>
            </w:r>
          </w:p>
        </w:tc>
      </w:tr>
      <w:tr w:rsidR="000B4A1E" w:rsidRPr="003E2DBE" w:rsidTr="00517E51">
        <w:tc>
          <w:tcPr>
            <w:tcW w:w="7214" w:type="dxa"/>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General consolidated fund account balance</w:t>
            </w:r>
          </w:p>
        </w:tc>
        <w:tc>
          <w:tcPr>
            <w:tcW w:w="1170"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235 365</w:t>
            </w:r>
          </w:p>
        </w:tc>
        <w:tc>
          <w:tcPr>
            <w:tcW w:w="1264"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432 907</w:t>
            </w:r>
          </w:p>
        </w:tc>
      </w:tr>
      <w:tr w:rsidR="000B4A1E" w:rsidRPr="003E2DBE" w:rsidTr="00517E51">
        <w:tc>
          <w:tcPr>
            <w:tcW w:w="721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funds held</w:t>
            </w:r>
          </w:p>
        </w:tc>
        <w:tc>
          <w:tcPr>
            <w:tcW w:w="1170"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3 895 025</w:t>
            </w:r>
          </w:p>
        </w:tc>
        <w:tc>
          <w:tcPr>
            <w:tcW w:w="1264"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3 828 508</w:t>
            </w:r>
          </w:p>
        </w:tc>
      </w:tr>
      <w:tr w:rsidR="000B4A1E" w:rsidRPr="003E2DBE" w:rsidTr="00517E51">
        <w:tc>
          <w:tcPr>
            <w:tcW w:w="721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721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Represented by:</w:t>
            </w:r>
          </w:p>
        </w:tc>
        <w:tc>
          <w:tcPr>
            <w:tcW w:w="117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21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Stocks and securities held with/in –</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21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Managed Investments </w:t>
            </w:r>
          </w:p>
        </w:tc>
        <w:tc>
          <w:tcPr>
            <w:tcW w:w="117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409 367</w:t>
            </w:r>
          </w:p>
        </w:tc>
        <w:tc>
          <w:tcPr>
            <w:tcW w:w="126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721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Treasury Corporation of Victoria</w:t>
            </w:r>
          </w:p>
        </w:tc>
        <w:tc>
          <w:tcPr>
            <w:tcW w:w="117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722 375</w:t>
            </w:r>
          </w:p>
        </w:tc>
        <w:tc>
          <w:tcPr>
            <w:tcW w:w="126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1 056 615</w:t>
            </w:r>
          </w:p>
        </w:tc>
      </w:tr>
      <w:tr w:rsidR="000B4A1E" w:rsidRPr="003E2DBE" w:rsidTr="00517E51">
        <w:tc>
          <w:tcPr>
            <w:tcW w:w="721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70" w:type="dxa"/>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1 131 741</w:t>
            </w:r>
          </w:p>
        </w:tc>
        <w:tc>
          <w:tcPr>
            <w:tcW w:w="1264" w:type="dxa"/>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1 056 615</w:t>
            </w:r>
          </w:p>
        </w:tc>
      </w:tr>
      <w:tr w:rsidR="000B4A1E" w:rsidRPr="003E2DBE" w:rsidTr="00517E51">
        <w:tc>
          <w:tcPr>
            <w:tcW w:w="721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Cash and investments held with/in –</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26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214" w:type="dxa"/>
            <w:tcBorders>
              <w:top w:val="nil"/>
              <w:left w:val="nil"/>
              <w:bottom w:val="nil"/>
              <w:right w:val="nil"/>
            </w:tcBorders>
          </w:tcPr>
          <w:p w:rsidR="000B4A1E" w:rsidRPr="003E2DBE" w:rsidRDefault="000B4A1E" w:rsidP="00517E51">
            <w:pPr>
              <w:pStyle w:val="Tabletext"/>
              <w:rPr>
                <w:rFonts w:eastAsiaTheme="minorEastAsia"/>
                <w:vertAlign w:val="superscript"/>
                <w:lang w:eastAsia="en-AU"/>
              </w:rPr>
            </w:pPr>
            <w:r w:rsidRPr="003E2DBE">
              <w:rPr>
                <w:rFonts w:eastAsiaTheme="minorEastAsia"/>
                <w:lang w:eastAsia="en-AU"/>
              </w:rPr>
              <w:t xml:space="preserve">Treasury Corporation of Victoria </w:t>
            </w:r>
          </w:p>
        </w:tc>
        <w:tc>
          <w:tcPr>
            <w:tcW w:w="117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1 850 000</w:t>
            </w:r>
          </w:p>
        </w:tc>
        <w:tc>
          <w:tcPr>
            <w:tcW w:w="126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1 935 000</w:t>
            </w:r>
          </w:p>
        </w:tc>
      </w:tr>
      <w:tr w:rsidR="000B4A1E" w:rsidRPr="003E2DBE" w:rsidTr="00517E51">
        <w:tc>
          <w:tcPr>
            <w:tcW w:w="721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Cash at bank balances held in Australia</w:t>
            </w:r>
          </w:p>
        </w:tc>
        <w:tc>
          <w:tcPr>
            <w:tcW w:w="1170"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419 110</w:t>
            </w:r>
          </w:p>
        </w:tc>
        <w:tc>
          <w:tcPr>
            <w:tcW w:w="1264" w:type="dxa"/>
            <w:tcBorders>
              <w:top w:val="nil"/>
              <w:left w:val="nil"/>
              <w:bottom w:val="nil"/>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319 933</w:t>
            </w:r>
          </w:p>
        </w:tc>
      </w:tr>
      <w:tr w:rsidR="000B4A1E" w:rsidRPr="003E2DBE" w:rsidTr="00517E51">
        <w:tc>
          <w:tcPr>
            <w:tcW w:w="721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70" w:type="dxa"/>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2 269 110</w:t>
            </w:r>
          </w:p>
        </w:tc>
        <w:tc>
          <w:tcPr>
            <w:tcW w:w="1264"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2 254 933</w:t>
            </w:r>
          </w:p>
        </w:tc>
      </w:tr>
      <w:tr w:rsidR="000B4A1E" w:rsidRPr="003E2DBE" w:rsidTr="00517E51">
        <w:tc>
          <w:tcPr>
            <w:tcW w:w="721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stock, securities, cash and investments</w:t>
            </w:r>
          </w:p>
        </w:tc>
        <w:tc>
          <w:tcPr>
            <w:tcW w:w="117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3 400 851</w:t>
            </w:r>
          </w:p>
        </w:tc>
        <w:tc>
          <w:tcPr>
            <w:tcW w:w="1264"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3 311 548</w:t>
            </w:r>
          </w:p>
        </w:tc>
      </w:tr>
      <w:tr w:rsidR="000B4A1E" w:rsidRPr="003E2DBE" w:rsidTr="00517E51">
        <w:tc>
          <w:tcPr>
            <w:tcW w:w="721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Add cash advanced pursuant to Sections 36 and 37 of the </w:t>
            </w:r>
            <w:r w:rsidRPr="003E2DBE">
              <w:rPr>
                <w:rFonts w:eastAsiaTheme="minorEastAsia"/>
                <w:i/>
                <w:lang w:eastAsia="en-AU"/>
              </w:rPr>
              <w:t>Financial Management Act, No. 18 of 1994</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494 174</w:t>
            </w:r>
          </w:p>
        </w:tc>
        <w:tc>
          <w:tcPr>
            <w:tcW w:w="126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516 960</w:t>
            </w:r>
          </w:p>
        </w:tc>
      </w:tr>
      <w:tr w:rsidR="000B4A1E" w:rsidRPr="003E2DBE" w:rsidTr="00517E51">
        <w:tc>
          <w:tcPr>
            <w:tcW w:w="721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public account</w:t>
            </w:r>
          </w:p>
        </w:tc>
        <w:tc>
          <w:tcPr>
            <w:tcW w:w="1170"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3 895 025</w:t>
            </w:r>
          </w:p>
        </w:tc>
        <w:tc>
          <w:tcPr>
            <w:tcW w:w="1264"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3 828 508</w:t>
            </w:r>
          </w:p>
        </w:tc>
      </w:tr>
    </w:tbl>
    <w:p w:rsidR="000B4A1E" w:rsidRPr="00D00665" w:rsidRDefault="000B4A1E" w:rsidP="00517E51">
      <w:pPr>
        <w:pStyle w:val="Notes"/>
      </w:pPr>
      <w:r w:rsidRPr="00D00665">
        <w:t xml:space="preserve"> </w:t>
      </w:r>
    </w:p>
    <w:p w:rsidR="000B4A1E" w:rsidRPr="00D00665" w:rsidRDefault="000B4A1E" w:rsidP="00517E51"/>
    <w:p w:rsidR="000B4A1E" w:rsidRPr="00D00665" w:rsidRDefault="000B4A1E" w:rsidP="00517E51">
      <w:pPr>
        <w:pStyle w:val="Heading2NotesContd"/>
      </w:pPr>
      <w:r w:rsidRPr="00D00665">
        <w:br w:type="page"/>
      </w:r>
    </w:p>
    <w:p w:rsidR="000B4A1E" w:rsidRDefault="000B4A1E" w:rsidP="00517E51">
      <w:pPr>
        <w:pStyle w:val="Heading2NotesContd"/>
        <w:spacing w:before="120"/>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ind w:left="504" w:hanging="504"/>
      </w:pPr>
      <w:r w:rsidRPr="00D00665">
        <w:t>(g)</w:t>
      </w:r>
      <w:r w:rsidRPr="00D00665">
        <w:tab/>
        <w:t xml:space="preserve">Amounts paid into working accounts pursuant to Section 23 of the </w:t>
      </w:r>
      <w:r w:rsidRPr="00D00665">
        <w:rPr>
          <w:i/>
        </w:rPr>
        <w:t>Financial Management Act 1994</w:t>
      </w:r>
      <w:r w:rsidRPr="00D00665">
        <w:t xml:space="preserve"> for the year ended 30 June</w:t>
      </w:r>
    </w:p>
    <w:p w:rsidR="000B4A1E" w:rsidRPr="003E2DBE" w:rsidRDefault="000B4A1E" w:rsidP="00517E51">
      <w:pPr>
        <w:pStyle w:val="million"/>
      </w:pPr>
      <w:r w:rsidRPr="00D00665">
        <w:t>($ thousand)</w:t>
      </w:r>
      <w:bookmarkStart w:id="195" w:name="RANGE!B5:D10"/>
    </w:p>
    <w:tbl>
      <w:tblPr>
        <w:tblW w:w="9648" w:type="dxa"/>
        <w:tblInd w:w="29" w:type="dxa"/>
        <w:tblCellMar>
          <w:left w:w="43" w:type="dxa"/>
          <w:right w:w="43" w:type="dxa"/>
        </w:tblCellMar>
        <w:tblLook w:val="04A0" w:firstRow="1" w:lastRow="0" w:firstColumn="1" w:lastColumn="0" w:noHBand="0" w:noVBand="1"/>
      </w:tblPr>
      <w:tblGrid>
        <w:gridCol w:w="7402"/>
        <w:gridCol w:w="1123"/>
        <w:gridCol w:w="1123"/>
      </w:tblGrid>
      <w:tr w:rsidR="000B4A1E" w:rsidRPr="003E2DBE" w:rsidTr="00517E51">
        <w:trPr>
          <w:divId w:val="909732587"/>
        </w:trPr>
        <w:tc>
          <w:tcPr>
            <w:tcW w:w="7401" w:type="dxa"/>
            <w:tcBorders>
              <w:top w:val="single" w:sz="4" w:space="0" w:color="auto"/>
              <w:left w:val="single" w:sz="4" w:space="0" w:color="auto"/>
              <w:right w:val="nil"/>
            </w:tcBorders>
            <w:shd w:val="clear" w:color="auto" w:fill="000000"/>
            <w:noWrap/>
            <w:vAlign w:val="bottom"/>
            <w:hideMark/>
          </w:tcPr>
          <w:p w:rsidR="000B4A1E" w:rsidRPr="003E2DBE" w:rsidRDefault="000B4A1E" w:rsidP="00517E51">
            <w:pPr>
              <w:pStyle w:val="Tabletext"/>
              <w:rPr>
                <w:lang w:eastAsia="en-AU"/>
              </w:rPr>
            </w:pPr>
            <w:r w:rsidRPr="003E2DBE">
              <w:rPr>
                <w:lang w:eastAsia="en-AU"/>
              </w:rPr>
              <w:t xml:space="preserve"> </w:t>
            </w:r>
          </w:p>
        </w:tc>
        <w:tc>
          <w:tcPr>
            <w:tcW w:w="1123" w:type="dxa"/>
            <w:tcBorders>
              <w:top w:val="single" w:sz="4" w:space="0" w:color="auto"/>
              <w:left w:val="nil"/>
              <w:right w:val="nil"/>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2013</w:t>
            </w:r>
          </w:p>
        </w:tc>
        <w:tc>
          <w:tcPr>
            <w:tcW w:w="1123" w:type="dxa"/>
            <w:tcBorders>
              <w:top w:val="single" w:sz="4" w:space="0" w:color="auto"/>
              <w:left w:val="nil"/>
              <w:right w:val="single" w:sz="4" w:space="0" w:color="auto"/>
            </w:tcBorders>
            <w:shd w:val="clear" w:color="auto" w:fill="000000"/>
            <w:noWrap/>
            <w:vAlign w:val="bottom"/>
            <w:hideMark/>
          </w:tcPr>
          <w:p w:rsidR="000B4A1E" w:rsidRPr="003E2DBE" w:rsidRDefault="000B4A1E" w:rsidP="00517E51">
            <w:pPr>
              <w:pStyle w:val="Tabletextheading"/>
              <w:rPr>
                <w:lang w:eastAsia="en-AU"/>
              </w:rPr>
            </w:pPr>
            <w:r w:rsidRPr="003E2DBE">
              <w:rPr>
                <w:lang w:eastAsia="en-AU"/>
              </w:rPr>
              <w:t>2012</w:t>
            </w:r>
          </w:p>
        </w:tc>
      </w:tr>
      <w:tr w:rsidR="000B4A1E" w:rsidRPr="003E2DBE" w:rsidTr="00517E51">
        <w:trPr>
          <w:divId w:val="909732587"/>
        </w:trPr>
        <w:tc>
          <w:tcPr>
            <w:tcW w:w="7401" w:type="dxa"/>
            <w:tcBorders>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Appropriation transfer equivalent to consolidated fund receipts</w:t>
            </w:r>
          </w:p>
        </w:tc>
        <w:tc>
          <w:tcPr>
            <w:tcW w:w="1123" w:type="dxa"/>
            <w:tcBorders>
              <w:left w:val="nil"/>
              <w:right w:val="nil"/>
            </w:tcBorders>
            <w:shd w:val="clear" w:color="auto" w:fill="auto"/>
            <w:noWrap/>
            <w:vAlign w:val="bottom"/>
            <w:hideMark/>
          </w:tcPr>
          <w:p w:rsidR="000B4A1E" w:rsidRPr="003E2DBE" w:rsidRDefault="000B4A1E" w:rsidP="00517E51">
            <w:pPr>
              <w:pStyle w:val="Tabletextheading"/>
              <w:rPr>
                <w:rFonts w:cs="Calibri"/>
                <w:szCs w:val="22"/>
                <w:lang w:eastAsia="en-AU"/>
              </w:rPr>
            </w:pPr>
            <w:r w:rsidRPr="003E2DBE">
              <w:rPr>
                <w:lang w:eastAsia="en-AU"/>
              </w:rPr>
              <w:t xml:space="preserve"> 8</w:t>
            </w:r>
            <w:r w:rsidRPr="003E2DBE">
              <w:rPr>
                <w:rFonts w:cs="Calibri"/>
                <w:szCs w:val="22"/>
                <w:lang w:eastAsia="en-AU"/>
              </w:rPr>
              <w:t xml:space="preserve"> 815</w:t>
            </w:r>
          </w:p>
        </w:tc>
        <w:tc>
          <w:tcPr>
            <w:tcW w:w="1123" w:type="dxa"/>
            <w:tcBorders>
              <w:left w:val="nil"/>
            </w:tcBorders>
            <w:shd w:val="clear" w:color="auto" w:fill="auto"/>
            <w:noWrap/>
            <w:vAlign w:val="bottom"/>
            <w:hideMark/>
          </w:tcPr>
          <w:p w:rsidR="000B4A1E" w:rsidRPr="003E2DBE" w:rsidRDefault="000B4A1E" w:rsidP="00517E51">
            <w:pPr>
              <w:pStyle w:val="Tabletextheading"/>
              <w:rPr>
                <w:rFonts w:cs="Calibri"/>
                <w:szCs w:val="22"/>
                <w:lang w:eastAsia="en-AU"/>
              </w:rPr>
            </w:pPr>
            <w:r w:rsidRPr="003E2DBE">
              <w:rPr>
                <w:lang w:eastAsia="en-AU"/>
              </w:rPr>
              <w:t xml:space="preserve"> 8</w:t>
            </w:r>
            <w:r w:rsidRPr="003E2DBE">
              <w:rPr>
                <w:rFonts w:cs="Calibri"/>
                <w:szCs w:val="22"/>
                <w:lang w:eastAsia="en-AU"/>
              </w:rPr>
              <w:t xml:space="preserve"> 553</w:t>
            </w:r>
          </w:p>
        </w:tc>
      </w:tr>
      <w:tr w:rsidR="000B4A1E" w:rsidRPr="003E2DBE" w:rsidTr="00517E51">
        <w:trPr>
          <w:divId w:val="909732587"/>
        </w:trPr>
        <w:tc>
          <w:tcPr>
            <w:tcW w:w="7401" w:type="dxa"/>
            <w:tcBorders>
              <w:left w:val="nil"/>
              <w:bottom w:val="nil"/>
              <w:right w:val="nil"/>
            </w:tcBorders>
            <w:shd w:val="clear" w:color="auto" w:fill="auto"/>
            <w:noWrap/>
            <w:vAlign w:val="bottom"/>
            <w:hideMark/>
          </w:tcPr>
          <w:p w:rsidR="000B4A1E" w:rsidRPr="003E2DBE" w:rsidRDefault="000B4A1E" w:rsidP="00517E51">
            <w:pPr>
              <w:pStyle w:val="Tabletext"/>
              <w:rPr>
                <w:rFonts w:cs="Calibri"/>
                <w:szCs w:val="22"/>
                <w:lang w:eastAsia="en-AU"/>
              </w:rPr>
            </w:pPr>
            <w:r w:rsidRPr="003E2DBE">
              <w:rPr>
                <w:lang w:eastAsia="en-AU"/>
              </w:rPr>
              <w:t xml:space="preserve">Interest received </w:t>
            </w:r>
            <w:r w:rsidRPr="003E2DBE">
              <w:rPr>
                <w:rFonts w:cs="Calibri"/>
                <w:szCs w:val="22"/>
                <w:lang w:eastAsia="en-AU"/>
              </w:rPr>
              <w:t>on credit balances</w:t>
            </w:r>
          </w:p>
        </w:tc>
        <w:tc>
          <w:tcPr>
            <w:tcW w:w="1123" w:type="dxa"/>
            <w:tcBorders>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166</w:t>
            </w:r>
          </w:p>
        </w:tc>
        <w:tc>
          <w:tcPr>
            <w:tcW w:w="1123" w:type="dxa"/>
            <w:tcBorders>
              <w:left w:val="nil"/>
              <w:bottom w:val="nil"/>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201</w:t>
            </w:r>
          </w:p>
        </w:tc>
      </w:tr>
      <w:tr w:rsidR="000B4A1E" w:rsidRPr="003E2DBE" w:rsidTr="00517E51">
        <w:trPr>
          <w:divId w:val="909732587"/>
        </w:trPr>
        <w:tc>
          <w:tcPr>
            <w:tcW w:w="7401" w:type="dxa"/>
            <w:tcBorders>
              <w:top w:val="nil"/>
              <w:left w:val="nil"/>
              <w:bottom w:val="single" w:sz="6" w:space="0" w:color="auto"/>
              <w:right w:val="nil"/>
            </w:tcBorders>
            <w:shd w:val="clear" w:color="auto" w:fill="auto"/>
            <w:noWrap/>
            <w:vAlign w:val="bottom"/>
            <w:hideMark/>
          </w:tcPr>
          <w:p w:rsidR="000B4A1E" w:rsidRPr="003E2DBE" w:rsidRDefault="000B4A1E" w:rsidP="00517E51">
            <w:pPr>
              <w:pStyle w:val="Tabletext"/>
              <w:rPr>
                <w:lang w:eastAsia="en-AU"/>
              </w:rPr>
            </w:pPr>
            <w:r w:rsidRPr="003E2DBE">
              <w:rPr>
                <w:lang w:eastAsia="en-AU"/>
              </w:rPr>
              <w:t>Other income</w:t>
            </w:r>
          </w:p>
        </w:tc>
        <w:tc>
          <w:tcPr>
            <w:tcW w:w="1123" w:type="dxa"/>
            <w:tcBorders>
              <w:top w:val="nil"/>
              <w:left w:val="nil"/>
              <w:bottom w:val="single" w:sz="6"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single" w:sz="6" w:space="0" w:color="auto"/>
              <w:right w:val="nil"/>
            </w:tcBorders>
            <w:shd w:val="clear" w:color="auto" w:fill="auto"/>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w:t>
            </w:r>
          </w:p>
        </w:tc>
      </w:tr>
      <w:tr w:rsidR="000B4A1E" w:rsidRPr="003E2DBE" w:rsidTr="00517E51">
        <w:trPr>
          <w:divId w:val="909732587"/>
        </w:trPr>
        <w:tc>
          <w:tcPr>
            <w:tcW w:w="7401" w:type="dxa"/>
            <w:tcBorders>
              <w:top w:val="single" w:sz="6"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rFonts w:cs="Calibri"/>
                <w:b/>
                <w:bCs/>
                <w:szCs w:val="22"/>
                <w:lang w:eastAsia="en-AU"/>
              </w:rPr>
            </w:pPr>
            <w:r w:rsidRPr="003E2DBE">
              <w:rPr>
                <w:b/>
                <w:lang w:eastAsia="en-AU"/>
              </w:rPr>
              <w:t xml:space="preserve">Total amounts </w:t>
            </w:r>
            <w:r w:rsidRPr="003E2DBE">
              <w:rPr>
                <w:rFonts w:cs="Calibri"/>
                <w:b/>
                <w:bCs/>
                <w:szCs w:val="22"/>
                <w:lang w:eastAsia="en-AU"/>
              </w:rPr>
              <w:t>paid into working accounts</w:t>
            </w:r>
          </w:p>
        </w:tc>
        <w:tc>
          <w:tcPr>
            <w:tcW w:w="1123" w:type="dxa"/>
            <w:tcBorders>
              <w:top w:val="single" w:sz="6"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lang w:eastAsia="en-AU"/>
              </w:rPr>
              <w:t xml:space="preserve"> </w:t>
            </w:r>
            <w:r w:rsidRPr="003E2DBE">
              <w:rPr>
                <w:rFonts w:cs="Calibri"/>
                <w:b/>
                <w:bCs/>
                <w:szCs w:val="22"/>
                <w:lang w:eastAsia="en-AU"/>
              </w:rPr>
              <w:t>8 981</w:t>
            </w:r>
          </w:p>
        </w:tc>
        <w:tc>
          <w:tcPr>
            <w:tcW w:w="1123" w:type="dxa"/>
            <w:tcBorders>
              <w:top w:val="single" w:sz="6" w:space="0" w:color="auto"/>
              <w:left w:val="nil"/>
              <w:bottom w:val="single" w:sz="12" w:space="0" w:color="auto"/>
              <w:right w:val="nil"/>
            </w:tcBorders>
            <w:shd w:val="clear" w:color="auto" w:fill="auto"/>
            <w:noWrap/>
            <w:vAlign w:val="bottom"/>
            <w:hideMark/>
          </w:tcPr>
          <w:p w:rsidR="000B4A1E" w:rsidRPr="003E2DBE" w:rsidRDefault="000B4A1E" w:rsidP="00517E51">
            <w:pPr>
              <w:pStyle w:val="TableofFigures"/>
              <w:rPr>
                <w:rFonts w:cs="Calibri"/>
                <w:b/>
                <w:bCs/>
                <w:szCs w:val="22"/>
                <w:lang w:eastAsia="en-AU"/>
              </w:rPr>
            </w:pPr>
            <w:r w:rsidRPr="003E2DBE">
              <w:rPr>
                <w:b/>
                <w:lang w:eastAsia="en-AU"/>
              </w:rPr>
              <w:t xml:space="preserve"> 8</w:t>
            </w:r>
            <w:r w:rsidRPr="003E2DBE">
              <w:rPr>
                <w:rFonts w:cs="Calibri"/>
                <w:b/>
                <w:szCs w:val="22"/>
                <w:lang w:eastAsia="en-AU"/>
              </w:rPr>
              <w:t xml:space="preserve"> </w:t>
            </w:r>
            <w:r w:rsidRPr="003E2DBE">
              <w:rPr>
                <w:rFonts w:cs="Calibri"/>
                <w:b/>
                <w:bCs/>
                <w:szCs w:val="22"/>
                <w:lang w:eastAsia="en-AU"/>
              </w:rPr>
              <w:t>758</w:t>
            </w:r>
          </w:p>
        </w:tc>
      </w:tr>
      <w:bookmarkEnd w:id="195"/>
    </w:tbl>
    <w:p w:rsidR="000B4A1E" w:rsidRPr="00D00665" w:rsidRDefault="000B4A1E" w:rsidP="00517E51"/>
    <w:p w:rsidR="000B4A1E" w:rsidRPr="00D00665" w:rsidRDefault="000B4A1E" w:rsidP="00517E51"/>
    <w:p w:rsidR="000B4A1E" w:rsidRPr="00D00665" w:rsidRDefault="000B4A1E" w:rsidP="00517E51">
      <w:pPr>
        <w:pStyle w:val="Heading5"/>
        <w:ind w:left="504" w:hanging="504"/>
      </w:pPr>
      <w:r w:rsidRPr="00D00665">
        <w:t>(h)</w:t>
      </w:r>
      <w:r w:rsidRPr="00D00665">
        <w:tab/>
        <w:t xml:space="preserve">Allocations pursuant to Section 28 of </w:t>
      </w:r>
      <w:r w:rsidRPr="00D00665">
        <w:rPr>
          <w:i/>
        </w:rPr>
        <w:t>the Financial Management Act 1994</w:t>
      </w:r>
      <w:r w:rsidRPr="00D00665">
        <w:t xml:space="preserve"> for the financial year ended 30 June</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0B4A1E" w:rsidRPr="003E2DBE" w:rsidTr="00517E51">
        <w:tc>
          <w:tcPr>
            <w:tcW w:w="7402" w:type="dxa"/>
            <w:tcBorders>
              <w:top w:val="single" w:sz="6" w:space="0" w:color="auto"/>
              <w:left w:val="single" w:sz="6"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single" w:sz="6" w:space="0" w:color="auto"/>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single" w:sz="6" w:space="0" w:color="auto"/>
              <w:left w:val="nil"/>
              <w:bottom w:val="single" w:sz="6" w:space="0" w:color="auto"/>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Section 28 allocations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(Appropriation for borrowing against future  appropriation)</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Department of Primary Industries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402"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Provision of outputs</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w:t>
            </w:r>
            <w:r w:rsidRPr="003E2DBE">
              <w:rPr>
                <w:rFonts w:eastAsiaTheme="minorEastAsia" w:cs="Calibri"/>
                <w:szCs w:val="22"/>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6 000</w:t>
            </w:r>
          </w:p>
        </w:tc>
      </w:tr>
      <w:tr w:rsidR="000B4A1E" w:rsidRPr="003E2DBE" w:rsidTr="00517E51">
        <w:tc>
          <w:tcPr>
            <w:tcW w:w="7402"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Total Section 28 allocations</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3" w:type="dxa"/>
            <w:tcBorders>
              <w:top w:val="single" w:sz="6" w:space="0" w:color="auto"/>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6 000</w:t>
            </w:r>
          </w:p>
        </w:tc>
      </w:tr>
    </w:tbl>
    <w:p w:rsidR="000B4A1E" w:rsidRPr="00D00665" w:rsidRDefault="000B4A1E" w:rsidP="00517E51">
      <w:pPr>
        <w:pStyle w:val="Notes"/>
      </w:pPr>
    </w:p>
    <w:p w:rsidR="000B4A1E" w:rsidRPr="00D00665" w:rsidRDefault="000B4A1E" w:rsidP="00517E51"/>
    <w:p w:rsidR="000B4A1E" w:rsidRPr="00D00665" w:rsidRDefault="000B4A1E" w:rsidP="00517E51"/>
    <w:p w:rsidR="000B4A1E" w:rsidRPr="00D00665" w:rsidRDefault="000B4A1E" w:rsidP="00517E51">
      <w:pPr>
        <w:pStyle w:val="Heading2NotesContd"/>
      </w:pPr>
      <w:r w:rsidRPr="00D00665">
        <w:br w:type="page"/>
      </w:r>
    </w:p>
    <w:p w:rsidR="000B4A1E" w:rsidRDefault="000B4A1E" w:rsidP="00517E51">
      <w:pPr>
        <w:pStyle w:val="Heading2NotesContd"/>
        <w:spacing w:before="0"/>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spacing w:before="0"/>
        <w:ind w:left="504" w:hanging="504"/>
      </w:pPr>
      <w:r w:rsidRPr="00D00665">
        <w:t>(i)</w:t>
      </w:r>
      <w:r w:rsidRPr="00D00665">
        <w:tab/>
        <w:t xml:space="preserve">Transfers pursuant to Sections 30 and 31 of the </w:t>
      </w:r>
      <w:r w:rsidRPr="00D00665">
        <w:rPr>
          <w:i/>
        </w:rPr>
        <w:t>Financial Management Act 1994</w:t>
      </w:r>
      <w:r w:rsidRPr="00D00665">
        <w:t xml:space="preserve"> for the financial year ended 30 June 2013</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7304"/>
        <w:gridCol w:w="1172"/>
        <w:gridCol w:w="1172"/>
      </w:tblGrid>
      <w:tr w:rsidR="000B4A1E" w:rsidRPr="00892C4B" w:rsidTr="00517E51">
        <w:trPr>
          <w:cantSplit/>
          <w:tblHeader/>
        </w:trPr>
        <w:tc>
          <w:tcPr>
            <w:tcW w:w="7304" w:type="dxa"/>
            <w:tcBorders>
              <w:top w:val="single" w:sz="6" w:space="0" w:color="auto"/>
              <w:left w:val="single" w:sz="6" w:space="0" w:color="auto"/>
              <w:bottom w:val="single" w:sz="6" w:space="0" w:color="auto"/>
              <w:right w:val="nil"/>
            </w:tcBorders>
            <w:shd w:val="clear" w:color="auto" w:fill="000000"/>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172" w:type="dxa"/>
            <w:tcBorders>
              <w:top w:val="single" w:sz="6" w:space="0" w:color="auto"/>
              <w:left w:val="nil"/>
              <w:bottom w:val="single" w:sz="6" w:space="0" w:color="auto"/>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Decrease</w:t>
            </w:r>
          </w:p>
        </w:tc>
        <w:tc>
          <w:tcPr>
            <w:tcW w:w="1172" w:type="dxa"/>
            <w:tcBorders>
              <w:top w:val="single" w:sz="6" w:space="0" w:color="auto"/>
              <w:left w:val="nil"/>
              <w:bottom w:val="single" w:sz="6" w:space="0" w:color="auto"/>
              <w:right w:val="single" w:sz="6" w:space="0" w:color="auto"/>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Increase</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Section 30 transfers </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(Transfers between items of departmental appropriations)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Department of Education and Early Childhood Development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Provision of outputs (Section 29 of the </w:t>
            </w:r>
            <w:r w:rsidRPr="00892C4B">
              <w:rPr>
                <w:rFonts w:eastAsiaTheme="minorEastAsia"/>
                <w:i/>
                <w:sz w:val="21"/>
                <w:lang w:eastAsia="en-AU"/>
              </w:rPr>
              <w:t>Financial Management Act</w:t>
            </w:r>
            <w:r w:rsidRPr="00892C4B">
              <w:rPr>
                <w:rFonts w:eastAsiaTheme="minorEastAsia"/>
                <w:sz w:val="21"/>
                <w:lang w:eastAsia="en-AU"/>
              </w:rPr>
              <w:t>,</w:t>
            </w:r>
            <w:r w:rsidRPr="00892C4B">
              <w:rPr>
                <w:rFonts w:eastAsiaTheme="minorEastAsia"/>
                <w:i/>
                <w:sz w:val="21"/>
                <w:lang w:eastAsia="en-AU"/>
              </w:rPr>
              <w:t xml:space="preserve"> 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56 800</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Additions to the net asset base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56 800</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w:t>
            </w:r>
            <w:r w:rsidRPr="00892C4B">
              <w:rPr>
                <w:rFonts w:eastAsiaTheme="minorEastAsia" w:cs="Calibri"/>
                <w:sz w:val="21"/>
                <w:szCs w:val="22"/>
                <w:lang w:eastAsia="en-AU"/>
              </w:rPr>
              <w:t>.</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cs="Calibri"/>
                <w:b/>
                <w:bCs/>
                <w:sz w:val="21"/>
                <w:szCs w:val="22"/>
                <w:vertAlign w:val="superscript"/>
                <w:lang w:eastAsia="en-AU"/>
              </w:rPr>
            </w:pPr>
            <w:r w:rsidRPr="00892C4B">
              <w:rPr>
                <w:rFonts w:eastAsiaTheme="minorEastAsia"/>
                <w:b/>
                <w:bCs/>
                <w:sz w:val="21"/>
                <w:lang w:eastAsia="en-AU"/>
              </w:rPr>
              <w:t xml:space="preserve">Department of Environment and Primary Industries </w:t>
            </w:r>
            <w:r w:rsidRPr="00892C4B">
              <w:rPr>
                <w:rFonts w:eastAsiaTheme="minorEastAsia" w:cs="Calibri"/>
                <w:b/>
                <w:bCs/>
                <w:sz w:val="21"/>
                <w:szCs w:val="22"/>
                <w:vertAlign w:val="superscript"/>
                <w:lang w:eastAsia="en-AU"/>
              </w:rPr>
              <w:t>(a)</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 xml:space="preserve"> </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Provision of outputs (Section 29 of the </w:t>
            </w:r>
            <w:r w:rsidRPr="00892C4B">
              <w:rPr>
                <w:rFonts w:eastAsiaTheme="minorEastAsia"/>
                <w:i/>
                <w:sz w:val="21"/>
                <w:lang w:eastAsia="en-AU"/>
              </w:rPr>
              <w:t>Financial Management Act</w:t>
            </w:r>
            <w:r w:rsidRPr="00892C4B">
              <w:rPr>
                <w:rFonts w:eastAsiaTheme="minorEastAsia"/>
                <w:sz w:val="21"/>
                <w:lang w:eastAsia="en-AU"/>
              </w:rPr>
              <w:t>,</w:t>
            </w:r>
            <w:r w:rsidRPr="00892C4B">
              <w:rPr>
                <w:rFonts w:eastAsiaTheme="minorEastAsia"/>
                <w:i/>
                <w:sz w:val="21"/>
                <w:lang w:eastAsia="en-AU"/>
              </w:rPr>
              <w:t xml:space="preserve"> No. 18 of 1994 </w:t>
            </w:r>
            <w:r w:rsidRPr="00892C4B">
              <w:rPr>
                <w:rFonts w:eastAsiaTheme="minorEastAsia"/>
                <w:sz w:val="21"/>
                <w:lang w:eastAsia="en-AU"/>
              </w:rPr>
              <w:t>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8 958</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Additions to the net asset base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8 958</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Department of Health</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w:t>
            </w:r>
            <w:r w:rsidRPr="00892C4B">
              <w:rPr>
                <w:rFonts w:eastAsiaTheme="minorEastAsia" w:cs="Calibri"/>
                <w:sz w:val="21"/>
                <w:szCs w:val="22"/>
                <w:lang w:eastAsia="en-AU"/>
              </w:rPr>
              <w:t>.</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Provision of outputs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71 128</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Additions to the net asset base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71 128</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w:t>
            </w:r>
            <w:r w:rsidRPr="00892C4B">
              <w:rPr>
                <w:rFonts w:eastAsiaTheme="minorEastAsia" w:cs="Calibri"/>
                <w:sz w:val="21"/>
                <w:szCs w:val="22"/>
                <w:lang w:eastAsia="en-AU"/>
              </w:rPr>
              <w:t>.</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Department of Human Services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 xml:space="preserve"> </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Provision of outputs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 xml:space="preserve">No. 18 of 1994 </w:t>
            </w:r>
            <w:r w:rsidRPr="00892C4B">
              <w:rPr>
                <w:rFonts w:eastAsiaTheme="minorEastAsia"/>
                <w:sz w:val="21"/>
                <w:lang w:eastAsia="en-AU"/>
              </w:rPr>
              <w:t>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Additions to the net asset base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Department of Justice</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 xml:space="preserve"> </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 xml:space="preserve"> </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Provision of outputs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61 895</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Additions to the net asset base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61 895</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Department of Planning and Community Development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 xml:space="preserve"> </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Provision of outputs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 xml:space="preserve">No. 18 of 1994 </w:t>
            </w:r>
            <w:r w:rsidRPr="00892C4B">
              <w:rPr>
                <w:rFonts w:eastAsiaTheme="minorEastAsia"/>
                <w:sz w:val="21"/>
                <w:lang w:eastAsia="en-AU"/>
              </w:rPr>
              <w:t>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8 081</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Additions to the net asset base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Pr>
                <w:rFonts w:eastAsiaTheme="minorEastAsia"/>
                <w:i/>
                <w:sz w:val="21"/>
                <w:lang w:eastAsia="en-AU"/>
              </w:rPr>
              <w:t>No. </w:t>
            </w:r>
            <w:r w:rsidRPr="00892C4B">
              <w:rPr>
                <w:rFonts w:eastAsiaTheme="minorEastAsia"/>
                <w:i/>
                <w:sz w:val="21"/>
                <w:lang w:eastAsia="en-AU"/>
              </w:rPr>
              <w:t>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 xml:space="preserve"> 8</w:t>
            </w:r>
            <w:r w:rsidRPr="00892C4B">
              <w:rPr>
                <w:rFonts w:eastAsiaTheme="minorEastAsia" w:cs="Calibri"/>
                <w:sz w:val="21"/>
                <w:szCs w:val="22"/>
                <w:lang w:eastAsia="en-AU"/>
              </w:rPr>
              <w:t xml:space="preserve"> 081</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w:t>
            </w:r>
            <w:r w:rsidRPr="00892C4B">
              <w:rPr>
                <w:rFonts w:eastAsiaTheme="minorEastAsia" w:cs="Calibri"/>
                <w:sz w:val="21"/>
                <w:lang w:eastAsia="en-AU"/>
              </w:rPr>
              <w:t>.</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Department of Premier and Cabinet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 xml:space="preserve"> </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Provision of outputs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4 630</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Additions to the net asset base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4 630</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Department of Primary Industries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 xml:space="preserve"> </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Provision of outputs (Section 29 of the </w:t>
            </w:r>
            <w:r w:rsidRPr="00892C4B">
              <w:rPr>
                <w:rFonts w:eastAsiaTheme="minorEastAsia"/>
                <w:i/>
                <w:sz w:val="21"/>
                <w:lang w:eastAsia="en-AU"/>
              </w:rPr>
              <w:t>Financial Management Act</w:t>
            </w:r>
            <w:r w:rsidRPr="00892C4B">
              <w:rPr>
                <w:rFonts w:eastAsiaTheme="minorEastAsia"/>
                <w:sz w:val="21"/>
                <w:lang w:eastAsia="en-AU"/>
              </w:rPr>
              <w:t>,</w:t>
            </w:r>
            <w:r w:rsidRPr="00892C4B">
              <w:rPr>
                <w:rFonts w:eastAsiaTheme="minorEastAsia"/>
                <w:i/>
                <w:sz w:val="21"/>
                <w:lang w:eastAsia="en-AU"/>
              </w:rPr>
              <w:t xml:space="preserve"> 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11 715</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Additions to the net asset base (Section 29 of the </w:t>
            </w:r>
            <w:r w:rsidRPr="00892C4B">
              <w:rPr>
                <w:rFonts w:eastAsiaTheme="minorEastAsia"/>
                <w:i/>
                <w:sz w:val="21"/>
                <w:lang w:eastAsia="en-AU"/>
              </w:rPr>
              <w:t>Financial Management Act</w:t>
            </w:r>
            <w:r w:rsidRPr="00892C4B">
              <w:rPr>
                <w:rFonts w:eastAsiaTheme="minorEastAsia"/>
                <w:sz w:val="21"/>
                <w:lang w:eastAsia="en-AU"/>
              </w:rPr>
              <w:t>,</w:t>
            </w:r>
            <w:r w:rsidRPr="00892C4B">
              <w:rPr>
                <w:rFonts w:eastAsiaTheme="minorEastAsia"/>
                <w:i/>
                <w:sz w:val="21"/>
                <w:lang w:eastAsia="en-AU"/>
              </w:rPr>
              <w:t xml:space="preserve"> 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11 715</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cs="Calibri"/>
                <w:b/>
                <w:bCs/>
                <w:sz w:val="21"/>
                <w:szCs w:val="22"/>
                <w:vertAlign w:val="superscript"/>
                <w:lang w:eastAsia="en-AU"/>
              </w:rPr>
            </w:pPr>
            <w:r w:rsidRPr="00892C4B">
              <w:rPr>
                <w:rFonts w:eastAsiaTheme="minorEastAsia"/>
                <w:b/>
                <w:bCs/>
                <w:sz w:val="21"/>
                <w:lang w:eastAsia="en-AU"/>
              </w:rPr>
              <w:t xml:space="preserve">Department of State Development, Business and Innovation </w:t>
            </w:r>
            <w:r w:rsidRPr="00892C4B">
              <w:rPr>
                <w:rFonts w:eastAsiaTheme="minorEastAsia" w:cs="Calibri"/>
                <w:b/>
                <w:bCs/>
                <w:sz w:val="21"/>
                <w:szCs w:val="22"/>
                <w:vertAlign w:val="superscript"/>
                <w:lang w:eastAsia="en-AU"/>
              </w:rPr>
              <w:t>(a)</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lang w:eastAsia="en-AU"/>
              </w:rPr>
            </w:pPr>
            <w:r w:rsidRPr="00892C4B">
              <w:rPr>
                <w:rFonts w:eastAsiaTheme="minorEastAsia"/>
                <w:sz w:val="21"/>
                <w:lang w:eastAsia="en-AU"/>
              </w:rPr>
              <w:t xml:space="preserve"> </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Provision of outputs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4 070</w:t>
            </w:r>
          </w:p>
        </w:tc>
      </w:tr>
      <w:tr w:rsidR="000B4A1E" w:rsidRPr="00892C4B" w:rsidTr="001C7CDE">
        <w:trPr>
          <w:cantSplit/>
        </w:trPr>
        <w:tc>
          <w:tcPr>
            <w:tcW w:w="7304" w:type="dxa"/>
            <w:tcBorders>
              <w:top w:val="nil"/>
              <w:left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Additions to the net asset base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No. 18 of 1994</w:t>
            </w:r>
            <w:r w:rsidRPr="00892C4B">
              <w:rPr>
                <w:rFonts w:eastAsiaTheme="minorEastAsia"/>
                <w:sz w:val="21"/>
                <w:lang w:eastAsia="en-AU"/>
              </w:rPr>
              <w:t xml:space="preserve"> applies)</w:t>
            </w:r>
          </w:p>
        </w:tc>
        <w:tc>
          <w:tcPr>
            <w:tcW w:w="1172" w:type="dxa"/>
            <w:tcBorders>
              <w:top w:val="nil"/>
              <w:left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9 070</w:t>
            </w:r>
          </w:p>
        </w:tc>
        <w:tc>
          <w:tcPr>
            <w:tcW w:w="1172" w:type="dxa"/>
            <w:tcBorders>
              <w:top w:val="nil"/>
              <w:left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r>
      <w:tr w:rsidR="000B4A1E" w:rsidRPr="00892C4B" w:rsidTr="001C7CDE">
        <w:trPr>
          <w:cantSplit/>
        </w:trPr>
        <w:tc>
          <w:tcPr>
            <w:tcW w:w="7304" w:type="dxa"/>
            <w:tcBorders>
              <w:top w:val="nil"/>
              <w:left w:val="nil"/>
              <w:bottom w:val="single" w:sz="12"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Payments made on behalf of the State </w:t>
            </w:r>
          </w:p>
        </w:tc>
        <w:tc>
          <w:tcPr>
            <w:tcW w:w="1172" w:type="dxa"/>
            <w:tcBorders>
              <w:top w:val="nil"/>
              <w:left w:val="nil"/>
              <w:bottom w:val="single" w:sz="12"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2" w:type="dxa"/>
            <w:tcBorders>
              <w:top w:val="nil"/>
              <w:left w:val="nil"/>
              <w:bottom w:val="single" w:sz="12"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5 000</w:t>
            </w:r>
          </w:p>
        </w:tc>
      </w:tr>
    </w:tbl>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80733C" w:rsidRDefault="000B4A1E" w:rsidP="00517E51">
      <w:pPr>
        <w:pStyle w:val="Heading5"/>
        <w:ind w:left="504" w:hanging="504"/>
        <w:rPr>
          <w:i/>
        </w:rPr>
      </w:pPr>
      <w:r w:rsidRPr="00D00665">
        <w:t>(i)</w:t>
      </w:r>
      <w:r w:rsidRPr="00D00665">
        <w:tab/>
        <w:t xml:space="preserve">Transfers pursuant to Sections 30 and 31 of the </w:t>
      </w:r>
      <w:r w:rsidRPr="00D00665">
        <w:rPr>
          <w:i/>
        </w:rPr>
        <w:t>Financial Management Act 1994</w:t>
      </w:r>
      <w:r w:rsidRPr="00D00665">
        <w:t xml:space="preserve"> for the financial year ended 30 June 2013</w:t>
      </w:r>
      <w:r>
        <w:t xml:space="preserve"> </w:t>
      </w:r>
      <w:r>
        <w:rPr>
          <w:i/>
        </w:rPr>
        <w:t>(continued)</w:t>
      </w:r>
    </w:p>
    <w:p w:rsidR="000B4A1E" w:rsidRDefault="000B4A1E" w:rsidP="00517E51">
      <w:pPr>
        <w:pStyle w:val="million"/>
      </w:pPr>
      <w:r>
        <w:t>($ thousand)</w:t>
      </w:r>
    </w:p>
    <w:tbl>
      <w:tblPr>
        <w:tblW w:w="9648" w:type="dxa"/>
        <w:tblInd w:w="29" w:type="dxa"/>
        <w:tblLayout w:type="fixed"/>
        <w:tblCellMar>
          <w:left w:w="43" w:type="dxa"/>
          <w:right w:w="43" w:type="dxa"/>
        </w:tblCellMar>
        <w:tblLook w:val="0000" w:firstRow="0" w:lastRow="0" w:firstColumn="0" w:lastColumn="0" w:noHBand="0" w:noVBand="0"/>
      </w:tblPr>
      <w:tblGrid>
        <w:gridCol w:w="7304"/>
        <w:gridCol w:w="1172"/>
        <w:gridCol w:w="1172"/>
      </w:tblGrid>
      <w:tr w:rsidR="000B4A1E" w:rsidRPr="00892C4B" w:rsidTr="00517E51">
        <w:trPr>
          <w:cantSplit/>
          <w:tblHeader/>
        </w:trPr>
        <w:tc>
          <w:tcPr>
            <w:tcW w:w="7304" w:type="dxa"/>
            <w:tcBorders>
              <w:top w:val="single" w:sz="6" w:space="0" w:color="auto"/>
              <w:left w:val="single" w:sz="6" w:space="0" w:color="auto"/>
              <w:bottom w:val="single" w:sz="6" w:space="0" w:color="auto"/>
              <w:right w:val="nil"/>
            </w:tcBorders>
            <w:shd w:val="clear" w:color="auto" w:fill="000000"/>
          </w:tcPr>
          <w:p w:rsidR="000B4A1E" w:rsidRPr="00892C4B" w:rsidRDefault="000B4A1E" w:rsidP="00517E51">
            <w:pPr>
              <w:pStyle w:val="Tabletext"/>
              <w:rPr>
                <w:rFonts w:eastAsiaTheme="minorEastAsia"/>
                <w:sz w:val="21"/>
                <w:lang w:eastAsia="en-AU"/>
              </w:rPr>
            </w:pPr>
          </w:p>
        </w:tc>
        <w:tc>
          <w:tcPr>
            <w:tcW w:w="1172" w:type="dxa"/>
            <w:tcBorders>
              <w:top w:val="single" w:sz="6" w:space="0" w:color="auto"/>
              <w:left w:val="nil"/>
              <w:bottom w:val="single" w:sz="6" w:space="0" w:color="auto"/>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Decrease</w:t>
            </w:r>
          </w:p>
        </w:tc>
        <w:tc>
          <w:tcPr>
            <w:tcW w:w="1172" w:type="dxa"/>
            <w:tcBorders>
              <w:top w:val="single" w:sz="6" w:space="0" w:color="auto"/>
              <w:left w:val="nil"/>
              <w:bottom w:val="single" w:sz="6" w:space="0" w:color="auto"/>
              <w:right w:val="single" w:sz="6" w:space="0" w:color="auto"/>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Increase</w:t>
            </w:r>
          </w:p>
        </w:tc>
      </w:tr>
      <w:tr w:rsidR="000B4A1E" w:rsidRPr="00892C4B" w:rsidTr="00517E51">
        <w:trPr>
          <w:cantSplit/>
        </w:trPr>
        <w:tc>
          <w:tcPr>
            <w:tcW w:w="7304" w:type="dxa"/>
            <w:tcBorders>
              <w:left w:val="nil"/>
              <w:bottom w:val="nil"/>
              <w:right w:val="nil"/>
            </w:tcBorders>
          </w:tcPr>
          <w:p w:rsidR="000B4A1E" w:rsidRPr="00892C4B" w:rsidRDefault="000B4A1E" w:rsidP="00517E51">
            <w:pPr>
              <w:pStyle w:val="Tabletext"/>
              <w:keepNext/>
              <w:ind w:left="187" w:hanging="187"/>
              <w:rPr>
                <w:rFonts w:eastAsiaTheme="minorEastAsia" w:cs="Calibri"/>
                <w:b/>
                <w:bCs/>
                <w:sz w:val="21"/>
                <w:szCs w:val="22"/>
                <w:vertAlign w:val="superscript"/>
                <w:lang w:eastAsia="en-AU"/>
              </w:rPr>
            </w:pPr>
            <w:r w:rsidRPr="00892C4B">
              <w:rPr>
                <w:rFonts w:eastAsiaTheme="minorEastAsia"/>
                <w:b/>
                <w:bCs/>
                <w:sz w:val="21"/>
                <w:lang w:eastAsia="en-AU"/>
              </w:rPr>
              <w:t xml:space="preserve">Department of Transport, Planning and Local Infrastructure </w:t>
            </w:r>
            <w:r w:rsidRPr="00892C4B">
              <w:rPr>
                <w:rFonts w:eastAsiaTheme="minorEastAsia" w:cs="Calibri"/>
                <w:b/>
                <w:bCs/>
                <w:sz w:val="21"/>
                <w:szCs w:val="22"/>
                <w:vertAlign w:val="superscript"/>
                <w:lang w:eastAsia="en-AU"/>
              </w:rPr>
              <w:t>(a)</w:t>
            </w:r>
          </w:p>
        </w:tc>
        <w:tc>
          <w:tcPr>
            <w:tcW w:w="1172" w:type="dxa"/>
            <w:tcBorders>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2" w:type="dxa"/>
            <w:tcBorders>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 xml:space="preserve"> </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Provision of outputs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 xml:space="preserve">No. 18 of 1994 </w:t>
            </w:r>
            <w:r w:rsidRPr="00892C4B">
              <w:rPr>
                <w:rFonts w:eastAsiaTheme="minorEastAsia"/>
                <w:sz w:val="21"/>
                <w:lang w:eastAsia="en-AU"/>
              </w:rPr>
              <w:t>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23 270</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Additions to the net asset base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23 270</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w:t>
            </w:r>
            <w:r w:rsidRPr="00892C4B">
              <w:rPr>
                <w:rFonts w:eastAsiaTheme="minorEastAsia" w:cs="Calibri"/>
                <w:sz w:val="21"/>
                <w:lang w:eastAsia="en-AU"/>
              </w:rPr>
              <w:t>.</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Department of Treasury and Finance</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 xml:space="preserve"> </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Provision of outputs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 xml:space="preserve">No. 18 of 1994 </w:t>
            </w:r>
            <w:r w:rsidRPr="00892C4B">
              <w:rPr>
                <w:rFonts w:eastAsiaTheme="minorEastAsia"/>
                <w:sz w:val="21"/>
                <w:lang w:eastAsia="en-AU"/>
              </w:rPr>
              <w:t>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11 900</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Additions to the net asset base (Section 29 of the </w:t>
            </w:r>
            <w:r w:rsidRPr="00892C4B">
              <w:rPr>
                <w:rFonts w:eastAsiaTheme="minorEastAsia"/>
                <w:i/>
                <w:sz w:val="21"/>
                <w:lang w:eastAsia="en-AU"/>
              </w:rPr>
              <w:t>Financial Management Act</w:t>
            </w:r>
            <w:r w:rsidRPr="00892C4B">
              <w:rPr>
                <w:rFonts w:eastAsiaTheme="minorEastAsia"/>
                <w:sz w:val="21"/>
                <w:lang w:eastAsia="en-AU"/>
              </w:rPr>
              <w:t xml:space="preserve">, </w:t>
            </w:r>
            <w:r w:rsidRPr="00892C4B">
              <w:rPr>
                <w:rFonts w:eastAsiaTheme="minorEastAsia"/>
                <w:i/>
                <w:sz w:val="21"/>
                <w:lang w:eastAsia="en-AU"/>
              </w:rPr>
              <w:t>No. 18 of 1994</w:t>
            </w:r>
            <w:r w:rsidRPr="00892C4B">
              <w:rPr>
                <w:rFonts w:eastAsiaTheme="minorEastAsia"/>
                <w:sz w:val="21"/>
                <w:lang w:eastAsia="en-AU"/>
              </w:rPr>
              <w:t xml:space="preserve"> applies)</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7 830</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r>
      <w:tr w:rsidR="000B4A1E" w:rsidRPr="00892C4B" w:rsidTr="00517E51">
        <w:trPr>
          <w:cantSplit/>
        </w:trPr>
        <w:tc>
          <w:tcPr>
            <w:tcW w:w="730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Payments made on behalf of the State </w:t>
            </w:r>
          </w:p>
        </w:tc>
        <w:tc>
          <w:tcPr>
            <w:tcW w:w="1172"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4 070</w:t>
            </w:r>
          </w:p>
        </w:tc>
        <w:tc>
          <w:tcPr>
            <w:tcW w:w="1172"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w:t>
            </w:r>
            <w:r w:rsidRPr="00892C4B">
              <w:rPr>
                <w:rFonts w:eastAsiaTheme="minorEastAsia" w:cs="Calibri"/>
                <w:sz w:val="21"/>
                <w:lang w:eastAsia="en-AU"/>
              </w:rPr>
              <w:t>.</w:t>
            </w:r>
          </w:p>
        </w:tc>
      </w:tr>
      <w:tr w:rsidR="000B4A1E" w:rsidRPr="00892C4B" w:rsidTr="00517E51">
        <w:trPr>
          <w:cantSplit/>
        </w:trPr>
        <w:tc>
          <w:tcPr>
            <w:tcW w:w="7304" w:type="dxa"/>
            <w:tcBorders>
              <w:top w:val="single" w:sz="6" w:space="0" w:color="auto"/>
              <w:left w:val="nil"/>
              <w:bottom w:val="single" w:sz="12"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Section 30 transfers</w:t>
            </w:r>
          </w:p>
        </w:tc>
        <w:tc>
          <w:tcPr>
            <w:tcW w:w="1172" w:type="dxa"/>
            <w:tcBorders>
              <w:top w:val="single" w:sz="6" w:space="0" w:color="auto"/>
              <w:left w:val="nil"/>
              <w:bottom w:val="single" w:sz="12"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267 447</w:t>
            </w:r>
          </w:p>
        </w:tc>
        <w:tc>
          <w:tcPr>
            <w:tcW w:w="1172" w:type="dxa"/>
            <w:tcBorders>
              <w:top w:val="single" w:sz="6" w:space="0" w:color="auto"/>
              <w:left w:val="nil"/>
              <w:bottom w:val="single" w:sz="12"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267 447</w:t>
            </w:r>
          </w:p>
        </w:tc>
      </w:tr>
    </w:tbl>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rsidRPr="00D00665">
        <w:tab/>
        <w:t>Effective 9 April 2013 several departments were renamed due to machinery of government changes:</w:t>
      </w:r>
    </w:p>
    <w:p w:rsidR="000B4A1E" w:rsidRPr="00D00665" w:rsidRDefault="000B4A1E" w:rsidP="00517E51">
      <w:pPr>
        <w:pStyle w:val="NotesDash"/>
        <w:tabs>
          <w:tab w:val="clear" w:pos="922"/>
          <w:tab w:val="num" w:pos="810"/>
        </w:tabs>
        <w:ind w:left="810" w:hanging="356"/>
      </w:pPr>
      <w:r w:rsidRPr="00D00665">
        <w:t xml:space="preserve">the Department of </w:t>
      </w:r>
      <w:r w:rsidR="00405D0E">
        <w:t xml:space="preserve">Sustainability and Environment became the </w:t>
      </w:r>
      <w:r w:rsidRPr="00D00665">
        <w:t>Department of Environment and Primary Industries;</w:t>
      </w:r>
    </w:p>
    <w:p w:rsidR="000B4A1E" w:rsidRPr="00D00665" w:rsidRDefault="000B4A1E" w:rsidP="00517E51">
      <w:pPr>
        <w:pStyle w:val="NotesDash"/>
        <w:tabs>
          <w:tab w:val="clear" w:pos="922"/>
          <w:tab w:val="num" w:pos="810"/>
        </w:tabs>
        <w:ind w:left="810" w:hanging="356"/>
      </w:pPr>
      <w:r w:rsidRPr="00D00665">
        <w:t>the Department of Business and Innovation became the Department of State Development, Business and Innovation; and</w:t>
      </w:r>
    </w:p>
    <w:p w:rsidR="000B4A1E" w:rsidRPr="00D00665" w:rsidRDefault="000B4A1E" w:rsidP="00517E51">
      <w:pPr>
        <w:pStyle w:val="NotesDash"/>
        <w:tabs>
          <w:tab w:val="clear" w:pos="922"/>
          <w:tab w:val="num" w:pos="810"/>
        </w:tabs>
        <w:ind w:left="810" w:hanging="356"/>
      </w:pPr>
      <w:r w:rsidRPr="00D00665">
        <w:t>the Department of Transport became the Department of Transport, Planning and Local Infrastructure.</w:t>
      </w:r>
    </w:p>
    <w:p w:rsidR="000B4A1E" w:rsidRPr="00D00665" w:rsidRDefault="000B4A1E" w:rsidP="00517E51">
      <w:pPr>
        <w:pStyle w:val="Notes"/>
      </w:pPr>
    </w:p>
    <w:p w:rsidR="000B4A1E" w:rsidRPr="00D00665" w:rsidRDefault="000B4A1E" w:rsidP="00517E51"/>
    <w:p w:rsidR="000B4A1E" w:rsidRPr="00D00665" w:rsidRDefault="000B4A1E" w:rsidP="00517E51"/>
    <w:p w:rsidR="000B4A1E" w:rsidRPr="00D00665" w:rsidRDefault="000B4A1E" w:rsidP="00517E51">
      <w:pPr>
        <w:pStyle w:val="Heading2NotesContd"/>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ind w:left="504" w:hanging="504"/>
      </w:pPr>
      <w:r w:rsidRPr="00D00665">
        <w:t>(j)</w:t>
      </w:r>
      <w:r w:rsidRPr="00D00665">
        <w:tab/>
        <w:t xml:space="preserve">Appropriation of revenue and asset sales proceeds pursuant to Section 29 of the </w:t>
      </w:r>
      <w:r w:rsidRPr="00D00665">
        <w:rPr>
          <w:i/>
        </w:rPr>
        <w:t>Financial Management Act 1994</w:t>
      </w:r>
      <w:r w:rsidRPr="00D00665">
        <w:t xml:space="preserve"> for the financial year ended 30 June 2013</w:t>
      </w:r>
    </w:p>
    <w:p w:rsidR="000B4A1E" w:rsidRPr="003E2DBE" w:rsidRDefault="000B4A1E" w:rsidP="00517E51">
      <w:pPr>
        <w:pStyle w:val="million"/>
      </w:pPr>
      <w:r w:rsidRPr="00D00665">
        <w:t>($ thousand)</w:t>
      </w:r>
      <w:bookmarkStart w:id="196" w:name="RANGE!C8:G22"/>
    </w:p>
    <w:tbl>
      <w:tblPr>
        <w:tblW w:w="9648" w:type="dxa"/>
        <w:tblInd w:w="29" w:type="dxa"/>
        <w:tblCellMar>
          <w:left w:w="43" w:type="dxa"/>
          <w:right w:w="43" w:type="dxa"/>
        </w:tblCellMar>
        <w:tblLook w:val="04A0" w:firstRow="1" w:lastRow="0" w:firstColumn="1" w:lastColumn="0" w:noHBand="0" w:noVBand="1"/>
      </w:tblPr>
      <w:tblGrid>
        <w:gridCol w:w="4694"/>
        <w:gridCol w:w="1080"/>
        <w:gridCol w:w="1628"/>
        <w:gridCol w:w="1123"/>
        <w:gridCol w:w="1123"/>
      </w:tblGrid>
      <w:tr w:rsidR="000B4A1E" w:rsidRPr="003E2DBE" w:rsidTr="00517E51">
        <w:trPr>
          <w:divId w:val="2090611562"/>
        </w:trPr>
        <w:tc>
          <w:tcPr>
            <w:tcW w:w="4694" w:type="dxa"/>
            <w:tcBorders>
              <w:top w:val="single" w:sz="4" w:space="0" w:color="auto"/>
              <w:left w:val="single" w:sz="4" w:space="0" w:color="auto"/>
              <w:bottom w:val="nil"/>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 xml:space="preserve"> </w:t>
            </w:r>
          </w:p>
        </w:tc>
        <w:tc>
          <w:tcPr>
            <w:tcW w:w="1080"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
            </w:pPr>
            <w:r w:rsidRPr="003E2DBE">
              <w:t xml:space="preserve"> </w:t>
            </w:r>
          </w:p>
        </w:tc>
        <w:tc>
          <w:tcPr>
            <w:tcW w:w="1628"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
            </w:pPr>
            <w:r w:rsidRPr="003E2DBE">
              <w:t xml:space="preserve"> </w:t>
            </w:r>
          </w:p>
        </w:tc>
        <w:tc>
          <w:tcPr>
            <w:tcW w:w="1123" w:type="dxa"/>
            <w:tcBorders>
              <w:top w:val="single" w:sz="4" w:space="0" w:color="auto"/>
              <w:left w:val="nil"/>
              <w:bottom w:val="nil"/>
              <w:right w:val="nil"/>
            </w:tcBorders>
            <w:shd w:val="clear" w:color="auto" w:fill="000000"/>
            <w:noWrap/>
            <w:vAlign w:val="bottom"/>
            <w:hideMark/>
          </w:tcPr>
          <w:p w:rsidR="000B4A1E" w:rsidRPr="003E2DBE" w:rsidRDefault="000B4A1E" w:rsidP="00517E51">
            <w:pPr>
              <w:pStyle w:val="Tabletextheading"/>
            </w:pPr>
            <w:r w:rsidRPr="003E2DBE">
              <w:t xml:space="preserve"> Source</w:t>
            </w:r>
          </w:p>
        </w:tc>
        <w:tc>
          <w:tcPr>
            <w:tcW w:w="1123" w:type="dxa"/>
            <w:tcBorders>
              <w:top w:val="single" w:sz="4" w:space="0" w:color="auto"/>
              <w:left w:val="nil"/>
              <w:bottom w:val="nil"/>
              <w:right w:val="single" w:sz="4" w:space="0" w:color="auto"/>
            </w:tcBorders>
            <w:shd w:val="clear" w:color="auto" w:fill="000000"/>
            <w:noWrap/>
            <w:vAlign w:val="bottom"/>
            <w:hideMark/>
          </w:tcPr>
          <w:p w:rsidR="000B4A1E" w:rsidRPr="003E2DBE" w:rsidRDefault="000B4A1E" w:rsidP="00517E51">
            <w:pPr>
              <w:pStyle w:val="Tabletextheading"/>
            </w:pPr>
            <w:r w:rsidRPr="003E2DBE">
              <w:t xml:space="preserve">   </w:t>
            </w:r>
          </w:p>
        </w:tc>
      </w:tr>
      <w:tr w:rsidR="000B4A1E" w:rsidRPr="003E2DBE" w:rsidTr="00517E51">
        <w:trPr>
          <w:divId w:val="2090611562"/>
        </w:trPr>
        <w:tc>
          <w:tcPr>
            <w:tcW w:w="4694" w:type="dxa"/>
            <w:tcBorders>
              <w:top w:val="nil"/>
              <w:left w:val="single" w:sz="4" w:space="0" w:color="auto"/>
              <w:bottom w:val="single" w:sz="4" w:space="0" w:color="auto"/>
              <w:right w:val="nil"/>
            </w:tcBorders>
            <w:shd w:val="clear" w:color="auto" w:fill="000000"/>
            <w:noWrap/>
            <w:vAlign w:val="bottom"/>
            <w:hideMark/>
          </w:tcPr>
          <w:p w:rsidR="000B4A1E" w:rsidRPr="003E2DBE" w:rsidRDefault="000B4A1E" w:rsidP="00517E51">
            <w:pPr>
              <w:pStyle w:val="TabletextheadingLeft"/>
              <w:rPr>
                <w:lang w:eastAsia="en-AU"/>
              </w:rPr>
            </w:pPr>
            <w:r w:rsidRPr="003E2DBE">
              <w:rPr>
                <w:lang w:eastAsia="en-AU"/>
              </w:rPr>
              <w:t xml:space="preserve">Department </w:t>
            </w:r>
          </w:p>
        </w:tc>
        <w:tc>
          <w:tcPr>
            <w:tcW w:w="1080" w:type="dxa"/>
            <w:tcBorders>
              <w:top w:val="nil"/>
              <w:left w:val="nil"/>
              <w:bottom w:val="single" w:sz="4" w:space="0" w:color="auto"/>
              <w:right w:val="nil"/>
            </w:tcBorders>
            <w:shd w:val="clear" w:color="auto" w:fill="000000"/>
            <w:noWrap/>
            <w:vAlign w:val="bottom"/>
            <w:hideMark/>
          </w:tcPr>
          <w:p w:rsidR="000B4A1E" w:rsidRPr="003E2DBE" w:rsidRDefault="000B4A1E" w:rsidP="00517E51">
            <w:pPr>
              <w:pStyle w:val="Tabletextheading"/>
            </w:pPr>
            <w:r w:rsidRPr="003E2DBE">
              <w:t>Outputs</w:t>
            </w:r>
          </w:p>
        </w:tc>
        <w:tc>
          <w:tcPr>
            <w:tcW w:w="1628" w:type="dxa"/>
            <w:tcBorders>
              <w:top w:val="nil"/>
              <w:left w:val="nil"/>
              <w:bottom w:val="single" w:sz="4" w:space="0" w:color="auto"/>
              <w:right w:val="nil"/>
            </w:tcBorders>
            <w:shd w:val="clear" w:color="auto" w:fill="000000"/>
            <w:noWrap/>
            <w:vAlign w:val="bottom"/>
            <w:hideMark/>
          </w:tcPr>
          <w:p w:rsidR="000B4A1E" w:rsidRPr="003E2DBE" w:rsidRDefault="000B4A1E" w:rsidP="00517E51">
            <w:pPr>
              <w:pStyle w:val="Tabletextheading"/>
            </w:pPr>
            <w:r w:rsidRPr="003E2DBE">
              <w:t>Commonwealth</w:t>
            </w:r>
          </w:p>
        </w:tc>
        <w:tc>
          <w:tcPr>
            <w:tcW w:w="1123" w:type="dxa"/>
            <w:tcBorders>
              <w:top w:val="nil"/>
              <w:left w:val="nil"/>
              <w:bottom w:val="single" w:sz="4" w:space="0" w:color="auto"/>
              <w:right w:val="nil"/>
            </w:tcBorders>
            <w:shd w:val="clear" w:color="auto" w:fill="000000"/>
            <w:noWrap/>
            <w:vAlign w:val="bottom"/>
            <w:hideMark/>
          </w:tcPr>
          <w:p w:rsidR="000B4A1E" w:rsidRPr="003E2DBE" w:rsidRDefault="000B4A1E" w:rsidP="00517E51">
            <w:pPr>
              <w:pStyle w:val="Tabletextheading"/>
            </w:pPr>
            <w:r w:rsidRPr="003E2DBE">
              <w:t xml:space="preserve">Other </w:t>
            </w:r>
          </w:p>
        </w:tc>
        <w:tc>
          <w:tcPr>
            <w:tcW w:w="1123" w:type="dxa"/>
            <w:tcBorders>
              <w:top w:val="nil"/>
              <w:left w:val="nil"/>
              <w:bottom w:val="single" w:sz="4" w:space="0" w:color="auto"/>
              <w:right w:val="single" w:sz="4" w:space="0" w:color="auto"/>
            </w:tcBorders>
            <w:shd w:val="clear" w:color="auto" w:fill="000000"/>
            <w:noWrap/>
            <w:vAlign w:val="bottom"/>
            <w:hideMark/>
          </w:tcPr>
          <w:p w:rsidR="000B4A1E" w:rsidRPr="003E2DBE" w:rsidRDefault="000B4A1E" w:rsidP="00517E51">
            <w:pPr>
              <w:pStyle w:val="Tabletextheading"/>
              <w:rPr>
                <w:rFonts w:cs="Calibri"/>
                <w:iCs/>
                <w:szCs w:val="22"/>
                <w:lang w:eastAsia="en-AU"/>
              </w:rPr>
            </w:pPr>
            <w:r w:rsidRPr="003E2DBE">
              <w:t xml:space="preserve"> Total</w:t>
            </w:r>
            <w:r w:rsidRPr="003E2DBE">
              <w:rPr>
                <w:rFonts w:cs="Calibri"/>
                <w:iCs/>
                <w:szCs w:val="22"/>
                <w:lang w:eastAsia="en-AU"/>
              </w:rPr>
              <w:t xml:space="preserve"> </w:t>
            </w:r>
          </w:p>
        </w:tc>
      </w:tr>
      <w:tr w:rsidR="000B4A1E" w:rsidRPr="003E2DBE" w:rsidTr="00517E51">
        <w:trPr>
          <w:divId w:val="2090611562"/>
        </w:trPr>
        <w:tc>
          <w:tcPr>
            <w:tcW w:w="4694" w:type="dxa"/>
            <w:tcBorders>
              <w:top w:val="nil"/>
              <w:left w:val="nil"/>
              <w:bottom w:val="nil"/>
              <w:right w:val="nil"/>
            </w:tcBorders>
            <w:shd w:val="clear" w:color="auto" w:fill="auto"/>
            <w:noWrap/>
            <w:vAlign w:val="center"/>
            <w:hideMark/>
          </w:tcPr>
          <w:p w:rsidR="000B4A1E" w:rsidRPr="003E2DBE" w:rsidRDefault="000B4A1E" w:rsidP="00517E51">
            <w:pPr>
              <w:pStyle w:val="Tabletext"/>
              <w:rPr>
                <w:rFonts w:cs="Calibri"/>
                <w:szCs w:val="22"/>
                <w:lang w:eastAsia="en-AU"/>
              </w:rPr>
            </w:pPr>
            <w:r w:rsidRPr="003E2DBE">
              <w:rPr>
                <w:lang w:eastAsia="en-AU"/>
              </w:rPr>
              <w:t xml:space="preserve">Education and Early </w:t>
            </w:r>
            <w:r w:rsidRPr="003E2DBE">
              <w:rPr>
                <w:rFonts w:cs="Calibri"/>
                <w:szCs w:val="22"/>
                <w:lang w:eastAsia="en-AU"/>
              </w:rPr>
              <w:t>Childhood Development</w:t>
            </w:r>
          </w:p>
        </w:tc>
        <w:tc>
          <w:tcPr>
            <w:tcW w:w="1080"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w:t>
            </w:r>
            <w:r w:rsidRPr="003E2DBE">
              <w:rPr>
                <w:rFonts w:cs="Calibri"/>
                <w:szCs w:val="22"/>
                <w:lang w:eastAsia="en-AU"/>
              </w:rPr>
              <w:t xml:space="preserve"> 170</w:t>
            </w:r>
          </w:p>
        </w:tc>
        <w:tc>
          <w:tcPr>
            <w:tcW w:w="1628"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480</w:t>
            </w:r>
            <w:r w:rsidRPr="003E2DBE">
              <w:rPr>
                <w:rFonts w:cs="Calibri"/>
                <w:szCs w:val="22"/>
                <w:lang w:eastAsia="en-AU"/>
              </w:rPr>
              <w:t xml:space="preserve"> 789</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32</w:t>
            </w:r>
            <w:r w:rsidRPr="003E2DBE">
              <w:rPr>
                <w:rFonts w:cs="Calibri"/>
                <w:szCs w:val="22"/>
                <w:lang w:eastAsia="en-AU"/>
              </w:rPr>
              <w:t xml:space="preserve"> 965</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514</w:t>
            </w:r>
            <w:r w:rsidRPr="003E2DBE">
              <w:rPr>
                <w:rFonts w:cs="Calibri"/>
                <w:szCs w:val="22"/>
                <w:lang w:eastAsia="en-AU"/>
              </w:rPr>
              <w:t xml:space="preserve"> 924</w:t>
            </w:r>
          </w:p>
        </w:tc>
      </w:tr>
      <w:tr w:rsidR="000B4A1E" w:rsidRPr="003E2DBE" w:rsidTr="00517E51">
        <w:trPr>
          <w:divId w:val="2090611562"/>
        </w:trPr>
        <w:tc>
          <w:tcPr>
            <w:tcW w:w="4694" w:type="dxa"/>
            <w:tcBorders>
              <w:top w:val="nil"/>
              <w:left w:val="nil"/>
              <w:bottom w:val="nil"/>
              <w:right w:val="nil"/>
            </w:tcBorders>
            <w:shd w:val="clear" w:color="auto" w:fill="auto"/>
            <w:noWrap/>
            <w:vAlign w:val="center"/>
            <w:hideMark/>
          </w:tcPr>
          <w:p w:rsidR="000B4A1E" w:rsidRPr="003E2DBE" w:rsidRDefault="000B4A1E" w:rsidP="00517E51">
            <w:pPr>
              <w:pStyle w:val="Tabletext"/>
              <w:rPr>
                <w:rFonts w:cs="Calibri"/>
                <w:szCs w:val="22"/>
                <w:lang w:eastAsia="en-AU"/>
              </w:rPr>
            </w:pPr>
            <w:r w:rsidRPr="003E2DBE">
              <w:rPr>
                <w:lang w:eastAsia="en-AU"/>
              </w:rPr>
              <w:t xml:space="preserve">Environment and Primary Industries </w:t>
            </w:r>
            <w:r w:rsidRPr="003E2DBE">
              <w:rPr>
                <w:rFonts w:cs="Calibri"/>
                <w:szCs w:val="22"/>
                <w:vertAlign w:val="superscript"/>
                <w:lang w:eastAsia="en-AU"/>
              </w:rPr>
              <w:t>(a)</w:t>
            </w:r>
          </w:p>
        </w:tc>
        <w:tc>
          <w:tcPr>
            <w:tcW w:w="1080"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76</w:t>
            </w:r>
            <w:r w:rsidRPr="003E2DBE">
              <w:rPr>
                <w:rFonts w:cs="Calibri"/>
                <w:szCs w:val="22"/>
                <w:lang w:eastAsia="en-AU"/>
              </w:rPr>
              <w:t xml:space="preserve"> 571</w:t>
            </w:r>
          </w:p>
        </w:tc>
        <w:tc>
          <w:tcPr>
            <w:tcW w:w="1628"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38</w:t>
            </w:r>
            <w:r w:rsidRPr="003E2DBE">
              <w:rPr>
                <w:rFonts w:cs="Calibri"/>
                <w:szCs w:val="22"/>
                <w:lang w:eastAsia="en-AU"/>
              </w:rPr>
              <w:t xml:space="preserve"> 142</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114</w:t>
            </w:r>
            <w:r w:rsidRPr="003E2DBE">
              <w:rPr>
                <w:rFonts w:cs="Calibri"/>
                <w:szCs w:val="22"/>
                <w:lang w:eastAsia="en-AU"/>
              </w:rPr>
              <w:t xml:space="preserve"> 714</w:t>
            </w:r>
          </w:p>
        </w:tc>
      </w:tr>
      <w:tr w:rsidR="000B4A1E" w:rsidRPr="003E2DBE" w:rsidTr="00517E51">
        <w:trPr>
          <w:divId w:val="2090611562"/>
        </w:trPr>
        <w:tc>
          <w:tcPr>
            <w:tcW w:w="4694" w:type="dxa"/>
            <w:tcBorders>
              <w:top w:val="nil"/>
              <w:left w:val="nil"/>
              <w:bottom w:val="nil"/>
              <w:right w:val="nil"/>
            </w:tcBorders>
            <w:shd w:val="clear" w:color="auto" w:fill="auto"/>
            <w:noWrap/>
            <w:vAlign w:val="center"/>
            <w:hideMark/>
          </w:tcPr>
          <w:p w:rsidR="000B4A1E" w:rsidRPr="003E2DBE" w:rsidRDefault="000B4A1E" w:rsidP="00517E51">
            <w:pPr>
              <w:pStyle w:val="Tabletext"/>
              <w:rPr>
                <w:lang w:eastAsia="en-AU"/>
              </w:rPr>
            </w:pPr>
            <w:r w:rsidRPr="003E2DBE">
              <w:rPr>
                <w:lang w:eastAsia="en-AU"/>
              </w:rPr>
              <w:t>Health</w:t>
            </w:r>
          </w:p>
        </w:tc>
        <w:tc>
          <w:tcPr>
            <w:tcW w:w="1080"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320</w:t>
            </w:r>
            <w:r w:rsidRPr="003E2DBE">
              <w:rPr>
                <w:rFonts w:cs="Calibri"/>
                <w:szCs w:val="22"/>
                <w:lang w:eastAsia="en-AU"/>
              </w:rPr>
              <w:t xml:space="preserve"> 505</w:t>
            </w:r>
          </w:p>
        </w:tc>
        <w:tc>
          <w:tcPr>
            <w:tcW w:w="1628"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378 445</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w:t>
            </w:r>
            <w:r w:rsidRPr="003E2DBE">
              <w:rPr>
                <w:rFonts w:cs="Calibri"/>
                <w:szCs w:val="22"/>
                <w:lang w:eastAsia="en-AU"/>
              </w:rPr>
              <w:t xml:space="preserve"> 988</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1 </w:t>
            </w:r>
            <w:r w:rsidRPr="003E2DBE">
              <w:rPr>
                <w:rFonts w:cs="Calibri"/>
                <w:szCs w:val="22"/>
                <w:lang w:eastAsia="en-AU"/>
              </w:rPr>
              <w:t>700 938</w:t>
            </w:r>
          </w:p>
        </w:tc>
      </w:tr>
      <w:tr w:rsidR="000B4A1E" w:rsidRPr="003E2DBE" w:rsidTr="00517E51">
        <w:trPr>
          <w:divId w:val="2090611562"/>
        </w:trPr>
        <w:tc>
          <w:tcPr>
            <w:tcW w:w="4694" w:type="dxa"/>
            <w:tcBorders>
              <w:top w:val="nil"/>
              <w:left w:val="nil"/>
              <w:bottom w:val="nil"/>
              <w:right w:val="nil"/>
            </w:tcBorders>
            <w:shd w:val="clear" w:color="auto" w:fill="auto"/>
            <w:noWrap/>
            <w:vAlign w:val="center"/>
            <w:hideMark/>
          </w:tcPr>
          <w:p w:rsidR="000B4A1E" w:rsidRPr="003E2DBE" w:rsidRDefault="000B4A1E" w:rsidP="00517E51">
            <w:pPr>
              <w:pStyle w:val="Tabletext"/>
              <w:rPr>
                <w:lang w:eastAsia="en-AU"/>
              </w:rPr>
            </w:pPr>
            <w:r w:rsidRPr="003E2DBE">
              <w:rPr>
                <w:lang w:eastAsia="en-AU"/>
              </w:rPr>
              <w:t>Human Services</w:t>
            </w:r>
          </w:p>
        </w:tc>
        <w:tc>
          <w:tcPr>
            <w:tcW w:w="1080"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w:t>
            </w:r>
            <w:r w:rsidRPr="003E2DBE">
              <w:rPr>
                <w:rFonts w:cs="Calibri"/>
                <w:szCs w:val="22"/>
                <w:lang w:eastAsia="en-AU"/>
              </w:rPr>
              <w:t xml:space="preserve"> 490</w:t>
            </w:r>
          </w:p>
        </w:tc>
        <w:tc>
          <w:tcPr>
            <w:tcW w:w="1628"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21</w:t>
            </w:r>
            <w:r w:rsidRPr="003E2DBE">
              <w:rPr>
                <w:rFonts w:cs="Calibri"/>
                <w:szCs w:val="22"/>
                <w:lang w:eastAsia="en-AU"/>
              </w:rPr>
              <w:t xml:space="preserve"> 761</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w:t>
            </w:r>
            <w:r w:rsidRPr="003E2DBE">
              <w:rPr>
                <w:rFonts w:cs="Calibri"/>
                <w:szCs w:val="22"/>
                <w:lang w:eastAsia="en-AU"/>
              </w:rPr>
              <w:t xml:space="preserve"> 038</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32</w:t>
            </w:r>
            <w:r w:rsidRPr="003E2DBE">
              <w:rPr>
                <w:rFonts w:cs="Calibri"/>
                <w:szCs w:val="22"/>
                <w:lang w:eastAsia="en-AU"/>
              </w:rPr>
              <w:t xml:space="preserve"> 289</w:t>
            </w:r>
          </w:p>
        </w:tc>
      </w:tr>
      <w:tr w:rsidR="000B4A1E" w:rsidRPr="003E2DBE" w:rsidTr="00517E51">
        <w:trPr>
          <w:divId w:val="2090611562"/>
        </w:trPr>
        <w:tc>
          <w:tcPr>
            <w:tcW w:w="4694" w:type="dxa"/>
            <w:tcBorders>
              <w:top w:val="nil"/>
              <w:left w:val="nil"/>
              <w:bottom w:val="nil"/>
              <w:right w:val="nil"/>
            </w:tcBorders>
            <w:shd w:val="clear" w:color="auto" w:fill="auto"/>
            <w:noWrap/>
            <w:vAlign w:val="center"/>
            <w:hideMark/>
          </w:tcPr>
          <w:p w:rsidR="000B4A1E" w:rsidRPr="003E2DBE" w:rsidRDefault="000B4A1E" w:rsidP="00517E51">
            <w:pPr>
              <w:pStyle w:val="Tabletext"/>
              <w:rPr>
                <w:lang w:eastAsia="en-AU"/>
              </w:rPr>
            </w:pPr>
            <w:r w:rsidRPr="003E2DBE">
              <w:rPr>
                <w:lang w:eastAsia="en-AU"/>
              </w:rPr>
              <w:t>Justice</w:t>
            </w:r>
          </w:p>
        </w:tc>
        <w:tc>
          <w:tcPr>
            <w:tcW w:w="1080"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186</w:t>
            </w:r>
            <w:r w:rsidRPr="003E2DBE">
              <w:rPr>
                <w:rFonts w:cs="Calibri"/>
                <w:szCs w:val="22"/>
                <w:lang w:eastAsia="en-AU"/>
              </w:rPr>
              <w:t xml:space="preserve"> 983</w:t>
            </w:r>
          </w:p>
        </w:tc>
        <w:tc>
          <w:tcPr>
            <w:tcW w:w="1628"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52</w:t>
            </w:r>
            <w:r w:rsidRPr="003E2DBE">
              <w:rPr>
                <w:rFonts w:cs="Calibri"/>
                <w:szCs w:val="22"/>
                <w:lang w:eastAsia="en-AU"/>
              </w:rPr>
              <w:t xml:space="preserve"> 180</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9</w:t>
            </w:r>
            <w:r w:rsidRPr="003E2DBE">
              <w:rPr>
                <w:rFonts w:cs="Calibri"/>
                <w:szCs w:val="22"/>
                <w:lang w:eastAsia="en-AU"/>
              </w:rPr>
              <w:t xml:space="preserve"> 590</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248</w:t>
            </w:r>
            <w:r w:rsidRPr="003E2DBE">
              <w:rPr>
                <w:rFonts w:cs="Calibri"/>
                <w:szCs w:val="22"/>
                <w:lang w:eastAsia="en-AU"/>
              </w:rPr>
              <w:t xml:space="preserve"> 753</w:t>
            </w:r>
          </w:p>
        </w:tc>
      </w:tr>
      <w:tr w:rsidR="000B4A1E" w:rsidRPr="003E2DBE" w:rsidTr="00517E51">
        <w:trPr>
          <w:divId w:val="2090611562"/>
        </w:trPr>
        <w:tc>
          <w:tcPr>
            <w:tcW w:w="4694" w:type="dxa"/>
            <w:tcBorders>
              <w:top w:val="nil"/>
              <w:left w:val="nil"/>
              <w:bottom w:val="nil"/>
              <w:right w:val="nil"/>
            </w:tcBorders>
            <w:shd w:val="clear" w:color="auto" w:fill="auto"/>
            <w:noWrap/>
            <w:vAlign w:val="center"/>
            <w:hideMark/>
          </w:tcPr>
          <w:p w:rsidR="000B4A1E" w:rsidRPr="003E2DBE" w:rsidRDefault="000B4A1E" w:rsidP="00517E51">
            <w:pPr>
              <w:pStyle w:val="Tabletext"/>
              <w:rPr>
                <w:lang w:eastAsia="en-AU"/>
              </w:rPr>
            </w:pPr>
            <w:r w:rsidRPr="003E2DBE">
              <w:rPr>
                <w:lang w:eastAsia="en-AU"/>
              </w:rPr>
              <w:t>Planning and Community Development</w:t>
            </w:r>
          </w:p>
        </w:tc>
        <w:tc>
          <w:tcPr>
            <w:tcW w:w="1080"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628"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465</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465</w:t>
            </w:r>
          </w:p>
        </w:tc>
      </w:tr>
      <w:tr w:rsidR="000B4A1E" w:rsidRPr="003E2DBE" w:rsidTr="00517E51">
        <w:trPr>
          <w:divId w:val="2090611562"/>
        </w:trPr>
        <w:tc>
          <w:tcPr>
            <w:tcW w:w="4694" w:type="dxa"/>
            <w:tcBorders>
              <w:top w:val="nil"/>
              <w:left w:val="nil"/>
              <w:bottom w:val="nil"/>
              <w:right w:val="nil"/>
            </w:tcBorders>
            <w:shd w:val="clear" w:color="auto" w:fill="auto"/>
            <w:noWrap/>
            <w:vAlign w:val="center"/>
            <w:hideMark/>
          </w:tcPr>
          <w:p w:rsidR="000B4A1E" w:rsidRPr="003E2DBE" w:rsidRDefault="000B4A1E" w:rsidP="00517E51">
            <w:pPr>
              <w:pStyle w:val="Tabletext"/>
              <w:rPr>
                <w:lang w:eastAsia="en-AU"/>
              </w:rPr>
            </w:pPr>
            <w:r w:rsidRPr="003E2DBE">
              <w:rPr>
                <w:lang w:eastAsia="en-AU"/>
              </w:rPr>
              <w:t>Premier and Cabinet</w:t>
            </w:r>
          </w:p>
        </w:tc>
        <w:tc>
          <w:tcPr>
            <w:tcW w:w="1080"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467</w:t>
            </w:r>
          </w:p>
        </w:tc>
        <w:tc>
          <w:tcPr>
            <w:tcW w:w="1628"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400</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867</w:t>
            </w:r>
          </w:p>
        </w:tc>
      </w:tr>
      <w:tr w:rsidR="000B4A1E" w:rsidRPr="003E2DBE" w:rsidTr="00517E51">
        <w:trPr>
          <w:divId w:val="2090611562"/>
        </w:trPr>
        <w:tc>
          <w:tcPr>
            <w:tcW w:w="4694" w:type="dxa"/>
            <w:tcBorders>
              <w:top w:val="nil"/>
              <w:left w:val="nil"/>
              <w:bottom w:val="nil"/>
              <w:right w:val="nil"/>
            </w:tcBorders>
            <w:shd w:val="clear" w:color="auto" w:fill="auto"/>
            <w:noWrap/>
            <w:vAlign w:val="center"/>
            <w:hideMark/>
          </w:tcPr>
          <w:p w:rsidR="000B4A1E" w:rsidRPr="003E2DBE" w:rsidRDefault="000B4A1E" w:rsidP="00517E51">
            <w:pPr>
              <w:pStyle w:val="Tabletext"/>
              <w:rPr>
                <w:lang w:eastAsia="en-AU"/>
              </w:rPr>
            </w:pPr>
            <w:r w:rsidRPr="003E2DBE">
              <w:rPr>
                <w:lang w:eastAsia="en-AU"/>
              </w:rPr>
              <w:t>Primary Industries</w:t>
            </w:r>
          </w:p>
        </w:tc>
        <w:tc>
          <w:tcPr>
            <w:tcW w:w="1080"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65</w:t>
            </w:r>
            <w:r w:rsidRPr="003E2DBE">
              <w:rPr>
                <w:rFonts w:cs="Calibri"/>
                <w:szCs w:val="22"/>
                <w:lang w:eastAsia="en-AU"/>
              </w:rPr>
              <w:t xml:space="preserve"> 254</w:t>
            </w:r>
          </w:p>
        </w:tc>
        <w:tc>
          <w:tcPr>
            <w:tcW w:w="1628"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142</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4</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65</w:t>
            </w:r>
            <w:r w:rsidRPr="003E2DBE">
              <w:rPr>
                <w:rFonts w:cs="Calibri"/>
                <w:szCs w:val="22"/>
                <w:lang w:eastAsia="en-AU"/>
              </w:rPr>
              <w:t xml:space="preserve"> 400</w:t>
            </w:r>
          </w:p>
        </w:tc>
      </w:tr>
      <w:tr w:rsidR="000B4A1E" w:rsidRPr="003E2DBE" w:rsidTr="00517E51">
        <w:trPr>
          <w:divId w:val="2090611562"/>
        </w:trPr>
        <w:tc>
          <w:tcPr>
            <w:tcW w:w="4694" w:type="dxa"/>
            <w:tcBorders>
              <w:top w:val="nil"/>
              <w:left w:val="nil"/>
              <w:bottom w:val="nil"/>
              <w:right w:val="nil"/>
            </w:tcBorders>
            <w:shd w:val="clear" w:color="auto" w:fill="auto"/>
            <w:noWrap/>
            <w:vAlign w:val="center"/>
            <w:hideMark/>
          </w:tcPr>
          <w:p w:rsidR="000B4A1E" w:rsidRPr="003E2DBE" w:rsidRDefault="000B4A1E" w:rsidP="00517E51">
            <w:pPr>
              <w:pStyle w:val="Tabletext"/>
              <w:rPr>
                <w:rFonts w:cs="Calibri"/>
                <w:szCs w:val="22"/>
                <w:lang w:eastAsia="en-AU"/>
              </w:rPr>
            </w:pPr>
            <w:r w:rsidRPr="003E2DBE">
              <w:rPr>
                <w:lang w:eastAsia="en-AU"/>
              </w:rPr>
              <w:t>State Development, Business</w:t>
            </w:r>
            <w:r w:rsidRPr="003E2DBE">
              <w:rPr>
                <w:rFonts w:cs="Calibri"/>
                <w:szCs w:val="22"/>
                <w:lang w:eastAsia="en-AU"/>
              </w:rPr>
              <w:t xml:space="preserve"> and Innovation </w:t>
            </w:r>
            <w:r w:rsidRPr="003E2DBE">
              <w:rPr>
                <w:rFonts w:cs="Calibri"/>
                <w:szCs w:val="22"/>
                <w:vertAlign w:val="superscript"/>
                <w:lang w:eastAsia="en-AU"/>
              </w:rPr>
              <w:t>(a)</w:t>
            </w:r>
          </w:p>
        </w:tc>
        <w:tc>
          <w:tcPr>
            <w:tcW w:w="1080"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628"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w:t>
            </w:r>
            <w:r w:rsidRPr="003E2DBE">
              <w:rPr>
                <w:rFonts w:cs="Calibri"/>
                <w:szCs w:val="22"/>
                <w:lang w:eastAsia="en-AU"/>
              </w:rPr>
              <w:t xml:space="preserve"> 078</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1</w:t>
            </w:r>
            <w:r w:rsidRPr="003E2DBE">
              <w:rPr>
                <w:rFonts w:cs="Calibri"/>
                <w:szCs w:val="22"/>
                <w:lang w:eastAsia="en-AU"/>
              </w:rPr>
              <w:t xml:space="preserve"> 078</w:t>
            </w:r>
          </w:p>
        </w:tc>
      </w:tr>
      <w:tr w:rsidR="000B4A1E" w:rsidRPr="003E2DBE" w:rsidTr="00517E51">
        <w:trPr>
          <w:divId w:val="2090611562"/>
        </w:trPr>
        <w:tc>
          <w:tcPr>
            <w:tcW w:w="4694" w:type="dxa"/>
            <w:tcBorders>
              <w:top w:val="nil"/>
              <w:left w:val="nil"/>
              <w:bottom w:val="nil"/>
              <w:right w:val="nil"/>
            </w:tcBorders>
            <w:shd w:val="clear" w:color="auto" w:fill="auto"/>
            <w:noWrap/>
            <w:vAlign w:val="center"/>
            <w:hideMark/>
          </w:tcPr>
          <w:p w:rsidR="000B4A1E" w:rsidRPr="003E2DBE" w:rsidRDefault="000B4A1E" w:rsidP="00517E51">
            <w:pPr>
              <w:pStyle w:val="Tabletext"/>
              <w:rPr>
                <w:rFonts w:cs="Calibri"/>
                <w:szCs w:val="22"/>
                <w:lang w:eastAsia="en-AU"/>
              </w:rPr>
            </w:pPr>
            <w:r w:rsidRPr="003E2DBE">
              <w:rPr>
                <w:lang w:eastAsia="en-AU"/>
              </w:rPr>
              <w:t>Transport,</w:t>
            </w:r>
            <w:r w:rsidRPr="003E2DBE">
              <w:rPr>
                <w:rFonts w:cs="Calibri"/>
                <w:szCs w:val="22"/>
                <w:lang w:eastAsia="en-AU"/>
              </w:rPr>
              <w:t xml:space="preserve"> Planning and Local Infrastructure </w:t>
            </w:r>
            <w:r w:rsidRPr="003E2DBE">
              <w:rPr>
                <w:rFonts w:cs="Calibri"/>
                <w:szCs w:val="22"/>
                <w:vertAlign w:val="superscript"/>
                <w:lang w:eastAsia="en-AU"/>
              </w:rPr>
              <w:t>(a)</w:t>
            </w:r>
          </w:p>
        </w:tc>
        <w:tc>
          <w:tcPr>
            <w:tcW w:w="1080"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628"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751</w:t>
            </w:r>
            <w:r w:rsidRPr="003E2DBE">
              <w:rPr>
                <w:rFonts w:cs="Calibri"/>
                <w:szCs w:val="22"/>
                <w:lang w:eastAsia="en-AU"/>
              </w:rPr>
              <w:t xml:space="preserve"> 544</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r w:rsidRPr="003E2DBE">
              <w:rPr>
                <w:rFonts w:cs="Calibri"/>
                <w:szCs w:val="22"/>
                <w:lang w:eastAsia="en-AU"/>
              </w:rPr>
              <w:t>.</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751</w:t>
            </w:r>
            <w:r w:rsidRPr="003E2DBE">
              <w:rPr>
                <w:rFonts w:cs="Calibri"/>
                <w:szCs w:val="22"/>
                <w:lang w:eastAsia="en-AU"/>
              </w:rPr>
              <w:t xml:space="preserve"> 544</w:t>
            </w:r>
          </w:p>
        </w:tc>
      </w:tr>
      <w:tr w:rsidR="000B4A1E" w:rsidRPr="003E2DBE" w:rsidTr="00517E51">
        <w:trPr>
          <w:divId w:val="2090611562"/>
        </w:trPr>
        <w:tc>
          <w:tcPr>
            <w:tcW w:w="4694" w:type="dxa"/>
            <w:tcBorders>
              <w:top w:val="nil"/>
              <w:left w:val="nil"/>
              <w:bottom w:val="nil"/>
              <w:right w:val="nil"/>
            </w:tcBorders>
            <w:shd w:val="clear" w:color="auto" w:fill="auto"/>
            <w:noWrap/>
            <w:vAlign w:val="center"/>
            <w:hideMark/>
          </w:tcPr>
          <w:p w:rsidR="000B4A1E" w:rsidRPr="003E2DBE" w:rsidRDefault="000B4A1E" w:rsidP="00517E51">
            <w:pPr>
              <w:pStyle w:val="Tabletext"/>
              <w:rPr>
                <w:lang w:eastAsia="en-AU"/>
              </w:rPr>
            </w:pPr>
            <w:r w:rsidRPr="003E2DBE">
              <w:rPr>
                <w:lang w:eastAsia="en-AU"/>
              </w:rPr>
              <w:t>Treasury and Finance</w:t>
            </w:r>
          </w:p>
        </w:tc>
        <w:tc>
          <w:tcPr>
            <w:tcW w:w="1080"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w:t>
            </w:r>
            <w:r w:rsidRPr="003E2DBE">
              <w:rPr>
                <w:rFonts w:cs="Calibri"/>
                <w:szCs w:val="22"/>
                <w:lang w:eastAsia="en-AU"/>
              </w:rPr>
              <w:t xml:space="preserve"> 678</w:t>
            </w:r>
          </w:p>
        </w:tc>
        <w:tc>
          <w:tcPr>
            <w:tcW w:w="1628"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nil"/>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6</w:t>
            </w:r>
            <w:r w:rsidRPr="003E2DBE">
              <w:rPr>
                <w:rFonts w:cs="Calibri"/>
                <w:szCs w:val="22"/>
                <w:lang w:eastAsia="en-AU"/>
              </w:rPr>
              <w:t xml:space="preserve"> 678</w:t>
            </w:r>
          </w:p>
        </w:tc>
      </w:tr>
      <w:tr w:rsidR="000B4A1E" w:rsidRPr="003E2DBE" w:rsidTr="00517E51">
        <w:trPr>
          <w:divId w:val="2090611562"/>
        </w:trPr>
        <w:tc>
          <w:tcPr>
            <w:tcW w:w="4694" w:type="dxa"/>
            <w:tcBorders>
              <w:top w:val="nil"/>
              <w:left w:val="nil"/>
              <w:bottom w:val="single" w:sz="4" w:space="0" w:color="auto"/>
              <w:right w:val="nil"/>
            </w:tcBorders>
            <w:shd w:val="clear" w:color="auto" w:fill="auto"/>
            <w:noWrap/>
            <w:vAlign w:val="center"/>
            <w:hideMark/>
          </w:tcPr>
          <w:p w:rsidR="000B4A1E" w:rsidRPr="003E2DBE" w:rsidRDefault="000B4A1E" w:rsidP="00517E51">
            <w:pPr>
              <w:pStyle w:val="Tabletext"/>
              <w:rPr>
                <w:lang w:eastAsia="en-AU"/>
              </w:rPr>
            </w:pPr>
            <w:r w:rsidRPr="003E2DBE">
              <w:rPr>
                <w:lang w:eastAsia="en-AU"/>
              </w:rPr>
              <w:t>Parliament</w:t>
            </w:r>
          </w:p>
        </w:tc>
        <w:tc>
          <w:tcPr>
            <w:tcW w:w="1080"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23</w:t>
            </w:r>
            <w:r w:rsidRPr="003E2DBE">
              <w:rPr>
                <w:rFonts w:cs="Calibri"/>
                <w:szCs w:val="22"/>
                <w:lang w:eastAsia="en-AU"/>
              </w:rPr>
              <w:t xml:space="preserve"> 211</w:t>
            </w:r>
          </w:p>
        </w:tc>
        <w:tc>
          <w:tcPr>
            <w:tcW w:w="1628"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w:t>
            </w:r>
          </w:p>
        </w:tc>
        <w:tc>
          <w:tcPr>
            <w:tcW w:w="1123" w:type="dxa"/>
            <w:tcBorders>
              <w:top w:val="nil"/>
              <w:left w:val="nil"/>
              <w:bottom w:val="single" w:sz="4" w:space="0" w:color="auto"/>
              <w:right w:val="nil"/>
            </w:tcBorders>
            <w:shd w:val="clear" w:color="000000" w:fill="FFFFFF"/>
            <w:noWrap/>
            <w:vAlign w:val="bottom"/>
            <w:hideMark/>
          </w:tcPr>
          <w:p w:rsidR="000B4A1E" w:rsidRPr="003E2DBE" w:rsidRDefault="000B4A1E" w:rsidP="00517E51">
            <w:pPr>
              <w:pStyle w:val="TableofFigures"/>
              <w:rPr>
                <w:rFonts w:cs="Calibri"/>
                <w:szCs w:val="22"/>
                <w:lang w:eastAsia="en-AU"/>
              </w:rPr>
            </w:pPr>
            <w:r w:rsidRPr="003E2DBE">
              <w:rPr>
                <w:lang w:eastAsia="en-AU"/>
              </w:rPr>
              <w:t xml:space="preserve"> 23</w:t>
            </w:r>
            <w:r w:rsidRPr="003E2DBE">
              <w:rPr>
                <w:rFonts w:cs="Calibri"/>
                <w:szCs w:val="22"/>
                <w:lang w:eastAsia="en-AU"/>
              </w:rPr>
              <w:t xml:space="preserve"> 211</w:t>
            </w:r>
          </w:p>
        </w:tc>
      </w:tr>
      <w:tr w:rsidR="000B4A1E" w:rsidRPr="003E2DBE" w:rsidTr="00517E51">
        <w:trPr>
          <w:divId w:val="2090611562"/>
        </w:trPr>
        <w:tc>
          <w:tcPr>
            <w:tcW w:w="469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lang w:eastAsia="en-AU"/>
              </w:rPr>
            </w:pPr>
            <w:r w:rsidRPr="003E2DBE">
              <w:rPr>
                <w:b/>
                <w:bCs/>
                <w:lang w:eastAsia="en-AU"/>
              </w:rPr>
              <w:t xml:space="preserve">Total appropriation </w:t>
            </w:r>
          </w:p>
        </w:tc>
        <w:tc>
          <w:tcPr>
            <w:tcW w:w="1080" w:type="dxa"/>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ofFigures"/>
              <w:rPr>
                <w:rFonts w:cs="Calibri"/>
                <w:b/>
                <w:szCs w:val="22"/>
                <w:lang w:eastAsia="en-AU"/>
              </w:rPr>
            </w:pPr>
            <w:r w:rsidRPr="003E2DBE">
              <w:rPr>
                <w:b/>
                <w:bCs/>
                <w:lang w:eastAsia="en-AU"/>
              </w:rPr>
              <w:t xml:space="preserve"> 689</w:t>
            </w:r>
            <w:r w:rsidRPr="003E2DBE">
              <w:rPr>
                <w:rFonts w:cs="Calibri"/>
                <w:b/>
                <w:szCs w:val="22"/>
                <w:lang w:eastAsia="en-AU"/>
              </w:rPr>
              <w:t xml:space="preserve"> 329</w:t>
            </w:r>
          </w:p>
        </w:tc>
        <w:tc>
          <w:tcPr>
            <w:tcW w:w="1628" w:type="dxa"/>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ofFigures"/>
              <w:rPr>
                <w:rFonts w:cs="Calibri"/>
                <w:b/>
                <w:szCs w:val="22"/>
                <w:lang w:eastAsia="en-AU"/>
              </w:rPr>
            </w:pPr>
            <w:r w:rsidRPr="003E2DBE">
              <w:rPr>
                <w:b/>
                <w:bCs/>
                <w:lang w:eastAsia="en-AU"/>
              </w:rPr>
              <w:t xml:space="preserve">2 </w:t>
            </w:r>
            <w:r w:rsidRPr="003E2DBE">
              <w:rPr>
                <w:rFonts w:cs="Calibri"/>
                <w:b/>
                <w:szCs w:val="22"/>
                <w:lang w:eastAsia="en-AU"/>
              </w:rPr>
              <w:t>724 947</w:t>
            </w:r>
          </w:p>
        </w:tc>
        <w:tc>
          <w:tcPr>
            <w:tcW w:w="1123" w:type="dxa"/>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ofFigures"/>
              <w:rPr>
                <w:rFonts w:cs="Calibri"/>
                <w:b/>
                <w:szCs w:val="22"/>
                <w:lang w:eastAsia="en-AU"/>
              </w:rPr>
            </w:pPr>
            <w:r w:rsidRPr="003E2DBE">
              <w:rPr>
                <w:b/>
                <w:bCs/>
                <w:lang w:eastAsia="en-AU"/>
              </w:rPr>
              <w:t xml:space="preserve"> 46</w:t>
            </w:r>
            <w:r w:rsidRPr="003E2DBE">
              <w:rPr>
                <w:rFonts w:cs="Calibri"/>
                <w:b/>
                <w:szCs w:val="22"/>
                <w:lang w:eastAsia="en-AU"/>
              </w:rPr>
              <w:t xml:space="preserve"> 584</w:t>
            </w:r>
          </w:p>
        </w:tc>
        <w:tc>
          <w:tcPr>
            <w:tcW w:w="1123" w:type="dxa"/>
            <w:tcBorders>
              <w:top w:val="single" w:sz="4" w:space="0" w:color="auto"/>
              <w:left w:val="nil"/>
              <w:bottom w:val="single" w:sz="12" w:space="0" w:color="auto"/>
              <w:right w:val="nil"/>
            </w:tcBorders>
            <w:shd w:val="clear" w:color="000000" w:fill="FFFFFF"/>
            <w:noWrap/>
            <w:vAlign w:val="bottom"/>
            <w:hideMark/>
          </w:tcPr>
          <w:p w:rsidR="000B4A1E" w:rsidRPr="003E2DBE" w:rsidRDefault="000B4A1E" w:rsidP="00517E51">
            <w:pPr>
              <w:pStyle w:val="TableofFigures"/>
              <w:rPr>
                <w:rFonts w:cs="Calibri"/>
                <w:b/>
                <w:szCs w:val="22"/>
                <w:lang w:eastAsia="en-AU"/>
              </w:rPr>
            </w:pPr>
            <w:r w:rsidRPr="003E2DBE">
              <w:rPr>
                <w:b/>
                <w:bCs/>
                <w:lang w:eastAsia="en-AU"/>
              </w:rPr>
              <w:t xml:space="preserve">3 </w:t>
            </w:r>
            <w:r w:rsidRPr="003E2DBE">
              <w:rPr>
                <w:rFonts w:cs="Calibri"/>
                <w:b/>
                <w:szCs w:val="22"/>
                <w:lang w:eastAsia="en-AU"/>
              </w:rPr>
              <w:t>460 861</w:t>
            </w:r>
          </w:p>
        </w:tc>
      </w:tr>
    </w:tbl>
    <w:bookmarkEnd w:id="196"/>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rsidRPr="00D00665">
        <w:tab/>
        <w:t>Effective 9 April 2013 several departments were renamed due to machinery of government changes:</w:t>
      </w:r>
    </w:p>
    <w:p w:rsidR="000B4A1E" w:rsidRPr="00D00665" w:rsidRDefault="000B4A1E" w:rsidP="00517E51">
      <w:pPr>
        <w:pStyle w:val="NotesDash"/>
        <w:tabs>
          <w:tab w:val="clear" w:pos="922"/>
          <w:tab w:val="num" w:pos="810"/>
        </w:tabs>
        <w:ind w:left="810" w:hanging="356"/>
      </w:pPr>
      <w:r w:rsidRPr="00D00665">
        <w:t xml:space="preserve">the Department of </w:t>
      </w:r>
      <w:r w:rsidR="00405D0E">
        <w:t xml:space="preserve">Sustainability and Environment became the </w:t>
      </w:r>
      <w:r w:rsidRPr="00D00665">
        <w:t>Department of Environment and Primary Industries;</w:t>
      </w:r>
    </w:p>
    <w:p w:rsidR="000B4A1E" w:rsidRPr="00D00665" w:rsidRDefault="000B4A1E" w:rsidP="00517E51">
      <w:pPr>
        <w:pStyle w:val="NotesDash"/>
        <w:tabs>
          <w:tab w:val="clear" w:pos="922"/>
          <w:tab w:val="num" w:pos="810"/>
        </w:tabs>
        <w:ind w:left="810" w:hanging="356"/>
      </w:pPr>
      <w:r w:rsidRPr="00D00665">
        <w:t>the Department of Business and Innovation became the Department of State Development, Business and Innovation; and</w:t>
      </w:r>
    </w:p>
    <w:p w:rsidR="000B4A1E" w:rsidRPr="00D00665" w:rsidRDefault="000B4A1E" w:rsidP="00517E51">
      <w:pPr>
        <w:pStyle w:val="NotesDash"/>
        <w:tabs>
          <w:tab w:val="clear" w:pos="922"/>
          <w:tab w:val="num" w:pos="810"/>
        </w:tabs>
        <w:ind w:left="810" w:hanging="356"/>
      </w:pPr>
      <w:r w:rsidRPr="00D00665">
        <w:t>the Department of Transport became the Department of Transport, Planning and Local Infrastructure.</w:t>
      </w:r>
    </w:p>
    <w:p w:rsidR="000B4A1E" w:rsidRPr="00D00665" w:rsidRDefault="000B4A1E">
      <w:pPr>
        <w:spacing w:after="0"/>
        <w:rPr>
          <w:rFonts w:ascii="Calibri" w:hAnsi="Calibri"/>
          <w:b/>
        </w:rPr>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pPr>
      <w:r w:rsidRPr="00D00665">
        <w:t>(k)</w:t>
      </w:r>
      <w:r w:rsidRPr="00D00665">
        <w:tab/>
        <w:t xml:space="preserve">Section 32 Carryovers – </w:t>
      </w:r>
      <w:r w:rsidRPr="00D00665">
        <w:rPr>
          <w:i/>
        </w:rPr>
        <w:t>Financial Management Act 1994</w:t>
      </w:r>
      <w:r w:rsidRPr="00D00665">
        <w:t xml:space="preserve"> for the year ended 30 June 2013</w:t>
      </w:r>
    </w:p>
    <w:p w:rsidR="000B4A1E" w:rsidRPr="00D00665" w:rsidRDefault="000B4A1E" w:rsidP="00517E51">
      <w:r w:rsidRPr="00D00665">
        <w:t>Amounts approved for carryover from 2011</w:t>
      </w:r>
      <w:r w:rsidRPr="00D00665">
        <w:noBreakHyphen/>
        <w:t xml:space="preserve">12 pursuant to Section 32 of the </w:t>
      </w:r>
      <w:r w:rsidRPr="00D00665">
        <w:rPr>
          <w:i/>
        </w:rPr>
        <w:t>Financial Management Act 1994.</w:t>
      </w:r>
    </w:p>
    <w:p w:rsidR="000B4A1E" w:rsidRPr="003E2DBE" w:rsidRDefault="000B4A1E" w:rsidP="00517E51">
      <w:pPr>
        <w:pStyle w:val="million"/>
      </w:pPr>
      <w:r w:rsidRPr="00D00665">
        <w:t>($ thousand)</w:t>
      </w:r>
      <w:bookmarkStart w:id="197" w:name="RANGE!A8:F21"/>
    </w:p>
    <w:tbl>
      <w:tblPr>
        <w:tblW w:w="9648" w:type="dxa"/>
        <w:tblInd w:w="29" w:type="dxa"/>
        <w:tblCellMar>
          <w:left w:w="43" w:type="dxa"/>
          <w:right w:w="43" w:type="dxa"/>
        </w:tblCellMar>
        <w:tblLook w:val="04A0" w:firstRow="1" w:lastRow="0" w:firstColumn="1" w:lastColumn="0" w:noHBand="0" w:noVBand="1"/>
      </w:tblPr>
      <w:tblGrid>
        <w:gridCol w:w="4064"/>
        <w:gridCol w:w="90"/>
        <w:gridCol w:w="1080"/>
        <w:gridCol w:w="1170"/>
        <w:gridCol w:w="1440"/>
        <w:gridCol w:w="810"/>
        <w:gridCol w:w="994"/>
      </w:tblGrid>
      <w:tr w:rsidR="000B4A1E" w:rsidRPr="003E2DBE" w:rsidTr="00517E51">
        <w:trPr>
          <w:divId w:val="1229268100"/>
        </w:trPr>
        <w:tc>
          <w:tcPr>
            <w:tcW w:w="4064" w:type="dxa"/>
            <w:tcBorders>
              <w:top w:val="single" w:sz="6" w:space="0" w:color="auto"/>
              <w:left w:val="single" w:sz="6" w:space="0" w:color="auto"/>
              <w:bottom w:val="single" w:sz="6" w:space="0" w:color="auto"/>
              <w:right w:val="nil"/>
            </w:tcBorders>
            <w:shd w:val="clear" w:color="auto" w:fill="000000"/>
            <w:vAlign w:val="bottom"/>
            <w:hideMark/>
          </w:tcPr>
          <w:p w:rsidR="000B4A1E" w:rsidRPr="003E2DBE" w:rsidRDefault="000B4A1E" w:rsidP="00517E51">
            <w:pPr>
              <w:pStyle w:val="TabletextheadingLeft"/>
              <w:rPr>
                <w:sz w:val="21"/>
                <w:lang w:eastAsia="en-AU"/>
              </w:rPr>
            </w:pPr>
            <w:r w:rsidRPr="003E2DBE">
              <w:rPr>
                <w:sz w:val="21"/>
                <w:lang w:eastAsia="en-AU"/>
              </w:rPr>
              <w:br/>
            </w:r>
            <w:r w:rsidRPr="003E2DBE">
              <w:rPr>
                <w:sz w:val="21"/>
                <w:lang w:eastAsia="en-AU"/>
              </w:rPr>
              <w:br/>
              <w:t xml:space="preserve">Department </w:t>
            </w:r>
          </w:p>
        </w:tc>
        <w:tc>
          <w:tcPr>
            <w:tcW w:w="1170" w:type="dxa"/>
            <w:gridSpan w:val="2"/>
            <w:tcBorders>
              <w:top w:val="single" w:sz="6" w:space="0" w:color="auto"/>
              <w:left w:val="nil"/>
              <w:bottom w:val="single" w:sz="6" w:space="0" w:color="auto"/>
              <w:right w:val="nil"/>
            </w:tcBorders>
            <w:shd w:val="clear" w:color="auto" w:fill="000000"/>
            <w:vAlign w:val="bottom"/>
            <w:hideMark/>
          </w:tcPr>
          <w:p w:rsidR="000B4A1E" w:rsidRPr="003E2DBE" w:rsidRDefault="000B4A1E" w:rsidP="00517E51">
            <w:pPr>
              <w:pStyle w:val="Tabletextheading"/>
              <w:rPr>
                <w:sz w:val="21"/>
                <w:lang w:eastAsia="en-AU"/>
              </w:rPr>
            </w:pPr>
            <w:r w:rsidRPr="003E2DBE">
              <w:rPr>
                <w:sz w:val="21"/>
                <w:lang w:eastAsia="en-AU"/>
              </w:rPr>
              <w:br/>
              <w:t>Provision of outputs</w:t>
            </w:r>
          </w:p>
        </w:tc>
        <w:tc>
          <w:tcPr>
            <w:tcW w:w="1170" w:type="dxa"/>
            <w:tcBorders>
              <w:top w:val="single" w:sz="6" w:space="0" w:color="auto"/>
              <w:left w:val="nil"/>
              <w:bottom w:val="single" w:sz="6" w:space="0" w:color="auto"/>
              <w:right w:val="nil"/>
            </w:tcBorders>
            <w:shd w:val="clear" w:color="auto" w:fill="000000"/>
            <w:vAlign w:val="bottom"/>
            <w:hideMark/>
          </w:tcPr>
          <w:p w:rsidR="000B4A1E" w:rsidRPr="003E2DBE" w:rsidRDefault="000B4A1E" w:rsidP="00517E51">
            <w:pPr>
              <w:pStyle w:val="Tabletextheading"/>
              <w:rPr>
                <w:sz w:val="21"/>
                <w:lang w:eastAsia="en-AU"/>
              </w:rPr>
            </w:pPr>
            <w:r w:rsidRPr="003E2DBE">
              <w:rPr>
                <w:sz w:val="21"/>
                <w:lang w:eastAsia="en-AU"/>
              </w:rPr>
              <w:br/>
              <w:t>Additions to net assets</w:t>
            </w:r>
          </w:p>
        </w:tc>
        <w:tc>
          <w:tcPr>
            <w:tcW w:w="1440" w:type="dxa"/>
            <w:tcBorders>
              <w:top w:val="single" w:sz="6" w:space="0" w:color="auto"/>
              <w:left w:val="nil"/>
              <w:bottom w:val="single" w:sz="6" w:space="0" w:color="auto"/>
              <w:right w:val="nil"/>
            </w:tcBorders>
            <w:shd w:val="clear" w:color="auto" w:fill="000000"/>
            <w:vAlign w:val="bottom"/>
            <w:hideMark/>
          </w:tcPr>
          <w:p w:rsidR="000B4A1E" w:rsidRPr="003E2DBE" w:rsidRDefault="000B4A1E" w:rsidP="00517E51">
            <w:pPr>
              <w:pStyle w:val="Tabletextheading"/>
              <w:rPr>
                <w:sz w:val="21"/>
                <w:lang w:eastAsia="en-AU"/>
              </w:rPr>
            </w:pPr>
            <w:r>
              <w:rPr>
                <w:sz w:val="21"/>
                <w:lang w:eastAsia="en-AU"/>
              </w:rPr>
              <w:t>Payments made on behalf </w:t>
            </w:r>
            <w:r w:rsidRPr="003E2DBE">
              <w:rPr>
                <w:sz w:val="21"/>
                <w:lang w:eastAsia="en-AU"/>
              </w:rPr>
              <w:t>of State</w:t>
            </w:r>
          </w:p>
        </w:tc>
        <w:tc>
          <w:tcPr>
            <w:tcW w:w="810" w:type="dxa"/>
            <w:tcBorders>
              <w:top w:val="single" w:sz="6" w:space="0" w:color="auto"/>
              <w:left w:val="nil"/>
              <w:bottom w:val="single" w:sz="6" w:space="0" w:color="auto"/>
              <w:right w:val="nil"/>
            </w:tcBorders>
            <w:shd w:val="clear" w:color="auto" w:fill="000000"/>
            <w:vAlign w:val="bottom"/>
            <w:hideMark/>
          </w:tcPr>
          <w:p w:rsidR="000B4A1E" w:rsidRPr="003E2DBE" w:rsidRDefault="000B4A1E" w:rsidP="00517E51">
            <w:pPr>
              <w:pStyle w:val="Tabletextheading"/>
              <w:rPr>
                <w:sz w:val="21"/>
                <w:lang w:eastAsia="en-AU"/>
              </w:rPr>
            </w:pPr>
            <w:r w:rsidRPr="003E2DBE">
              <w:rPr>
                <w:sz w:val="21"/>
                <w:lang w:eastAsia="en-AU"/>
              </w:rPr>
              <w:br/>
            </w:r>
            <w:r w:rsidRPr="003E2DBE">
              <w:rPr>
                <w:sz w:val="21"/>
                <w:lang w:eastAsia="en-AU"/>
              </w:rPr>
              <w:br/>
              <w:t xml:space="preserve">Other </w:t>
            </w:r>
          </w:p>
        </w:tc>
        <w:tc>
          <w:tcPr>
            <w:tcW w:w="994" w:type="dxa"/>
            <w:tcBorders>
              <w:top w:val="single" w:sz="6" w:space="0" w:color="auto"/>
              <w:left w:val="nil"/>
              <w:bottom w:val="single" w:sz="6" w:space="0" w:color="auto"/>
              <w:right w:val="single" w:sz="6" w:space="0" w:color="auto"/>
            </w:tcBorders>
            <w:shd w:val="clear" w:color="auto" w:fill="000000"/>
            <w:vAlign w:val="bottom"/>
            <w:hideMark/>
          </w:tcPr>
          <w:p w:rsidR="000B4A1E" w:rsidRPr="003E2DBE" w:rsidRDefault="000B4A1E" w:rsidP="00517E51">
            <w:pPr>
              <w:pStyle w:val="Tabletextheading"/>
              <w:rPr>
                <w:sz w:val="21"/>
                <w:lang w:eastAsia="en-AU"/>
              </w:rPr>
            </w:pPr>
            <w:r w:rsidRPr="003E2DBE">
              <w:rPr>
                <w:sz w:val="21"/>
                <w:lang w:eastAsia="en-AU"/>
              </w:rPr>
              <w:br/>
              <w:t>Total carryover</w:t>
            </w:r>
          </w:p>
        </w:tc>
      </w:tr>
      <w:tr w:rsidR="000B4A1E" w:rsidRPr="003E2DBE" w:rsidTr="00517E51">
        <w:trPr>
          <w:divId w:val="1229268100"/>
        </w:trPr>
        <w:tc>
          <w:tcPr>
            <w:tcW w:w="4064" w:type="dxa"/>
            <w:tcBorders>
              <w:top w:val="single" w:sz="6" w:space="0" w:color="auto"/>
              <w:right w:val="nil"/>
            </w:tcBorders>
            <w:shd w:val="clear" w:color="auto" w:fill="auto"/>
            <w:noWrap/>
            <w:vAlign w:val="bottom"/>
            <w:hideMark/>
          </w:tcPr>
          <w:p w:rsidR="000B4A1E" w:rsidRPr="003E2DBE" w:rsidRDefault="000B4A1E" w:rsidP="00517E51">
            <w:pPr>
              <w:pStyle w:val="Tabletext"/>
              <w:rPr>
                <w:sz w:val="21"/>
              </w:rPr>
            </w:pPr>
            <w:r w:rsidRPr="003E2DBE">
              <w:rPr>
                <w:sz w:val="21"/>
                <w:lang w:eastAsia="en-AU"/>
              </w:rPr>
              <w:t>Business and Innovation</w:t>
            </w:r>
          </w:p>
        </w:tc>
        <w:tc>
          <w:tcPr>
            <w:tcW w:w="1170" w:type="dxa"/>
            <w:gridSpan w:val="2"/>
            <w:tcBorders>
              <w:top w:val="single" w:sz="6" w:space="0" w:color="auto"/>
              <w:left w:val="nil"/>
              <w:right w:val="nil"/>
            </w:tcBorders>
            <w:shd w:val="clear" w:color="auto" w:fill="auto"/>
            <w:hideMark/>
          </w:tcPr>
          <w:p w:rsidR="000B4A1E" w:rsidRPr="003E2DBE" w:rsidRDefault="000B4A1E" w:rsidP="00517E51">
            <w:pPr>
              <w:pStyle w:val="TableofFigures"/>
              <w:rPr>
                <w:sz w:val="21"/>
                <w:lang w:eastAsia="en-AU"/>
              </w:rPr>
            </w:pPr>
            <w:r w:rsidRPr="003E2DBE">
              <w:rPr>
                <w:sz w:val="21"/>
                <w:lang w:eastAsia="en-AU"/>
              </w:rPr>
              <w:t xml:space="preserve"> 42 126</w:t>
            </w:r>
          </w:p>
        </w:tc>
        <w:tc>
          <w:tcPr>
            <w:tcW w:w="1170" w:type="dxa"/>
            <w:tcBorders>
              <w:top w:val="single" w:sz="6" w:space="0" w:color="auto"/>
              <w:left w:val="nil"/>
              <w:right w:val="nil"/>
            </w:tcBorders>
            <w:shd w:val="clear" w:color="auto" w:fill="auto"/>
            <w:hideMark/>
          </w:tcPr>
          <w:p w:rsidR="000B4A1E" w:rsidRPr="003E2DBE" w:rsidRDefault="000B4A1E" w:rsidP="00517E51">
            <w:pPr>
              <w:pStyle w:val="TableofFigures"/>
              <w:rPr>
                <w:sz w:val="21"/>
                <w:lang w:eastAsia="en-AU"/>
              </w:rPr>
            </w:pPr>
            <w:r w:rsidRPr="003E2DBE">
              <w:rPr>
                <w:sz w:val="21"/>
                <w:lang w:eastAsia="en-AU"/>
              </w:rPr>
              <w:t xml:space="preserve"> 6 961</w:t>
            </w:r>
          </w:p>
        </w:tc>
        <w:tc>
          <w:tcPr>
            <w:tcW w:w="1440" w:type="dxa"/>
            <w:tcBorders>
              <w:top w:val="single" w:sz="6" w:space="0" w:color="auto"/>
              <w:left w:val="nil"/>
              <w:right w:val="nil"/>
            </w:tcBorders>
            <w:shd w:val="clear" w:color="auto" w:fill="auto"/>
            <w:hideMark/>
          </w:tcPr>
          <w:p w:rsidR="000B4A1E" w:rsidRPr="003E2DBE" w:rsidRDefault="000B4A1E" w:rsidP="00517E51">
            <w:pPr>
              <w:pStyle w:val="TableofFigures"/>
              <w:rPr>
                <w:sz w:val="21"/>
                <w:lang w:eastAsia="en-AU"/>
              </w:rPr>
            </w:pPr>
            <w:r w:rsidRPr="003E2DBE">
              <w:rPr>
                <w:sz w:val="21"/>
                <w:lang w:eastAsia="en-AU"/>
              </w:rPr>
              <w:t>..</w:t>
            </w:r>
          </w:p>
        </w:tc>
        <w:tc>
          <w:tcPr>
            <w:tcW w:w="810" w:type="dxa"/>
            <w:tcBorders>
              <w:top w:val="single" w:sz="6" w:space="0" w:color="auto"/>
              <w:left w:val="nil"/>
              <w:right w:val="nil"/>
            </w:tcBorders>
            <w:shd w:val="clear" w:color="auto" w:fill="auto"/>
            <w:hideMark/>
          </w:tcPr>
          <w:p w:rsidR="000B4A1E" w:rsidRPr="003E2DBE" w:rsidRDefault="000B4A1E" w:rsidP="00517E51">
            <w:pPr>
              <w:pStyle w:val="TableofFigures"/>
              <w:rPr>
                <w:sz w:val="21"/>
                <w:lang w:eastAsia="en-AU"/>
              </w:rPr>
            </w:pPr>
            <w:r w:rsidRPr="003E2DBE">
              <w:rPr>
                <w:sz w:val="21"/>
                <w:lang w:eastAsia="en-AU"/>
              </w:rPr>
              <w:t>..</w:t>
            </w:r>
          </w:p>
        </w:tc>
        <w:tc>
          <w:tcPr>
            <w:tcW w:w="994" w:type="dxa"/>
            <w:tcBorders>
              <w:top w:val="single" w:sz="6" w:space="0" w:color="auto"/>
              <w:left w:val="nil"/>
            </w:tcBorders>
            <w:shd w:val="clear" w:color="auto" w:fill="auto"/>
            <w:hideMark/>
          </w:tcPr>
          <w:p w:rsidR="000B4A1E" w:rsidRPr="003E2DBE" w:rsidRDefault="000B4A1E" w:rsidP="00517E51">
            <w:pPr>
              <w:pStyle w:val="TableofFigures"/>
              <w:rPr>
                <w:b/>
                <w:bCs/>
                <w:sz w:val="21"/>
                <w:lang w:eastAsia="en-AU"/>
              </w:rPr>
            </w:pPr>
            <w:r w:rsidRPr="003E2DBE">
              <w:rPr>
                <w:b/>
                <w:bCs/>
                <w:sz w:val="21"/>
                <w:lang w:eastAsia="en-AU"/>
              </w:rPr>
              <w:t xml:space="preserve"> 49 087</w:t>
            </w:r>
          </w:p>
        </w:tc>
      </w:tr>
      <w:tr w:rsidR="000B4A1E" w:rsidRPr="003E2DBE" w:rsidTr="00517E51">
        <w:trPr>
          <w:divId w:val="1229268100"/>
        </w:trPr>
        <w:tc>
          <w:tcPr>
            <w:tcW w:w="4154" w:type="dxa"/>
            <w:gridSpan w:val="2"/>
            <w:tcBorders>
              <w:left w:val="nil"/>
              <w:bottom w:val="nil"/>
              <w:right w:val="nil"/>
            </w:tcBorders>
            <w:shd w:val="clear" w:color="auto" w:fill="auto"/>
            <w:noWrap/>
            <w:vAlign w:val="bottom"/>
            <w:hideMark/>
          </w:tcPr>
          <w:p w:rsidR="000B4A1E" w:rsidRPr="003E2DBE" w:rsidRDefault="000B4A1E" w:rsidP="00517E51">
            <w:pPr>
              <w:pStyle w:val="Tabletext"/>
              <w:rPr>
                <w:sz w:val="21"/>
                <w:szCs w:val="24"/>
                <w:lang w:eastAsia="en-AU"/>
              </w:rPr>
            </w:pPr>
            <w:r w:rsidRPr="003E2DBE">
              <w:rPr>
                <w:sz w:val="21"/>
                <w:szCs w:val="24"/>
                <w:lang w:eastAsia="en-AU"/>
              </w:rPr>
              <w:t>Education and Early Childhood Development</w:t>
            </w:r>
          </w:p>
        </w:tc>
        <w:tc>
          <w:tcPr>
            <w:tcW w:w="1080" w:type="dxa"/>
            <w:tcBorders>
              <w:left w:val="nil"/>
              <w:bottom w:val="nil"/>
              <w:right w:val="nil"/>
            </w:tcBorders>
            <w:shd w:val="clear" w:color="auto" w:fill="auto"/>
            <w:hideMark/>
          </w:tcPr>
          <w:p w:rsidR="000B4A1E" w:rsidRPr="003E2DBE" w:rsidRDefault="000B4A1E" w:rsidP="00517E51">
            <w:pPr>
              <w:pStyle w:val="TableofFigures"/>
              <w:rPr>
                <w:sz w:val="21"/>
                <w:lang w:eastAsia="en-AU"/>
              </w:rPr>
            </w:pPr>
            <w:r w:rsidRPr="003E2DBE">
              <w:rPr>
                <w:sz w:val="21"/>
                <w:lang w:eastAsia="en-AU"/>
              </w:rPr>
              <w:t xml:space="preserve"> </w:t>
            </w:r>
            <w:r w:rsidRPr="003E2DBE">
              <w:rPr>
                <w:sz w:val="21"/>
              </w:rPr>
              <w:t>119</w:t>
            </w:r>
            <w:r w:rsidRPr="003E2DBE">
              <w:rPr>
                <w:sz w:val="21"/>
                <w:lang w:eastAsia="en-AU"/>
              </w:rPr>
              <w:t xml:space="preserve"> 734</w:t>
            </w:r>
          </w:p>
        </w:tc>
        <w:tc>
          <w:tcPr>
            <w:tcW w:w="1170" w:type="dxa"/>
            <w:tcBorders>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34</w:t>
            </w:r>
            <w:r w:rsidRPr="003E2DBE">
              <w:rPr>
                <w:rFonts w:cs="Calibri"/>
                <w:sz w:val="21"/>
                <w:szCs w:val="22"/>
                <w:lang w:eastAsia="en-AU"/>
              </w:rPr>
              <w:t xml:space="preserve"> 032</w:t>
            </w:r>
          </w:p>
        </w:tc>
        <w:tc>
          <w:tcPr>
            <w:tcW w:w="1440" w:type="dxa"/>
            <w:tcBorders>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153</w:t>
            </w:r>
            <w:r w:rsidRPr="003E2DBE">
              <w:rPr>
                <w:rFonts w:cs="Calibri"/>
                <w:b/>
                <w:bCs/>
                <w:sz w:val="21"/>
                <w:szCs w:val="22"/>
                <w:lang w:eastAsia="en-AU"/>
              </w:rPr>
              <w:t xml:space="preserve"> 766</w:t>
            </w:r>
          </w:p>
        </w:tc>
      </w:tr>
      <w:tr w:rsidR="000B4A1E" w:rsidRPr="003E2DBE" w:rsidTr="00517E51">
        <w:trPr>
          <w:divId w:val="1229268100"/>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szCs w:val="24"/>
                <w:lang w:eastAsia="en-AU"/>
              </w:rPr>
            </w:pPr>
            <w:r w:rsidRPr="003E2DBE">
              <w:rPr>
                <w:sz w:val="21"/>
                <w:szCs w:val="24"/>
                <w:lang w:eastAsia="en-AU"/>
              </w:rPr>
              <w:t>Health</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130</w:t>
            </w:r>
            <w:r w:rsidRPr="003E2DBE">
              <w:rPr>
                <w:rFonts w:cs="Calibri"/>
                <w:sz w:val="21"/>
                <w:szCs w:val="22"/>
                <w:lang w:eastAsia="en-AU"/>
              </w:rPr>
              <w:t xml:space="preserve"> 750</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151</w:t>
            </w:r>
            <w:r w:rsidRPr="003E2DBE">
              <w:rPr>
                <w:rFonts w:cs="Calibri"/>
                <w:sz w:val="21"/>
                <w:szCs w:val="22"/>
                <w:lang w:eastAsia="en-AU"/>
              </w:rPr>
              <w:t xml:space="preserve"> 270</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282</w:t>
            </w:r>
            <w:r w:rsidRPr="003E2DBE">
              <w:rPr>
                <w:rFonts w:cs="Calibri"/>
                <w:b/>
                <w:bCs/>
                <w:sz w:val="21"/>
                <w:szCs w:val="22"/>
                <w:lang w:eastAsia="en-AU"/>
              </w:rPr>
              <w:t xml:space="preserve"> 020</w:t>
            </w:r>
          </w:p>
        </w:tc>
      </w:tr>
      <w:tr w:rsidR="000B4A1E" w:rsidRPr="003E2DBE" w:rsidTr="00517E51">
        <w:trPr>
          <w:divId w:val="1229268100"/>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szCs w:val="24"/>
                <w:lang w:eastAsia="en-AU"/>
              </w:rPr>
            </w:pPr>
            <w:r w:rsidRPr="003E2DBE">
              <w:rPr>
                <w:sz w:val="21"/>
                <w:szCs w:val="24"/>
                <w:lang w:eastAsia="en-AU"/>
              </w:rPr>
              <w:t>Human Services</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20</w:t>
            </w:r>
            <w:r w:rsidRPr="003E2DBE">
              <w:rPr>
                <w:rFonts w:cs="Calibri"/>
                <w:sz w:val="21"/>
                <w:szCs w:val="22"/>
                <w:lang w:eastAsia="en-AU"/>
              </w:rPr>
              <w:t xml:space="preserve"> 957</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11</w:t>
            </w:r>
            <w:r w:rsidRPr="003E2DBE">
              <w:rPr>
                <w:rFonts w:cs="Calibri"/>
                <w:sz w:val="21"/>
                <w:szCs w:val="22"/>
                <w:lang w:eastAsia="en-AU"/>
              </w:rPr>
              <w:t xml:space="preserve"> 261</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32</w:t>
            </w:r>
            <w:r w:rsidRPr="003E2DBE">
              <w:rPr>
                <w:rFonts w:cs="Calibri"/>
                <w:b/>
                <w:bCs/>
                <w:sz w:val="21"/>
                <w:szCs w:val="22"/>
                <w:lang w:eastAsia="en-AU"/>
              </w:rPr>
              <w:t xml:space="preserve"> 218</w:t>
            </w:r>
          </w:p>
        </w:tc>
      </w:tr>
      <w:tr w:rsidR="000B4A1E" w:rsidRPr="003E2DBE" w:rsidTr="00517E51">
        <w:trPr>
          <w:divId w:val="1229268100"/>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szCs w:val="24"/>
                <w:lang w:eastAsia="en-AU"/>
              </w:rPr>
            </w:pPr>
            <w:r w:rsidRPr="003E2DBE">
              <w:rPr>
                <w:sz w:val="21"/>
                <w:szCs w:val="24"/>
                <w:lang w:eastAsia="en-AU"/>
              </w:rPr>
              <w:t>Justice</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95</w:t>
            </w:r>
            <w:r w:rsidRPr="003E2DBE">
              <w:rPr>
                <w:rFonts w:cs="Calibri"/>
                <w:sz w:val="21"/>
                <w:szCs w:val="22"/>
                <w:lang w:eastAsia="en-AU"/>
              </w:rPr>
              <w:t xml:space="preserve"> 812</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53</w:t>
            </w:r>
            <w:r w:rsidRPr="003E2DBE">
              <w:rPr>
                <w:rFonts w:cs="Calibri"/>
                <w:sz w:val="21"/>
                <w:szCs w:val="22"/>
                <w:lang w:eastAsia="en-AU"/>
              </w:rPr>
              <w:t xml:space="preserve"> 909</w:t>
            </w:r>
          </w:p>
        </w:tc>
        <w:tc>
          <w:tcPr>
            <w:tcW w:w="144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149</w:t>
            </w:r>
            <w:r w:rsidRPr="003E2DBE">
              <w:rPr>
                <w:rFonts w:cs="Calibri"/>
                <w:b/>
                <w:bCs/>
                <w:sz w:val="21"/>
                <w:szCs w:val="22"/>
                <w:lang w:eastAsia="en-AU"/>
              </w:rPr>
              <w:t xml:space="preserve"> 721</w:t>
            </w:r>
          </w:p>
        </w:tc>
      </w:tr>
      <w:tr w:rsidR="000B4A1E" w:rsidRPr="003E2DBE" w:rsidTr="00517E51">
        <w:trPr>
          <w:divId w:val="1229268100"/>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szCs w:val="24"/>
                <w:lang w:eastAsia="en-AU"/>
              </w:rPr>
            </w:pPr>
            <w:r w:rsidRPr="003E2DBE">
              <w:rPr>
                <w:sz w:val="21"/>
                <w:szCs w:val="24"/>
                <w:lang w:eastAsia="en-AU"/>
              </w:rPr>
              <w:t>Planning and Community Development</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12</w:t>
            </w:r>
            <w:r w:rsidRPr="003E2DBE">
              <w:rPr>
                <w:rFonts w:cs="Calibri"/>
                <w:sz w:val="21"/>
                <w:szCs w:val="22"/>
                <w:lang w:eastAsia="en-AU"/>
              </w:rPr>
              <w:t xml:space="preserve"> 850</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13</w:t>
            </w:r>
            <w:r w:rsidRPr="003E2DBE">
              <w:rPr>
                <w:rFonts w:cs="Calibri"/>
                <w:sz w:val="21"/>
                <w:szCs w:val="22"/>
                <w:lang w:eastAsia="en-AU"/>
              </w:rPr>
              <w:t xml:space="preserve"> 610</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26</w:t>
            </w:r>
            <w:r w:rsidRPr="003E2DBE">
              <w:rPr>
                <w:rFonts w:cs="Calibri"/>
                <w:b/>
                <w:bCs/>
                <w:sz w:val="21"/>
                <w:szCs w:val="22"/>
                <w:lang w:eastAsia="en-AU"/>
              </w:rPr>
              <w:t xml:space="preserve"> 460</w:t>
            </w:r>
          </w:p>
        </w:tc>
      </w:tr>
      <w:tr w:rsidR="000B4A1E" w:rsidRPr="003E2DBE" w:rsidTr="00517E51">
        <w:trPr>
          <w:divId w:val="1229268100"/>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szCs w:val="24"/>
                <w:lang w:eastAsia="en-AU"/>
              </w:rPr>
            </w:pPr>
            <w:r w:rsidRPr="003E2DBE">
              <w:rPr>
                <w:sz w:val="21"/>
                <w:szCs w:val="24"/>
                <w:lang w:eastAsia="en-AU"/>
              </w:rPr>
              <w:t>Premier and Cabinet</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16</w:t>
            </w:r>
            <w:r w:rsidRPr="003E2DBE">
              <w:rPr>
                <w:rFonts w:cs="Calibri"/>
                <w:sz w:val="21"/>
                <w:szCs w:val="22"/>
                <w:lang w:eastAsia="en-AU"/>
              </w:rPr>
              <w:t xml:space="preserve"> 350</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w:t>
            </w:r>
            <w:r w:rsidRPr="003E2DBE">
              <w:rPr>
                <w:rFonts w:cs="Calibri"/>
                <w:sz w:val="21"/>
                <w:szCs w:val="22"/>
                <w:lang w:eastAsia="en-AU"/>
              </w:rPr>
              <w:t xml:space="preserve"> 145</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19</w:t>
            </w:r>
            <w:r w:rsidRPr="003E2DBE">
              <w:rPr>
                <w:rFonts w:cs="Calibri"/>
                <w:b/>
                <w:bCs/>
                <w:sz w:val="21"/>
                <w:szCs w:val="22"/>
                <w:lang w:eastAsia="en-AU"/>
              </w:rPr>
              <w:t xml:space="preserve"> 495</w:t>
            </w:r>
          </w:p>
        </w:tc>
      </w:tr>
      <w:tr w:rsidR="000B4A1E" w:rsidRPr="003E2DBE" w:rsidTr="00517E51">
        <w:trPr>
          <w:divId w:val="1229268100"/>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szCs w:val="24"/>
                <w:lang w:eastAsia="en-AU"/>
              </w:rPr>
            </w:pPr>
            <w:r w:rsidRPr="003E2DBE">
              <w:rPr>
                <w:sz w:val="21"/>
                <w:szCs w:val="24"/>
                <w:lang w:eastAsia="en-AU"/>
              </w:rPr>
              <w:t>Primary Industries</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57</w:t>
            </w:r>
            <w:r w:rsidRPr="003E2DBE">
              <w:rPr>
                <w:rFonts w:cs="Calibri"/>
                <w:sz w:val="21"/>
                <w:szCs w:val="22"/>
                <w:lang w:eastAsia="en-AU"/>
              </w:rPr>
              <w:t xml:space="preserve"> 649</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24</w:t>
            </w:r>
            <w:r w:rsidRPr="003E2DBE">
              <w:rPr>
                <w:rFonts w:cs="Calibri"/>
                <w:sz w:val="21"/>
                <w:szCs w:val="22"/>
                <w:lang w:eastAsia="en-AU"/>
              </w:rPr>
              <w:t xml:space="preserve"> 700</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82</w:t>
            </w:r>
            <w:r w:rsidRPr="003E2DBE">
              <w:rPr>
                <w:rFonts w:cs="Calibri"/>
                <w:b/>
                <w:bCs/>
                <w:sz w:val="21"/>
                <w:szCs w:val="22"/>
                <w:lang w:eastAsia="en-AU"/>
              </w:rPr>
              <w:t xml:space="preserve"> 349</w:t>
            </w:r>
          </w:p>
        </w:tc>
      </w:tr>
      <w:tr w:rsidR="000B4A1E" w:rsidRPr="003E2DBE" w:rsidTr="00517E51">
        <w:trPr>
          <w:divId w:val="1229268100"/>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szCs w:val="24"/>
                <w:lang w:eastAsia="en-AU"/>
              </w:rPr>
            </w:pPr>
            <w:r w:rsidRPr="003E2DBE">
              <w:rPr>
                <w:sz w:val="21"/>
                <w:szCs w:val="24"/>
                <w:lang w:eastAsia="en-AU"/>
              </w:rPr>
              <w:t>Sustainability and Environment</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54</w:t>
            </w:r>
            <w:r w:rsidRPr="003E2DBE">
              <w:rPr>
                <w:rFonts w:cs="Calibri"/>
                <w:sz w:val="21"/>
                <w:szCs w:val="22"/>
                <w:lang w:eastAsia="en-AU"/>
              </w:rPr>
              <w:t xml:space="preserve"> 398</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103</w:t>
            </w:r>
            <w:r w:rsidRPr="003E2DBE">
              <w:rPr>
                <w:rFonts w:cs="Calibri"/>
                <w:sz w:val="21"/>
                <w:szCs w:val="22"/>
                <w:lang w:eastAsia="en-AU"/>
              </w:rPr>
              <w:t xml:space="preserve"> 334</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157</w:t>
            </w:r>
            <w:r w:rsidRPr="003E2DBE">
              <w:rPr>
                <w:rFonts w:cs="Calibri"/>
                <w:b/>
                <w:bCs/>
                <w:sz w:val="21"/>
                <w:szCs w:val="22"/>
                <w:lang w:eastAsia="en-AU"/>
              </w:rPr>
              <w:t xml:space="preserve"> 732</w:t>
            </w:r>
          </w:p>
        </w:tc>
      </w:tr>
      <w:tr w:rsidR="000B4A1E" w:rsidRPr="003E2DBE" w:rsidTr="00517E51">
        <w:trPr>
          <w:divId w:val="1229268100"/>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szCs w:val="24"/>
                <w:lang w:eastAsia="en-AU"/>
              </w:rPr>
            </w:pPr>
            <w:r w:rsidRPr="003E2DBE">
              <w:rPr>
                <w:sz w:val="21"/>
                <w:szCs w:val="24"/>
                <w:lang w:eastAsia="en-AU"/>
              </w:rPr>
              <w:t>Transport</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185</w:t>
            </w:r>
            <w:r w:rsidRPr="003E2DBE">
              <w:rPr>
                <w:rFonts w:cs="Calibri"/>
                <w:sz w:val="21"/>
                <w:szCs w:val="22"/>
                <w:lang w:eastAsia="en-AU"/>
              </w:rPr>
              <w:t xml:space="preserve"> 076</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410</w:t>
            </w:r>
            <w:r w:rsidRPr="003E2DBE">
              <w:rPr>
                <w:rFonts w:cs="Calibri"/>
                <w:sz w:val="21"/>
                <w:szCs w:val="22"/>
                <w:lang w:eastAsia="en-AU"/>
              </w:rPr>
              <w:t xml:space="preserve"> 343</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595</w:t>
            </w:r>
            <w:r w:rsidRPr="003E2DBE">
              <w:rPr>
                <w:rFonts w:cs="Calibri"/>
                <w:b/>
                <w:bCs/>
                <w:sz w:val="21"/>
                <w:szCs w:val="22"/>
                <w:lang w:eastAsia="en-AU"/>
              </w:rPr>
              <w:t xml:space="preserve"> 419</w:t>
            </w:r>
          </w:p>
        </w:tc>
      </w:tr>
      <w:tr w:rsidR="000B4A1E" w:rsidRPr="003E2DBE" w:rsidTr="00517E51">
        <w:trPr>
          <w:divId w:val="1229268100"/>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szCs w:val="24"/>
                <w:lang w:eastAsia="en-AU"/>
              </w:rPr>
            </w:pPr>
            <w:r w:rsidRPr="003E2DBE">
              <w:rPr>
                <w:sz w:val="21"/>
                <w:szCs w:val="24"/>
                <w:lang w:eastAsia="en-AU"/>
              </w:rPr>
              <w:t>Treasury and Finance</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5</w:t>
            </w:r>
            <w:r w:rsidRPr="003E2DBE">
              <w:rPr>
                <w:rFonts w:cs="Calibri"/>
                <w:sz w:val="21"/>
                <w:szCs w:val="22"/>
                <w:lang w:eastAsia="en-AU"/>
              </w:rPr>
              <w:t xml:space="preserve"> 956</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w:t>
            </w:r>
            <w:r w:rsidRPr="003E2DBE">
              <w:rPr>
                <w:rFonts w:cs="Calibri"/>
                <w:sz w:val="21"/>
                <w:szCs w:val="22"/>
                <w:lang w:eastAsia="en-AU"/>
              </w:rPr>
              <w:t xml:space="preserve"> 227</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6</w:t>
            </w:r>
            <w:r w:rsidRPr="003E2DBE">
              <w:rPr>
                <w:rFonts w:cs="Calibri"/>
                <w:sz w:val="21"/>
                <w:szCs w:val="22"/>
                <w:lang w:eastAsia="en-AU"/>
              </w:rPr>
              <w:t xml:space="preserve"> 764</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15</w:t>
            </w:r>
            <w:r w:rsidRPr="003E2DBE">
              <w:rPr>
                <w:rFonts w:cs="Calibri"/>
                <w:b/>
                <w:bCs/>
                <w:sz w:val="21"/>
                <w:szCs w:val="22"/>
                <w:lang w:eastAsia="en-AU"/>
              </w:rPr>
              <w:t xml:space="preserve"> 947</w:t>
            </w:r>
          </w:p>
        </w:tc>
      </w:tr>
      <w:tr w:rsidR="000B4A1E" w:rsidRPr="003E2DBE" w:rsidTr="00517E51">
        <w:trPr>
          <w:divId w:val="1229268100"/>
        </w:trPr>
        <w:tc>
          <w:tcPr>
            <w:tcW w:w="406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sz w:val="21"/>
                <w:szCs w:val="24"/>
                <w:lang w:eastAsia="en-AU"/>
              </w:rPr>
            </w:pPr>
            <w:r w:rsidRPr="003E2DBE">
              <w:rPr>
                <w:sz w:val="21"/>
                <w:szCs w:val="24"/>
                <w:lang w:eastAsia="en-AU"/>
              </w:rPr>
              <w:t>Parliament</w:t>
            </w:r>
          </w:p>
        </w:tc>
        <w:tc>
          <w:tcPr>
            <w:tcW w:w="1170" w:type="dxa"/>
            <w:gridSpan w:val="2"/>
            <w:tcBorders>
              <w:top w:val="nil"/>
              <w:left w:val="nil"/>
              <w:bottom w:val="single" w:sz="4" w:space="0" w:color="auto"/>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4</w:t>
            </w:r>
            <w:r w:rsidRPr="003E2DBE">
              <w:rPr>
                <w:rFonts w:cs="Calibri"/>
                <w:sz w:val="21"/>
                <w:szCs w:val="22"/>
                <w:lang w:eastAsia="en-AU"/>
              </w:rPr>
              <w:t xml:space="preserve"> 961</w:t>
            </w:r>
          </w:p>
        </w:tc>
        <w:tc>
          <w:tcPr>
            <w:tcW w:w="1170" w:type="dxa"/>
            <w:tcBorders>
              <w:top w:val="nil"/>
              <w:left w:val="nil"/>
              <w:bottom w:val="single" w:sz="4" w:space="0" w:color="auto"/>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44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single" w:sz="4" w:space="0" w:color="auto"/>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4</w:t>
            </w:r>
            <w:r w:rsidRPr="003E2DBE">
              <w:rPr>
                <w:rFonts w:cs="Calibri"/>
                <w:b/>
                <w:bCs/>
                <w:sz w:val="21"/>
                <w:szCs w:val="22"/>
                <w:lang w:eastAsia="en-AU"/>
              </w:rPr>
              <w:t xml:space="preserve"> 961</w:t>
            </w:r>
          </w:p>
        </w:tc>
      </w:tr>
      <w:tr w:rsidR="000B4A1E" w:rsidRPr="003E2DBE" w:rsidTr="00517E51">
        <w:trPr>
          <w:divId w:val="1229268100"/>
        </w:trPr>
        <w:tc>
          <w:tcPr>
            <w:tcW w:w="406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sz w:val="21"/>
                <w:szCs w:val="24"/>
                <w:lang w:eastAsia="en-AU"/>
              </w:rPr>
            </w:pPr>
            <w:r w:rsidRPr="003E2DBE">
              <w:rPr>
                <w:b/>
                <w:bCs/>
                <w:sz w:val="21"/>
                <w:szCs w:val="24"/>
                <w:lang w:eastAsia="en-AU"/>
              </w:rPr>
              <w:t>Total carryovers by department</w:t>
            </w:r>
          </w:p>
        </w:tc>
        <w:tc>
          <w:tcPr>
            <w:tcW w:w="1170"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746</w:t>
            </w:r>
            <w:r w:rsidRPr="003E2DBE">
              <w:rPr>
                <w:rFonts w:cs="Calibri"/>
                <w:b/>
                <w:bCs/>
                <w:sz w:val="21"/>
                <w:szCs w:val="22"/>
                <w:lang w:eastAsia="en-AU"/>
              </w:rPr>
              <w:t xml:space="preserve"> 619</w:t>
            </w:r>
          </w:p>
        </w:tc>
        <w:tc>
          <w:tcPr>
            <w:tcW w:w="117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815</w:t>
            </w:r>
            <w:r w:rsidRPr="003E2DBE">
              <w:rPr>
                <w:rFonts w:cs="Calibri"/>
                <w:b/>
                <w:bCs/>
                <w:sz w:val="21"/>
                <w:szCs w:val="22"/>
                <w:lang w:eastAsia="en-AU"/>
              </w:rPr>
              <w:t xml:space="preserve"> 791</w:t>
            </w:r>
          </w:p>
        </w:tc>
        <w:tc>
          <w:tcPr>
            <w:tcW w:w="144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6</w:t>
            </w:r>
            <w:r w:rsidRPr="003E2DBE">
              <w:rPr>
                <w:rFonts w:cs="Calibri"/>
                <w:b/>
                <w:bCs/>
                <w:sz w:val="21"/>
                <w:szCs w:val="22"/>
                <w:lang w:eastAsia="en-AU"/>
              </w:rPr>
              <w:t xml:space="preserve"> 764</w:t>
            </w:r>
          </w:p>
        </w:tc>
        <w:tc>
          <w:tcPr>
            <w:tcW w:w="81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w:t>
            </w:r>
          </w:p>
        </w:tc>
        <w:tc>
          <w:tcPr>
            <w:tcW w:w="994"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1 </w:t>
            </w:r>
            <w:r w:rsidRPr="003E2DBE">
              <w:rPr>
                <w:rFonts w:cs="Calibri"/>
                <w:b/>
                <w:bCs/>
                <w:sz w:val="21"/>
                <w:szCs w:val="22"/>
                <w:lang w:eastAsia="en-AU"/>
              </w:rPr>
              <w:t>569 175</w:t>
            </w:r>
          </w:p>
        </w:tc>
      </w:tr>
      <w:bookmarkEnd w:id="197"/>
    </w:tbl>
    <w:p w:rsidR="000B4A1E" w:rsidRPr="00D00665" w:rsidRDefault="000B4A1E" w:rsidP="00517E51">
      <w:pPr>
        <w:pStyle w:val="Notes"/>
      </w:pPr>
    </w:p>
    <w:p w:rsidR="000B4A1E" w:rsidRPr="00D00665" w:rsidRDefault="000B4A1E" w:rsidP="00517E51"/>
    <w:p w:rsidR="000B4A1E" w:rsidRPr="00D00665" w:rsidRDefault="000B4A1E" w:rsidP="00517E51">
      <w:r w:rsidRPr="00D00665">
        <w:t>Amounts applied against carryover of appropriations in 2012</w:t>
      </w:r>
      <w:r w:rsidRPr="00D00665">
        <w:noBreakHyphen/>
        <w:t xml:space="preserve">13 pursuant to Section 32 of the </w:t>
      </w:r>
      <w:r w:rsidRPr="00D00665">
        <w:rPr>
          <w:i/>
        </w:rPr>
        <w:t>Financial Management Act 1994.</w:t>
      </w:r>
    </w:p>
    <w:p w:rsidR="000B4A1E" w:rsidRPr="003E2DBE" w:rsidRDefault="000B4A1E" w:rsidP="00517E51">
      <w:pPr>
        <w:pStyle w:val="million"/>
      </w:pPr>
      <w:r w:rsidRPr="00D00665">
        <w:t>($ thousand)</w:t>
      </w:r>
      <w:bookmarkStart w:id="198" w:name="RANGE!A28:F41"/>
    </w:p>
    <w:tbl>
      <w:tblPr>
        <w:tblW w:w="9648" w:type="dxa"/>
        <w:tblInd w:w="29" w:type="dxa"/>
        <w:tblCellMar>
          <w:left w:w="43" w:type="dxa"/>
          <w:right w:w="43" w:type="dxa"/>
        </w:tblCellMar>
        <w:tblLook w:val="04A0" w:firstRow="1" w:lastRow="0" w:firstColumn="1" w:lastColumn="0" w:noHBand="0" w:noVBand="1"/>
      </w:tblPr>
      <w:tblGrid>
        <w:gridCol w:w="3974"/>
        <w:gridCol w:w="90"/>
        <w:gridCol w:w="90"/>
        <w:gridCol w:w="1080"/>
        <w:gridCol w:w="1170"/>
        <w:gridCol w:w="1440"/>
        <w:gridCol w:w="810"/>
        <w:gridCol w:w="994"/>
      </w:tblGrid>
      <w:tr w:rsidR="000B4A1E" w:rsidRPr="003E2DBE" w:rsidTr="00517E51">
        <w:trPr>
          <w:divId w:val="1013727636"/>
        </w:trPr>
        <w:tc>
          <w:tcPr>
            <w:tcW w:w="4064" w:type="dxa"/>
            <w:gridSpan w:val="2"/>
            <w:tcBorders>
              <w:top w:val="single" w:sz="4" w:space="0" w:color="auto"/>
              <w:left w:val="single" w:sz="4" w:space="0" w:color="auto"/>
              <w:right w:val="nil"/>
            </w:tcBorders>
            <w:shd w:val="clear" w:color="auto" w:fill="000000"/>
            <w:vAlign w:val="bottom"/>
            <w:hideMark/>
          </w:tcPr>
          <w:p w:rsidR="000B4A1E" w:rsidRPr="003E2DBE" w:rsidRDefault="000B4A1E" w:rsidP="00517E51">
            <w:pPr>
              <w:pStyle w:val="TabletextheadingLeft"/>
              <w:rPr>
                <w:sz w:val="21"/>
                <w:lang w:eastAsia="en-AU"/>
              </w:rPr>
            </w:pPr>
            <w:r w:rsidRPr="003E2DBE">
              <w:rPr>
                <w:sz w:val="21"/>
                <w:lang w:eastAsia="en-AU"/>
              </w:rPr>
              <w:br/>
            </w:r>
            <w:r w:rsidRPr="003E2DBE">
              <w:rPr>
                <w:sz w:val="21"/>
                <w:lang w:eastAsia="en-AU"/>
              </w:rPr>
              <w:br/>
              <w:t xml:space="preserve">Department </w:t>
            </w:r>
          </w:p>
        </w:tc>
        <w:tc>
          <w:tcPr>
            <w:tcW w:w="1170" w:type="dxa"/>
            <w:gridSpan w:val="2"/>
            <w:tcBorders>
              <w:top w:val="single" w:sz="4" w:space="0" w:color="auto"/>
              <w:left w:val="nil"/>
              <w:right w:val="nil"/>
            </w:tcBorders>
            <w:shd w:val="clear" w:color="auto" w:fill="000000"/>
            <w:vAlign w:val="bottom"/>
            <w:hideMark/>
          </w:tcPr>
          <w:p w:rsidR="000B4A1E" w:rsidRPr="003E2DBE" w:rsidRDefault="000B4A1E" w:rsidP="00517E51">
            <w:pPr>
              <w:pStyle w:val="Tabletextheading"/>
              <w:rPr>
                <w:sz w:val="21"/>
                <w:lang w:eastAsia="en-AU"/>
              </w:rPr>
            </w:pPr>
            <w:r w:rsidRPr="003E2DBE">
              <w:rPr>
                <w:sz w:val="21"/>
                <w:lang w:eastAsia="en-AU"/>
              </w:rPr>
              <w:br/>
              <w:t>Provision of outputs</w:t>
            </w:r>
          </w:p>
        </w:tc>
        <w:tc>
          <w:tcPr>
            <w:tcW w:w="1170" w:type="dxa"/>
            <w:tcBorders>
              <w:top w:val="single" w:sz="4" w:space="0" w:color="auto"/>
              <w:left w:val="nil"/>
              <w:right w:val="nil"/>
            </w:tcBorders>
            <w:shd w:val="clear" w:color="auto" w:fill="000000"/>
            <w:vAlign w:val="bottom"/>
            <w:hideMark/>
          </w:tcPr>
          <w:p w:rsidR="000B4A1E" w:rsidRPr="003E2DBE" w:rsidRDefault="000B4A1E" w:rsidP="00517E51">
            <w:pPr>
              <w:pStyle w:val="Tabletextheading"/>
              <w:rPr>
                <w:sz w:val="21"/>
                <w:lang w:eastAsia="en-AU"/>
              </w:rPr>
            </w:pPr>
            <w:r w:rsidRPr="003E2DBE">
              <w:rPr>
                <w:sz w:val="21"/>
                <w:lang w:eastAsia="en-AU"/>
              </w:rPr>
              <w:br/>
              <w:t>Additions to net assets</w:t>
            </w:r>
          </w:p>
        </w:tc>
        <w:tc>
          <w:tcPr>
            <w:tcW w:w="1440" w:type="dxa"/>
            <w:tcBorders>
              <w:top w:val="single" w:sz="4" w:space="0" w:color="auto"/>
              <w:left w:val="nil"/>
              <w:right w:val="nil"/>
            </w:tcBorders>
            <w:shd w:val="clear" w:color="auto" w:fill="000000"/>
            <w:vAlign w:val="bottom"/>
            <w:hideMark/>
          </w:tcPr>
          <w:p w:rsidR="000B4A1E" w:rsidRPr="003E2DBE" w:rsidRDefault="000B4A1E" w:rsidP="00517E51">
            <w:pPr>
              <w:pStyle w:val="Tabletextheading"/>
              <w:rPr>
                <w:sz w:val="21"/>
                <w:lang w:eastAsia="en-AU"/>
              </w:rPr>
            </w:pPr>
            <w:r>
              <w:rPr>
                <w:sz w:val="21"/>
                <w:lang w:eastAsia="en-AU"/>
              </w:rPr>
              <w:t>Payments made on behalf </w:t>
            </w:r>
            <w:r w:rsidRPr="003E2DBE">
              <w:rPr>
                <w:sz w:val="21"/>
                <w:lang w:eastAsia="en-AU"/>
              </w:rPr>
              <w:t>of State</w:t>
            </w:r>
          </w:p>
        </w:tc>
        <w:tc>
          <w:tcPr>
            <w:tcW w:w="810" w:type="dxa"/>
            <w:tcBorders>
              <w:top w:val="single" w:sz="4" w:space="0" w:color="auto"/>
              <w:left w:val="nil"/>
              <w:right w:val="nil"/>
            </w:tcBorders>
            <w:shd w:val="clear" w:color="auto" w:fill="000000"/>
            <w:vAlign w:val="bottom"/>
            <w:hideMark/>
          </w:tcPr>
          <w:p w:rsidR="000B4A1E" w:rsidRPr="003E2DBE" w:rsidRDefault="000B4A1E" w:rsidP="00517E51">
            <w:pPr>
              <w:pStyle w:val="Tabletextheading"/>
              <w:rPr>
                <w:sz w:val="21"/>
                <w:lang w:eastAsia="en-AU"/>
              </w:rPr>
            </w:pPr>
            <w:r w:rsidRPr="003E2DBE">
              <w:rPr>
                <w:sz w:val="21"/>
                <w:lang w:eastAsia="en-AU"/>
              </w:rPr>
              <w:br/>
            </w:r>
            <w:r w:rsidRPr="003E2DBE">
              <w:rPr>
                <w:sz w:val="21"/>
                <w:lang w:eastAsia="en-AU"/>
              </w:rPr>
              <w:br/>
              <w:t xml:space="preserve">Other </w:t>
            </w:r>
          </w:p>
        </w:tc>
        <w:tc>
          <w:tcPr>
            <w:tcW w:w="994" w:type="dxa"/>
            <w:tcBorders>
              <w:top w:val="single" w:sz="4" w:space="0" w:color="auto"/>
              <w:left w:val="nil"/>
              <w:right w:val="single" w:sz="4" w:space="0" w:color="auto"/>
            </w:tcBorders>
            <w:shd w:val="clear" w:color="auto" w:fill="000000"/>
            <w:vAlign w:val="bottom"/>
            <w:hideMark/>
          </w:tcPr>
          <w:p w:rsidR="000B4A1E" w:rsidRPr="003E2DBE" w:rsidRDefault="000B4A1E" w:rsidP="00517E51">
            <w:pPr>
              <w:pStyle w:val="Tabletextheading"/>
              <w:rPr>
                <w:sz w:val="21"/>
                <w:lang w:eastAsia="en-AU"/>
              </w:rPr>
            </w:pPr>
            <w:r w:rsidRPr="003E2DBE">
              <w:rPr>
                <w:sz w:val="21"/>
                <w:lang w:eastAsia="en-AU"/>
              </w:rPr>
              <w:br/>
              <w:t>Total carryover</w:t>
            </w:r>
          </w:p>
        </w:tc>
      </w:tr>
      <w:tr w:rsidR="000B4A1E" w:rsidRPr="003E2DBE" w:rsidTr="00517E51">
        <w:trPr>
          <w:divId w:val="1013727636"/>
        </w:trPr>
        <w:tc>
          <w:tcPr>
            <w:tcW w:w="3974" w:type="dxa"/>
            <w:tcBorders>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 xml:space="preserve">Education and Early </w:t>
            </w:r>
            <w:r w:rsidRPr="003E2DBE">
              <w:rPr>
                <w:sz w:val="21"/>
              </w:rPr>
              <w:t>Childhood</w:t>
            </w:r>
            <w:r w:rsidRPr="003E2DBE">
              <w:rPr>
                <w:sz w:val="21"/>
                <w:lang w:eastAsia="en-AU"/>
              </w:rPr>
              <w:t xml:space="preserve"> Development</w:t>
            </w:r>
          </w:p>
        </w:tc>
        <w:tc>
          <w:tcPr>
            <w:tcW w:w="1260" w:type="dxa"/>
            <w:gridSpan w:val="3"/>
            <w:tcBorders>
              <w:left w:val="nil"/>
              <w:right w:val="nil"/>
            </w:tcBorders>
            <w:shd w:val="clear" w:color="auto" w:fill="auto"/>
            <w:noWrap/>
            <w:hideMark/>
          </w:tcPr>
          <w:p w:rsidR="000B4A1E" w:rsidRPr="003E2DBE" w:rsidRDefault="000B4A1E" w:rsidP="00517E51">
            <w:pPr>
              <w:pStyle w:val="TableofFigures"/>
              <w:rPr>
                <w:sz w:val="21"/>
                <w:lang w:eastAsia="en-AU"/>
              </w:rPr>
            </w:pPr>
            <w:r w:rsidRPr="003E2DBE">
              <w:rPr>
                <w:sz w:val="21"/>
                <w:lang w:eastAsia="en-AU"/>
              </w:rPr>
              <w:t xml:space="preserve"> 119 734</w:t>
            </w:r>
          </w:p>
        </w:tc>
        <w:tc>
          <w:tcPr>
            <w:tcW w:w="1170" w:type="dxa"/>
            <w:tcBorders>
              <w:left w:val="nil"/>
              <w:right w:val="nil"/>
            </w:tcBorders>
            <w:shd w:val="clear" w:color="auto" w:fill="auto"/>
            <w:noWrap/>
            <w:hideMark/>
          </w:tcPr>
          <w:p w:rsidR="000B4A1E" w:rsidRPr="003E2DBE" w:rsidRDefault="000B4A1E" w:rsidP="00517E51">
            <w:pPr>
              <w:pStyle w:val="TableofFigures"/>
              <w:rPr>
                <w:sz w:val="21"/>
                <w:lang w:eastAsia="en-AU"/>
              </w:rPr>
            </w:pPr>
            <w:r w:rsidRPr="003E2DBE">
              <w:rPr>
                <w:sz w:val="21"/>
                <w:lang w:eastAsia="en-AU"/>
              </w:rPr>
              <w:t xml:space="preserve"> 34 032</w:t>
            </w:r>
          </w:p>
        </w:tc>
        <w:tc>
          <w:tcPr>
            <w:tcW w:w="1440" w:type="dxa"/>
            <w:tcBorders>
              <w:left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left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left w:val="nil"/>
            </w:tcBorders>
            <w:shd w:val="clear" w:color="auto" w:fill="auto"/>
            <w:hideMark/>
          </w:tcPr>
          <w:p w:rsidR="000B4A1E" w:rsidRPr="003E2DBE" w:rsidRDefault="000B4A1E" w:rsidP="00517E51">
            <w:pPr>
              <w:pStyle w:val="TableofFigures"/>
              <w:rPr>
                <w:b/>
                <w:bCs/>
                <w:sz w:val="21"/>
                <w:lang w:eastAsia="en-AU"/>
              </w:rPr>
            </w:pPr>
            <w:r w:rsidRPr="003E2DBE">
              <w:rPr>
                <w:b/>
                <w:bCs/>
                <w:sz w:val="21"/>
                <w:lang w:eastAsia="en-AU"/>
              </w:rPr>
              <w:t xml:space="preserve"> 153 766</w:t>
            </w:r>
          </w:p>
        </w:tc>
      </w:tr>
      <w:tr w:rsidR="000B4A1E" w:rsidRPr="003E2DBE" w:rsidTr="00517E51">
        <w:trPr>
          <w:divId w:val="1013727636"/>
        </w:trPr>
        <w:tc>
          <w:tcPr>
            <w:tcW w:w="4064" w:type="dxa"/>
            <w:gridSpan w:val="2"/>
            <w:tcBorders>
              <w:left w:val="nil"/>
              <w:bottom w:val="nil"/>
              <w:right w:val="nil"/>
            </w:tcBorders>
            <w:shd w:val="clear" w:color="auto" w:fill="auto"/>
            <w:noWrap/>
            <w:vAlign w:val="bottom"/>
            <w:hideMark/>
          </w:tcPr>
          <w:p w:rsidR="000B4A1E" w:rsidRPr="003E2DBE" w:rsidRDefault="000B4A1E" w:rsidP="00517E51">
            <w:pPr>
              <w:pStyle w:val="Tabletext"/>
              <w:rPr>
                <w:rFonts w:cs="Calibri"/>
                <w:sz w:val="21"/>
                <w:szCs w:val="22"/>
                <w:lang w:eastAsia="en-AU"/>
              </w:rPr>
            </w:pPr>
            <w:r w:rsidRPr="003E2DBE">
              <w:rPr>
                <w:sz w:val="21"/>
                <w:lang w:eastAsia="en-AU"/>
              </w:rPr>
              <w:t xml:space="preserve">Environment and Primary Industries </w:t>
            </w:r>
            <w:r w:rsidRPr="003E2DBE">
              <w:rPr>
                <w:sz w:val="21"/>
                <w:vertAlign w:val="superscript"/>
                <w:lang w:eastAsia="en-AU"/>
              </w:rPr>
              <w:t>(</w:t>
            </w:r>
            <w:r w:rsidRPr="003E2DBE">
              <w:rPr>
                <w:rFonts w:cs="Calibri"/>
                <w:sz w:val="21"/>
                <w:szCs w:val="22"/>
                <w:vertAlign w:val="superscript"/>
                <w:lang w:eastAsia="en-AU"/>
              </w:rPr>
              <w:t>a)(b)</w:t>
            </w:r>
          </w:p>
        </w:tc>
        <w:tc>
          <w:tcPr>
            <w:tcW w:w="1170" w:type="dxa"/>
            <w:gridSpan w:val="2"/>
            <w:tcBorders>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51</w:t>
            </w:r>
            <w:r w:rsidRPr="003E2DBE">
              <w:rPr>
                <w:rFonts w:cs="Calibri"/>
                <w:sz w:val="21"/>
                <w:szCs w:val="22"/>
                <w:lang w:eastAsia="en-AU"/>
              </w:rPr>
              <w:t xml:space="preserve"> 612</w:t>
            </w:r>
          </w:p>
        </w:tc>
        <w:tc>
          <w:tcPr>
            <w:tcW w:w="1170" w:type="dxa"/>
            <w:tcBorders>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106</w:t>
            </w:r>
            <w:r w:rsidRPr="003E2DBE">
              <w:rPr>
                <w:rFonts w:cs="Calibri"/>
                <w:sz w:val="21"/>
                <w:szCs w:val="22"/>
                <w:lang w:eastAsia="en-AU"/>
              </w:rPr>
              <w:t xml:space="preserve"> 120</w:t>
            </w:r>
          </w:p>
        </w:tc>
        <w:tc>
          <w:tcPr>
            <w:tcW w:w="1440" w:type="dxa"/>
            <w:tcBorders>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r w:rsidRPr="003E2DBE">
              <w:rPr>
                <w:rFonts w:cs="Calibri"/>
                <w:sz w:val="21"/>
                <w:szCs w:val="22"/>
                <w:lang w:eastAsia="en-AU"/>
              </w:rPr>
              <w:t>.</w:t>
            </w:r>
          </w:p>
        </w:tc>
        <w:tc>
          <w:tcPr>
            <w:tcW w:w="994" w:type="dxa"/>
            <w:tcBorders>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157</w:t>
            </w:r>
            <w:r w:rsidRPr="003E2DBE">
              <w:rPr>
                <w:rFonts w:cs="Calibri"/>
                <w:b/>
                <w:bCs/>
                <w:sz w:val="21"/>
                <w:szCs w:val="22"/>
                <w:lang w:eastAsia="en-AU"/>
              </w:rPr>
              <w:t xml:space="preserve"> 732</w:t>
            </w:r>
          </w:p>
        </w:tc>
      </w:tr>
      <w:tr w:rsidR="000B4A1E" w:rsidRPr="003E2DBE" w:rsidTr="00517E51">
        <w:trPr>
          <w:divId w:val="1013727636"/>
        </w:trPr>
        <w:tc>
          <w:tcPr>
            <w:tcW w:w="4064" w:type="dxa"/>
            <w:gridSpan w:val="2"/>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Health</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sz w:val="21"/>
                <w:lang w:eastAsia="en-AU"/>
              </w:rPr>
            </w:pPr>
            <w:r w:rsidRPr="003E2DBE">
              <w:rPr>
                <w:sz w:val="21"/>
                <w:lang w:eastAsia="en-AU"/>
              </w:rPr>
              <w:t xml:space="preserve"> 130 </w:t>
            </w:r>
            <w:r w:rsidRPr="003E2DBE">
              <w:rPr>
                <w:sz w:val="21"/>
              </w:rPr>
              <w:t>750</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130</w:t>
            </w:r>
            <w:r w:rsidRPr="003E2DBE">
              <w:rPr>
                <w:rFonts w:cs="Calibri"/>
                <w:b/>
                <w:bCs/>
                <w:sz w:val="21"/>
                <w:szCs w:val="22"/>
                <w:lang w:eastAsia="en-AU"/>
              </w:rPr>
              <w:t xml:space="preserve"> 750</w:t>
            </w:r>
          </w:p>
        </w:tc>
      </w:tr>
      <w:tr w:rsidR="000B4A1E" w:rsidRPr="003E2DBE" w:rsidTr="00517E51">
        <w:trPr>
          <w:divId w:val="1013727636"/>
        </w:trPr>
        <w:tc>
          <w:tcPr>
            <w:tcW w:w="4064" w:type="dxa"/>
            <w:gridSpan w:val="2"/>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Human Services</w:t>
            </w:r>
          </w:p>
        </w:tc>
        <w:tc>
          <w:tcPr>
            <w:tcW w:w="117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20</w:t>
            </w:r>
            <w:r w:rsidRPr="003E2DBE">
              <w:rPr>
                <w:rFonts w:cs="Calibri"/>
                <w:sz w:val="21"/>
                <w:szCs w:val="22"/>
                <w:lang w:eastAsia="en-AU"/>
              </w:rPr>
              <w:t xml:space="preserve"> 957</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11</w:t>
            </w:r>
            <w:r w:rsidRPr="003E2DBE">
              <w:rPr>
                <w:rFonts w:cs="Calibri"/>
                <w:sz w:val="21"/>
                <w:szCs w:val="22"/>
                <w:lang w:eastAsia="en-AU"/>
              </w:rPr>
              <w:t xml:space="preserve"> 260</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32</w:t>
            </w:r>
            <w:r w:rsidRPr="003E2DBE">
              <w:rPr>
                <w:rFonts w:cs="Calibri"/>
                <w:b/>
                <w:bCs/>
                <w:sz w:val="21"/>
                <w:szCs w:val="22"/>
                <w:lang w:eastAsia="en-AU"/>
              </w:rPr>
              <w:t xml:space="preserve"> 217</w:t>
            </w:r>
          </w:p>
        </w:tc>
      </w:tr>
      <w:tr w:rsidR="000B4A1E" w:rsidRPr="003E2DBE" w:rsidTr="00517E51">
        <w:trPr>
          <w:divId w:val="1013727636"/>
        </w:trPr>
        <w:tc>
          <w:tcPr>
            <w:tcW w:w="4064" w:type="dxa"/>
            <w:gridSpan w:val="2"/>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Justice</w:t>
            </w:r>
          </w:p>
        </w:tc>
        <w:tc>
          <w:tcPr>
            <w:tcW w:w="117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68</w:t>
            </w:r>
            <w:r w:rsidRPr="003E2DBE">
              <w:rPr>
                <w:rFonts w:cs="Calibri"/>
                <w:sz w:val="21"/>
                <w:szCs w:val="22"/>
                <w:lang w:eastAsia="en-AU"/>
              </w:rPr>
              <w:t xml:space="preserve"> 018</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40</w:t>
            </w:r>
            <w:r w:rsidRPr="003E2DBE">
              <w:rPr>
                <w:rFonts w:cs="Calibri"/>
                <w:sz w:val="21"/>
                <w:szCs w:val="22"/>
                <w:lang w:eastAsia="en-AU"/>
              </w:rPr>
              <w:t xml:space="preserve"> 343</w:t>
            </w:r>
          </w:p>
        </w:tc>
        <w:tc>
          <w:tcPr>
            <w:tcW w:w="144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108</w:t>
            </w:r>
            <w:r w:rsidRPr="003E2DBE">
              <w:rPr>
                <w:rFonts w:cs="Calibri"/>
                <w:b/>
                <w:bCs/>
                <w:sz w:val="21"/>
                <w:szCs w:val="22"/>
                <w:lang w:eastAsia="en-AU"/>
              </w:rPr>
              <w:t xml:space="preserve"> 361</w:t>
            </w:r>
          </w:p>
        </w:tc>
      </w:tr>
      <w:tr w:rsidR="000B4A1E" w:rsidRPr="003E2DBE" w:rsidTr="00517E51">
        <w:trPr>
          <w:divId w:val="1013727636"/>
        </w:trPr>
        <w:tc>
          <w:tcPr>
            <w:tcW w:w="4064" w:type="dxa"/>
            <w:gridSpan w:val="2"/>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Planning and Community Development</w:t>
            </w:r>
          </w:p>
        </w:tc>
        <w:tc>
          <w:tcPr>
            <w:tcW w:w="117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11</w:t>
            </w:r>
            <w:r w:rsidRPr="003E2DBE">
              <w:rPr>
                <w:rFonts w:cs="Calibri"/>
                <w:sz w:val="21"/>
                <w:szCs w:val="22"/>
                <w:lang w:eastAsia="en-AU"/>
              </w:rPr>
              <w:t xml:space="preserve"> 649</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9</w:t>
            </w:r>
            <w:r w:rsidRPr="003E2DBE">
              <w:rPr>
                <w:rFonts w:cs="Calibri"/>
                <w:sz w:val="21"/>
                <w:szCs w:val="22"/>
                <w:lang w:eastAsia="en-AU"/>
              </w:rPr>
              <w:t xml:space="preserve"> 318</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20</w:t>
            </w:r>
            <w:r w:rsidRPr="003E2DBE">
              <w:rPr>
                <w:rFonts w:cs="Calibri"/>
                <w:b/>
                <w:bCs/>
                <w:sz w:val="21"/>
                <w:szCs w:val="22"/>
                <w:lang w:eastAsia="en-AU"/>
              </w:rPr>
              <w:t xml:space="preserve"> 967</w:t>
            </w:r>
          </w:p>
        </w:tc>
      </w:tr>
      <w:tr w:rsidR="000B4A1E" w:rsidRPr="003E2DBE" w:rsidTr="00517E51">
        <w:trPr>
          <w:divId w:val="1013727636"/>
        </w:trPr>
        <w:tc>
          <w:tcPr>
            <w:tcW w:w="4064" w:type="dxa"/>
            <w:gridSpan w:val="2"/>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Premier and Cabinet</w:t>
            </w:r>
          </w:p>
        </w:tc>
        <w:tc>
          <w:tcPr>
            <w:tcW w:w="117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16</w:t>
            </w:r>
            <w:r w:rsidRPr="003E2DBE">
              <w:rPr>
                <w:rFonts w:cs="Calibri"/>
                <w:sz w:val="21"/>
                <w:szCs w:val="22"/>
                <w:lang w:eastAsia="en-AU"/>
              </w:rPr>
              <w:t xml:space="preserve"> 350</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16</w:t>
            </w:r>
            <w:r w:rsidRPr="003E2DBE">
              <w:rPr>
                <w:rFonts w:cs="Calibri"/>
                <w:b/>
                <w:bCs/>
                <w:sz w:val="21"/>
                <w:szCs w:val="22"/>
                <w:lang w:eastAsia="en-AU"/>
              </w:rPr>
              <w:t xml:space="preserve"> 350</w:t>
            </w:r>
          </w:p>
        </w:tc>
      </w:tr>
      <w:tr w:rsidR="000B4A1E" w:rsidRPr="003E2DBE" w:rsidTr="00517E51">
        <w:trPr>
          <w:divId w:val="1013727636"/>
        </w:trPr>
        <w:tc>
          <w:tcPr>
            <w:tcW w:w="4064" w:type="dxa"/>
            <w:gridSpan w:val="2"/>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Primary Industries</w:t>
            </w:r>
          </w:p>
        </w:tc>
        <w:tc>
          <w:tcPr>
            <w:tcW w:w="117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57</w:t>
            </w:r>
            <w:r w:rsidRPr="003E2DBE">
              <w:rPr>
                <w:rFonts w:cs="Calibri"/>
                <w:sz w:val="21"/>
                <w:szCs w:val="22"/>
                <w:lang w:eastAsia="en-AU"/>
              </w:rPr>
              <w:t xml:space="preserve"> 649</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24</w:t>
            </w:r>
            <w:r w:rsidRPr="003E2DBE">
              <w:rPr>
                <w:rFonts w:cs="Calibri"/>
                <w:sz w:val="21"/>
                <w:szCs w:val="22"/>
                <w:lang w:eastAsia="en-AU"/>
              </w:rPr>
              <w:t xml:space="preserve"> 700</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82</w:t>
            </w:r>
            <w:r w:rsidRPr="003E2DBE">
              <w:rPr>
                <w:rFonts w:cs="Calibri"/>
                <w:b/>
                <w:bCs/>
                <w:sz w:val="21"/>
                <w:szCs w:val="22"/>
                <w:lang w:eastAsia="en-AU"/>
              </w:rPr>
              <w:t xml:space="preserve"> 349</w:t>
            </w:r>
          </w:p>
        </w:tc>
      </w:tr>
      <w:tr w:rsidR="000B4A1E" w:rsidRPr="003E2DBE" w:rsidTr="00517E51">
        <w:trPr>
          <w:divId w:val="1013727636"/>
        </w:trPr>
        <w:tc>
          <w:tcPr>
            <w:tcW w:w="4154" w:type="dxa"/>
            <w:gridSpan w:val="3"/>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 w:val="21"/>
                <w:szCs w:val="22"/>
                <w:lang w:eastAsia="en-AU"/>
              </w:rPr>
            </w:pPr>
            <w:r w:rsidRPr="003E2DBE">
              <w:rPr>
                <w:sz w:val="21"/>
                <w:lang w:eastAsia="en-AU"/>
              </w:rPr>
              <w:t>State Development, Business</w:t>
            </w:r>
            <w:r w:rsidRPr="003E2DBE">
              <w:rPr>
                <w:rFonts w:cs="Calibri"/>
                <w:sz w:val="21"/>
                <w:szCs w:val="22"/>
                <w:lang w:eastAsia="en-AU"/>
              </w:rPr>
              <w:t xml:space="preserve"> and Innovation </w:t>
            </w:r>
            <w:r w:rsidRPr="003E2DBE">
              <w:rPr>
                <w:rFonts w:cs="Calibri"/>
                <w:sz w:val="21"/>
                <w:szCs w:val="22"/>
                <w:vertAlign w:val="superscript"/>
                <w:lang w:eastAsia="en-AU"/>
              </w:rPr>
              <w:t>(a)</w:t>
            </w:r>
          </w:p>
        </w:tc>
        <w:tc>
          <w:tcPr>
            <w:tcW w:w="108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42</w:t>
            </w:r>
            <w:r w:rsidRPr="003E2DBE">
              <w:rPr>
                <w:rFonts w:cs="Calibri"/>
                <w:sz w:val="21"/>
                <w:szCs w:val="22"/>
                <w:lang w:eastAsia="en-AU"/>
              </w:rPr>
              <w:t xml:space="preserve"> 126</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w:t>
            </w:r>
            <w:r w:rsidRPr="003E2DBE">
              <w:rPr>
                <w:rFonts w:cs="Calibri"/>
                <w:sz w:val="21"/>
                <w:szCs w:val="22"/>
                <w:lang w:eastAsia="en-AU"/>
              </w:rPr>
              <w:t xml:space="preserve"> 354</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45</w:t>
            </w:r>
            <w:r w:rsidRPr="003E2DBE">
              <w:rPr>
                <w:rFonts w:cs="Calibri"/>
                <w:b/>
                <w:bCs/>
                <w:sz w:val="21"/>
                <w:szCs w:val="22"/>
                <w:lang w:eastAsia="en-AU"/>
              </w:rPr>
              <w:t xml:space="preserve"> 480</w:t>
            </w:r>
          </w:p>
        </w:tc>
      </w:tr>
      <w:tr w:rsidR="000B4A1E" w:rsidRPr="003E2DBE" w:rsidTr="00517E51">
        <w:trPr>
          <w:divId w:val="1013727636"/>
        </w:trPr>
        <w:tc>
          <w:tcPr>
            <w:tcW w:w="4064" w:type="dxa"/>
            <w:gridSpan w:val="2"/>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 w:val="21"/>
                <w:szCs w:val="22"/>
                <w:lang w:eastAsia="en-AU"/>
              </w:rPr>
            </w:pPr>
            <w:r w:rsidRPr="003E2DBE">
              <w:rPr>
                <w:sz w:val="21"/>
                <w:lang w:eastAsia="en-AU"/>
              </w:rPr>
              <w:t>Transport,</w:t>
            </w:r>
            <w:r w:rsidRPr="003E2DBE">
              <w:rPr>
                <w:rFonts w:cs="Calibri"/>
                <w:sz w:val="21"/>
                <w:szCs w:val="22"/>
                <w:lang w:eastAsia="en-AU"/>
              </w:rPr>
              <w:t xml:space="preserve"> Planning and Local Infrastructure </w:t>
            </w:r>
            <w:r w:rsidRPr="003E2DBE">
              <w:rPr>
                <w:rFonts w:cs="Calibri"/>
                <w:sz w:val="21"/>
                <w:szCs w:val="22"/>
                <w:vertAlign w:val="superscript"/>
                <w:lang w:eastAsia="en-AU"/>
              </w:rPr>
              <w:t>(a)</w:t>
            </w:r>
          </w:p>
        </w:tc>
        <w:tc>
          <w:tcPr>
            <w:tcW w:w="117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181</w:t>
            </w:r>
            <w:r w:rsidRPr="003E2DBE">
              <w:rPr>
                <w:rFonts w:cs="Calibri"/>
                <w:sz w:val="21"/>
                <w:szCs w:val="22"/>
                <w:lang w:eastAsia="en-AU"/>
              </w:rPr>
              <w:t xml:space="preserve"> 129</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410</w:t>
            </w:r>
            <w:r w:rsidRPr="003E2DBE">
              <w:rPr>
                <w:rFonts w:cs="Calibri"/>
                <w:sz w:val="21"/>
                <w:szCs w:val="22"/>
                <w:lang w:eastAsia="en-AU"/>
              </w:rPr>
              <w:t xml:space="preserve"> 343</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591</w:t>
            </w:r>
            <w:r w:rsidRPr="003E2DBE">
              <w:rPr>
                <w:rFonts w:cs="Calibri"/>
                <w:b/>
                <w:bCs/>
                <w:sz w:val="21"/>
                <w:szCs w:val="22"/>
                <w:lang w:eastAsia="en-AU"/>
              </w:rPr>
              <w:t xml:space="preserve"> 472</w:t>
            </w:r>
          </w:p>
        </w:tc>
      </w:tr>
      <w:tr w:rsidR="000B4A1E" w:rsidRPr="003E2DBE" w:rsidTr="00517E51">
        <w:trPr>
          <w:divId w:val="1013727636"/>
        </w:trPr>
        <w:tc>
          <w:tcPr>
            <w:tcW w:w="4064" w:type="dxa"/>
            <w:gridSpan w:val="2"/>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Treasury and Finance</w:t>
            </w:r>
          </w:p>
        </w:tc>
        <w:tc>
          <w:tcPr>
            <w:tcW w:w="1170" w:type="dxa"/>
            <w:gridSpan w:val="2"/>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w:t>
            </w:r>
            <w:r w:rsidRPr="003E2DBE">
              <w:rPr>
                <w:rFonts w:cs="Calibri"/>
                <w:sz w:val="21"/>
                <w:szCs w:val="22"/>
                <w:lang w:eastAsia="en-AU"/>
              </w:rPr>
              <w:t xml:space="preserve"> 235</w:t>
            </w:r>
          </w:p>
        </w:tc>
        <w:tc>
          <w:tcPr>
            <w:tcW w:w="117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6</w:t>
            </w:r>
            <w:r w:rsidRPr="003E2DBE">
              <w:rPr>
                <w:rFonts w:cs="Calibri"/>
                <w:sz w:val="21"/>
                <w:szCs w:val="22"/>
                <w:lang w:eastAsia="en-AU"/>
              </w:rPr>
              <w:t xml:space="preserve"> 764</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7</w:t>
            </w:r>
            <w:r w:rsidRPr="003E2DBE">
              <w:rPr>
                <w:rFonts w:cs="Calibri"/>
                <w:b/>
                <w:bCs/>
                <w:sz w:val="21"/>
                <w:szCs w:val="22"/>
                <w:lang w:eastAsia="en-AU"/>
              </w:rPr>
              <w:t xml:space="preserve"> 999</w:t>
            </w:r>
          </w:p>
        </w:tc>
      </w:tr>
      <w:tr w:rsidR="000B4A1E" w:rsidRPr="003E2DBE" w:rsidTr="00517E51">
        <w:trPr>
          <w:divId w:val="1013727636"/>
        </w:trPr>
        <w:tc>
          <w:tcPr>
            <w:tcW w:w="4064" w:type="dxa"/>
            <w:gridSpan w:val="2"/>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Parliament</w:t>
            </w:r>
          </w:p>
        </w:tc>
        <w:tc>
          <w:tcPr>
            <w:tcW w:w="1170" w:type="dxa"/>
            <w:gridSpan w:val="2"/>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4</w:t>
            </w:r>
            <w:r w:rsidRPr="003E2DBE">
              <w:rPr>
                <w:rFonts w:cs="Calibri"/>
                <w:sz w:val="21"/>
                <w:szCs w:val="22"/>
                <w:lang w:eastAsia="en-AU"/>
              </w:rPr>
              <w:t xml:space="preserve"> 961</w:t>
            </w:r>
          </w:p>
        </w:tc>
        <w:tc>
          <w:tcPr>
            <w:tcW w:w="117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44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994" w:type="dxa"/>
            <w:tcBorders>
              <w:top w:val="nil"/>
              <w:left w:val="nil"/>
              <w:bottom w:val="single" w:sz="4" w:space="0" w:color="auto"/>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4</w:t>
            </w:r>
            <w:r w:rsidRPr="003E2DBE">
              <w:rPr>
                <w:rFonts w:cs="Calibri"/>
                <w:b/>
                <w:bCs/>
                <w:sz w:val="21"/>
                <w:szCs w:val="22"/>
                <w:lang w:eastAsia="en-AU"/>
              </w:rPr>
              <w:t xml:space="preserve"> 961</w:t>
            </w:r>
          </w:p>
        </w:tc>
      </w:tr>
      <w:tr w:rsidR="000B4A1E" w:rsidRPr="003E2DBE" w:rsidTr="00517E51">
        <w:trPr>
          <w:divId w:val="1013727636"/>
        </w:trPr>
        <w:tc>
          <w:tcPr>
            <w:tcW w:w="4064" w:type="dxa"/>
            <w:gridSpan w:val="2"/>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sz w:val="21"/>
                <w:lang w:eastAsia="en-AU"/>
              </w:rPr>
            </w:pPr>
            <w:r w:rsidRPr="003E2DBE">
              <w:rPr>
                <w:b/>
                <w:bCs/>
                <w:sz w:val="21"/>
                <w:lang w:eastAsia="en-AU"/>
              </w:rPr>
              <w:t>Total expenditure by department</w:t>
            </w:r>
          </w:p>
        </w:tc>
        <w:tc>
          <w:tcPr>
            <w:tcW w:w="1170"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706</w:t>
            </w:r>
            <w:r w:rsidRPr="003E2DBE">
              <w:rPr>
                <w:rFonts w:cs="Calibri"/>
                <w:b/>
                <w:bCs/>
                <w:sz w:val="21"/>
                <w:szCs w:val="22"/>
                <w:lang w:eastAsia="en-AU"/>
              </w:rPr>
              <w:t xml:space="preserve"> 170</w:t>
            </w:r>
          </w:p>
        </w:tc>
        <w:tc>
          <w:tcPr>
            <w:tcW w:w="117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639</w:t>
            </w:r>
            <w:r w:rsidRPr="003E2DBE">
              <w:rPr>
                <w:rFonts w:cs="Calibri"/>
                <w:b/>
                <w:bCs/>
                <w:sz w:val="21"/>
                <w:szCs w:val="22"/>
                <w:lang w:eastAsia="en-AU"/>
              </w:rPr>
              <w:t xml:space="preserve"> 470</w:t>
            </w:r>
          </w:p>
        </w:tc>
        <w:tc>
          <w:tcPr>
            <w:tcW w:w="144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6</w:t>
            </w:r>
            <w:r w:rsidRPr="003E2DBE">
              <w:rPr>
                <w:rFonts w:cs="Calibri"/>
                <w:b/>
                <w:bCs/>
                <w:sz w:val="21"/>
                <w:szCs w:val="22"/>
                <w:lang w:eastAsia="en-AU"/>
              </w:rPr>
              <w:t xml:space="preserve"> 764</w:t>
            </w:r>
          </w:p>
        </w:tc>
        <w:tc>
          <w:tcPr>
            <w:tcW w:w="81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w:t>
            </w:r>
          </w:p>
        </w:tc>
        <w:tc>
          <w:tcPr>
            <w:tcW w:w="994"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1 </w:t>
            </w:r>
            <w:r w:rsidRPr="003E2DBE">
              <w:rPr>
                <w:rFonts w:cs="Calibri"/>
                <w:b/>
                <w:bCs/>
                <w:sz w:val="21"/>
                <w:szCs w:val="22"/>
                <w:lang w:eastAsia="en-AU"/>
              </w:rPr>
              <w:t>352 403</w:t>
            </w:r>
          </w:p>
        </w:tc>
      </w:tr>
    </w:tbl>
    <w:bookmarkEnd w:id="198"/>
    <w:p w:rsidR="000B4A1E" w:rsidRPr="00D00665" w:rsidRDefault="000B4A1E" w:rsidP="00517E51">
      <w:pPr>
        <w:pStyle w:val="Notes"/>
      </w:pPr>
      <w:r w:rsidRPr="00D00665">
        <w:t>Notes:</w:t>
      </w:r>
    </w:p>
    <w:p w:rsidR="000B4A1E" w:rsidRPr="00D00665" w:rsidRDefault="000B4A1E" w:rsidP="00517E51">
      <w:pPr>
        <w:pStyle w:val="Notes"/>
      </w:pPr>
      <w:r w:rsidRPr="00D00665">
        <w:t xml:space="preserve">(a) </w:t>
      </w:r>
      <w:r w:rsidRPr="00D00665">
        <w:tab/>
        <w:t>Effective 9 April 2013 several departments were renamed due to machinery of government changes:</w:t>
      </w:r>
    </w:p>
    <w:p w:rsidR="000B4A1E" w:rsidRPr="00D00665" w:rsidRDefault="000B4A1E" w:rsidP="00517E51">
      <w:pPr>
        <w:pStyle w:val="NotesDash"/>
        <w:tabs>
          <w:tab w:val="clear" w:pos="922"/>
          <w:tab w:val="num" w:pos="810"/>
        </w:tabs>
        <w:ind w:left="810" w:hanging="356"/>
      </w:pPr>
      <w:r w:rsidRPr="00D00665">
        <w:t xml:space="preserve">the Department of </w:t>
      </w:r>
      <w:r w:rsidR="00405D0E">
        <w:t xml:space="preserve">Sustainability and Environment became the </w:t>
      </w:r>
      <w:r w:rsidRPr="00D00665">
        <w:t>Department of Environment and Primary Industries;</w:t>
      </w:r>
    </w:p>
    <w:p w:rsidR="000B4A1E" w:rsidRPr="00D00665" w:rsidRDefault="000B4A1E" w:rsidP="00517E51">
      <w:pPr>
        <w:pStyle w:val="NotesDash"/>
        <w:tabs>
          <w:tab w:val="clear" w:pos="922"/>
          <w:tab w:val="num" w:pos="810"/>
        </w:tabs>
        <w:ind w:left="810" w:hanging="356"/>
      </w:pPr>
      <w:r w:rsidRPr="00D00665">
        <w:t>the Department of Business and Innovation became the Department of State Development, Business and Innovation; and</w:t>
      </w:r>
    </w:p>
    <w:p w:rsidR="000B4A1E" w:rsidRPr="00D00665" w:rsidRDefault="000B4A1E" w:rsidP="00517E51">
      <w:pPr>
        <w:pStyle w:val="NotesDash"/>
        <w:tabs>
          <w:tab w:val="clear" w:pos="922"/>
          <w:tab w:val="num" w:pos="810"/>
        </w:tabs>
        <w:ind w:left="810" w:hanging="356"/>
      </w:pPr>
      <w:r w:rsidRPr="00D00665">
        <w:t>the Department of Transport became the Department of Transport, Planning and Local Infrastructure.</w:t>
      </w:r>
    </w:p>
    <w:p w:rsidR="000B4A1E" w:rsidRPr="00D00665" w:rsidRDefault="000B4A1E" w:rsidP="00517E51">
      <w:pPr>
        <w:pStyle w:val="Notes"/>
      </w:pPr>
      <w:r w:rsidRPr="00D00665">
        <w:t xml:space="preserve">(b) </w:t>
      </w:r>
      <w:r w:rsidRPr="00D00665">
        <w:tab/>
        <w:t xml:space="preserve">A section 30 of the </w:t>
      </w:r>
      <w:r w:rsidRPr="00D00665">
        <w:rPr>
          <w:i w:val="0"/>
        </w:rPr>
        <w:t>Financial Management Act 1994</w:t>
      </w:r>
      <w:r w:rsidRPr="00D00665">
        <w:t xml:space="preserve"> has been approved subsequent to the approval of carryover from 2011</w:t>
      </w:r>
      <w:r w:rsidRPr="00D00665">
        <w:noBreakHyphen/>
        <w:t>12 which aligns with the amounts applied in 2012</w:t>
      </w:r>
      <w:r w:rsidRPr="00D00665">
        <w:noBreakHyphen/>
        <w:t>13.</w:t>
      </w:r>
    </w:p>
    <w:p w:rsidR="000B4A1E" w:rsidRPr="00D00665" w:rsidRDefault="000B4A1E" w:rsidP="00517E51">
      <w:pPr>
        <w:pStyle w:val="Heading2NotesContd"/>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r w:rsidRPr="00D00665">
        <w:t>Amounts approved for carryover to 2013</w:t>
      </w:r>
      <w:r w:rsidRPr="00D00665">
        <w:noBreakHyphen/>
        <w:t xml:space="preserve">14 pursuant to Section 32 of the </w:t>
      </w:r>
      <w:r w:rsidRPr="00D00665">
        <w:rPr>
          <w:i/>
        </w:rPr>
        <w:t>Financial Management Act 1994.</w:t>
      </w:r>
    </w:p>
    <w:p w:rsidR="000B4A1E" w:rsidRPr="003E2DBE" w:rsidRDefault="000B4A1E" w:rsidP="00517E51">
      <w:pPr>
        <w:pStyle w:val="million"/>
      </w:pPr>
      <w:r w:rsidRPr="00D00665">
        <w:t>($ thousand)</w:t>
      </w:r>
      <w:bookmarkStart w:id="199" w:name="RANGE!A51:F64"/>
      <w:bookmarkStart w:id="200" w:name="RANGE!A48:F61"/>
    </w:p>
    <w:tbl>
      <w:tblPr>
        <w:tblW w:w="9648" w:type="dxa"/>
        <w:tblInd w:w="29" w:type="dxa"/>
        <w:tblCellMar>
          <w:left w:w="43" w:type="dxa"/>
          <w:right w:w="43" w:type="dxa"/>
        </w:tblCellMar>
        <w:tblLook w:val="04A0" w:firstRow="1" w:lastRow="0" w:firstColumn="1" w:lastColumn="0" w:noHBand="0" w:noVBand="1"/>
      </w:tblPr>
      <w:tblGrid>
        <w:gridCol w:w="4064"/>
        <w:gridCol w:w="90"/>
        <w:gridCol w:w="1080"/>
        <w:gridCol w:w="1170"/>
        <w:gridCol w:w="1440"/>
        <w:gridCol w:w="810"/>
        <w:gridCol w:w="994"/>
      </w:tblGrid>
      <w:tr w:rsidR="000B4A1E" w:rsidRPr="003E2DBE" w:rsidTr="00517E51">
        <w:trPr>
          <w:divId w:val="1893080156"/>
        </w:trPr>
        <w:tc>
          <w:tcPr>
            <w:tcW w:w="4064" w:type="dxa"/>
            <w:tcBorders>
              <w:top w:val="single" w:sz="4" w:space="0" w:color="auto"/>
              <w:left w:val="single" w:sz="4" w:space="0" w:color="auto"/>
              <w:bottom w:val="single" w:sz="4" w:space="0" w:color="auto"/>
              <w:right w:val="nil"/>
            </w:tcBorders>
            <w:shd w:val="clear" w:color="auto" w:fill="000000"/>
            <w:vAlign w:val="bottom"/>
            <w:hideMark/>
          </w:tcPr>
          <w:p w:rsidR="000B4A1E" w:rsidRPr="003E2DBE" w:rsidRDefault="000B4A1E" w:rsidP="00517E51">
            <w:pPr>
              <w:pStyle w:val="TabletextheadingLeft"/>
              <w:rPr>
                <w:sz w:val="21"/>
                <w:lang w:eastAsia="en-AU"/>
              </w:rPr>
            </w:pPr>
            <w:r w:rsidRPr="003E2DBE">
              <w:rPr>
                <w:sz w:val="21"/>
                <w:lang w:eastAsia="en-AU"/>
              </w:rPr>
              <w:br/>
            </w:r>
            <w:r w:rsidRPr="003E2DBE">
              <w:rPr>
                <w:sz w:val="21"/>
                <w:lang w:eastAsia="en-AU"/>
              </w:rPr>
              <w:br/>
              <w:t xml:space="preserve">Department </w:t>
            </w:r>
          </w:p>
        </w:tc>
        <w:tc>
          <w:tcPr>
            <w:tcW w:w="1170" w:type="dxa"/>
            <w:gridSpan w:val="2"/>
            <w:tcBorders>
              <w:top w:val="single" w:sz="4" w:space="0" w:color="auto"/>
              <w:left w:val="nil"/>
              <w:bottom w:val="single" w:sz="4" w:space="0" w:color="auto"/>
              <w:right w:val="nil"/>
            </w:tcBorders>
            <w:shd w:val="clear" w:color="auto" w:fill="000000"/>
            <w:vAlign w:val="bottom"/>
            <w:hideMark/>
          </w:tcPr>
          <w:p w:rsidR="000B4A1E" w:rsidRPr="003E2DBE" w:rsidRDefault="000B4A1E" w:rsidP="00517E51">
            <w:pPr>
              <w:pStyle w:val="Tabletextheading"/>
              <w:rPr>
                <w:sz w:val="21"/>
                <w:lang w:eastAsia="en-AU"/>
              </w:rPr>
            </w:pPr>
            <w:r w:rsidRPr="003E2DBE">
              <w:rPr>
                <w:sz w:val="21"/>
                <w:lang w:eastAsia="en-AU"/>
              </w:rPr>
              <w:br/>
              <w:t>Provision of outputs</w:t>
            </w:r>
          </w:p>
        </w:tc>
        <w:tc>
          <w:tcPr>
            <w:tcW w:w="1170" w:type="dxa"/>
            <w:tcBorders>
              <w:top w:val="single" w:sz="4" w:space="0" w:color="auto"/>
              <w:left w:val="nil"/>
              <w:bottom w:val="single" w:sz="4" w:space="0" w:color="auto"/>
              <w:right w:val="nil"/>
            </w:tcBorders>
            <w:shd w:val="clear" w:color="auto" w:fill="000000"/>
            <w:vAlign w:val="bottom"/>
            <w:hideMark/>
          </w:tcPr>
          <w:p w:rsidR="000B4A1E" w:rsidRPr="003E2DBE" w:rsidRDefault="000B4A1E" w:rsidP="00517E51">
            <w:pPr>
              <w:pStyle w:val="Tabletextheading"/>
              <w:rPr>
                <w:sz w:val="21"/>
                <w:lang w:eastAsia="en-AU"/>
              </w:rPr>
            </w:pPr>
            <w:r w:rsidRPr="003E2DBE">
              <w:rPr>
                <w:sz w:val="21"/>
                <w:lang w:eastAsia="en-AU"/>
              </w:rPr>
              <w:br/>
              <w:t>Additions to net assets</w:t>
            </w:r>
          </w:p>
        </w:tc>
        <w:tc>
          <w:tcPr>
            <w:tcW w:w="1440" w:type="dxa"/>
            <w:tcBorders>
              <w:top w:val="single" w:sz="4" w:space="0" w:color="auto"/>
              <w:left w:val="nil"/>
              <w:bottom w:val="single" w:sz="4" w:space="0" w:color="auto"/>
              <w:right w:val="nil"/>
            </w:tcBorders>
            <w:shd w:val="clear" w:color="auto" w:fill="000000"/>
            <w:vAlign w:val="bottom"/>
            <w:hideMark/>
          </w:tcPr>
          <w:p w:rsidR="000B4A1E" w:rsidRPr="003E2DBE" w:rsidRDefault="000B4A1E" w:rsidP="00517E51">
            <w:pPr>
              <w:pStyle w:val="Tabletextheading"/>
              <w:rPr>
                <w:sz w:val="21"/>
                <w:lang w:eastAsia="en-AU"/>
              </w:rPr>
            </w:pPr>
            <w:r>
              <w:rPr>
                <w:sz w:val="21"/>
                <w:lang w:eastAsia="en-AU"/>
              </w:rPr>
              <w:t>Payments made on behalf </w:t>
            </w:r>
            <w:r w:rsidRPr="003E2DBE">
              <w:rPr>
                <w:sz w:val="21"/>
                <w:lang w:eastAsia="en-AU"/>
              </w:rPr>
              <w:t>of State</w:t>
            </w:r>
          </w:p>
        </w:tc>
        <w:tc>
          <w:tcPr>
            <w:tcW w:w="810" w:type="dxa"/>
            <w:tcBorders>
              <w:top w:val="single" w:sz="4" w:space="0" w:color="auto"/>
              <w:left w:val="nil"/>
              <w:bottom w:val="single" w:sz="4" w:space="0" w:color="auto"/>
              <w:right w:val="nil"/>
            </w:tcBorders>
            <w:shd w:val="clear" w:color="auto" w:fill="000000"/>
            <w:vAlign w:val="bottom"/>
            <w:hideMark/>
          </w:tcPr>
          <w:p w:rsidR="000B4A1E" w:rsidRPr="003E2DBE" w:rsidRDefault="000B4A1E" w:rsidP="00517E51">
            <w:pPr>
              <w:pStyle w:val="Tabletextheading"/>
              <w:rPr>
                <w:sz w:val="21"/>
                <w:lang w:eastAsia="en-AU"/>
              </w:rPr>
            </w:pPr>
            <w:r w:rsidRPr="003E2DBE">
              <w:rPr>
                <w:sz w:val="21"/>
                <w:lang w:eastAsia="en-AU"/>
              </w:rPr>
              <w:br/>
            </w:r>
            <w:r w:rsidRPr="003E2DBE">
              <w:rPr>
                <w:sz w:val="21"/>
                <w:lang w:eastAsia="en-AU"/>
              </w:rPr>
              <w:br/>
              <w:t xml:space="preserve">Other </w:t>
            </w:r>
          </w:p>
        </w:tc>
        <w:tc>
          <w:tcPr>
            <w:tcW w:w="994" w:type="dxa"/>
            <w:tcBorders>
              <w:top w:val="single" w:sz="4" w:space="0" w:color="auto"/>
              <w:left w:val="nil"/>
              <w:bottom w:val="single" w:sz="4" w:space="0" w:color="auto"/>
              <w:right w:val="single" w:sz="4" w:space="0" w:color="auto"/>
            </w:tcBorders>
            <w:shd w:val="clear" w:color="auto" w:fill="000000"/>
            <w:vAlign w:val="bottom"/>
            <w:hideMark/>
          </w:tcPr>
          <w:p w:rsidR="000B4A1E" w:rsidRPr="003E2DBE" w:rsidRDefault="000B4A1E" w:rsidP="00517E51">
            <w:pPr>
              <w:pStyle w:val="Tabletextheading"/>
              <w:rPr>
                <w:sz w:val="21"/>
                <w:lang w:eastAsia="en-AU"/>
              </w:rPr>
            </w:pPr>
            <w:r w:rsidRPr="003E2DBE">
              <w:rPr>
                <w:sz w:val="21"/>
                <w:lang w:eastAsia="en-AU"/>
              </w:rPr>
              <w:br/>
              <w:t>Total carryover</w:t>
            </w:r>
          </w:p>
        </w:tc>
      </w:tr>
      <w:tr w:rsidR="000B4A1E" w:rsidRPr="003E2DBE" w:rsidTr="00517E51">
        <w:trPr>
          <w:divId w:val="1893080156"/>
        </w:trPr>
        <w:tc>
          <w:tcPr>
            <w:tcW w:w="4064" w:type="dxa"/>
            <w:tcBorders>
              <w:top w:val="single" w:sz="4" w:space="0" w:color="auto"/>
              <w:right w:val="nil"/>
            </w:tcBorders>
            <w:shd w:val="clear" w:color="auto" w:fill="FFFFFF" w:themeFill="background1"/>
            <w:noWrap/>
            <w:vAlign w:val="bottom"/>
            <w:hideMark/>
          </w:tcPr>
          <w:p w:rsidR="000B4A1E" w:rsidRPr="003E2DBE" w:rsidRDefault="000B4A1E" w:rsidP="00517E51">
            <w:pPr>
              <w:pStyle w:val="Tabletext"/>
              <w:rPr>
                <w:rFonts w:cs="Calibri"/>
                <w:sz w:val="21"/>
                <w:szCs w:val="22"/>
                <w:lang w:eastAsia="en-AU"/>
              </w:rPr>
            </w:pPr>
            <w:r w:rsidRPr="003E2DBE">
              <w:rPr>
                <w:sz w:val="21"/>
                <w:lang w:eastAsia="en-AU"/>
              </w:rPr>
              <w:t xml:space="preserve">Education and Early </w:t>
            </w:r>
            <w:r w:rsidRPr="003E2DBE">
              <w:rPr>
                <w:rFonts w:cs="Calibri"/>
                <w:sz w:val="21"/>
                <w:szCs w:val="22"/>
                <w:lang w:eastAsia="en-AU"/>
              </w:rPr>
              <w:t>Childhood Development</w:t>
            </w:r>
          </w:p>
        </w:tc>
        <w:tc>
          <w:tcPr>
            <w:tcW w:w="1170" w:type="dxa"/>
            <w:gridSpan w:val="2"/>
            <w:tcBorders>
              <w:top w:val="single" w:sz="4" w:space="0" w:color="auto"/>
              <w:left w:val="nil"/>
              <w:right w:val="nil"/>
            </w:tcBorders>
            <w:shd w:val="clear" w:color="auto" w:fill="FFFFFF" w:themeFill="background1"/>
            <w:hideMark/>
          </w:tcPr>
          <w:p w:rsidR="000B4A1E" w:rsidRPr="003E2DBE" w:rsidRDefault="000B4A1E" w:rsidP="00517E51">
            <w:pPr>
              <w:pStyle w:val="TableofFigures"/>
              <w:rPr>
                <w:sz w:val="21"/>
                <w:lang w:eastAsia="en-AU"/>
              </w:rPr>
            </w:pPr>
            <w:r w:rsidRPr="003E2DBE">
              <w:rPr>
                <w:sz w:val="21"/>
                <w:lang w:eastAsia="en-AU"/>
              </w:rPr>
              <w:t xml:space="preserve"> 220 031</w:t>
            </w:r>
          </w:p>
        </w:tc>
        <w:tc>
          <w:tcPr>
            <w:tcW w:w="1170" w:type="dxa"/>
            <w:tcBorders>
              <w:top w:val="single" w:sz="4" w:space="0" w:color="auto"/>
              <w:left w:val="nil"/>
              <w:right w:val="nil"/>
            </w:tcBorders>
            <w:shd w:val="clear" w:color="auto" w:fill="FFFFFF" w:themeFill="background1"/>
            <w:hideMark/>
          </w:tcPr>
          <w:p w:rsidR="000B4A1E" w:rsidRPr="003E2DBE" w:rsidRDefault="000B4A1E" w:rsidP="00517E51">
            <w:pPr>
              <w:pStyle w:val="TableofFigures"/>
              <w:rPr>
                <w:sz w:val="21"/>
                <w:lang w:eastAsia="en-AU"/>
              </w:rPr>
            </w:pPr>
            <w:r w:rsidRPr="003E2DBE">
              <w:rPr>
                <w:sz w:val="21"/>
                <w:lang w:eastAsia="en-AU"/>
              </w:rPr>
              <w:t>..</w:t>
            </w:r>
          </w:p>
        </w:tc>
        <w:tc>
          <w:tcPr>
            <w:tcW w:w="1440" w:type="dxa"/>
            <w:tcBorders>
              <w:top w:val="single" w:sz="4" w:space="0" w:color="auto"/>
              <w:left w:val="nil"/>
              <w:right w:val="nil"/>
            </w:tcBorders>
            <w:shd w:val="clear" w:color="auto" w:fill="FFFFFF" w:themeFill="background1"/>
            <w:noWrap/>
            <w:hideMark/>
          </w:tcPr>
          <w:p w:rsidR="000B4A1E" w:rsidRPr="003E2DBE" w:rsidRDefault="000B4A1E" w:rsidP="00517E51">
            <w:pPr>
              <w:pStyle w:val="TableofFigures"/>
              <w:rPr>
                <w:sz w:val="21"/>
                <w:lang w:eastAsia="en-AU"/>
              </w:rPr>
            </w:pPr>
            <w:r w:rsidRPr="003E2DBE">
              <w:rPr>
                <w:sz w:val="21"/>
                <w:lang w:eastAsia="en-AU"/>
              </w:rPr>
              <w:t>..</w:t>
            </w:r>
          </w:p>
        </w:tc>
        <w:tc>
          <w:tcPr>
            <w:tcW w:w="810" w:type="dxa"/>
            <w:tcBorders>
              <w:top w:val="single" w:sz="4" w:space="0" w:color="auto"/>
              <w:left w:val="nil"/>
              <w:right w:val="nil"/>
            </w:tcBorders>
            <w:shd w:val="clear" w:color="auto" w:fill="FFFFFF" w:themeFill="background1"/>
            <w:noWrap/>
            <w:hideMark/>
          </w:tcPr>
          <w:p w:rsidR="000B4A1E" w:rsidRPr="003E2DBE" w:rsidRDefault="000B4A1E" w:rsidP="00517E51">
            <w:pPr>
              <w:pStyle w:val="TableofFigures"/>
              <w:rPr>
                <w:rFonts w:cs="Calibri"/>
                <w:szCs w:val="22"/>
                <w:lang w:eastAsia="en-AU"/>
              </w:rPr>
            </w:pPr>
            <w:r w:rsidRPr="003E2DBE">
              <w:rPr>
                <w:sz w:val="21"/>
                <w:lang w:eastAsia="en-AU"/>
              </w:rPr>
              <w:t>..</w:t>
            </w:r>
          </w:p>
        </w:tc>
        <w:tc>
          <w:tcPr>
            <w:tcW w:w="994" w:type="dxa"/>
            <w:tcBorders>
              <w:top w:val="single" w:sz="4" w:space="0" w:color="auto"/>
              <w:left w:val="nil"/>
            </w:tcBorders>
            <w:shd w:val="clear" w:color="auto" w:fill="FFFFFF" w:themeFill="background1"/>
            <w:hideMark/>
          </w:tcPr>
          <w:p w:rsidR="000B4A1E" w:rsidRPr="003E2DBE" w:rsidRDefault="000B4A1E" w:rsidP="00517E51">
            <w:pPr>
              <w:pStyle w:val="TableofFigures"/>
              <w:rPr>
                <w:b/>
                <w:bCs/>
                <w:sz w:val="21"/>
                <w:lang w:eastAsia="en-AU"/>
              </w:rPr>
            </w:pPr>
            <w:r w:rsidRPr="003E2DBE">
              <w:rPr>
                <w:b/>
                <w:bCs/>
                <w:sz w:val="21"/>
                <w:lang w:eastAsia="en-AU"/>
              </w:rPr>
              <w:t xml:space="preserve"> 220 031</w:t>
            </w:r>
          </w:p>
        </w:tc>
      </w:tr>
      <w:tr w:rsidR="000B4A1E" w:rsidRPr="003E2DBE" w:rsidTr="00517E51">
        <w:trPr>
          <w:divId w:val="1893080156"/>
        </w:trPr>
        <w:tc>
          <w:tcPr>
            <w:tcW w:w="4064" w:type="dxa"/>
            <w:tcBorders>
              <w:left w:val="nil"/>
              <w:bottom w:val="nil"/>
              <w:right w:val="nil"/>
            </w:tcBorders>
            <w:shd w:val="clear" w:color="auto" w:fill="auto"/>
            <w:noWrap/>
            <w:vAlign w:val="bottom"/>
            <w:hideMark/>
          </w:tcPr>
          <w:p w:rsidR="000B4A1E" w:rsidRPr="003E2DBE" w:rsidRDefault="000B4A1E" w:rsidP="00517E51">
            <w:pPr>
              <w:pStyle w:val="Tabletext"/>
              <w:rPr>
                <w:rFonts w:cs="Calibri"/>
                <w:sz w:val="21"/>
                <w:szCs w:val="22"/>
                <w:lang w:eastAsia="en-AU"/>
              </w:rPr>
            </w:pPr>
            <w:r w:rsidRPr="003E2DBE">
              <w:rPr>
                <w:sz w:val="21"/>
                <w:lang w:eastAsia="en-AU"/>
              </w:rPr>
              <w:t xml:space="preserve">Environment and Primary Industries </w:t>
            </w:r>
            <w:r w:rsidRPr="003E2DBE">
              <w:rPr>
                <w:rFonts w:cs="Calibri"/>
                <w:sz w:val="21"/>
                <w:vertAlign w:val="superscript"/>
                <w:lang w:eastAsia="en-AU"/>
              </w:rPr>
              <w:t>(a</w:t>
            </w:r>
            <w:r w:rsidRPr="003E2DBE">
              <w:rPr>
                <w:rFonts w:cs="Calibri"/>
                <w:sz w:val="21"/>
                <w:szCs w:val="22"/>
                <w:vertAlign w:val="superscript"/>
                <w:lang w:eastAsia="en-AU"/>
              </w:rPr>
              <w:t>)</w:t>
            </w:r>
          </w:p>
        </w:tc>
        <w:tc>
          <w:tcPr>
            <w:tcW w:w="1170" w:type="dxa"/>
            <w:gridSpan w:val="2"/>
            <w:tcBorders>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93 646</w:t>
            </w:r>
          </w:p>
        </w:tc>
        <w:tc>
          <w:tcPr>
            <w:tcW w:w="1170" w:type="dxa"/>
            <w:tcBorders>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61 188</w:t>
            </w:r>
          </w:p>
        </w:tc>
        <w:tc>
          <w:tcPr>
            <w:tcW w:w="1440" w:type="dxa"/>
            <w:tcBorders>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w:t>
            </w:r>
            <w:r w:rsidRPr="003E2DBE">
              <w:rPr>
                <w:rFonts w:cs="Calibri"/>
                <w:sz w:val="21"/>
                <w:szCs w:val="22"/>
                <w:lang w:eastAsia="en-AU"/>
              </w:rPr>
              <w:t>4 386</w:t>
            </w:r>
          </w:p>
        </w:tc>
        <w:tc>
          <w:tcPr>
            <w:tcW w:w="810" w:type="dxa"/>
            <w:tcBorders>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r w:rsidRPr="003E2DBE">
              <w:rPr>
                <w:rFonts w:cs="Calibri"/>
                <w:sz w:val="21"/>
                <w:szCs w:val="22"/>
                <w:lang w:eastAsia="en-AU"/>
              </w:rPr>
              <w:t>.</w:t>
            </w:r>
          </w:p>
        </w:tc>
        <w:tc>
          <w:tcPr>
            <w:tcW w:w="994" w:type="dxa"/>
            <w:tcBorders>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w:t>
            </w:r>
            <w:r w:rsidRPr="003E2DBE">
              <w:rPr>
                <w:rFonts w:cs="Calibri"/>
                <w:b/>
                <w:bCs/>
                <w:sz w:val="21"/>
                <w:szCs w:val="22"/>
                <w:lang w:eastAsia="en-AU"/>
              </w:rPr>
              <w:t>159 220</w:t>
            </w:r>
          </w:p>
        </w:tc>
      </w:tr>
      <w:tr w:rsidR="000B4A1E" w:rsidRPr="003E2DBE" w:rsidTr="00517E51">
        <w:trPr>
          <w:divId w:val="1893080156"/>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Health</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131</w:t>
            </w:r>
            <w:r w:rsidRPr="003E2DBE">
              <w:rPr>
                <w:rFonts w:cs="Calibri"/>
                <w:sz w:val="21"/>
                <w:szCs w:val="22"/>
                <w:lang w:eastAsia="en-AU"/>
              </w:rPr>
              <w:t xml:space="preserve"> 320</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96</w:t>
            </w:r>
            <w:r w:rsidRPr="003E2DBE">
              <w:rPr>
                <w:rFonts w:cs="Calibri"/>
                <w:sz w:val="21"/>
                <w:szCs w:val="22"/>
                <w:lang w:eastAsia="en-AU"/>
              </w:rPr>
              <w:t xml:space="preserve"> 916</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228</w:t>
            </w:r>
            <w:r w:rsidRPr="003E2DBE">
              <w:rPr>
                <w:rFonts w:cs="Calibri"/>
                <w:b/>
                <w:bCs/>
                <w:sz w:val="21"/>
                <w:szCs w:val="22"/>
                <w:lang w:eastAsia="en-AU"/>
              </w:rPr>
              <w:t xml:space="preserve"> 236</w:t>
            </w:r>
          </w:p>
        </w:tc>
      </w:tr>
      <w:tr w:rsidR="000B4A1E" w:rsidRPr="003E2DBE" w:rsidTr="00517E51">
        <w:trPr>
          <w:divId w:val="1893080156"/>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 w:val="21"/>
                <w:szCs w:val="22"/>
                <w:lang w:eastAsia="en-AU"/>
              </w:rPr>
            </w:pPr>
            <w:r w:rsidRPr="003E2DBE">
              <w:rPr>
                <w:sz w:val="21"/>
                <w:lang w:eastAsia="en-AU"/>
              </w:rPr>
              <w:t xml:space="preserve">Human </w:t>
            </w:r>
            <w:r w:rsidRPr="003E2DBE">
              <w:rPr>
                <w:rFonts w:cs="Calibri"/>
                <w:sz w:val="21"/>
                <w:szCs w:val="22"/>
                <w:lang w:eastAsia="en-AU"/>
              </w:rPr>
              <w:t>Services</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13</w:t>
            </w:r>
            <w:r w:rsidRPr="003E2DBE">
              <w:rPr>
                <w:rFonts w:cs="Calibri"/>
                <w:sz w:val="21"/>
                <w:szCs w:val="22"/>
                <w:lang w:eastAsia="en-AU"/>
              </w:rPr>
              <w:t xml:space="preserve"> 153</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20</w:t>
            </w:r>
            <w:r w:rsidRPr="003E2DBE">
              <w:rPr>
                <w:rFonts w:cs="Calibri"/>
                <w:sz w:val="21"/>
                <w:szCs w:val="22"/>
                <w:lang w:eastAsia="en-AU"/>
              </w:rPr>
              <w:t xml:space="preserve"> 202</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33</w:t>
            </w:r>
            <w:r w:rsidRPr="003E2DBE">
              <w:rPr>
                <w:rFonts w:cs="Calibri"/>
                <w:b/>
                <w:bCs/>
                <w:sz w:val="21"/>
                <w:szCs w:val="22"/>
                <w:lang w:eastAsia="en-AU"/>
              </w:rPr>
              <w:t xml:space="preserve"> 355</w:t>
            </w:r>
          </w:p>
        </w:tc>
      </w:tr>
      <w:tr w:rsidR="000B4A1E" w:rsidRPr="003E2DBE" w:rsidTr="00517E51">
        <w:trPr>
          <w:divId w:val="1893080156"/>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Justice</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95</w:t>
            </w:r>
            <w:r w:rsidRPr="003E2DBE">
              <w:rPr>
                <w:rFonts w:cs="Calibri"/>
                <w:sz w:val="21"/>
                <w:szCs w:val="22"/>
                <w:lang w:eastAsia="en-AU"/>
              </w:rPr>
              <w:t xml:space="preserve"> 595</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117</w:t>
            </w:r>
            <w:r w:rsidRPr="003E2DBE">
              <w:rPr>
                <w:rFonts w:cs="Calibri"/>
                <w:sz w:val="21"/>
                <w:szCs w:val="22"/>
                <w:lang w:eastAsia="en-AU"/>
              </w:rPr>
              <w:t xml:space="preserve"> 263</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r w:rsidRPr="003E2DBE">
              <w:rPr>
                <w:rFonts w:cs="Calibri"/>
                <w:sz w:val="21"/>
                <w:szCs w:val="22"/>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212</w:t>
            </w:r>
            <w:r w:rsidRPr="003E2DBE">
              <w:rPr>
                <w:rFonts w:cs="Calibri"/>
                <w:b/>
                <w:bCs/>
                <w:sz w:val="21"/>
                <w:szCs w:val="22"/>
                <w:lang w:eastAsia="en-AU"/>
              </w:rPr>
              <w:t xml:space="preserve"> 858</w:t>
            </w:r>
          </w:p>
        </w:tc>
      </w:tr>
      <w:tr w:rsidR="000B4A1E" w:rsidRPr="003E2DBE" w:rsidTr="00517E51">
        <w:trPr>
          <w:divId w:val="1893080156"/>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 w:val="21"/>
                <w:szCs w:val="22"/>
                <w:lang w:eastAsia="en-AU"/>
              </w:rPr>
            </w:pPr>
            <w:r w:rsidRPr="003E2DBE">
              <w:rPr>
                <w:sz w:val="21"/>
                <w:lang w:eastAsia="en-AU"/>
              </w:rPr>
              <w:t xml:space="preserve">Planning </w:t>
            </w:r>
            <w:r w:rsidRPr="003E2DBE">
              <w:rPr>
                <w:rFonts w:cs="Calibri"/>
                <w:sz w:val="21"/>
                <w:szCs w:val="22"/>
                <w:lang w:eastAsia="en-AU"/>
              </w:rPr>
              <w:t>and Community Development</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19</w:t>
            </w:r>
            <w:r w:rsidRPr="003E2DBE">
              <w:rPr>
                <w:rFonts w:cs="Calibri"/>
                <w:sz w:val="21"/>
                <w:szCs w:val="22"/>
                <w:lang w:eastAsia="en-AU"/>
              </w:rPr>
              <w:t xml:space="preserve"> 500</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2</w:t>
            </w:r>
            <w:r w:rsidRPr="003E2DBE">
              <w:rPr>
                <w:rFonts w:cs="Calibri"/>
                <w:sz w:val="21"/>
                <w:szCs w:val="22"/>
                <w:lang w:eastAsia="en-AU"/>
              </w:rPr>
              <w:t xml:space="preserve"> 800</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22</w:t>
            </w:r>
            <w:r w:rsidRPr="003E2DBE">
              <w:rPr>
                <w:rFonts w:cs="Calibri"/>
                <w:b/>
                <w:bCs/>
                <w:sz w:val="21"/>
                <w:szCs w:val="22"/>
                <w:lang w:eastAsia="en-AU"/>
              </w:rPr>
              <w:t xml:space="preserve"> 300</w:t>
            </w:r>
          </w:p>
        </w:tc>
      </w:tr>
      <w:tr w:rsidR="000B4A1E" w:rsidRPr="003E2DBE" w:rsidTr="00517E51">
        <w:trPr>
          <w:divId w:val="1893080156"/>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Premier and Cabinet</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15</w:t>
            </w:r>
            <w:r w:rsidRPr="003E2DBE">
              <w:rPr>
                <w:rFonts w:cs="Calibri"/>
                <w:sz w:val="21"/>
                <w:szCs w:val="22"/>
                <w:lang w:eastAsia="en-AU"/>
              </w:rPr>
              <w:t xml:space="preserve"> 900</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6</w:t>
            </w:r>
            <w:r w:rsidRPr="003E2DBE">
              <w:rPr>
                <w:rFonts w:cs="Calibri"/>
                <w:sz w:val="21"/>
                <w:szCs w:val="22"/>
                <w:lang w:eastAsia="en-AU"/>
              </w:rPr>
              <w:t xml:space="preserve"> 450</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r w:rsidRPr="003E2DBE">
              <w:rPr>
                <w:rFonts w:cs="Calibri"/>
                <w:sz w:val="21"/>
                <w:szCs w:val="22"/>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22</w:t>
            </w:r>
            <w:r w:rsidRPr="003E2DBE">
              <w:rPr>
                <w:rFonts w:cs="Calibri"/>
                <w:b/>
                <w:bCs/>
                <w:sz w:val="21"/>
                <w:szCs w:val="22"/>
                <w:lang w:eastAsia="en-AU"/>
              </w:rPr>
              <w:t xml:space="preserve"> 350</w:t>
            </w:r>
          </w:p>
        </w:tc>
      </w:tr>
      <w:tr w:rsidR="000B4A1E" w:rsidRPr="003E2DBE" w:rsidTr="00517E51">
        <w:trPr>
          <w:divId w:val="1893080156"/>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Primary Industries</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37</w:t>
            </w:r>
            <w:r w:rsidRPr="003E2DBE">
              <w:rPr>
                <w:rFonts w:cs="Calibri"/>
                <w:sz w:val="21"/>
                <w:szCs w:val="22"/>
                <w:lang w:eastAsia="en-AU"/>
              </w:rPr>
              <w:t xml:space="preserve"> 684</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8</w:t>
            </w:r>
            <w:r w:rsidRPr="003E2DBE">
              <w:rPr>
                <w:rFonts w:cs="Calibri"/>
                <w:sz w:val="21"/>
                <w:szCs w:val="22"/>
                <w:lang w:eastAsia="en-AU"/>
              </w:rPr>
              <w:t xml:space="preserve"> 085</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r w:rsidRPr="003E2DBE">
              <w:rPr>
                <w:rFonts w:cs="Calibri"/>
                <w:sz w:val="21"/>
                <w:szCs w:val="22"/>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45</w:t>
            </w:r>
            <w:r w:rsidRPr="003E2DBE">
              <w:rPr>
                <w:rFonts w:cs="Calibri"/>
                <w:b/>
                <w:bCs/>
                <w:sz w:val="21"/>
                <w:szCs w:val="22"/>
                <w:lang w:eastAsia="en-AU"/>
              </w:rPr>
              <w:t xml:space="preserve"> 768</w:t>
            </w:r>
          </w:p>
        </w:tc>
      </w:tr>
      <w:tr w:rsidR="000B4A1E" w:rsidRPr="003E2DBE" w:rsidTr="00517E51">
        <w:trPr>
          <w:divId w:val="1893080156"/>
        </w:trPr>
        <w:tc>
          <w:tcPr>
            <w:tcW w:w="4154" w:type="dxa"/>
            <w:gridSpan w:val="2"/>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 w:val="21"/>
                <w:szCs w:val="22"/>
                <w:lang w:eastAsia="en-AU"/>
              </w:rPr>
            </w:pPr>
            <w:r w:rsidRPr="003E2DBE">
              <w:rPr>
                <w:sz w:val="21"/>
                <w:lang w:eastAsia="en-AU"/>
              </w:rPr>
              <w:t>State Development,</w:t>
            </w:r>
            <w:r w:rsidRPr="003E2DBE">
              <w:rPr>
                <w:rFonts w:cs="Calibri"/>
                <w:sz w:val="21"/>
                <w:szCs w:val="22"/>
                <w:lang w:eastAsia="en-AU"/>
              </w:rPr>
              <w:t xml:space="preserve"> Business and Innovation </w:t>
            </w:r>
            <w:r w:rsidRPr="003E2DBE">
              <w:rPr>
                <w:rFonts w:cs="Calibri"/>
                <w:sz w:val="21"/>
                <w:szCs w:val="22"/>
                <w:vertAlign w:val="superscript"/>
                <w:lang w:eastAsia="en-AU"/>
              </w:rPr>
              <w:t>(a)</w:t>
            </w:r>
          </w:p>
        </w:tc>
        <w:tc>
          <w:tcPr>
            <w:tcW w:w="108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43</w:t>
            </w:r>
            <w:r w:rsidRPr="003E2DBE">
              <w:rPr>
                <w:rFonts w:cs="Calibri"/>
                <w:sz w:val="21"/>
                <w:szCs w:val="22"/>
                <w:lang w:eastAsia="en-AU"/>
              </w:rPr>
              <w:t xml:space="preserve"> 510</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30</w:t>
            </w:r>
            <w:r w:rsidRPr="003E2DBE">
              <w:rPr>
                <w:rFonts w:cs="Calibri"/>
                <w:sz w:val="21"/>
                <w:szCs w:val="22"/>
                <w:lang w:eastAsia="en-AU"/>
              </w:rPr>
              <w:t xml:space="preserve"> 780</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r w:rsidRPr="003E2DBE">
              <w:rPr>
                <w:rFonts w:cs="Calibri"/>
                <w:sz w:val="21"/>
                <w:szCs w:val="22"/>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74</w:t>
            </w:r>
            <w:r w:rsidRPr="003E2DBE">
              <w:rPr>
                <w:rFonts w:cs="Calibri"/>
                <w:b/>
                <w:bCs/>
                <w:sz w:val="21"/>
                <w:szCs w:val="22"/>
                <w:lang w:eastAsia="en-AU"/>
              </w:rPr>
              <w:t xml:space="preserve"> 290</w:t>
            </w:r>
          </w:p>
        </w:tc>
      </w:tr>
      <w:tr w:rsidR="000B4A1E" w:rsidRPr="003E2DBE" w:rsidTr="00517E51">
        <w:trPr>
          <w:divId w:val="1893080156"/>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rFonts w:cs="Calibri"/>
                <w:sz w:val="21"/>
                <w:szCs w:val="22"/>
                <w:lang w:eastAsia="en-AU"/>
              </w:rPr>
            </w:pPr>
            <w:r w:rsidRPr="003E2DBE">
              <w:rPr>
                <w:sz w:val="21"/>
                <w:lang w:eastAsia="en-AU"/>
              </w:rPr>
              <w:t>Transport,</w:t>
            </w:r>
            <w:r w:rsidRPr="003E2DBE">
              <w:rPr>
                <w:rFonts w:cs="Calibri"/>
                <w:sz w:val="21"/>
                <w:szCs w:val="22"/>
                <w:lang w:eastAsia="en-AU"/>
              </w:rPr>
              <w:t xml:space="preserve"> Planning and Local Infrastructure </w:t>
            </w:r>
            <w:r w:rsidRPr="003E2DBE">
              <w:rPr>
                <w:rFonts w:cs="Calibri"/>
                <w:sz w:val="21"/>
                <w:szCs w:val="22"/>
                <w:vertAlign w:val="superscript"/>
                <w:lang w:eastAsia="en-AU"/>
              </w:rPr>
              <w:t>(a)</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37</w:t>
            </w:r>
            <w:r w:rsidRPr="003E2DBE">
              <w:rPr>
                <w:rFonts w:cs="Calibri"/>
                <w:sz w:val="21"/>
                <w:szCs w:val="22"/>
                <w:lang w:eastAsia="en-AU"/>
              </w:rPr>
              <w:t xml:space="preserve"> 596</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363</w:t>
            </w:r>
            <w:r w:rsidRPr="003E2DBE">
              <w:rPr>
                <w:rFonts w:cs="Calibri"/>
                <w:sz w:val="21"/>
                <w:szCs w:val="22"/>
                <w:lang w:eastAsia="en-AU"/>
              </w:rPr>
              <w:t xml:space="preserve"> 150</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r w:rsidRPr="003E2DBE">
              <w:rPr>
                <w:rFonts w:cs="Calibri"/>
                <w:sz w:val="21"/>
                <w:szCs w:val="22"/>
                <w:lang w:eastAsia="en-AU"/>
              </w:rPr>
              <w:t>.</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400</w:t>
            </w:r>
            <w:r w:rsidRPr="003E2DBE">
              <w:rPr>
                <w:rFonts w:cs="Calibri"/>
                <w:b/>
                <w:bCs/>
                <w:sz w:val="21"/>
                <w:szCs w:val="22"/>
                <w:lang w:eastAsia="en-AU"/>
              </w:rPr>
              <w:t xml:space="preserve"> 746</w:t>
            </w:r>
          </w:p>
        </w:tc>
      </w:tr>
      <w:tr w:rsidR="000B4A1E" w:rsidRPr="003E2DBE" w:rsidTr="00517E51">
        <w:trPr>
          <w:divId w:val="1893080156"/>
        </w:trPr>
        <w:tc>
          <w:tcPr>
            <w:tcW w:w="4064" w:type="dxa"/>
            <w:tcBorders>
              <w:top w:val="nil"/>
              <w:left w:val="nil"/>
              <w:bottom w:val="nil"/>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Treasury and Finance</w:t>
            </w:r>
          </w:p>
        </w:tc>
        <w:tc>
          <w:tcPr>
            <w:tcW w:w="1170" w:type="dxa"/>
            <w:gridSpan w:val="2"/>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w:t>
            </w:r>
            <w:r w:rsidRPr="003E2DBE">
              <w:rPr>
                <w:rFonts w:cs="Calibri"/>
                <w:sz w:val="21"/>
                <w:szCs w:val="22"/>
                <w:lang w:eastAsia="en-AU"/>
              </w:rPr>
              <w:t xml:space="preserve"> 775</w:t>
            </w:r>
          </w:p>
        </w:tc>
        <w:tc>
          <w:tcPr>
            <w:tcW w:w="1170" w:type="dxa"/>
            <w:tcBorders>
              <w:top w:val="nil"/>
              <w:left w:val="nil"/>
              <w:bottom w:val="nil"/>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741</w:t>
            </w:r>
          </w:p>
        </w:tc>
        <w:tc>
          <w:tcPr>
            <w:tcW w:w="144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898</w:t>
            </w:r>
          </w:p>
        </w:tc>
        <w:tc>
          <w:tcPr>
            <w:tcW w:w="810" w:type="dxa"/>
            <w:tcBorders>
              <w:top w:val="nil"/>
              <w:left w:val="nil"/>
              <w:bottom w:val="nil"/>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p>
        </w:tc>
        <w:tc>
          <w:tcPr>
            <w:tcW w:w="994" w:type="dxa"/>
            <w:tcBorders>
              <w:top w:val="nil"/>
              <w:left w:val="nil"/>
              <w:bottom w:val="nil"/>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5</w:t>
            </w:r>
            <w:r w:rsidRPr="003E2DBE">
              <w:rPr>
                <w:rFonts w:cs="Calibri"/>
                <w:b/>
                <w:bCs/>
                <w:sz w:val="21"/>
                <w:szCs w:val="22"/>
                <w:lang w:eastAsia="en-AU"/>
              </w:rPr>
              <w:t xml:space="preserve"> 414</w:t>
            </w:r>
          </w:p>
        </w:tc>
      </w:tr>
      <w:tr w:rsidR="000B4A1E" w:rsidRPr="003E2DBE" w:rsidTr="00517E51">
        <w:trPr>
          <w:divId w:val="1893080156"/>
        </w:trPr>
        <w:tc>
          <w:tcPr>
            <w:tcW w:w="4064" w:type="dxa"/>
            <w:tcBorders>
              <w:top w:val="nil"/>
              <w:left w:val="nil"/>
              <w:bottom w:val="single" w:sz="4" w:space="0" w:color="auto"/>
              <w:right w:val="nil"/>
            </w:tcBorders>
            <w:shd w:val="clear" w:color="auto" w:fill="auto"/>
            <w:noWrap/>
            <w:vAlign w:val="bottom"/>
            <w:hideMark/>
          </w:tcPr>
          <w:p w:rsidR="000B4A1E" w:rsidRPr="003E2DBE" w:rsidRDefault="000B4A1E" w:rsidP="00517E51">
            <w:pPr>
              <w:pStyle w:val="Tabletext"/>
              <w:rPr>
                <w:sz w:val="21"/>
                <w:lang w:eastAsia="en-AU"/>
              </w:rPr>
            </w:pPr>
            <w:r w:rsidRPr="003E2DBE">
              <w:rPr>
                <w:sz w:val="21"/>
                <w:lang w:eastAsia="en-AU"/>
              </w:rPr>
              <w:t>Parliament</w:t>
            </w:r>
          </w:p>
        </w:tc>
        <w:tc>
          <w:tcPr>
            <w:tcW w:w="1170" w:type="dxa"/>
            <w:gridSpan w:val="2"/>
            <w:tcBorders>
              <w:top w:val="nil"/>
              <w:left w:val="nil"/>
              <w:bottom w:val="single" w:sz="4" w:space="0" w:color="auto"/>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 xml:space="preserve"> 3</w:t>
            </w:r>
            <w:r w:rsidRPr="003E2DBE">
              <w:rPr>
                <w:rFonts w:cs="Calibri"/>
                <w:sz w:val="21"/>
                <w:szCs w:val="22"/>
                <w:lang w:eastAsia="en-AU"/>
              </w:rPr>
              <w:t xml:space="preserve"> 464</w:t>
            </w:r>
          </w:p>
        </w:tc>
        <w:tc>
          <w:tcPr>
            <w:tcW w:w="1170" w:type="dxa"/>
            <w:tcBorders>
              <w:top w:val="nil"/>
              <w:left w:val="nil"/>
              <w:bottom w:val="single" w:sz="4" w:space="0" w:color="auto"/>
              <w:right w:val="nil"/>
            </w:tcBorders>
            <w:shd w:val="clear" w:color="auto" w:fill="auto"/>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144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 w:val="21"/>
                <w:szCs w:val="22"/>
                <w:lang w:eastAsia="en-AU"/>
              </w:rPr>
            </w:pPr>
            <w:r w:rsidRPr="003E2DBE">
              <w:rPr>
                <w:sz w:val="21"/>
                <w:lang w:eastAsia="en-AU"/>
              </w:rPr>
              <w:t>..</w:t>
            </w:r>
          </w:p>
        </w:tc>
        <w:tc>
          <w:tcPr>
            <w:tcW w:w="810" w:type="dxa"/>
            <w:tcBorders>
              <w:top w:val="nil"/>
              <w:left w:val="nil"/>
              <w:bottom w:val="single" w:sz="4" w:space="0" w:color="auto"/>
              <w:right w:val="nil"/>
            </w:tcBorders>
            <w:shd w:val="clear" w:color="auto" w:fill="auto"/>
            <w:noWrap/>
            <w:hideMark/>
          </w:tcPr>
          <w:p w:rsidR="000B4A1E" w:rsidRPr="003E2DBE" w:rsidRDefault="000B4A1E" w:rsidP="00517E51">
            <w:pPr>
              <w:pStyle w:val="TableofFigures"/>
              <w:rPr>
                <w:rFonts w:cs="Calibri"/>
                <w:szCs w:val="22"/>
                <w:lang w:eastAsia="en-AU"/>
              </w:rPr>
            </w:pPr>
            <w:r w:rsidRPr="003E2DBE">
              <w:rPr>
                <w:sz w:val="21"/>
                <w:lang w:eastAsia="en-AU"/>
              </w:rPr>
              <w:t>..</w:t>
            </w:r>
          </w:p>
        </w:tc>
        <w:tc>
          <w:tcPr>
            <w:tcW w:w="994" w:type="dxa"/>
            <w:tcBorders>
              <w:top w:val="nil"/>
              <w:left w:val="nil"/>
              <w:bottom w:val="single" w:sz="4" w:space="0" w:color="auto"/>
              <w:right w:val="nil"/>
            </w:tcBorders>
            <w:shd w:val="clear" w:color="auto" w:fill="auto"/>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3</w:t>
            </w:r>
            <w:r w:rsidRPr="003E2DBE">
              <w:rPr>
                <w:rFonts w:cs="Calibri"/>
                <w:b/>
                <w:bCs/>
                <w:sz w:val="21"/>
                <w:szCs w:val="22"/>
                <w:lang w:eastAsia="en-AU"/>
              </w:rPr>
              <w:t xml:space="preserve"> 464</w:t>
            </w:r>
          </w:p>
        </w:tc>
      </w:tr>
      <w:tr w:rsidR="000B4A1E" w:rsidRPr="003E2DBE" w:rsidTr="00517E51">
        <w:trPr>
          <w:divId w:val="1893080156"/>
        </w:trPr>
        <w:tc>
          <w:tcPr>
            <w:tcW w:w="4064" w:type="dxa"/>
            <w:tcBorders>
              <w:top w:val="single" w:sz="4" w:space="0" w:color="auto"/>
              <w:left w:val="nil"/>
              <w:bottom w:val="single" w:sz="12" w:space="0" w:color="auto"/>
              <w:right w:val="nil"/>
            </w:tcBorders>
            <w:shd w:val="clear" w:color="auto" w:fill="auto"/>
            <w:noWrap/>
            <w:vAlign w:val="bottom"/>
            <w:hideMark/>
          </w:tcPr>
          <w:p w:rsidR="000B4A1E" w:rsidRPr="003E2DBE" w:rsidRDefault="000B4A1E" w:rsidP="00517E51">
            <w:pPr>
              <w:pStyle w:val="Tabletext"/>
              <w:rPr>
                <w:b/>
                <w:bCs/>
                <w:sz w:val="21"/>
                <w:lang w:eastAsia="en-AU"/>
              </w:rPr>
            </w:pPr>
            <w:r w:rsidRPr="003E2DBE">
              <w:rPr>
                <w:b/>
                <w:bCs/>
                <w:sz w:val="21"/>
                <w:lang w:eastAsia="en-AU"/>
              </w:rPr>
              <w:t>Total carryovers by department</w:t>
            </w:r>
          </w:p>
        </w:tc>
        <w:tc>
          <w:tcPr>
            <w:tcW w:w="1170" w:type="dxa"/>
            <w:gridSpan w:val="2"/>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715</w:t>
            </w:r>
            <w:r w:rsidRPr="003E2DBE">
              <w:rPr>
                <w:rFonts w:cs="Calibri"/>
                <w:b/>
                <w:bCs/>
                <w:sz w:val="21"/>
                <w:szCs w:val="22"/>
                <w:lang w:eastAsia="en-AU"/>
              </w:rPr>
              <w:t xml:space="preserve"> 174</w:t>
            </w:r>
          </w:p>
        </w:tc>
        <w:tc>
          <w:tcPr>
            <w:tcW w:w="117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707</w:t>
            </w:r>
            <w:r w:rsidRPr="003E2DBE">
              <w:rPr>
                <w:rFonts w:cs="Calibri"/>
                <w:b/>
                <w:bCs/>
                <w:sz w:val="21"/>
                <w:szCs w:val="22"/>
                <w:lang w:eastAsia="en-AU"/>
              </w:rPr>
              <w:t xml:space="preserve"> 575</w:t>
            </w:r>
          </w:p>
        </w:tc>
        <w:tc>
          <w:tcPr>
            <w:tcW w:w="144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 5</w:t>
            </w:r>
            <w:r w:rsidRPr="003E2DBE">
              <w:rPr>
                <w:rFonts w:cs="Calibri"/>
                <w:b/>
                <w:bCs/>
                <w:sz w:val="21"/>
                <w:szCs w:val="22"/>
                <w:lang w:eastAsia="en-AU"/>
              </w:rPr>
              <w:t xml:space="preserve"> 284</w:t>
            </w:r>
          </w:p>
        </w:tc>
        <w:tc>
          <w:tcPr>
            <w:tcW w:w="810"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w:t>
            </w:r>
          </w:p>
        </w:tc>
        <w:tc>
          <w:tcPr>
            <w:tcW w:w="994" w:type="dxa"/>
            <w:tcBorders>
              <w:top w:val="single" w:sz="4" w:space="0" w:color="auto"/>
              <w:left w:val="nil"/>
              <w:bottom w:val="single" w:sz="12" w:space="0" w:color="auto"/>
              <w:right w:val="nil"/>
            </w:tcBorders>
            <w:shd w:val="clear" w:color="auto" w:fill="auto"/>
            <w:noWrap/>
            <w:hideMark/>
          </w:tcPr>
          <w:p w:rsidR="000B4A1E" w:rsidRPr="003E2DBE" w:rsidRDefault="000B4A1E" w:rsidP="00517E51">
            <w:pPr>
              <w:pStyle w:val="TableofFigures"/>
              <w:rPr>
                <w:rFonts w:cs="Calibri"/>
                <w:b/>
                <w:bCs/>
                <w:sz w:val="21"/>
                <w:szCs w:val="22"/>
                <w:lang w:eastAsia="en-AU"/>
              </w:rPr>
            </w:pPr>
            <w:r w:rsidRPr="003E2DBE">
              <w:rPr>
                <w:b/>
                <w:bCs/>
                <w:sz w:val="21"/>
                <w:lang w:eastAsia="en-AU"/>
              </w:rPr>
              <w:t xml:space="preserve">1 </w:t>
            </w:r>
            <w:r w:rsidRPr="003E2DBE">
              <w:rPr>
                <w:rFonts w:cs="Calibri"/>
                <w:b/>
                <w:bCs/>
                <w:sz w:val="21"/>
                <w:szCs w:val="22"/>
                <w:lang w:eastAsia="en-AU"/>
              </w:rPr>
              <w:t>428 033</w:t>
            </w:r>
          </w:p>
        </w:tc>
      </w:tr>
    </w:tbl>
    <w:bookmarkEnd w:id="199"/>
    <w:bookmarkEnd w:id="200"/>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rsidRPr="00D00665">
        <w:tab/>
        <w:t>Effective 9 April 2013 several departments were renamed due to machinery of government changes:</w:t>
      </w:r>
    </w:p>
    <w:p w:rsidR="000B4A1E" w:rsidRPr="00D00665" w:rsidRDefault="000B4A1E" w:rsidP="00517E51">
      <w:pPr>
        <w:pStyle w:val="NotesDash"/>
        <w:tabs>
          <w:tab w:val="clear" w:pos="922"/>
          <w:tab w:val="num" w:pos="810"/>
        </w:tabs>
        <w:ind w:left="810" w:hanging="356"/>
      </w:pPr>
      <w:r w:rsidRPr="00D00665">
        <w:t xml:space="preserve">the Department of </w:t>
      </w:r>
      <w:r w:rsidR="00405D0E">
        <w:t xml:space="preserve">Sustainability and Environment became the </w:t>
      </w:r>
      <w:r w:rsidRPr="00D00665">
        <w:t>Department of Environment and Primary Industries;</w:t>
      </w:r>
    </w:p>
    <w:p w:rsidR="000B4A1E" w:rsidRPr="00D00665" w:rsidRDefault="000B4A1E" w:rsidP="00517E51">
      <w:pPr>
        <w:pStyle w:val="NotesDash"/>
        <w:tabs>
          <w:tab w:val="clear" w:pos="922"/>
          <w:tab w:val="num" w:pos="810"/>
        </w:tabs>
        <w:ind w:left="810" w:hanging="356"/>
      </w:pPr>
      <w:r w:rsidRPr="00D00665">
        <w:t>the Department of Business and Innovation became the Department of State Development, Business and Innovation; and</w:t>
      </w:r>
    </w:p>
    <w:p w:rsidR="000B4A1E" w:rsidRPr="00D00665" w:rsidRDefault="000B4A1E" w:rsidP="00517E51">
      <w:pPr>
        <w:pStyle w:val="NotesDash"/>
        <w:tabs>
          <w:tab w:val="clear" w:pos="922"/>
          <w:tab w:val="num" w:pos="810"/>
        </w:tabs>
        <w:ind w:left="810" w:hanging="356"/>
      </w:pPr>
      <w:r w:rsidRPr="00D00665">
        <w:t>the Department of Transport became the Department of Transport, Planning and Local Infrastructure.</w:t>
      </w:r>
    </w:p>
    <w:p w:rsidR="000B4A1E" w:rsidRPr="00D00665" w:rsidRDefault="000B4A1E" w:rsidP="00517E51"/>
    <w:p w:rsidR="000B4A1E" w:rsidRPr="00D00665" w:rsidRDefault="000B4A1E" w:rsidP="00517E51">
      <w:pPr>
        <w:pStyle w:val="Heading2NotesContd"/>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spacing w:after="0"/>
      </w:pPr>
      <w:r w:rsidRPr="00D00665">
        <w:t>(l)</w:t>
      </w:r>
      <w:r w:rsidRPr="00D00665">
        <w:tab/>
        <w:t>Payments from Advance to Treasurer for the financial year ended 30 June 2013</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2174"/>
        <w:gridCol w:w="6351"/>
        <w:gridCol w:w="1123"/>
      </w:tblGrid>
      <w:tr w:rsidR="000B4A1E" w:rsidRPr="00892C4B" w:rsidTr="00517E51">
        <w:trPr>
          <w:cantSplit/>
          <w:tblHeader/>
        </w:trPr>
        <w:tc>
          <w:tcPr>
            <w:tcW w:w="2174" w:type="dxa"/>
            <w:tcBorders>
              <w:top w:val="single" w:sz="4" w:space="0" w:color="auto"/>
              <w:left w:val="single" w:sz="4" w:space="0" w:color="auto"/>
              <w:bottom w:val="single" w:sz="6" w:space="0" w:color="auto"/>
              <w:right w:val="nil"/>
            </w:tcBorders>
            <w:shd w:val="clear" w:color="auto" w:fill="000000"/>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Department</w:t>
            </w:r>
          </w:p>
        </w:tc>
        <w:tc>
          <w:tcPr>
            <w:tcW w:w="6351" w:type="dxa"/>
            <w:tcBorders>
              <w:top w:val="single" w:sz="4" w:space="0" w:color="auto"/>
              <w:left w:val="nil"/>
              <w:bottom w:val="single" w:sz="6" w:space="0" w:color="auto"/>
              <w:right w:val="nil"/>
            </w:tcBorders>
            <w:shd w:val="clear" w:color="auto" w:fill="000000"/>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Purpose</w:t>
            </w:r>
          </w:p>
        </w:tc>
        <w:tc>
          <w:tcPr>
            <w:tcW w:w="1123" w:type="dxa"/>
            <w:tcBorders>
              <w:top w:val="single" w:sz="4" w:space="0" w:color="auto"/>
              <w:left w:val="nil"/>
              <w:bottom w:val="single" w:sz="6" w:space="0" w:color="auto"/>
              <w:right w:val="single" w:sz="4" w:space="0" w:color="auto"/>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2012-13</w:t>
            </w:r>
          </w:p>
        </w:tc>
      </w:tr>
      <w:tr w:rsidR="000B4A1E" w:rsidRPr="00892C4B" w:rsidTr="00517E51">
        <w:trPr>
          <w:cantSplit/>
        </w:trPr>
        <w:tc>
          <w:tcPr>
            <w:tcW w:w="2174" w:type="dxa"/>
            <w:tcBorders>
              <w:top w:val="single" w:sz="4" w:space="0" w:color="auto"/>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Education and  </w:t>
            </w:r>
          </w:p>
        </w:tc>
        <w:tc>
          <w:tcPr>
            <w:tcW w:w="6351" w:type="dxa"/>
            <w:tcBorders>
              <w:top w:val="single" w:sz="4" w:space="0" w:color="auto"/>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Kindergarten enrolment based funding</w:t>
            </w:r>
          </w:p>
        </w:tc>
        <w:tc>
          <w:tcPr>
            <w:tcW w:w="1123" w:type="dxa"/>
            <w:tcBorders>
              <w:top w:val="single" w:sz="4" w:space="0" w:color="auto"/>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11 703</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Early Childhood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Salary indexation for teachers and education support staff</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6 000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Development</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Schools enrolment based funding</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50 922</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Utilities maintenance funding associated with Mt Waverley North Primary School</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41</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Vocational education and training delivery enrolment based funding</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142 006</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Voluntary departure packages reimbursement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15 891</w:t>
            </w:r>
          </w:p>
        </w:tc>
      </w:tr>
      <w:tr w:rsidR="000B4A1E" w:rsidRPr="00892C4B" w:rsidTr="00517E51">
        <w:trPr>
          <w:cantSplit/>
        </w:trPr>
        <w:tc>
          <w:tcPr>
            <w:tcW w:w="217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226 563</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Environment and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Lake Mountain Alpine Resort debt forgiveness</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650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vertAlign w:val="superscript"/>
                <w:lang w:eastAsia="en-AU"/>
              </w:rPr>
            </w:pPr>
            <w:r w:rsidRPr="00892C4B">
              <w:rPr>
                <w:rFonts w:eastAsiaTheme="minorEastAsia"/>
                <w:sz w:val="21"/>
                <w:lang w:eastAsia="en-AU"/>
              </w:rPr>
              <w:t xml:space="preserve">Primary Industries </w:t>
            </w:r>
            <w:r w:rsidRPr="00892C4B">
              <w:rPr>
                <w:rFonts w:eastAsiaTheme="minorEastAsia"/>
                <w:sz w:val="21"/>
                <w:vertAlign w:val="superscript"/>
                <w:lang w:eastAsia="en-AU"/>
              </w:rPr>
              <w:t>(a)</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Macalister Irrigation District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Indexation – Adjustment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1 200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Restoring Victoria’s flood damaged parks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761</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Summer bushfire campaign</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1 000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Stevensons Road landfill remediation</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12 000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Valuer-General – Valuation of non-rateable assets</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3 620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Voluntary departure packages reimbursement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13 273</w:t>
            </w:r>
          </w:p>
        </w:tc>
      </w:tr>
      <w:tr w:rsidR="000B4A1E" w:rsidRPr="00892C4B" w:rsidTr="00517E51">
        <w:trPr>
          <w:cantSplit/>
        </w:trPr>
        <w:tc>
          <w:tcPr>
            <w:tcW w:w="217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single" w:sz="6"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32 704</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Health</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Voluntary departure packages reimbursement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8 341</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Equal pay decision in the social and community services sector</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5 298</w:t>
            </w:r>
          </w:p>
        </w:tc>
      </w:tr>
      <w:tr w:rsidR="000B4A1E" w:rsidRPr="00892C4B" w:rsidTr="00517E51">
        <w:trPr>
          <w:cantSplit/>
        </w:trPr>
        <w:tc>
          <w:tcPr>
            <w:tcW w:w="217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13 639</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Human Services</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Equal pay decision in the social and community services sector</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18 009</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Family violence and sexual assault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3 050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Youth Foyer 2 costs</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1 366</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Voluntary departure packages reimbursement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19 665</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Support for organisational reform</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10 230</w:t>
            </w:r>
          </w:p>
        </w:tc>
      </w:tr>
      <w:tr w:rsidR="000B4A1E" w:rsidRPr="00892C4B" w:rsidTr="00517E51">
        <w:trPr>
          <w:cantSplit/>
        </w:trPr>
        <w:tc>
          <w:tcPr>
            <w:tcW w:w="217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52 320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Justice</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Fire Services Levy Monitor</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1 297</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Summer fire campaign</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4 000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Voluntary departure packages reimbursement – DOJ</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16 108</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Voluntary departure packages reimbursement – Victoria Police</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10 232</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Victoria Police 2007 – Enterprise bargaining agreement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10 773</w:t>
            </w:r>
          </w:p>
        </w:tc>
      </w:tr>
      <w:tr w:rsidR="000B4A1E" w:rsidRPr="00892C4B" w:rsidTr="00517E51">
        <w:trPr>
          <w:cantSplit/>
        </w:trPr>
        <w:tc>
          <w:tcPr>
            <w:tcW w:w="217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single" w:sz="6"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42 410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Parliament</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Revaluation of Parliament House – Depreciation</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8 160</w:t>
            </w:r>
          </w:p>
        </w:tc>
      </w:tr>
      <w:tr w:rsidR="000B4A1E" w:rsidRPr="00892C4B" w:rsidTr="00517E51">
        <w:trPr>
          <w:cantSplit/>
        </w:trPr>
        <w:tc>
          <w:tcPr>
            <w:tcW w:w="217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single" w:sz="6"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8 160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Planning and</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Bushfire Fund prior year commitments</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379</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Community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Voluntary departure packages reimbursement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6 116</w:t>
            </w:r>
          </w:p>
        </w:tc>
      </w:tr>
      <w:tr w:rsidR="000B4A1E" w:rsidRPr="00892C4B" w:rsidTr="00517E51">
        <w:trPr>
          <w:cantSplit/>
        </w:trPr>
        <w:tc>
          <w:tcPr>
            <w:tcW w:w="217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Development</w:t>
            </w:r>
          </w:p>
        </w:tc>
        <w:tc>
          <w:tcPr>
            <w:tcW w:w="6351"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6 495</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Premier and Cabinet</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2012-13 Fire Services Levy implementation costs</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702</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Melbourne Symphony Orchestra business interruption costs</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1 600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cs="Calibri"/>
                <w:color w:val="000000"/>
                <w:sz w:val="21"/>
                <w:szCs w:val="22"/>
                <w:lang w:eastAsia="en-AU"/>
              </w:rPr>
            </w:pPr>
            <w:r w:rsidRPr="00892C4B">
              <w:rPr>
                <w:rFonts w:eastAsiaTheme="minorEastAsia"/>
                <w:sz w:val="21"/>
                <w:lang w:eastAsia="en-AU"/>
              </w:rPr>
              <w:t xml:space="preserve">Royal Exhibition Building protection </w:t>
            </w:r>
            <w:r w:rsidRPr="00892C4B">
              <w:rPr>
                <w:rFonts w:eastAsiaTheme="minorEastAsia" w:cs="Calibri"/>
                <w:color w:val="000000"/>
                <w:sz w:val="21"/>
                <w:szCs w:val="22"/>
                <w:lang w:eastAsia="en-AU"/>
              </w:rPr>
              <w:t>and promotion project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780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Voluntary departure packages reimbursement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684</w:t>
            </w:r>
          </w:p>
        </w:tc>
      </w:tr>
      <w:tr w:rsidR="000B4A1E" w:rsidRPr="00892C4B" w:rsidTr="00517E51">
        <w:trPr>
          <w:cantSplit/>
        </w:trPr>
        <w:tc>
          <w:tcPr>
            <w:tcW w:w="217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single" w:sz="6"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3 766</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Primary Industries</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Animal Welfare Fund grants program</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Fisheries cost recovery</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221</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Food and Fibre Marketing Cooperative</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1 810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Low emissions energy technology</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1 567</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Voluntary departure packages reimbursement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7 700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Flood recovery coordination</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571</w:t>
            </w:r>
          </w:p>
        </w:tc>
      </w:tr>
      <w:tr w:rsidR="000B4A1E" w:rsidRPr="00892C4B" w:rsidTr="00517E51">
        <w:trPr>
          <w:cantSplit/>
        </w:trPr>
        <w:tc>
          <w:tcPr>
            <w:tcW w:w="217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12 269</w:t>
            </w:r>
          </w:p>
        </w:tc>
      </w:tr>
    </w:tbl>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80733C" w:rsidRDefault="000B4A1E" w:rsidP="00517E51">
      <w:pPr>
        <w:pStyle w:val="Heading5"/>
        <w:rPr>
          <w:i/>
        </w:rPr>
      </w:pPr>
      <w:r w:rsidRPr="00D00665">
        <w:t>(l)</w:t>
      </w:r>
      <w:r w:rsidRPr="00D00665">
        <w:tab/>
        <w:t>Payments from Advance to Treasurer for the financial year ended 30 June 2013</w:t>
      </w:r>
      <w:r>
        <w:t xml:space="preserve"> </w:t>
      </w:r>
      <w:r>
        <w:rPr>
          <w:i/>
        </w:rPr>
        <w:t>(continued)</w:t>
      </w:r>
    </w:p>
    <w:p w:rsidR="000B4A1E" w:rsidRDefault="000B4A1E" w:rsidP="00517E51">
      <w:pPr>
        <w:pStyle w:val="million"/>
      </w:pPr>
      <w:r>
        <w:t>($ thousand)</w:t>
      </w:r>
    </w:p>
    <w:tbl>
      <w:tblPr>
        <w:tblW w:w="9648" w:type="dxa"/>
        <w:tblInd w:w="29" w:type="dxa"/>
        <w:tblLayout w:type="fixed"/>
        <w:tblCellMar>
          <w:left w:w="43" w:type="dxa"/>
          <w:right w:w="43" w:type="dxa"/>
        </w:tblCellMar>
        <w:tblLook w:val="0000" w:firstRow="0" w:lastRow="0" w:firstColumn="0" w:lastColumn="0" w:noHBand="0" w:noVBand="0"/>
      </w:tblPr>
      <w:tblGrid>
        <w:gridCol w:w="2174"/>
        <w:gridCol w:w="6210"/>
        <w:gridCol w:w="141"/>
        <w:gridCol w:w="1123"/>
      </w:tblGrid>
      <w:tr w:rsidR="000B4A1E" w:rsidRPr="00892C4B" w:rsidTr="00517E51">
        <w:trPr>
          <w:cantSplit/>
          <w:tblHeader/>
        </w:trPr>
        <w:tc>
          <w:tcPr>
            <w:tcW w:w="2174" w:type="dxa"/>
            <w:tcBorders>
              <w:top w:val="single" w:sz="4" w:space="0" w:color="auto"/>
              <w:left w:val="single" w:sz="4" w:space="0" w:color="auto"/>
              <w:bottom w:val="single" w:sz="6" w:space="0" w:color="auto"/>
              <w:right w:val="nil"/>
            </w:tcBorders>
            <w:shd w:val="clear" w:color="auto" w:fill="000000"/>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Department</w:t>
            </w:r>
          </w:p>
        </w:tc>
        <w:tc>
          <w:tcPr>
            <w:tcW w:w="6351" w:type="dxa"/>
            <w:gridSpan w:val="2"/>
            <w:tcBorders>
              <w:top w:val="single" w:sz="4" w:space="0" w:color="auto"/>
              <w:left w:val="nil"/>
              <w:bottom w:val="single" w:sz="6" w:space="0" w:color="auto"/>
              <w:right w:val="nil"/>
            </w:tcBorders>
            <w:shd w:val="clear" w:color="auto" w:fill="000000"/>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Purpose</w:t>
            </w:r>
          </w:p>
        </w:tc>
        <w:tc>
          <w:tcPr>
            <w:tcW w:w="1123" w:type="dxa"/>
            <w:tcBorders>
              <w:top w:val="single" w:sz="4" w:space="0" w:color="auto"/>
              <w:left w:val="nil"/>
              <w:bottom w:val="single" w:sz="6" w:space="0" w:color="auto"/>
              <w:right w:val="single" w:sz="4" w:space="0" w:color="auto"/>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2012-13</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ind w:left="187" w:hanging="187"/>
              <w:rPr>
                <w:rFonts w:eastAsiaTheme="minorEastAsia"/>
                <w:sz w:val="21"/>
                <w:lang w:eastAsia="en-AU"/>
              </w:rPr>
            </w:pPr>
            <w:r w:rsidRPr="00892C4B">
              <w:rPr>
                <w:rFonts w:eastAsiaTheme="minorEastAsia"/>
                <w:sz w:val="21"/>
                <w:lang w:eastAsia="en-AU"/>
              </w:rPr>
              <w:t xml:space="preserve">State Development,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Implementation of the Victorian Coal Development Strategy</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1 554</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vertAlign w:val="superscript"/>
                <w:lang w:eastAsia="en-AU"/>
              </w:rPr>
            </w:pPr>
            <w:r w:rsidRPr="00892C4B">
              <w:rPr>
                <w:rFonts w:eastAsiaTheme="minorEastAsia"/>
                <w:sz w:val="21"/>
                <w:lang w:eastAsia="en-AU"/>
              </w:rPr>
              <w:t xml:space="preserve">Business and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e-Government Innovation Fund</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2 000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Innovation </w:t>
            </w:r>
            <w:r w:rsidRPr="00892C4B">
              <w:rPr>
                <w:rFonts w:eastAsiaTheme="minorEastAsia"/>
                <w:sz w:val="21"/>
                <w:vertAlign w:val="superscript"/>
                <w:lang w:eastAsia="en-AU"/>
              </w:rPr>
              <w:t>(a)</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Voluntary departure packages reimbursement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5 050</w:t>
            </w:r>
          </w:p>
        </w:tc>
      </w:tr>
      <w:tr w:rsidR="000B4A1E" w:rsidRPr="00892C4B" w:rsidTr="00517E51">
        <w:trPr>
          <w:cantSplit/>
        </w:trPr>
        <w:tc>
          <w:tcPr>
            <w:tcW w:w="217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8 604</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Transport, Planning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2012 Victorian flood recovery – damage to road infrastructure</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2 900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vertAlign w:val="superscript"/>
                <w:lang w:eastAsia="en-AU"/>
              </w:rPr>
            </w:pPr>
            <w:r w:rsidRPr="00892C4B">
              <w:rPr>
                <w:rFonts w:eastAsiaTheme="minorEastAsia"/>
                <w:sz w:val="21"/>
                <w:lang w:eastAsia="en-AU"/>
              </w:rPr>
              <w:t xml:space="preserve">and Local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Avalon Airport Rail Link planning</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469</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Infrastructure </w:t>
            </w:r>
            <w:r w:rsidRPr="00892C4B">
              <w:rPr>
                <w:rFonts w:eastAsiaTheme="minorEastAsia"/>
                <w:sz w:val="21"/>
                <w:vertAlign w:val="superscript"/>
                <w:lang w:eastAsia="en-AU"/>
              </w:rPr>
              <w:t>(a)</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Bus services improvements</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773</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East West Link – planning and development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8 063</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Graduated licensing system</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5 000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Metropolitan bus services procurement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1 412</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Metropolitan rail contracts – energy costs</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20 000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myki (operations and customer services)</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12 000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National Heavy Vehicle Regulator Implementation Project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2 920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Protective Services Officers – Railway station infrastructure</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244</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Rail Contracts – Impact of CPI changes</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4 428</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cs="Calibri"/>
                <w:color w:val="000000"/>
                <w:sz w:val="21"/>
                <w:szCs w:val="22"/>
                <w:lang w:eastAsia="en-AU"/>
              </w:rPr>
            </w:pPr>
            <w:r w:rsidRPr="00892C4B">
              <w:rPr>
                <w:rFonts w:eastAsiaTheme="minorEastAsia"/>
                <w:sz w:val="21"/>
                <w:lang w:eastAsia="en-AU"/>
              </w:rPr>
              <w:t xml:space="preserve">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cs="Calibri"/>
                <w:color w:val="000000"/>
                <w:sz w:val="21"/>
                <w:szCs w:val="22"/>
                <w:lang w:eastAsia="en-AU"/>
              </w:rPr>
            </w:pPr>
            <w:r w:rsidRPr="00892C4B">
              <w:rPr>
                <w:rFonts w:eastAsiaTheme="minorEastAsia"/>
                <w:sz w:val="21"/>
                <w:lang w:eastAsia="en-AU"/>
              </w:rPr>
              <w:t>Taxi</w:t>
            </w:r>
            <w:r w:rsidRPr="00892C4B">
              <w:rPr>
                <w:rFonts w:eastAsiaTheme="minorEastAsia" w:cs="Calibri"/>
                <w:color w:val="000000"/>
                <w:sz w:val="21"/>
                <w:szCs w:val="22"/>
                <w:lang w:eastAsia="en-AU"/>
              </w:rPr>
              <w:t xml:space="preserve"> Services Commission – Transition and Reform Implementation</w:t>
            </w:r>
          </w:p>
        </w:tc>
        <w:tc>
          <w:tcPr>
            <w:tcW w:w="1123" w:type="dxa"/>
            <w:tcBorders>
              <w:top w:val="nil"/>
              <w:left w:val="nil"/>
              <w:bottom w:val="nil"/>
              <w:right w:val="nil"/>
            </w:tcBorders>
          </w:tcPr>
          <w:p w:rsidR="000B4A1E" w:rsidRPr="00892C4B" w:rsidRDefault="000B4A1E" w:rsidP="00517E51">
            <w:pPr>
              <w:pStyle w:val="TableofFigures"/>
              <w:rPr>
                <w:rFonts w:eastAsiaTheme="minorEastAsia" w:cs="Calibri"/>
                <w:color w:val="000000"/>
                <w:sz w:val="21"/>
                <w:szCs w:val="22"/>
                <w:lang w:eastAsia="en-AU"/>
              </w:rPr>
            </w:pPr>
            <w:r w:rsidRPr="00892C4B">
              <w:rPr>
                <w:rFonts w:eastAsiaTheme="minorEastAsia"/>
                <w:sz w:val="21"/>
                <w:lang w:eastAsia="en-AU"/>
              </w:rPr>
              <w:t xml:space="preserve"> </w:t>
            </w:r>
            <w:r w:rsidRPr="00892C4B">
              <w:rPr>
                <w:rFonts w:eastAsiaTheme="minorEastAsia" w:cs="Calibri"/>
                <w:color w:val="000000"/>
                <w:sz w:val="21"/>
                <w:szCs w:val="22"/>
                <w:lang w:eastAsia="en-AU"/>
              </w:rPr>
              <w:t>902</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Victorian Freight Logistics Plan</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1 250</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Voluntary departure packages reimbursement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22 607</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Warragul station precinct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600</w:t>
            </w:r>
          </w:p>
        </w:tc>
      </w:tr>
      <w:tr w:rsidR="000B4A1E" w:rsidRPr="00892C4B" w:rsidTr="00517E51">
        <w:trPr>
          <w:cantSplit/>
        </w:trPr>
        <w:tc>
          <w:tcPr>
            <w:tcW w:w="217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83 568</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Treasury and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Essential Services Commission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1 205</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Finance</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Fire Services Property Levy</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5 892</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Litigation legal costs</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4 257</w:t>
            </w:r>
          </w:p>
        </w:tc>
      </w:tr>
      <w:tr w:rsidR="000B4A1E" w:rsidRPr="00892C4B" w:rsidTr="00517E51">
        <w:trPr>
          <w:cantSplit/>
        </w:trPr>
        <w:tc>
          <w:tcPr>
            <w:tcW w:w="217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Voluntary departure packages reimbursement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1 479</w:t>
            </w:r>
          </w:p>
        </w:tc>
      </w:tr>
      <w:tr w:rsidR="000B4A1E" w:rsidRPr="00892C4B" w:rsidTr="00517E51">
        <w:trPr>
          <w:cantSplit/>
        </w:trPr>
        <w:tc>
          <w:tcPr>
            <w:tcW w:w="217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6351" w:type="dxa"/>
            <w:gridSpan w:val="2"/>
            <w:tcBorders>
              <w:top w:val="nil"/>
              <w:left w:val="nil"/>
              <w:bottom w:val="single" w:sz="6"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12 833</w:t>
            </w:r>
          </w:p>
        </w:tc>
      </w:tr>
      <w:tr w:rsidR="000B4A1E" w:rsidRPr="00892C4B" w:rsidTr="00517E51">
        <w:trPr>
          <w:cantSplit/>
        </w:trPr>
        <w:tc>
          <w:tcPr>
            <w:tcW w:w="8384" w:type="dxa"/>
            <w:gridSpan w:val="2"/>
            <w:tcBorders>
              <w:top w:val="single" w:sz="6" w:space="0" w:color="auto"/>
              <w:left w:val="nil"/>
              <w:bottom w:val="single" w:sz="12"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Payments from Advance to the Treasurer</w:t>
            </w:r>
          </w:p>
        </w:tc>
        <w:tc>
          <w:tcPr>
            <w:tcW w:w="141" w:type="dxa"/>
            <w:tcBorders>
              <w:top w:val="single" w:sz="6" w:space="0" w:color="auto"/>
              <w:left w:val="nil"/>
              <w:bottom w:val="single" w:sz="12"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single" w:sz="6" w:space="0" w:color="auto"/>
              <w:left w:val="nil"/>
              <w:bottom w:val="single" w:sz="12"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503 331</w:t>
            </w:r>
          </w:p>
        </w:tc>
      </w:tr>
    </w:tbl>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rsidRPr="00D00665">
        <w:tab/>
        <w:t>Effective 9 April 2013 several departments were renamed due to machinery of government changes:</w:t>
      </w:r>
    </w:p>
    <w:p w:rsidR="000B4A1E" w:rsidRPr="00D00665" w:rsidRDefault="000B4A1E" w:rsidP="00517E51">
      <w:pPr>
        <w:pStyle w:val="NotesDash"/>
        <w:tabs>
          <w:tab w:val="clear" w:pos="922"/>
          <w:tab w:val="num" w:pos="810"/>
        </w:tabs>
        <w:ind w:left="810" w:hanging="356"/>
      </w:pPr>
      <w:r w:rsidRPr="00D00665">
        <w:t xml:space="preserve">the Department of </w:t>
      </w:r>
      <w:r w:rsidR="00405D0E">
        <w:t xml:space="preserve">Sustainability and Environment became the </w:t>
      </w:r>
      <w:r w:rsidRPr="00D00665">
        <w:t>Department of Environment and Primary Industries;</w:t>
      </w:r>
    </w:p>
    <w:p w:rsidR="000B4A1E" w:rsidRPr="00D00665" w:rsidRDefault="000B4A1E" w:rsidP="00517E51">
      <w:pPr>
        <w:pStyle w:val="NotesDash"/>
        <w:tabs>
          <w:tab w:val="clear" w:pos="922"/>
          <w:tab w:val="num" w:pos="810"/>
        </w:tabs>
        <w:ind w:left="810" w:hanging="356"/>
      </w:pPr>
      <w:r w:rsidRPr="00D00665">
        <w:t>the Department of Business and Innovation became the Department of State Development, Business and Innovation; and</w:t>
      </w:r>
    </w:p>
    <w:p w:rsidR="000B4A1E" w:rsidRPr="00D00665" w:rsidRDefault="000B4A1E" w:rsidP="00517E51">
      <w:pPr>
        <w:pStyle w:val="NotesDash"/>
        <w:tabs>
          <w:tab w:val="clear" w:pos="922"/>
          <w:tab w:val="num" w:pos="810"/>
        </w:tabs>
        <w:ind w:left="810" w:hanging="356"/>
      </w:pPr>
      <w:r w:rsidRPr="00D00665">
        <w:t>the Department of Transport became the Department of Transport, Planning and Local Infrastructure.</w:t>
      </w:r>
    </w:p>
    <w:p w:rsidR="000B4A1E" w:rsidRPr="00D00665" w:rsidRDefault="000B4A1E" w:rsidP="00517E51">
      <w:pPr>
        <w:pStyle w:val="million"/>
      </w:pPr>
    </w:p>
    <w:p w:rsidR="000B4A1E" w:rsidRPr="00D00665" w:rsidRDefault="000B4A1E" w:rsidP="00517E51">
      <w:pPr>
        <w:pStyle w:val="Notes"/>
      </w:pPr>
    </w:p>
    <w:p w:rsidR="000B4A1E" w:rsidRPr="00D00665" w:rsidRDefault="000B4A1E" w:rsidP="00517E51"/>
    <w:p w:rsidR="000B4A1E" w:rsidRPr="00D00665" w:rsidRDefault="000B4A1E" w:rsidP="00517E51">
      <w:pPr>
        <w:pStyle w:val="Heading2NotesContd"/>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Tableheading"/>
      </w:pPr>
      <w:r w:rsidRPr="00D00665">
        <w:t>(m)</w:t>
      </w:r>
      <w:r w:rsidRPr="00D00665">
        <w:tab/>
        <w:t xml:space="preserve">Payments from advances pursuant to Section 35 of the </w:t>
      </w:r>
      <w:r w:rsidRPr="00D00665">
        <w:rPr>
          <w:i/>
        </w:rPr>
        <w:t>Financial Management Act 1994</w:t>
      </w:r>
      <w:r w:rsidRPr="00D00665">
        <w:t xml:space="preserve"> for the financial year ended 30 June 2013</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2984"/>
        <w:gridCol w:w="4950"/>
        <w:gridCol w:w="591"/>
        <w:gridCol w:w="1123"/>
      </w:tblGrid>
      <w:tr w:rsidR="000B4A1E" w:rsidRPr="003E2DBE" w:rsidTr="00517E51">
        <w:tc>
          <w:tcPr>
            <w:tcW w:w="2984" w:type="dxa"/>
            <w:tcBorders>
              <w:top w:val="single" w:sz="4" w:space="0" w:color="auto"/>
              <w:left w:val="single" w:sz="4" w:space="0" w:color="auto"/>
              <w:bottom w:val="single" w:sz="6" w:space="0" w:color="auto"/>
              <w:right w:val="nil"/>
            </w:tcBorders>
            <w:shd w:val="clear" w:color="auto" w:fill="000000"/>
          </w:tcPr>
          <w:p w:rsidR="000B4A1E" w:rsidRPr="003E2DBE" w:rsidRDefault="000B4A1E" w:rsidP="00517E51">
            <w:pPr>
              <w:pStyle w:val="TabletextheadingLeft"/>
              <w:rPr>
                <w:rFonts w:eastAsiaTheme="minorEastAsia"/>
                <w:lang w:eastAsia="en-AU"/>
              </w:rPr>
            </w:pPr>
            <w:r w:rsidRPr="003E2DBE">
              <w:rPr>
                <w:rFonts w:eastAsiaTheme="minorEastAsia"/>
                <w:lang w:eastAsia="en-AU"/>
              </w:rPr>
              <w:t>Department</w:t>
            </w:r>
          </w:p>
        </w:tc>
        <w:tc>
          <w:tcPr>
            <w:tcW w:w="5541" w:type="dxa"/>
            <w:gridSpan w:val="2"/>
            <w:tcBorders>
              <w:top w:val="single" w:sz="4" w:space="0" w:color="auto"/>
              <w:left w:val="nil"/>
              <w:bottom w:val="single" w:sz="6" w:space="0" w:color="auto"/>
              <w:right w:val="nil"/>
            </w:tcBorders>
            <w:shd w:val="clear" w:color="auto" w:fill="000000"/>
          </w:tcPr>
          <w:p w:rsidR="000B4A1E" w:rsidRPr="003E2DBE" w:rsidRDefault="000B4A1E" w:rsidP="00517E51">
            <w:pPr>
              <w:pStyle w:val="TabletextheadingLeft"/>
              <w:rPr>
                <w:rFonts w:eastAsiaTheme="minorEastAsia"/>
                <w:lang w:eastAsia="en-AU"/>
              </w:rPr>
            </w:pPr>
            <w:r w:rsidRPr="003E2DBE">
              <w:rPr>
                <w:rFonts w:eastAsiaTheme="minorEastAsia"/>
                <w:lang w:eastAsia="en-AU"/>
              </w:rPr>
              <w:t>Purpose</w:t>
            </w:r>
          </w:p>
        </w:tc>
        <w:tc>
          <w:tcPr>
            <w:tcW w:w="1123" w:type="dxa"/>
            <w:tcBorders>
              <w:top w:val="single" w:sz="4" w:space="0" w:color="auto"/>
              <w:left w:val="nil"/>
              <w:bottom w:val="single" w:sz="6"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2012-13</w:t>
            </w:r>
          </w:p>
        </w:tc>
      </w:tr>
      <w:tr w:rsidR="000B4A1E" w:rsidRPr="003E2DBE" w:rsidTr="00517E51">
        <w:tc>
          <w:tcPr>
            <w:tcW w:w="2984" w:type="dxa"/>
            <w:tcBorders>
              <w:top w:val="single" w:sz="4"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Education and Early Childhood</w:t>
            </w:r>
          </w:p>
        </w:tc>
        <w:tc>
          <w:tcPr>
            <w:tcW w:w="5541" w:type="dxa"/>
            <w:gridSpan w:val="2"/>
            <w:tcBorders>
              <w:top w:val="single" w:sz="4"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Mt Waverley North Primary School</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1 000</w:t>
            </w:r>
          </w:p>
        </w:tc>
      </w:tr>
      <w:tr w:rsidR="000B4A1E" w:rsidRPr="003E2DBE" w:rsidTr="00517E51">
        <w:tc>
          <w:tcPr>
            <w:tcW w:w="298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Development</w:t>
            </w:r>
          </w:p>
        </w:tc>
        <w:tc>
          <w:tcPr>
            <w:tcW w:w="5541"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1 000</w:t>
            </w:r>
          </w:p>
        </w:tc>
      </w:tr>
      <w:tr w:rsidR="000B4A1E" w:rsidRPr="003E2DBE" w:rsidTr="00517E51">
        <w:tc>
          <w:tcPr>
            <w:tcW w:w="2984" w:type="dxa"/>
            <w:tcBorders>
              <w:top w:val="single" w:sz="6"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Environment and </w:t>
            </w:r>
          </w:p>
        </w:tc>
        <w:tc>
          <w:tcPr>
            <w:tcW w:w="5541" w:type="dxa"/>
            <w:gridSpan w:val="2"/>
            <w:tcBorders>
              <w:top w:val="single" w:sz="6"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2012-13 fire season </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99 322</w:t>
            </w:r>
          </w:p>
        </w:tc>
      </w:tr>
      <w:tr w:rsidR="000B4A1E" w:rsidRPr="003E2DBE" w:rsidTr="00517E51">
        <w:tc>
          <w:tcPr>
            <w:tcW w:w="2984" w:type="dxa"/>
            <w:tcBorders>
              <w:top w:val="nil"/>
              <w:left w:val="nil"/>
              <w:bottom w:val="single" w:sz="6" w:space="0" w:color="auto"/>
              <w:right w:val="nil"/>
            </w:tcBorders>
          </w:tcPr>
          <w:p w:rsidR="000B4A1E" w:rsidRPr="003E2DBE" w:rsidRDefault="000B4A1E" w:rsidP="00517E51">
            <w:pPr>
              <w:pStyle w:val="Tabletext"/>
              <w:rPr>
                <w:rFonts w:eastAsiaTheme="minorEastAsia"/>
                <w:vertAlign w:val="superscript"/>
                <w:lang w:eastAsia="en-AU"/>
              </w:rPr>
            </w:pPr>
            <w:r w:rsidRPr="003E2DBE">
              <w:rPr>
                <w:rFonts w:eastAsiaTheme="minorEastAsia"/>
                <w:lang w:eastAsia="en-AU"/>
              </w:rPr>
              <w:t xml:space="preserve">Primary Industries </w:t>
            </w:r>
            <w:r w:rsidRPr="003E2DBE">
              <w:rPr>
                <w:rFonts w:eastAsiaTheme="minorEastAsia"/>
                <w:vertAlign w:val="superscript"/>
                <w:lang w:eastAsia="en-AU"/>
              </w:rPr>
              <w:t>(a)</w:t>
            </w:r>
          </w:p>
        </w:tc>
        <w:tc>
          <w:tcPr>
            <w:tcW w:w="5541"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99 322</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Health</w:t>
            </w:r>
          </w:p>
        </w:tc>
        <w:tc>
          <w:tcPr>
            <w:tcW w:w="5541"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Revision to hypothecated revenue estimates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91 000</w:t>
            </w:r>
          </w:p>
        </w:tc>
      </w:tr>
      <w:tr w:rsidR="000B4A1E" w:rsidRPr="003E2DBE" w:rsidTr="00517E51">
        <w:tc>
          <w:tcPr>
            <w:tcW w:w="298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5541"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91 000</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Human Services</w:t>
            </w:r>
          </w:p>
        </w:tc>
        <w:tc>
          <w:tcPr>
            <w:tcW w:w="5541"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Concessions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9 500</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5541"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Youth Foyer 2 costs</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500</w:t>
            </w:r>
          </w:p>
        </w:tc>
      </w:tr>
      <w:tr w:rsidR="000B4A1E" w:rsidRPr="003E2DBE" w:rsidTr="00517E51">
        <w:tc>
          <w:tcPr>
            <w:tcW w:w="2984" w:type="dxa"/>
            <w:tcBorders>
              <w:top w:val="nil"/>
              <w:left w:val="nil"/>
              <w:bottom w:val="single" w:sz="6" w:space="0" w:color="auto"/>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 xml:space="preserve"> </w:t>
            </w:r>
          </w:p>
        </w:tc>
        <w:tc>
          <w:tcPr>
            <w:tcW w:w="5541"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sz w:val="18"/>
                <w:lang w:eastAsia="en-AU"/>
              </w:rPr>
            </w:pPr>
            <w:r w:rsidRPr="003E2DBE">
              <w:rPr>
                <w:rFonts w:eastAsiaTheme="minorEastAsia"/>
                <w:sz w:val="18"/>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10 000</w:t>
            </w:r>
          </w:p>
        </w:tc>
      </w:tr>
      <w:tr w:rsidR="000B4A1E" w:rsidRPr="003E2DBE" w:rsidTr="00517E51">
        <w:tc>
          <w:tcPr>
            <w:tcW w:w="2984" w:type="dxa"/>
            <w:tcBorders>
              <w:top w:val="single" w:sz="6"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Planning and Community Development</w:t>
            </w:r>
          </w:p>
        </w:tc>
        <w:tc>
          <w:tcPr>
            <w:tcW w:w="5541" w:type="dxa"/>
            <w:gridSpan w:val="2"/>
            <w:tcBorders>
              <w:top w:val="single" w:sz="6" w:space="0" w:color="auto"/>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Melbourne Park redevelopment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2 670</w:t>
            </w:r>
          </w:p>
        </w:tc>
      </w:tr>
      <w:tr w:rsidR="000B4A1E" w:rsidRPr="003E2DBE" w:rsidTr="00517E51">
        <w:tc>
          <w:tcPr>
            <w:tcW w:w="2984" w:type="dxa"/>
            <w:tcBorders>
              <w:top w:val="nil"/>
              <w:left w:val="nil"/>
              <w:bottom w:val="single" w:sz="6" w:space="0" w:color="auto"/>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 xml:space="preserve"> </w:t>
            </w:r>
          </w:p>
        </w:tc>
        <w:tc>
          <w:tcPr>
            <w:tcW w:w="5541"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sz w:val="20"/>
                <w:lang w:eastAsia="en-AU"/>
              </w:rPr>
            </w:pPr>
            <w:r w:rsidRPr="003E2DBE">
              <w:rPr>
                <w:rFonts w:eastAsiaTheme="minorEastAsia"/>
                <w:sz w:val="20"/>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2 670</w:t>
            </w:r>
          </w:p>
        </w:tc>
      </w:tr>
      <w:tr w:rsidR="000B4A1E" w:rsidRPr="003E2DBE" w:rsidTr="00517E51">
        <w:tc>
          <w:tcPr>
            <w:tcW w:w="298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5541"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7934" w:type="dxa"/>
            <w:gridSpan w:val="2"/>
            <w:tcBorders>
              <w:top w:val="nil"/>
              <w:left w:val="nil"/>
              <w:bottom w:val="single" w:sz="12" w:space="0" w:color="auto"/>
              <w:right w:val="nil"/>
            </w:tcBorders>
          </w:tcPr>
          <w:p w:rsidR="000B4A1E" w:rsidRPr="003E2DBE" w:rsidRDefault="000B4A1E" w:rsidP="00517E51">
            <w:pPr>
              <w:pStyle w:val="Tabletext"/>
              <w:rPr>
                <w:rFonts w:eastAsiaTheme="minorEastAsia"/>
                <w:b/>
                <w:lang w:eastAsia="en-AU"/>
              </w:rPr>
            </w:pPr>
            <w:r w:rsidRPr="003E2DBE">
              <w:rPr>
                <w:rFonts w:eastAsiaTheme="minorEastAsia"/>
                <w:b/>
                <w:lang w:eastAsia="en-AU"/>
              </w:rPr>
              <w:t>Total payments from advances pursuant to 2012-13 pursuant of Section 35 (4) of the Financial Management Act 1994.</w:t>
            </w:r>
          </w:p>
        </w:tc>
        <w:tc>
          <w:tcPr>
            <w:tcW w:w="591" w:type="dxa"/>
            <w:tcBorders>
              <w:top w:val="nil"/>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203 992</w:t>
            </w:r>
          </w:p>
        </w:tc>
      </w:tr>
    </w:tbl>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rsidRPr="00D00665">
        <w:tab/>
        <w:t>Effective 9 April 201</w:t>
      </w:r>
      <w:r w:rsidR="00667BF1">
        <w:t>3</w:t>
      </w:r>
      <w:r w:rsidRPr="00D00665">
        <w:t xml:space="preserve">, the Department of </w:t>
      </w:r>
      <w:r w:rsidR="00405D0E">
        <w:t xml:space="preserve">Sustainability and Environment became the </w:t>
      </w:r>
      <w:r w:rsidRPr="00D00665">
        <w:t>Department of Environment and Primary Industries due to machinery of government changes.</w:t>
      </w:r>
    </w:p>
    <w:p w:rsidR="000B4A1E" w:rsidRPr="00D00665" w:rsidRDefault="000B4A1E" w:rsidP="00517E51"/>
    <w:p w:rsidR="000B4A1E" w:rsidRPr="00D00665" w:rsidRDefault="000B4A1E" w:rsidP="00517E51">
      <w:pPr>
        <w:pStyle w:val="Tableheading"/>
      </w:pPr>
      <w:r w:rsidRPr="00D00665">
        <w:t>(n)</w:t>
      </w:r>
      <w:r w:rsidRPr="00D00665">
        <w:tab/>
        <w:t>Unused advances carried forward to 2012</w:t>
      </w:r>
      <w:r w:rsidRPr="00D00665">
        <w:noBreakHyphen/>
        <w:t xml:space="preserve">13 pursuant to Section 35(4) of the </w:t>
      </w:r>
      <w:r w:rsidRPr="00D00665">
        <w:rPr>
          <w:i/>
        </w:rPr>
        <w:t>Financial Management Act 1994</w:t>
      </w:r>
    </w:p>
    <w:p w:rsidR="000B4A1E" w:rsidRPr="00D00665" w:rsidRDefault="000B4A1E" w:rsidP="00517E51">
      <w:r w:rsidRPr="00D00665">
        <w:t>There have been no amounts carried forward to 2012</w:t>
      </w:r>
      <w:r w:rsidRPr="00D00665">
        <w:noBreakHyphen/>
        <w:t xml:space="preserve">13 under Section 35(4) of the </w:t>
      </w:r>
      <w:r w:rsidRPr="00D00665">
        <w:rPr>
          <w:i/>
        </w:rPr>
        <w:t>Financial Management Act, No. 18 of 1994</w:t>
      </w:r>
      <w:r w:rsidRPr="00D00665">
        <w:t>.</w:t>
      </w:r>
    </w:p>
    <w:p w:rsidR="000B4A1E" w:rsidRPr="00D00665" w:rsidRDefault="000B4A1E" w:rsidP="00517E51">
      <w:pPr>
        <w:pStyle w:val="Heading2NotesContd"/>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Tableheading"/>
      </w:pPr>
      <w:r w:rsidRPr="00D00665">
        <w:t>(o)</w:t>
      </w:r>
      <w:r w:rsidRPr="00D00665">
        <w:tab/>
        <w:t>Parliamentary authority – Parliament</w:t>
      </w:r>
    </w:p>
    <w:p w:rsidR="000B4A1E" w:rsidRPr="0080733C" w:rsidRDefault="000B4A1E" w:rsidP="00517E51">
      <w:pPr>
        <w:pStyle w:val="million"/>
      </w:pPr>
      <w:r w:rsidRPr="00D00665">
        <w:t>($ thousand</w:t>
      </w:r>
      <w:r>
        <w:t>)</w:t>
      </w:r>
    </w:p>
    <w:tbl>
      <w:tblPr>
        <w:tblW w:w="9648" w:type="dxa"/>
        <w:tblInd w:w="29" w:type="dxa"/>
        <w:tblLayout w:type="fixed"/>
        <w:tblCellMar>
          <w:left w:w="43" w:type="dxa"/>
          <w:right w:w="43" w:type="dxa"/>
        </w:tblCellMar>
        <w:tblLook w:val="0000" w:firstRow="0" w:lastRow="0" w:firstColumn="0" w:lastColumn="0" w:noHBand="0" w:noVBand="0"/>
      </w:tblPr>
      <w:tblGrid>
        <w:gridCol w:w="5864"/>
        <w:gridCol w:w="1538"/>
        <w:gridCol w:w="1123"/>
        <w:gridCol w:w="1123"/>
      </w:tblGrid>
      <w:tr w:rsidR="000B4A1E" w:rsidRPr="00845C27" w:rsidTr="00517E51">
        <w:trPr>
          <w:cantSplit/>
          <w:tblHeader/>
        </w:trPr>
        <w:tc>
          <w:tcPr>
            <w:tcW w:w="5864" w:type="dxa"/>
            <w:tcBorders>
              <w:top w:val="single" w:sz="4" w:space="0" w:color="auto"/>
              <w:left w:val="single" w:sz="4" w:space="0" w:color="auto"/>
              <w:bottom w:val="nil"/>
              <w:right w:val="nil"/>
            </w:tcBorders>
            <w:shd w:val="clear" w:color="auto" w:fill="000000"/>
          </w:tcPr>
          <w:p w:rsidR="000B4A1E" w:rsidRPr="00845C27" w:rsidRDefault="000B4A1E" w:rsidP="00517E51">
            <w:pPr>
              <w:pStyle w:val="Tabletext"/>
              <w:rPr>
                <w:rFonts w:eastAsiaTheme="minorEastAsia"/>
                <w:lang w:eastAsia="en-AU"/>
              </w:rPr>
            </w:pPr>
            <w:r w:rsidRPr="00845C27">
              <w:rPr>
                <w:rFonts w:eastAsiaTheme="minorEastAsia"/>
                <w:lang w:eastAsia="en-AU"/>
              </w:rPr>
              <w:t xml:space="preserve"> </w:t>
            </w:r>
          </w:p>
        </w:tc>
        <w:tc>
          <w:tcPr>
            <w:tcW w:w="1538" w:type="dxa"/>
            <w:tcBorders>
              <w:top w:val="single" w:sz="4" w:space="0" w:color="auto"/>
              <w:left w:val="nil"/>
              <w:bottom w:val="nil"/>
              <w:right w:val="nil"/>
            </w:tcBorders>
            <w:shd w:val="clear" w:color="auto" w:fill="000000"/>
          </w:tcPr>
          <w:p w:rsidR="000B4A1E" w:rsidRPr="00845C27" w:rsidRDefault="000B4A1E" w:rsidP="00517E51">
            <w:pPr>
              <w:pStyle w:val="Tabletextheading"/>
              <w:rPr>
                <w:rFonts w:eastAsiaTheme="minorEastAsia"/>
                <w:lang w:eastAsia="en-AU"/>
              </w:rPr>
            </w:pPr>
            <w:r w:rsidRPr="00845C27">
              <w:t>Parliamentary</w:t>
            </w:r>
            <w:r w:rsidRPr="00845C27">
              <w:rPr>
                <w:rFonts w:eastAsiaTheme="minorEastAsia"/>
                <w:lang w:eastAsia="en-AU"/>
              </w:rPr>
              <w:t xml:space="preserve"> </w:t>
            </w:r>
          </w:p>
        </w:tc>
        <w:tc>
          <w:tcPr>
            <w:tcW w:w="1123" w:type="dxa"/>
            <w:tcBorders>
              <w:top w:val="single" w:sz="4" w:space="0" w:color="auto"/>
              <w:left w:val="nil"/>
              <w:bottom w:val="nil"/>
              <w:right w:val="nil"/>
            </w:tcBorders>
            <w:shd w:val="clear" w:color="auto" w:fill="000000"/>
          </w:tcPr>
          <w:p w:rsidR="000B4A1E" w:rsidRPr="00845C27" w:rsidRDefault="000B4A1E" w:rsidP="00517E51">
            <w:pPr>
              <w:pStyle w:val="Tabletextheading"/>
              <w:rPr>
                <w:rFonts w:eastAsiaTheme="minorEastAsia"/>
                <w:lang w:eastAsia="en-AU"/>
              </w:rPr>
            </w:pPr>
            <w:r w:rsidRPr="00845C27">
              <w:rPr>
                <w:rFonts w:eastAsiaTheme="minorEastAsia"/>
                <w:lang w:eastAsia="en-AU"/>
              </w:rPr>
              <w:t xml:space="preserve">Amounts </w:t>
            </w:r>
          </w:p>
        </w:tc>
        <w:tc>
          <w:tcPr>
            <w:tcW w:w="1123" w:type="dxa"/>
            <w:tcBorders>
              <w:top w:val="single" w:sz="4" w:space="0" w:color="auto"/>
              <w:left w:val="nil"/>
              <w:bottom w:val="nil"/>
              <w:right w:val="single" w:sz="4" w:space="0" w:color="auto"/>
            </w:tcBorders>
            <w:shd w:val="clear" w:color="auto" w:fill="000000"/>
          </w:tcPr>
          <w:p w:rsidR="000B4A1E" w:rsidRPr="00845C27" w:rsidRDefault="000B4A1E" w:rsidP="00517E51">
            <w:pPr>
              <w:pStyle w:val="Tabletextheading"/>
              <w:rPr>
                <w:rFonts w:eastAsiaTheme="minorEastAsia"/>
                <w:lang w:eastAsia="en-AU"/>
              </w:rPr>
            </w:pPr>
            <w:r w:rsidRPr="00845C27">
              <w:rPr>
                <w:rFonts w:eastAsiaTheme="minorEastAsia"/>
                <w:lang w:eastAsia="en-AU"/>
              </w:rPr>
              <w:t xml:space="preserve">Amounts </w:t>
            </w:r>
          </w:p>
        </w:tc>
      </w:tr>
      <w:tr w:rsidR="000B4A1E" w:rsidRPr="00845C27" w:rsidTr="00517E51">
        <w:trPr>
          <w:cantSplit/>
          <w:tblHeader/>
        </w:trPr>
        <w:tc>
          <w:tcPr>
            <w:tcW w:w="5864" w:type="dxa"/>
            <w:tcBorders>
              <w:top w:val="nil"/>
              <w:left w:val="single" w:sz="4" w:space="0" w:color="auto"/>
              <w:bottom w:val="single" w:sz="4" w:space="0" w:color="auto"/>
              <w:right w:val="nil"/>
            </w:tcBorders>
            <w:shd w:val="clear" w:color="auto" w:fill="000000"/>
          </w:tcPr>
          <w:p w:rsidR="000B4A1E" w:rsidRPr="00845C27" w:rsidRDefault="000B4A1E" w:rsidP="00517E51">
            <w:pPr>
              <w:pStyle w:val="Tabletext"/>
              <w:rPr>
                <w:rFonts w:eastAsiaTheme="minorEastAsia"/>
                <w:lang w:eastAsia="en-AU"/>
              </w:rPr>
            </w:pPr>
            <w:r w:rsidRPr="00845C27">
              <w:rPr>
                <w:rFonts w:eastAsiaTheme="minorEastAsia"/>
                <w:lang w:eastAsia="en-AU"/>
              </w:rPr>
              <w:t xml:space="preserve"> </w:t>
            </w:r>
          </w:p>
        </w:tc>
        <w:tc>
          <w:tcPr>
            <w:tcW w:w="1538" w:type="dxa"/>
            <w:tcBorders>
              <w:top w:val="nil"/>
              <w:left w:val="nil"/>
              <w:bottom w:val="single" w:sz="4" w:space="0" w:color="auto"/>
              <w:right w:val="nil"/>
            </w:tcBorders>
            <w:shd w:val="clear" w:color="auto" w:fill="000000"/>
          </w:tcPr>
          <w:p w:rsidR="000B4A1E" w:rsidRPr="00845C27" w:rsidRDefault="000B4A1E" w:rsidP="00517E51">
            <w:pPr>
              <w:pStyle w:val="Tabletextheading"/>
              <w:rPr>
                <w:rFonts w:eastAsiaTheme="minorEastAsia"/>
                <w:lang w:eastAsia="en-AU"/>
              </w:rPr>
            </w:pPr>
            <w:r w:rsidRPr="00845C27">
              <w:rPr>
                <w:rFonts w:eastAsiaTheme="minorEastAsia"/>
                <w:lang w:eastAsia="en-AU"/>
              </w:rPr>
              <w:t>authority</w:t>
            </w:r>
          </w:p>
        </w:tc>
        <w:tc>
          <w:tcPr>
            <w:tcW w:w="1123" w:type="dxa"/>
            <w:tcBorders>
              <w:top w:val="nil"/>
              <w:left w:val="nil"/>
              <w:bottom w:val="single" w:sz="4" w:space="0" w:color="auto"/>
              <w:right w:val="nil"/>
            </w:tcBorders>
            <w:shd w:val="clear" w:color="auto" w:fill="000000"/>
          </w:tcPr>
          <w:p w:rsidR="000B4A1E" w:rsidRPr="00845C27" w:rsidRDefault="000B4A1E" w:rsidP="00517E51">
            <w:pPr>
              <w:pStyle w:val="Tabletextheading"/>
              <w:rPr>
                <w:rFonts w:eastAsiaTheme="minorEastAsia"/>
                <w:lang w:eastAsia="en-AU"/>
              </w:rPr>
            </w:pPr>
            <w:r w:rsidRPr="00845C27">
              <w:rPr>
                <w:rFonts w:eastAsiaTheme="minorEastAsia"/>
                <w:lang w:eastAsia="en-AU"/>
              </w:rPr>
              <w:t>applied</w:t>
            </w:r>
          </w:p>
        </w:tc>
        <w:tc>
          <w:tcPr>
            <w:tcW w:w="1123" w:type="dxa"/>
            <w:tcBorders>
              <w:top w:val="nil"/>
              <w:left w:val="nil"/>
              <w:bottom w:val="single" w:sz="4" w:space="0" w:color="auto"/>
              <w:right w:val="single" w:sz="4" w:space="0" w:color="auto"/>
            </w:tcBorders>
            <w:shd w:val="clear" w:color="auto" w:fill="000000"/>
          </w:tcPr>
          <w:p w:rsidR="000B4A1E" w:rsidRPr="00845C27" w:rsidRDefault="000B4A1E" w:rsidP="00517E51">
            <w:pPr>
              <w:pStyle w:val="Tabletextheading"/>
              <w:rPr>
                <w:rFonts w:eastAsiaTheme="minorEastAsia"/>
                <w:lang w:eastAsia="en-AU"/>
              </w:rPr>
            </w:pPr>
            <w:r w:rsidRPr="00845C27">
              <w:rPr>
                <w:rFonts w:eastAsiaTheme="minorEastAsia"/>
                <w:lang w:eastAsia="en-AU"/>
              </w:rPr>
              <w:t>applied</w:t>
            </w:r>
          </w:p>
        </w:tc>
      </w:tr>
      <w:tr w:rsidR="000B4A1E" w:rsidRPr="00845C27" w:rsidTr="00517E51">
        <w:trPr>
          <w:cantSplit/>
          <w:tblHeader/>
        </w:trPr>
        <w:tc>
          <w:tcPr>
            <w:tcW w:w="5864" w:type="dxa"/>
            <w:tcBorders>
              <w:top w:val="single" w:sz="4" w:space="0" w:color="auto"/>
              <w:left w:val="single" w:sz="4" w:space="0" w:color="auto"/>
              <w:bottom w:val="single" w:sz="6" w:space="0" w:color="auto"/>
              <w:right w:val="nil"/>
            </w:tcBorders>
            <w:shd w:val="solid" w:color="000000" w:fill="auto"/>
          </w:tcPr>
          <w:p w:rsidR="000B4A1E" w:rsidRPr="0080733C" w:rsidRDefault="000B4A1E" w:rsidP="00517E51">
            <w:pPr>
              <w:pStyle w:val="Tabletext"/>
              <w:rPr>
                <w:rFonts w:eastAsiaTheme="minorEastAsia"/>
                <w:b/>
                <w:bCs/>
                <w:i/>
                <w:lang w:eastAsia="en-AU"/>
              </w:rPr>
            </w:pPr>
            <w:r w:rsidRPr="0080733C">
              <w:rPr>
                <w:rFonts w:eastAsiaTheme="minorEastAsia"/>
                <w:i/>
                <w:lang w:eastAsia="en-AU"/>
              </w:rPr>
              <w:t>Legislative Assembly</w:t>
            </w:r>
          </w:p>
        </w:tc>
        <w:tc>
          <w:tcPr>
            <w:tcW w:w="1538" w:type="dxa"/>
            <w:tcBorders>
              <w:top w:val="single" w:sz="4" w:space="0" w:color="auto"/>
              <w:left w:val="nil"/>
              <w:bottom w:val="single" w:sz="6" w:space="0" w:color="auto"/>
              <w:right w:val="nil"/>
            </w:tcBorders>
            <w:shd w:val="solid" w:color="000000" w:fill="auto"/>
          </w:tcPr>
          <w:p w:rsidR="000B4A1E" w:rsidRPr="00845C27" w:rsidRDefault="000B4A1E" w:rsidP="00517E51">
            <w:pPr>
              <w:pStyle w:val="Tabletextheading"/>
              <w:rPr>
                <w:rFonts w:eastAsiaTheme="minorEastAsia"/>
                <w:lang w:eastAsia="en-AU"/>
              </w:rPr>
            </w:pPr>
            <w:r w:rsidRPr="00845C27">
              <w:rPr>
                <w:rFonts w:eastAsiaTheme="minorEastAsia"/>
                <w:lang w:eastAsia="en-AU"/>
              </w:rPr>
              <w:t>2013</w:t>
            </w:r>
          </w:p>
        </w:tc>
        <w:tc>
          <w:tcPr>
            <w:tcW w:w="1123" w:type="dxa"/>
            <w:tcBorders>
              <w:top w:val="single" w:sz="4" w:space="0" w:color="auto"/>
              <w:left w:val="nil"/>
              <w:bottom w:val="single" w:sz="6" w:space="0" w:color="auto"/>
              <w:right w:val="nil"/>
            </w:tcBorders>
            <w:shd w:val="solid" w:color="000000" w:fill="auto"/>
          </w:tcPr>
          <w:p w:rsidR="000B4A1E" w:rsidRPr="00845C27" w:rsidRDefault="000B4A1E" w:rsidP="00517E51">
            <w:pPr>
              <w:pStyle w:val="Tabletextheading"/>
              <w:rPr>
                <w:rFonts w:eastAsiaTheme="minorEastAsia"/>
                <w:lang w:eastAsia="en-AU"/>
              </w:rPr>
            </w:pPr>
            <w:r w:rsidRPr="00845C27">
              <w:rPr>
                <w:rFonts w:eastAsiaTheme="minorEastAsia"/>
                <w:lang w:eastAsia="en-AU"/>
              </w:rPr>
              <w:t>2013</w:t>
            </w:r>
          </w:p>
        </w:tc>
        <w:tc>
          <w:tcPr>
            <w:tcW w:w="1123" w:type="dxa"/>
            <w:tcBorders>
              <w:top w:val="single" w:sz="4" w:space="0" w:color="auto"/>
              <w:left w:val="nil"/>
              <w:bottom w:val="single" w:sz="6" w:space="0" w:color="auto"/>
              <w:right w:val="single" w:sz="4" w:space="0" w:color="auto"/>
            </w:tcBorders>
            <w:shd w:val="solid" w:color="000000" w:fill="auto"/>
          </w:tcPr>
          <w:p w:rsidR="000B4A1E" w:rsidRPr="00845C27" w:rsidRDefault="000B4A1E" w:rsidP="00517E51">
            <w:pPr>
              <w:pStyle w:val="Tabletextheading"/>
              <w:rPr>
                <w:rFonts w:eastAsiaTheme="minorEastAsia"/>
                <w:lang w:eastAsia="en-AU"/>
              </w:rPr>
            </w:pPr>
            <w:r w:rsidRPr="00845C27">
              <w:rPr>
                <w:rFonts w:eastAsiaTheme="minorEastAsia"/>
                <w:lang w:eastAsia="en-AU"/>
              </w:rPr>
              <w:t>2012</w:t>
            </w:r>
          </w:p>
        </w:tc>
      </w:tr>
      <w:tr w:rsidR="000B4A1E" w:rsidRPr="00845C27" w:rsidTr="00517E51">
        <w:trPr>
          <w:cantSplit/>
        </w:trPr>
        <w:tc>
          <w:tcPr>
            <w:tcW w:w="5864" w:type="dxa"/>
            <w:tcBorders>
              <w:top w:val="single" w:sz="4" w:space="0" w:color="auto"/>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Special appropriations</w:t>
            </w:r>
          </w:p>
        </w:tc>
        <w:tc>
          <w:tcPr>
            <w:tcW w:w="1538" w:type="dxa"/>
            <w:tcBorders>
              <w:top w:val="single" w:sz="4" w:space="0" w:color="auto"/>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w:t>
            </w:r>
          </w:p>
        </w:tc>
        <w:tc>
          <w:tcPr>
            <w:tcW w:w="1123" w:type="dxa"/>
            <w:tcBorders>
              <w:top w:val="single" w:sz="4" w:space="0" w:color="auto"/>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w:t>
            </w:r>
          </w:p>
        </w:tc>
        <w:tc>
          <w:tcPr>
            <w:tcW w:w="1123" w:type="dxa"/>
            <w:tcBorders>
              <w:top w:val="single" w:sz="4" w:space="0" w:color="auto"/>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2B34BA">
              <w:rPr>
                <w:rFonts w:eastAsiaTheme="minorEastAsia"/>
                <w:i/>
                <w:color w:val="000000"/>
                <w:lang w:eastAsia="en-AU"/>
              </w:rPr>
              <w:t>Audit Act, No. 2 of 1994</w:t>
            </w:r>
            <w:r w:rsidRPr="00845C27">
              <w:rPr>
                <w:rFonts w:eastAsiaTheme="minorEastAsia"/>
                <w:color w:val="000000"/>
                <w:lang w:eastAsia="en-AU"/>
              </w:rPr>
              <w:t xml:space="preserve"> – Aud</w:t>
            </w:r>
            <w:r>
              <w:rPr>
                <w:rFonts w:eastAsiaTheme="minorEastAsia"/>
                <w:color w:val="000000"/>
                <w:lang w:eastAsia="en-AU"/>
              </w:rPr>
              <w:t>it of the Office of the Auditor</w:t>
            </w:r>
            <w:r>
              <w:rPr>
                <w:rFonts w:eastAsiaTheme="minorEastAsia"/>
                <w:color w:val="000000"/>
                <w:lang w:eastAsia="en-AU"/>
              </w:rPr>
              <w:noBreakHyphen/>
            </w:r>
            <w:r w:rsidRPr="00845C27">
              <w:rPr>
                <w:rFonts w:eastAsiaTheme="minorEastAsia"/>
                <w:color w:val="000000"/>
                <w:lang w:eastAsia="en-AU"/>
              </w:rPr>
              <w:t>General</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16</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16</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15</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2B34BA">
              <w:rPr>
                <w:rFonts w:eastAsiaTheme="minorEastAsia"/>
                <w:i/>
                <w:color w:val="000000"/>
                <w:lang w:eastAsia="en-AU"/>
              </w:rPr>
              <w:t>Constitution Act, No. 8750 of 1975</w:t>
            </w:r>
            <w:r w:rsidRPr="00845C27">
              <w:rPr>
                <w:rFonts w:eastAsiaTheme="minorEastAsia"/>
                <w:color w:val="000000"/>
                <w:lang w:eastAsia="en-AU"/>
              </w:rPr>
              <w:t xml:space="preserve"> – Clerk of the Parliaments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2B34BA">
              <w:rPr>
                <w:rFonts w:eastAsiaTheme="minorEastAsia"/>
                <w:i/>
                <w:color w:val="000000"/>
                <w:lang w:eastAsia="en-AU"/>
              </w:rPr>
              <w:t>Constitution Act, No. 8750 of 1975</w:t>
            </w:r>
            <w:r w:rsidRPr="00845C27">
              <w:rPr>
                <w:rFonts w:eastAsiaTheme="minorEastAsia"/>
                <w:color w:val="000000"/>
                <w:lang w:eastAsia="en-AU"/>
              </w:rPr>
              <w:t xml:space="preserve"> – Legislative Assembly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550</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550</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550</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2B34BA">
              <w:rPr>
                <w:rFonts w:eastAsiaTheme="minorEastAsia"/>
                <w:i/>
                <w:color w:val="000000"/>
                <w:lang w:eastAsia="en-AU"/>
              </w:rPr>
              <w:t xml:space="preserve">Parliamentary Salaries and </w:t>
            </w:r>
            <w:r>
              <w:rPr>
                <w:rFonts w:eastAsiaTheme="minorEastAsia"/>
                <w:i/>
                <w:color w:val="000000"/>
                <w:lang w:eastAsia="en-AU"/>
              </w:rPr>
              <w:t>Superannuation Act, No. 7723 of </w:t>
            </w:r>
            <w:r w:rsidRPr="002B34BA">
              <w:rPr>
                <w:rFonts w:eastAsiaTheme="minorEastAsia"/>
                <w:i/>
                <w:color w:val="000000"/>
                <w:lang w:eastAsia="en-AU"/>
              </w:rPr>
              <w:t>1968</w:t>
            </w:r>
            <w:r w:rsidRPr="00845C27">
              <w:rPr>
                <w:rFonts w:eastAsiaTheme="minorEastAsia"/>
                <w:color w:val="000000"/>
                <w:lang w:eastAsia="en-AU"/>
              </w:rPr>
              <w:t xml:space="preserve"> – Salaries and Allowances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15 046</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15 046</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14 645</w:t>
            </w:r>
          </w:p>
        </w:tc>
      </w:tr>
      <w:tr w:rsidR="000B4A1E" w:rsidRPr="00845C27" w:rsidTr="00517E51">
        <w:trPr>
          <w:cantSplit/>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color w:val="000000"/>
                <w:lang w:eastAsia="en-AU"/>
              </w:rPr>
            </w:pPr>
            <w:r w:rsidRPr="002B34BA">
              <w:rPr>
                <w:rFonts w:eastAsiaTheme="minorEastAsia"/>
                <w:i/>
                <w:color w:val="000000"/>
                <w:lang w:eastAsia="en-AU"/>
              </w:rPr>
              <w:t xml:space="preserve">Parliamentary Salaries and </w:t>
            </w:r>
            <w:r>
              <w:rPr>
                <w:rFonts w:eastAsiaTheme="minorEastAsia"/>
                <w:i/>
                <w:color w:val="000000"/>
                <w:lang w:eastAsia="en-AU"/>
              </w:rPr>
              <w:t>Superannuation Act, No. 7723 of </w:t>
            </w:r>
            <w:r w:rsidRPr="002B34BA">
              <w:rPr>
                <w:rFonts w:eastAsiaTheme="minorEastAsia"/>
                <w:i/>
                <w:color w:val="000000"/>
                <w:lang w:eastAsia="en-AU"/>
              </w:rPr>
              <w:t>1968</w:t>
            </w:r>
            <w:r w:rsidRPr="00845C27">
              <w:rPr>
                <w:rFonts w:eastAsiaTheme="minorEastAsia"/>
                <w:color w:val="000000"/>
                <w:lang w:eastAsia="en-AU"/>
              </w:rPr>
              <w:t xml:space="preserve"> – Section 13(1)(c) Contributions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6 394</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6 394</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6 394</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special appropriations</w:t>
            </w:r>
          </w:p>
        </w:tc>
        <w:tc>
          <w:tcPr>
            <w:tcW w:w="1538" w:type="dxa"/>
            <w:tcBorders>
              <w:top w:val="single" w:sz="6" w:space="0" w:color="auto"/>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22 008</w:t>
            </w:r>
          </w:p>
        </w:tc>
        <w:tc>
          <w:tcPr>
            <w:tcW w:w="1123" w:type="dxa"/>
            <w:tcBorders>
              <w:top w:val="single" w:sz="6" w:space="0" w:color="auto"/>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22 008</w:t>
            </w:r>
          </w:p>
        </w:tc>
        <w:tc>
          <w:tcPr>
            <w:tcW w:w="1123" w:type="dxa"/>
            <w:tcBorders>
              <w:top w:val="single" w:sz="6" w:space="0" w:color="auto"/>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21 606</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Annual appropriations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Provision of outputs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Provision of outputs – net application</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4 444</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4 411</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4 557</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provision of outputs – gross application</w:t>
            </w:r>
          </w:p>
        </w:tc>
        <w:tc>
          <w:tcPr>
            <w:tcW w:w="1538"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4 444</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4 411</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4 557</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annual appropriations – gross application</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4 444</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4 411</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4 557</w:t>
            </w:r>
          </w:p>
        </w:tc>
      </w:tr>
      <w:tr w:rsidR="000B4A1E" w:rsidRPr="00845C27" w:rsidTr="00517E51">
        <w:trPr>
          <w:trHeight w:hRule="exact" w:val="120"/>
        </w:trPr>
        <w:tc>
          <w:tcPr>
            <w:tcW w:w="5864" w:type="dxa"/>
            <w:tcBorders>
              <w:top w:val="single" w:sz="6" w:space="0" w:color="auto"/>
              <w:left w:val="nil"/>
              <w:bottom w:val="nil"/>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 xml:space="preserve">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single" w:sz="6" w:space="0" w:color="auto"/>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Parliamentary authority</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26 452</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26 419</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26 163</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w:t>
            </w:r>
          </w:p>
        </w:tc>
      </w:tr>
      <w:tr w:rsidR="000B4A1E" w:rsidRPr="00845C27" w:rsidTr="00517E51">
        <w:trPr>
          <w:cantSplit/>
        </w:trPr>
        <w:tc>
          <w:tcPr>
            <w:tcW w:w="5864" w:type="dxa"/>
            <w:tcBorders>
              <w:top w:val="single" w:sz="6" w:space="0" w:color="auto"/>
              <w:left w:val="single" w:sz="6" w:space="0" w:color="auto"/>
              <w:bottom w:val="single" w:sz="6" w:space="0" w:color="auto"/>
              <w:right w:val="nil"/>
            </w:tcBorders>
            <w:shd w:val="solid" w:color="000000" w:fill="auto"/>
          </w:tcPr>
          <w:p w:rsidR="000B4A1E" w:rsidRPr="00845C27" w:rsidRDefault="000B4A1E" w:rsidP="00517E51">
            <w:pPr>
              <w:pStyle w:val="TabletextheadingLeft"/>
              <w:rPr>
                <w:rFonts w:eastAsiaTheme="minorEastAsia"/>
                <w:lang w:eastAsia="en-AU"/>
              </w:rPr>
            </w:pPr>
            <w:r w:rsidRPr="00845C27">
              <w:rPr>
                <w:rFonts w:eastAsiaTheme="minorEastAsia"/>
                <w:lang w:eastAsia="en-AU"/>
              </w:rPr>
              <w:t>Legislative Council</w:t>
            </w:r>
          </w:p>
        </w:tc>
        <w:tc>
          <w:tcPr>
            <w:tcW w:w="1538" w:type="dxa"/>
            <w:tcBorders>
              <w:top w:val="single" w:sz="6" w:space="0" w:color="auto"/>
              <w:left w:val="single" w:sz="6" w:space="0" w:color="auto"/>
              <w:bottom w:val="single" w:sz="6" w:space="0" w:color="auto"/>
              <w:right w:val="nil"/>
            </w:tcBorders>
            <w:shd w:val="solid" w:color="000000" w:fill="auto"/>
          </w:tcPr>
          <w:p w:rsidR="000B4A1E" w:rsidRPr="00845C27" w:rsidRDefault="000B4A1E" w:rsidP="00517E51">
            <w:pPr>
              <w:pStyle w:val="TableofFigures"/>
              <w:rPr>
                <w:rFonts w:eastAsiaTheme="minorEastAsia"/>
                <w:b/>
                <w:bCs/>
                <w:lang w:eastAsia="en-AU"/>
              </w:rPr>
            </w:pPr>
            <w:r w:rsidRPr="00845C27">
              <w:rPr>
                <w:rFonts w:eastAsiaTheme="minorEastAsia"/>
                <w:b/>
                <w:bCs/>
                <w:lang w:eastAsia="en-AU"/>
              </w:rPr>
              <w:t xml:space="preserve"> </w:t>
            </w:r>
          </w:p>
        </w:tc>
        <w:tc>
          <w:tcPr>
            <w:tcW w:w="1123" w:type="dxa"/>
            <w:tcBorders>
              <w:top w:val="single" w:sz="6" w:space="0" w:color="auto"/>
              <w:left w:val="single" w:sz="6" w:space="0" w:color="auto"/>
              <w:bottom w:val="single" w:sz="6" w:space="0" w:color="auto"/>
              <w:right w:val="nil"/>
            </w:tcBorders>
            <w:shd w:val="solid" w:color="000000" w:fill="auto"/>
          </w:tcPr>
          <w:p w:rsidR="000B4A1E" w:rsidRPr="00845C27" w:rsidRDefault="000B4A1E" w:rsidP="00517E51">
            <w:pPr>
              <w:pStyle w:val="TableofFigures"/>
              <w:rPr>
                <w:rFonts w:eastAsiaTheme="minorEastAsia"/>
                <w:b/>
                <w:bCs/>
                <w:lang w:eastAsia="en-AU"/>
              </w:rPr>
            </w:pPr>
            <w:r w:rsidRPr="00845C27">
              <w:rPr>
                <w:rFonts w:eastAsiaTheme="minorEastAsia"/>
                <w:b/>
                <w:bCs/>
                <w:lang w:eastAsia="en-AU"/>
              </w:rPr>
              <w:t xml:space="preserve"> </w:t>
            </w:r>
          </w:p>
        </w:tc>
        <w:tc>
          <w:tcPr>
            <w:tcW w:w="1123" w:type="dxa"/>
            <w:tcBorders>
              <w:top w:val="single" w:sz="6" w:space="0" w:color="auto"/>
              <w:left w:val="nil"/>
              <w:bottom w:val="single" w:sz="6" w:space="0" w:color="auto"/>
              <w:right w:val="single" w:sz="6" w:space="0" w:color="auto"/>
            </w:tcBorders>
            <w:shd w:val="solid" w:color="000000" w:fill="auto"/>
          </w:tcPr>
          <w:p w:rsidR="000B4A1E" w:rsidRPr="00845C27" w:rsidRDefault="000B4A1E" w:rsidP="00517E51">
            <w:pPr>
              <w:pStyle w:val="TableofFigures"/>
              <w:rPr>
                <w:rFonts w:eastAsiaTheme="minorEastAsia"/>
                <w:lang w:eastAsia="en-AU"/>
              </w:rPr>
            </w:pPr>
            <w:r w:rsidRPr="00845C27">
              <w:rPr>
                <w:rFonts w:eastAsiaTheme="minorEastAsia"/>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Special appropriations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2B34BA">
              <w:rPr>
                <w:rFonts w:eastAsiaTheme="minorEastAsia"/>
                <w:i/>
                <w:color w:val="000000"/>
                <w:lang w:eastAsia="en-AU"/>
              </w:rPr>
              <w:t>Audit Act, No. 2 of 1994</w:t>
            </w:r>
            <w:r w:rsidRPr="00845C27">
              <w:rPr>
                <w:rFonts w:eastAsiaTheme="minorEastAsia"/>
                <w:color w:val="000000"/>
                <w:lang w:eastAsia="en-AU"/>
              </w:rPr>
              <w:t xml:space="preserve"> – Aud</w:t>
            </w:r>
            <w:r>
              <w:rPr>
                <w:rFonts w:eastAsiaTheme="minorEastAsia"/>
                <w:color w:val="000000"/>
                <w:lang w:eastAsia="en-AU"/>
              </w:rPr>
              <w:t>it of the Office of the Auditor</w:t>
            </w:r>
            <w:r>
              <w:rPr>
                <w:rFonts w:eastAsiaTheme="minorEastAsia"/>
                <w:color w:val="000000"/>
                <w:lang w:eastAsia="en-AU"/>
              </w:rPr>
              <w:noBreakHyphen/>
            </w:r>
            <w:r w:rsidRPr="00845C27">
              <w:rPr>
                <w:rFonts w:eastAsiaTheme="minorEastAsia"/>
                <w:color w:val="000000"/>
                <w:lang w:eastAsia="en-AU"/>
              </w:rPr>
              <w:t>General</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16</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16</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15</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2B34BA">
              <w:rPr>
                <w:rFonts w:eastAsiaTheme="minorEastAsia"/>
                <w:i/>
                <w:color w:val="000000"/>
                <w:lang w:eastAsia="en-AU"/>
              </w:rPr>
              <w:t>Constitution Act, No. 8750 of 1975</w:t>
            </w:r>
            <w:r w:rsidRPr="00845C27">
              <w:rPr>
                <w:rFonts w:eastAsiaTheme="minorEastAsia"/>
                <w:color w:val="000000"/>
                <w:lang w:eastAsia="en-AU"/>
              </w:rPr>
              <w:t xml:space="preserve"> – Legislative Council</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200</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200</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200</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2B34BA">
              <w:rPr>
                <w:rFonts w:eastAsiaTheme="minorEastAsia"/>
                <w:i/>
                <w:color w:val="000000"/>
                <w:lang w:eastAsia="en-AU"/>
              </w:rPr>
              <w:t xml:space="preserve">Parliamentary Salaries and </w:t>
            </w:r>
            <w:r>
              <w:rPr>
                <w:rFonts w:eastAsiaTheme="minorEastAsia"/>
                <w:i/>
                <w:color w:val="000000"/>
                <w:lang w:eastAsia="en-AU"/>
              </w:rPr>
              <w:t>Superannuation Act, No. 7723 of </w:t>
            </w:r>
            <w:r w:rsidRPr="002B34BA">
              <w:rPr>
                <w:rFonts w:eastAsiaTheme="minorEastAsia"/>
                <w:i/>
                <w:color w:val="000000"/>
                <w:lang w:eastAsia="en-AU"/>
              </w:rPr>
              <w:t>1968</w:t>
            </w:r>
            <w:r w:rsidRPr="00845C27">
              <w:rPr>
                <w:rFonts w:eastAsiaTheme="minorEastAsia"/>
                <w:color w:val="000000"/>
                <w:lang w:eastAsia="en-AU"/>
              </w:rPr>
              <w:t xml:space="preserve"> – Salaries and Allowances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7 507</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7 507</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7 369</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2B34BA">
              <w:rPr>
                <w:rFonts w:eastAsiaTheme="minorEastAsia"/>
                <w:i/>
                <w:color w:val="000000"/>
                <w:lang w:eastAsia="en-AU"/>
              </w:rPr>
              <w:t xml:space="preserve">Parliamentary Salaries and </w:t>
            </w:r>
            <w:r>
              <w:rPr>
                <w:rFonts w:eastAsiaTheme="minorEastAsia"/>
                <w:i/>
                <w:color w:val="000000"/>
                <w:lang w:eastAsia="en-AU"/>
              </w:rPr>
              <w:t>Superannuation Act, No. 7723 of </w:t>
            </w:r>
            <w:r w:rsidRPr="002B34BA">
              <w:rPr>
                <w:rFonts w:eastAsiaTheme="minorEastAsia"/>
                <w:i/>
                <w:color w:val="000000"/>
                <w:lang w:eastAsia="en-AU"/>
              </w:rPr>
              <w:t>1968</w:t>
            </w:r>
            <w:r w:rsidRPr="00845C27">
              <w:rPr>
                <w:rFonts w:eastAsiaTheme="minorEastAsia"/>
                <w:color w:val="000000"/>
                <w:lang w:eastAsia="en-AU"/>
              </w:rPr>
              <w:t xml:space="preserve">, Section 13 (1)(c) – Contributions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2 906</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2 906</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2 906</w:t>
            </w:r>
          </w:p>
        </w:tc>
      </w:tr>
      <w:tr w:rsidR="000B4A1E" w:rsidRPr="00845C27" w:rsidTr="00517E51">
        <w:trPr>
          <w:cantSplit/>
        </w:trPr>
        <w:tc>
          <w:tcPr>
            <w:tcW w:w="5864" w:type="dxa"/>
            <w:tcBorders>
              <w:top w:val="single" w:sz="6" w:space="0" w:color="auto"/>
              <w:left w:val="nil"/>
              <w:bottom w:val="single" w:sz="6" w:space="0" w:color="auto"/>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special appropriations</w:t>
            </w:r>
          </w:p>
        </w:tc>
        <w:tc>
          <w:tcPr>
            <w:tcW w:w="1538"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10 630</w:t>
            </w:r>
          </w:p>
        </w:tc>
        <w:tc>
          <w:tcPr>
            <w:tcW w:w="1123"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10 630</w:t>
            </w:r>
          </w:p>
        </w:tc>
        <w:tc>
          <w:tcPr>
            <w:tcW w:w="1123"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10 490</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 xml:space="preserve">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Annual appropriations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Provision of outputs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Provision of outputs – net application</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2 861</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2 861</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2 934</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provision of outputs – gross application</w:t>
            </w:r>
          </w:p>
        </w:tc>
        <w:tc>
          <w:tcPr>
            <w:tcW w:w="1538"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2 861</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2 861</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2 934</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annual appropriations gross application</w:t>
            </w:r>
          </w:p>
        </w:tc>
        <w:tc>
          <w:tcPr>
            <w:tcW w:w="1538"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2 861</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2 861</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2 934</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 xml:space="preserve"> </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single" w:sz="6" w:space="0" w:color="auto"/>
              <w:left w:val="nil"/>
              <w:bottom w:val="single" w:sz="6" w:space="0" w:color="auto"/>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Parliamentary authority</w:t>
            </w:r>
          </w:p>
        </w:tc>
        <w:tc>
          <w:tcPr>
            <w:tcW w:w="1538"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13 491</w:t>
            </w:r>
          </w:p>
        </w:tc>
        <w:tc>
          <w:tcPr>
            <w:tcW w:w="1123"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13 490</w:t>
            </w:r>
          </w:p>
        </w:tc>
        <w:tc>
          <w:tcPr>
            <w:tcW w:w="1123"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13 424</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w:t>
            </w:r>
          </w:p>
        </w:tc>
      </w:tr>
      <w:tr w:rsidR="000B4A1E" w:rsidRPr="00845C27" w:rsidTr="00517E51">
        <w:trPr>
          <w:cantSplit/>
        </w:trPr>
        <w:tc>
          <w:tcPr>
            <w:tcW w:w="5864" w:type="dxa"/>
            <w:tcBorders>
              <w:top w:val="single" w:sz="6" w:space="0" w:color="auto"/>
              <w:left w:val="single" w:sz="6" w:space="0" w:color="auto"/>
              <w:bottom w:val="single" w:sz="6" w:space="0" w:color="auto"/>
              <w:right w:val="nil"/>
            </w:tcBorders>
            <w:shd w:val="solid" w:color="000000" w:fill="auto"/>
          </w:tcPr>
          <w:p w:rsidR="000B4A1E" w:rsidRPr="00845C27" w:rsidRDefault="000B4A1E" w:rsidP="00517E51">
            <w:pPr>
              <w:pStyle w:val="TabletextheadingLeft"/>
              <w:rPr>
                <w:rFonts w:eastAsiaTheme="minorEastAsia"/>
                <w:lang w:eastAsia="en-AU"/>
              </w:rPr>
            </w:pPr>
            <w:r w:rsidRPr="00845C27">
              <w:rPr>
                <w:rFonts w:eastAsiaTheme="minorEastAsia"/>
                <w:lang w:eastAsia="en-AU"/>
              </w:rPr>
              <w:t>Parliamentary Investigatory Committees</w:t>
            </w:r>
          </w:p>
        </w:tc>
        <w:tc>
          <w:tcPr>
            <w:tcW w:w="1538" w:type="dxa"/>
            <w:tcBorders>
              <w:top w:val="single" w:sz="6" w:space="0" w:color="auto"/>
              <w:left w:val="single" w:sz="6" w:space="0" w:color="auto"/>
              <w:bottom w:val="single" w:sz="6" w:space="0" w:color="auto"/>
              <w:right w:val="nil"/>
            </w:tcBorders>
            <w:shd w:val="solid" w:color="000000" w:fill="auto"/>
          </w:tcPr>
          <w:p w:rsidR="000B4A1E" w:rsidRPr="00845C27" w:rsidRDefault="000B4A1E" w:rsidP="00517E51">
            <w:pPr>
              <w:pStyle w:val="TableofFigures"/>
              <w:rPr>
                <w:rFonts w:eastAsiaTheme="minorEastAsia"/>
                <w:b/>
                <w:bCs/>
                <w:lang w:eastAsia="en-AU"/>
              </w:rPr>
            </w:pPr>
            <w:r w:rsidRPr="00845C27">
              <w:rPr>
                <w:rFonts w:eastAsiaTheme="minorEastAsia"/>
                <w:b/>
                <w:bCs/>
                <w:lang w:eastAsia="en-AU"/>
              </w:rPr>
              <w:t xml:space="preserve"> </w:t>
            </w:r>
          </w:p>
        </w:tc>
        <w:tc>
          <w:tcPr>
            <w:tcW w:w="1123" w:type="dxa"/>
            <w:tcBorders>
              <w:top w:val="single" w:sz="6" w:space="0" w:color="auto"/>
              <w:left w:val="single" w:sz="6" w:space="0" w:color="auto"/>
              <w:bottom w:val="single" w:sz="6" w:space="0" w:color="auto"/>
              <w:right w:val="nil"/>
            </w:tcBorders>
            <w:shd w:val="solid" w:color="000000" w:fill="auto"/>
          </w:tcPr>
          <w:p w:rsidR="000B4A1E" w:rsidRPr="00845C27" w:rsidRDefault="000B4A1E" w:rsidP="00517E51">
            <w:pPr>
              <w:pStyle w:val="TableofFigures"/>
              <w:rPr>
                <w:rFonts w:eastAsiaTheme="minorEastAsia"/>
                <w:b/>
                <w:bCs/>
                <w:lang w:eastAsia="en-AU"/>
              </w:rPr>
            </w:pPr>
            <w:r w:rsidRPr="00845C27">
              <w:rPr>
                <w:rFonts w:eastAsiaTheme="minorEastAsia"/>
                <w:b/>
                <w:bCs/>
                <w:lang w:eastAsia="en-AU"/>
              </w:rPr>
              <w:t xml:space="preserve"> </w:t>
            </w:r>
          </w:p>
        </w:tc>
        <w:tc>
          <w:tcPr>
            <w:tcW w:w="1123" w:type="dxa"/>
            <w:tcBorders>
              <w:top w:val="single" w:sz="6" w:space="0" w:color="auto"/>
              <w:left w:val="nil"/>
              <w:bottom w:val="single" w:sz="6" w:space="0" w:color="auto"/>
              <w:right w:val="single" w:sz="6" w:space="0" w:color="auto"/>
            </w:tcBorders>
            <w:shd w:val="solid" w:color="000000" w:fill="auto"/>
          </w:tcPr>
          <w:p w:rsidR="000B4A1E" w:rsidRPr="00845C27" w:rsidRDefault="000B4A1E" w:rsidP="00517E51">
            <w:pPr>
              <w:pStyle w:val="TableofFigures"/>
              <w:rPr>
                <w:rFonts w:eastAsiaTheme="minorEastAsia"/>
                <w:lang w:eastAsia="en-AU"/>
              </w:rPr>
            </w:pPr>
            <w:r w:rsidRPr="00845C27">
              <w:rPr>
                <w:rFonts w:eastAsiaTheme="minorEastAsia"/>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Annual appropriations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Provision of outputs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Provision of outputs – net application</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6 678</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6 676</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6 898</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provision of outputs – gross application</w:t>
            </w:r>
          </w:p>
        </w:tc>
        <w:tc>
          <w:tcPr>
            <w:tcW w:w="1538"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6 678</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6 676</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6 898</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annual appropriations – gross application</w:t>
            </w:r>
          </w:p>
        </w:tc>
        <w:tc>
          <w:tcPr>
            <w:tcW w:w="1538"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6 678</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6 676</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6 898</w:t>
            </w:r>
          </w:p>
        </w:tc>
      </w:tr>
      <w:tr w:rsidR="000B4A1E" w:rsidRPr="00845C27" w:rsidTr="00517E51">
        <w:trPr>
          <w:trHeight w:hRule="exact" w:val="120"/>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 xml:space="preserve"> </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single" w:sz="6" w:space="0" w:color="auto"/>
              <w:left w:val="nil"/>
              <w:bottom w:val="single" w:sz="6" w:space="0" w:color="auto"/>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Parliamentary authority</w:t>
            </w:r>
          </w:p>
        </w:tc>
        <w:tc>
          <w:tcPr>
            <w:tcW w:w="1538"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6 678</w:t>
            </w:r>
          </w:p>
        </w:tc>
        <w:tc>
          <w:tcPr>
            <w:tcW w:w="1123"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6 676</w:t>
            </w:r>
          </w:p>
        </w:tc>
        <w:tc>
          <w:tcPr>
            <w:tcW w:w="1123"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6 898</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w:t>
            </w:r>
          </w:p>
        </w:tc>
      </w:tr>
    </w:tbl>
    <w:p w:rsidR="000B4A1E" w:rsidRDefault="000B4A1E">
      <w:pPr>
        <w:rPr>
          <w:i/>
        </w:rPr>
      </w:pPr>
      <w:r>
        <w:rPr>
          <w:i/>
        </w:rPr>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Default="000B4A1E" w:rsidP="00517E51">
      <w:pPr>
        <w:pStyle w:val="Tableheading"/>
        <w:rPr>
          <w:i/>
        </w:rPr>
      </w:pPr>
      <w:r w:rsidRPr="00D00665">
        <w:t>(o)</w:t>
      </w:r>
      <w:r w:rsidRPr="00D00665">
        <w:tab/>
        <w:t>Parliamentary authority – Parliament</w:t>
      </w:r>
      <w:r>
        <w:t xml:space="preserve"> </w:t>
      </w:r>
      <w:r>
        <w:rPr>
          <w:i/>
        </w:rPr>
        <w:t>(continued)</w:t>
      </w:r>
    </w:p>
    <w:p w:rsidR="000B4A1E" w:rsidRPr="0080733C" w:rsidRDefault="000B4A1E" w:rsidP="00517E51">
      <w:pPr>
        <w:pStyle w:val="million"/>
      </w:pPr>
      <w:r>
        <w:t>($ thousand)</w:t>
      </w:r>
    </w:p>
    <w:tbl>
      <w:tblPr>
        <w:tblW w:w="9648" w:type="dxa"/>
        <w:tblInd w:w="29" w:type="dxa"/>
        <w:tblLayout w:type="fixed"/>
        <w:tblCellMar>
          <w:left w:w="43" w:type="dxa"/>
          <w:right w:w="43" w:type="dxa"/>
        </w:tblCellMar>
        <w:tblLook w:val="0000" w:firstRow="0" w:lastRow="0" w:firstColumn="0" w:lastColumn="0" w:noHBand="0" w:noVBand="0"/>
      </w:tblPr>
      <w:tblGrid>
        <w:gridCol w:w="5864"/>
        <w:gridCol w:w="1538"/>
        <w:gridCol w:w="1123"/>
        <w:gridCol w:w="1123"/>
      </w:tblGrid>
      <w:tr w:rsidR="000B4A1E" w:rsidRPr="00845C27" w:rsidTr="00517E51">
        <w:trPr>
          <w:cantSplit/>
          <w:tblHeader/>
        </w:trPr>
        <w:tc>
          <w:tcPr>
            <w:tcW w:w="5864" w:type="dxa"/>
            <w:tcBorders>
              <w:top w:val="single" w:sz="4" w:space="0" w:color="auto"/>
              <w:left w:val="single" w:sz="4" w:space="0" w:color="auto"/>
              <w:bottom w:val="nil"/>
              <w:right w:val="nil"/>
            </w:tcBorders>
            <w:shd w:val="clear" w:color="auto" w:fill="000000"/>
          </w:tcPr>
          <w:p w:rsidR="000B4A1E" w:rsidRPr="00845C27" w:rsidRDefault="000B4A1E" w:rsidP="00517E51">
            <w:pPr>
              <w:pStyle w:val="Tabletext"/>
              <w:rPr>
                <w:rFonts w:eastAsiaTheme="minorEastAsia"/>
                <w:lang w:eastAsia="en-AU"/>
              </w:rPr>
            </w:pPr>
          </w:p>
        </w:tc>
        <w:tc>
          <w:tcPr>
            <w:tcW w:w="1538" w:type="dxa"/>
            <w:tcBorders>
              <w:top w:val="single" w:sz="4" w:space="0" w:color="auto"/>
              <w:left w:val="nil"/>
              <w:bottom w:val="nil"/>
              <w:right w:val="nil"/>
            </w:tcBorders>
            <w:shd w:val="clear" w:color="auto" w:fill="000000"/>
          </w:tcPr>
          <w:p w:rsidR="000B4A1E" w:rsidRPr="00845C27" w:rsidRDefault="000B4A1E" w:rsidP="00517E51">
            <w:pPr>
              <w:pStyle w:val="Tabletextheading"/>
              <w:rPr>
                <w:rFonts w:eastAsiaTheme="minorEastAsia"/>
                <w:lang w:eastAsia="en-AU"/>
              </w:rPr>
            </w:pPr>
            <w:r w:rsidRPr="00845C27">
              <w:t>Parliamentary</w:t>
            </w:r>
            <w:r w:rsidRPr="00845C27">
              <w:rPr>
                <w:rFonts w:eastAsiaTheme="minorEastAsia"/>
                <w:lang w:eastAsia="en-AU"/>
              </w:rPr>
              <w:t xml:space="preserve"> </w:t>
            </w:r>
          </w:p>
        </w:tc>
        <w:tc>
          <w:tcPr>
            <w:tcW w:w="1123" w:type="dxa"/>
            <w:tcBorders>
              <w:top w:val="single" w:sz="4" w:space="0" w:color="auto"/>
              <w:left w:val="nil"/>
              <w:bottom w:val="nil"/>
              <w:right w:val="nil"/>
            </w:tcBorders>
            <w:shd w:val="clear" w:color="auto" w:fill="000000"/>
          </w:tcPr>
          <w:p w:rsidR="000B4A1E" w:rsidRPr="00845C27" w:rsidRDefault="000B4A1E" w:rsidP="00517E51">
            <w:pPr>
              <w:pStyle w:val="Tabletextheading"/>
              <w:rPr>
                <w:rFonts w:eastAsiaTheme="minorEastAsia"/>
                <w:lang w:eastAsia="en-AU"/>
              </w:rPr>
            </w:pPr>
            <w:r w:rsidRPr="00845C27">
              <w:rPr>
                <w:rFonts w:eastAsiaTheme="minorEastAsia"/>
                <w:lang w:eastAsia="en-AU"/>
              </w:rPr>
              <w:t xml:space="preserve">Amounts </w:t>
            </w:r>
          </w:p>
        </w:tc>
        <w:tc>
          <w:tcPr>
            <w:tcW w:w="1123" w:type="dxa"/>
            <w:tcBorders>
              <w:top w:val="single" w:sz="4" w:space="0" w:color="auto"/>
              <w:left w:val="nil"/>
              <w:bottom w:val="nil"/>
              <w:right w:val="single" w:sz="4" w:space="0" w:color="auto"/>
            </w:tcBorders>
            <w:shd w:val="clear" w:color="auto" w:fill="000000"/>
          </w:tcPr>
          <w:p w:rsidR="000B4A1E" w:rsidRPr="00845C27" w:rsidRDefault="000B4A1E" w:rsidP="00517E51">
            <w:pPr>
              <w:pStyle w:val="Tabletextheading"/>
              <w:rPr>
                <w:rFonts w:eastAsiaTheme="minorEastAsia"/>
                <w:lang w:eastAsia="en-AU"/>
              </w:rPr>
            </w:pPr>
            <w:r w:rsidRPr="00845C27">
              <w:rPr>
                <w:rFonts w:eastAsiaTheme="minorEastAsia"/>
                <w:lang w:eastAsia="en-AU"/>
              </w:rPr>
              <w:t xml:space="preserve">Amounts </w:t>
            </w:r>
          </w:p>
        </w:tc>
      </w:tr>
      <w:tr w:rsidR="000B4A1E" w:rsidRPr="00845C27" w:rsidTr="00517E51">
        <w:trPr>
          <w:cantSplit/>
          <w:tblHeader/>
        </w:trPr>
        <w:tc>
          <w:tcPr>
            <w:tcW w:w="5864" w:type="dxa"/>
            <w:tcBorders>
              <w:top w:val="nil"/>
              <w:left w:val="single" w:sz="4" w:space="0" w:color="auto"/>
              <w:bottom w:val="single" w:sz="4" w:space="0" w:color="auto"/>
              <w:right w:val="nil"/>
            </w:tcBorders>
            <w:shd w:val="clear" w:color="auto" w:fill="000000"/>
          </w:tcPr>
          <w:p w:rsidR="000B4A1E" w:rsidRPr="00845C27" w:rsidRDefault="000B4A1E" w:rsidP="00517E51">
            <w:pPr>
              <w:pStyle w:val="Tabletext"/>
              <w:rPr>
                <w:rFonts w:eastAsiaTheme="minorEastAsia"/>
                <w:lang w:eastAsia="en-AU"/>
              </w:rPr>
            </w:pPr>
            <w:r w:rsidRPr="00845C27">
              <w:rPr>
                <w:rFonts w:eastAsiaTheme="minorEastAsia"/>
                <w:lang w:eastAsia="en-AU"/>
              </w:rPr>
              <w:t xml:space="preserve"> </w:t>
            </w:r>
          </w:p>
        </w:tc>
        <w:tc>
          <w:tcPr>
            <w:tcW w:w="1538" w:type="dxa"/>
            <w:tcBorders>
              <w:top w:val="nil"/>
              <w:left w:val="nil"/>
              <w:bottom w:val="single" w:sz="4" w:space="0" w:color="auto"/>
              <w:right w:val="nil"/>
            </w:tcBorders>
            <w:shd w:val="clear" w:color="auto" w:fill="000000"/>
          </w:tcPr>
          <w:p w:rsidR="000B4A1E" w:rsidRPr="00845C27" w:rsidRDefault="000B4A1E" w:rsidP="00517E51">
            <w:pPr>
              <w:pStyle w:val="Tabletextheading"/>
              <w:rPr>
                <w:rFonts w:eastAsiaTheme="minorEastAsia"/>
                <w:lang w:eastAsia="en-AU"/>
              </w:rPr>
            </w:pPr>
            <w:r w:rsidRPr="00845C27">
              <w:rPr>
                <w:rFonts w:eastAsiaTheme="minorEastAsia"/>
                <w:lang w:eastAsia="en-AU"/>
              </w:rPr>
              <w:t>authority</w:t>
            </w:r>
          </w:p>
        </w:tc>
        <w:tc>
          <w:tcPr>
            <w:tcW w:w="1123" w:type="dxa"/>
            <w:tcBorders>
              <w:top w:val="nil"/>
              <w:left w:val="nil"/>
              <w:bottom w:val="single" w:sz="4" w:space="0" w:color="auto"/>
              <w:right w:val="nil"/>
            </w:tcBorders>
            <w:shd w:val="clear" w:color="auto" w:fill="000000"/>
          </w:tcPr>
          <w:p w:rsidR="000B4A1E" w:rsidRPr="00845C27" w:rsidRDefault="000B4A1E" w:rsidP="00517E51">
            <w:pPr>
              <w:pStyle w:val="Tabletextheading"/>
              <w:rPr>
                <w:rFonts w:eastAsiaTheme="minorEastAsia"/>
                <w:lang w:eastAsia="en-AU"/>
              </w:rPr>
            </w:pPr>
            <w:r w:rsidRPr="00845C27">
              <w:rPr>
                <w:rFonts w:eastAsiaTheme="minorEastAsia"/>
                <w:lang w:eastAsia="en-AU"/>
              </w:rPr>
              <w:t>applied</w:t>
            </w:r>
          </w:p>
        </w:tc>
        <w:tc>
          <w:tcPr>
            <w:tcW w:w="1123" w:type="dxa"/>
            <w:tcBorders>
              <w:top w:val="nil"/>
              <w:left w:val="nil"/>
              <w:bottom w:val="single" w:sz="4" w:space="0" w:color="auto"/>
              <w:right w:val="single" w:sz="4" w:space="0" w:color="auto"/>
            </w:tcBorders>
            <w:shd w:val="clear" w:color="auto" w:fill="000000"/>
          </w:tcPr>
          <w:p w:rsidR="000B4A1E" w:rsidRPr="00845C27" w:rsidRDefault="000B4A1E" w:rsidP="00517E51">
            <w:pPr>
              <w:pStyle w:val="Tabletextheading"/>
              <w:rPr>
                <w:rFonts w:eastAsiaTheme="minorEastAsia"/>
                <w:lang w:eastAsia="en-AU"/>
              </w:rPr>
            </w:pPr>
            <w:r w:rsidRPr="00845C27">
              <w:rPr>
                <w:rFonts w:eastAsiaTheme="minorEastAsia"/>
                <w:lang w:eastAsia="en-AU"/>
              </w:rPr>
              <w:t>applied</w:t>
            </w:r>
          </w:p>
        </w:tc>
      </w:tr>
      <w:tr w:rsidR="000B4A1E" w:rsidRPr="00845C27" w:rsidTr="00517E51">
        <w:trPr>
          <w:cantSplit/>
          <w:tblHeader/>
        </w:trPr>
        <w:tc>
          <w:tcPr>
            <w:tcW w:w="5864" w:type="dxa"/>
            <w:tcBorders>
              <w:top w:val="single" w:sz="4" w:space="0" w:color="auto"/>
              <w:left w:val="single" w:sz="4" w:space="0" w:color="auto"/>
              <w:bottom w:val="single" w:sz="6" w:space="0" w:color="auto"/>
              <w:right w:val="nil"/>
            </w:tcBorders>
            <w:shd w:val="solid" w:color="000000" w:fill="auto"/>
          </w:tcPr>
          <w:p w:rsidR="000B4A1E" w:rsidRPr="0080733C" w:rsidRDefault="000B4A1E" w:rsidP="00517E51">
            <w:pPr>
              <w:pStyle w:val="Tabletext"/>
              <w:rPr>
                <w:rFonts w:eastAsiaTheme="minorEastAsia"/>
                <w:b/>
                <w:bCs/>
                <w:i/>
                <w:lang w:eastAsia="en-AU"/>
              </w:rPr>
            </w:pPr>
            <w:r w:rsidRPr="0080733C">
              <w:rPr>
                <w:rFonts w:eastAsiaTheme="minorEastAsia"/>
                <w:i/>
                <w:lang w:eastAsia="en-AU"/>
              </w:rPr>
              <w:t>Parliamentary Services</w:t>
            </w:r>
          </w:p>
        </w:tc>
        <w:tc>
          <w:tcPr>
            <w:tcW w:w="1538" w:type="dxa"/>
            <w:tcBorders>
              <w:top w:val="single" w:sz="4" w:space="0" w:color="auto"/>
              <w:left w:val="nil"/>
              <w:bottom w:val="single" w:sz="6" w:space="0" w:color="auto"/>
              <w:right w:val="nil"/>
            </w:tcBorders>
            <w:shd w:val="solid" w:color="000000" w:fill="auto"/>
          </w:tcPr>
          <w:p w:rsidR="000B4A1E" w:rsidRPr="00845C27" w:rsidRDefault="000B4A1E" w:rsidP="00517E51">
            <w:pPr>
              <w:pStyle w:val="Tabletextheading"/>
              <w:rPr>
                <w:rFonts w:eastAsiaTheme="minorEastAsia"/>
                <w:lang w:eastAsia="en-AU"/>
              </w:rPr>
            </w:pPr>
            <w:r w:rsidRPr="00845C27">
              <w:rPr>
                <w:rFonts w:eastAsiaTheme="minorEastAsia"/>
                <w:lang w:eastAsia="en-AU"/>
              </w:rPr>
              <w:t>2013</w:t>
            </w:r>
          </w:p>
        </w:tc>
        <w:tc>
          <w:tcPr>
            <w:tcW w:w="1123" w:type="dxa"/>
            <w:tcBorders>
              <w:top w:val="single" w:sz="4" w:space="0" w:color="auto"/>
              <w:left w:val="nil"/>
              <w:bottom w:val="single" w:sz="6" w:space="0" w:color="auto"/>
              <w:right w:val="nil"/>
            </w:tcBorders>
            <w:shd w:val="solid" w:color="000000" w:fill="auto"/>
          </w:tcPr>
          <w:p w:rsidR="000B4A1E" w:rsidRPr="00845C27" w:rsidRDefault="000B4A1E" w:rsidP="00517E51">
            <w:pPr>
              <w:pStyle w:val="Tabletextheading"/>
              <w:rPr>
                <w:rFonts w:eastAsiaTheme="minorEastAsia"/>
                <w:lang w:eastAsia="en-AU"/>
              </w:rPr>
            </w:pPr>
            <w:r w:rsidRPr="00845C27">
              <w:rPr>
                <w:rFonts w:eastAsiaTheme="minorEastAsia"/>
                <w:lang w:eastAsia="en-AU"/>
              </w:rPr>
              <w:t>2013</w:t>
            </w:r>
          </w:p>
        </w:tc>
        <w:tc>
          <w:tcPr>
            <w:tcW w:w="1123" w:type="dxa"/>
            <w:tcBorders>
              <w:top w:val="single" w:sz="4" w:space="0" w:color="auto"/>
              <w:left w:val="nil"/>
              <w:bottom w:val="single" w:sz="6" w:space="0" w:color="auto"/>
              <w:right w:val="single" w:sz="4" w:space="0" w:color="auto"/>
            </w:tcBorders>
            <w:shd w:val="solid" w:color="000000" w:fill="auto"/>
          </w:tcPr>
          <w:p w:rsidR="000B4A1E" w:rsidRPr="00845C27" w:rsidRDefault="000B4A1E" w:rsidP="00517E51">
            <w:pPr>
              <w:pStyle w:val="Tabletextheading"/>
              <w:rPr>
                <w:rFonts w:eastAsiaTheme="minorEastAsia"/>
                <w:lang w:eastAsia="en-AU"/>
              </w:rPr>
            </w:pPr>
            <w:r w:rsidRPr="00845C27">
              <w:rPr>
                <w:rFonts w:eastAsiaTheme="minorEastAsia"/>
                <w:lang w:eastAsia="en-AU"/>
              </w:rPr>
              <w:t>2012</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Annual appropriations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Provision of outputs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Provision of outputs – net application</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72 531</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69 095</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69 236</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 xml:space="preserve">Section 29 </w:t>
            </w:r>
            <w:r w:rsidRPr="002B34BA">
              <w:rPr>
                <w:rFonts w:eastAsiaTheme="minorEastAsia"/>
                <w:i/>
                <w:color w:val="000000"/>
                <w:lang w:eastAsia="en-AU"/>
              </w:rPr>
              <w:t>Financial Management Act, No. 18 of 1994</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75</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75</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72</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 xml:space="preserve">Section 32 </w:t>
            </w:r>
            <w:r w:rsidRPr="002B34BA">
              <w:rPr>
                <w:rFonts w:eastAsiaTheme="minorEastAsia"/>
                <w:i/>
                <w:color w:val="000000"/>
                <w:lang w:eastAsia="en-AU"/>
              </w:rPr>
              <w:t>Financial Management Act, No. 18 of 1994</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4 617</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4 617</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3 385</w:t>
            </w:r>
          </w:p>
        </w:tc>
      </w:tr>
      <w:tr w:rsidR="000B4A1E" w:rsidRPr="00845C27" w:rsidTr="00517E51">
        <w:trPr>
          <w:cantSplit/>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 xml:space="preserve">Advance to Treasurer </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8 160</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8 160</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provision of outputs – gross application</w:t>
            </w:r>
          </w:p>
        </w:tc>
        <w:tc>
          <w:tcPr>
            <w:tcW w:w="1538"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85 383</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81 947</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72 693</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Additions to the net asset base</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Additions to the net asset base – net application</w:t>
            </w:r>
          </w:p>
        </w:tc>
        <w:tc>
          <w:tcPr>
            <w:tcW w:w="1538" w:type="dxa"/>
            <w:tcBorders>
              <w:top w:val="nil"/>
              <w:left w:val="nil"/>
              <w:bottom w:val="single" w:sz="6" w:space="0" w:color="auto"/>
              <w:right w:val="nil"/>
            </w:tcBorders>
          </w:tcPr>
          <w:p w:rsidR="000B4A1E" w:rsidRPr="00845C27" w:rsidRDefault="00FB4EAF" w:rsidP="00517E51">
            <w:pPr>
              <w:pStyle w:val="TableofFigures"/>
              <w:rPr>
                <w:rFonts w:eastAsiaTheme="minorEastAsia"/>
                <w:color w:val="000000"/>
                <w:lang w:eastAsia="en-AU"/>
              </w:rPr>
            </w:pPr>
            <w:r>
              <w:rPr>
                <w:rFonts w:eastAsiaTheme="minorEastAsia"/>
                <w:color w:val="000000"/>
                <w:lang w:eastAsia="en-AU"/>
              </w:rPr>
              <w:t>..</w:t>
            </w:r>
            <w:r w:rsidR="000B4A1E"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4 000</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additions to net asset base – gross application</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4 000</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annual appropriations – gross application</w:t>
            </w:r>
          </w:p>
        </w:tc>
        <w:tc>
          <w:tcPr>
            <w:tcW w:w="1538"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85 383</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81 947</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76 693</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single" w:sz="6" w:space="0" w:color="auto"/>
              <w:left w:val="nil"/>
              <w:bottom w:val="single" w:sz="6" w:space="0" w:color="auto"/>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Total Parliamentary authority (excluding </w:t>
            </w:r>
            <w:r w:rsidRPr="002B34BA">
              <w:rPr>
                <w:rFonts w:eastAsiaTheme="minorEastAsia"/>
                <w:b/>
                <w:bCs/>
                <w:i/>
                <w:color w:val="000000"/>
                <w:lang w:eastAsia="en-AU"/>
              </w:rPr>
              <w:t>Financial Management Act, No. 18 of 1994</w:t>
            </w:r>
            <w:r w:rsidRPr="00845C27">
              <w:rPr>
                <w:rFonts w:eastAsiaTheme="minorEastAsia"/>
                <w:b/>
                <w:bCs/>
                <w:color w:val="000000"/>
                <w:lang w:eastAsia="en-AU"/>
              </w:rPr>
              <w:t xml:space="preserve"> Section 33)</w:t>
            </w:r>
          </w:p>
        </w:tc>
        <w:tc>
          <w:tcPr>
            <w:tcW w:w="1538"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85 383</w:t>
            </w:r>
          </w:p>
        </w:tc>
        <w:tc>
          <w:tcPr>
            <w:tcW w:w="1123"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81 947</w:t>
            </w:r>
          </w:p>
        </w:tc>
        <w:tc>
          <w:tcPr>
            <w:tcW w:w="1123"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76 693</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Amounts issued under the authority of the </w:t>
            </w:r>
            <w:r w:rsidRPr="002B34BA">
              <w:rPr>
                <w:rFonts w:eastAsiaTheme="minorEastAsia"/>
                <w:b/>
                <w:bCs/>
                <w:i/>
                <w:color w:val="000000"/>
                <w:lang w:eastAsia="en-AU"/>
              </w:rPr>
              <w:t>Financial Management Act, No. 18 of 1994</w:t>
            </w:r>
            <w:r w:rsidRPr="00845C27">
              <w:rPr>
                <w:rFonts w:eastAsiaTheme="minorEastAsia"/>
                <w:b/>
                <w:bCs/>
                <w:color w:val="000000"/>
                <w:lang w:eastAsia="en-AU"/>
              </w:rPr>
              <w:t xml:space="preserve"> Section 33 (Special Appropriation) relating to prior year appropriations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3 646</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3 646</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2 729</w:t>
            </w:r>
          </w:p>
        </w:tc>
      </w:tr>
      <w:tr w:rsidR="000B4A1E" w:rsidRPr="00845C27" w:rsidTr="00517E51">
        <w:trPr>
          <w:trHeight w:hRule="exact" w:val="120"/>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single" w:sz="6" w:space="0" w:color="auto"/>
              <w:left w:val="nil"/>
              <w:bottom w:val="single" w:sz="6" w:space="0" w:color="auto"/>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Parliamentary authority</w:t>
            </w:r>
          </w:p>
        </w:tc>
        <w:tc>
          <w:tcPr>
            <w:tcW w:w="1538"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89 029</w:t>
            </w:r>
          </w:p>
        </w:tc>
        <w:tc>
          <w:tcPr>
            <w:tcW w:w="1123"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85 593</w:t>
            </w:r>
          </w:p>
        </w:tc>
        <w:tc>
          <w:tcPr>
            <w:tcW w:w="1123"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79 422</w:t>
            </w:r>
          </w:p>
        </w:tc>
      </w:tr>
      <w:tr w:rsidR="000B4A1E" w:rsidRPr="00845C27" w:rsidTr="00517E51">
        <w:trPr>
          <w:trHeight w:hRule="exact" w:val="120"/>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w:t>
            </w:r>
          </w:p>
        </w:tc>
      </w:tr>
      <w:tr w:rsidR="000B4A1E" w:rsidRPr="00845C27" w:rsidTr="00517E51">
        <w:trPr>
          <w:cantSplit/>
        </w:trPr>
        <w:tc>
          <w:tcPr>
            <w:tcW w:w="5864" w:type="dxa"/>
            <w:tcBorders>
              <w:top w:val="single" w:sz="6" w:space="0" w:color="auto"/>
              <w:left w:val="single" w:sz="6" w:space="0" w:color="auto"/>
              <w:bottom w:val="single" w:sz="6" w:space="0" w:color="auto"/>
              <w:right w:val="nil"/>
            </w:tcBorders>
            <w:shd w:val="solid" w:color="000000" w:fill="auto"/>
          </w:tcPr>
          <w:p w:rsidR="000B4A1E" w:rsidRPr="00845C27" w:rsidRDefault="000B4A1E" w:rsidP="00517E51">
            <w:pPr>
              <w:pStyle w:val="TabletextheadingLeft"/>
              <w:rPr>
                <w:rFonts w:eastAsiaTheme="minorEastAsia"/>
                <w:lang w:eastAsia="en-AU"/>
              </w:rPr>
            </w:pPr>
            <w:r w:rsidRPr="00845C27">
              <w:rPr>
                <w:rFonts w:eastAsiaTheme="minorEastAsia"/>
                <w:lang w:eastAsia="en-AU"/>
              </w:rPr>
              <w:t>Auditor-General</w:t>
            </w:r>
          </w:p>
        </w:tc>
        <w:tc>
          <w:tcPr>
            <w:tcW w:w="1538" w:type="dxa"/>
            <w:tcBorders>
              <w:top w:val="single" w:sz="6" w:space="0" w:color="auto"/>
              <w:left w:val="nil"/>
              <w:bottom w:val="single" w:sz="6" w:space="0" w:color="auto"/>
              <w:right w:val="nil"/>
            </w:tcBorders>
            <w:shd w:val="solid" w:color="000000" w:fill="auto"/>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single" w:sz="6" w:space="0" w:color="auto"/>
              <w:left w:val="nil"/>
              <w:bottom w:val="single" w:sz="6" w:space="0" w:color="auto"/>
              <w:right w:val="nil"/>
            </w:tcBorders>
            <w:shd w:val="solid" w:color="000000" w:fill="auto"/>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single" w:sz="6" w:space="0" w:color="auto"/>
              <w:left w:val="nil"/>
              <w:bottom w:val="single" w:sz="6" w:space="0" w:color="auto"/>
              <w:right w:val="single" w:sz="6" w:space="0" w:color="auto"/>
            </w:tcBorders>
            <w:shd w:val="solid" w:color="000000" w:fill="auto"/>
          </w:tcPr>
          <w:p w:rsidR="000B4A1E" w:rsidRPr="00845C27" w:rsidRDefault="000B4A1E" w:rsidP="00517E51">
            <w:pPr>
              <w:pStyle w:val="TableofFigures"/>
              <w:rPr>
                <w:rFonts w:eastAsiaTheme="minorEastAsia"/>
                <w:lang w:eastAsia="en-AU"/>
              </w:rPr>
            </w:pPr>
            <w:r w:rsidRPr="00845C27">
              <w:rPr>
                <w:rFonts w:eastAsiaTheme="minorEastAsia"/>
                <w:lang w:eastAsia="en-AU"/>
              </w:rPr>
              <w:t xml:space="preserve">   </w:t>
            </w:r>
          </w:p>
        </w:tc>
      </w:tr>
      <w:tr w:rsidR="000B4A1E" w:rsidRPr="00845C27" w:rsidTr="00517E51">
        <w:trPr>
          <w:cantSplit/>
        </w:trPr>
        <w:tc>
          <w:tcPr>
            <w:tcW w:w="5864" w:type="dxa"/>
            <w:tcBorders>
              <w:top w:val="single" w:sz="6" w:space="0" w:color="auto"/>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Special appropriations</w:t>
            </w:r>
          </w:p>
        </w:tc>
        <w:tc>
          <w:tcPr>
            <w:tcW w:w="1538" w:type="dxa"/>
            <w:tcBorders>
              <w:top w:val="single" w:sz="6" w:space="0" w:color="auto"/>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single" w:sz="6" w:space="0" w:color="auto"/>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single" w:sz="6" w:space="0" w:color="auto"/>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2B34BA">
              <w:rPr>
                <w:rFonts w:eastAsiaTheme="minorEastAsia"/>
                <w:i/>
                <w:color w:val="000000"/>
                <w:lang w:eastAsia="en-AU"/>
              </w:rPr>
              <w:t>Constitution Act No. 8750 of 1975</w:t>
            </w:r>
            <w:r w:rsidRPr="00845C27">
              <w:rPr>
                <w:rFonts w:eastAsiaTheme="minorEastAsia"/>
                <w:color w:val="000000"/>
                <w:lang w:eastAsia="en-AU"/>
              </w:rPr>
              <w:t xml:space="preserve"> – Auditor-General's salary</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362</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362</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456</w:t>
            </w:r>
          </w:p>
        </w:tc>
      </w:tr>
      <w:tr w:rsidR="000B4A1E" w:rsidRPr="00845C27" w:rsidTr="00517E51">
        <w:trPr>
          <w:cantSplit/>
        </w:trPr>
        <w:tc>
          <w:tcPr>
            <w:tcW w:w="5864" w:type="dxa"/>
            <w:tcBorders>
              <w:top w:val="single" w:sz="6" w:space="0" w:color="auto"/>
              <w:left w:val="nil"/>
              <w:bottom w:val="single" w:sz="6" w:space="0" w:color="auto"/>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Total special appropriations (excluding </w:t>
            </w:r>
            <w:r w:rsidRPr="002B34BA">
              <w:rPr>
                <w:rFonts w:eastAsiaTheme="minorEastAsia"/>
                <w:b/>
                <w:bCs/>
                <w:i/>
                <w:color w:val="000000"/>
                <w:lang w:eastAsia="en-AU"/>
              </w:rPr>
              <w:t>Financial Management Act, No. 18 of 1994</w:t>
            </w:r>
            <w:r w:rsidRPr="00845C27">
              <w:rPr>
                <w:rFonts w:eastAsiaTheme="minorEastAsia"/>
                <w:b/>
                <w:bCs/>
                <w:color w:val="000000"/>
                <w:lang w:eastAsia="en-AU"/>
              </w:rPr>
              <w:t xml:space="preserve"> Section 33)</w:t>
            </w:r>
          </w:p>
        </w:tc>
        <w:tc>
          <w:tcPr>
            <w:tcW w:w="1538"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362</w:t>
            </w:r>
          </w:p>
        </w:tc>
        <w:tc>
          <w:tcPr>
            <w:tcW w:w="1123"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362</w:t>
            </w:r>
          </w:p>
        </w:tc>
        <w:tc>
          <w:tcPr>
            <w:tcW w:w="1123" w:type="dxa"/>
            <w:tcBorders>
              <w:top w:val="single" w:sz="6" w:space="0" w:color="auto"/>
              <w:left w:val="nil"/>
              <w:bottom w:val="single" w:sz="6"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456</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Annual appropriations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Provision of outputs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Provision of outputs – net application</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14 661</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14 661</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13 959</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 xml:space="preserve">Section 29 </w:t>
            </w:r>
            <w:r w:rsidRPr="002B34BA">
              <w:rPr>
                <w:rFonts w:eastAsiaTheme="minorEastAsia"/>
                <w:i/>
                <w:color w:val="000000"/>
                <w:lang w:eastAsia="en-AU"/>
              </w:rPr>
              <w:t>Financial Management Act, No. 18 of 1994</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23 136</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23 136</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22 548</w:t>
            </w:r>
          </w:p>
        </w:tc>
      </w:tr>
      <w:tr w:rsidR="000B4A1E" w:rsidRPr="00845C27" w:rsidTr="00517E51">
        <w:trPr>
          <w:cantSplit/>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 xml:space="preserve">Section 32 </w:t>
            </w:r>
            <w:r w:rsidRPr="002B34BA">
              <w:rPr>
                <w:rFonts w:eastAsiaTheme="minorEastAsia"/>
                <w:i/>
                <w:color w:val="000000"/>
                <w:lang w:eastAsia="en-AU"/>
              </w:rPr>
              <w:t>Financial Management Act, No. 18 of 1994</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344</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344</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provision of outputs – gross application</w:t>
            </w:r>
          </w:p>
        </w:tc>
        <w:tc>
          <w:tcPr>
            <w:tcW w:w="1538"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38 141</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38 141</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36 507</w:t>
            </w:r>
          </w:p>
        </w:tc>
      </w:tr>
      <w:tr w:rsidR="000B4A1E" w:rsidRPr="00845C27" w:rsidTr="00517E51">
        <w:trPr>
          <w:trHeight w:hRule="exact" w:val="120"/>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annual appropriations – gross application</w:t>
            </w:r>
          </w:p>
        </w:tc>
        <w:tc>
          <w:tcPr>
            <w:tcW w:w="1538"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38 141</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38 141</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36 507</w:t>
            </w:r>
          </w:p>
        </w:tc>
      </w:tr>
      <w:tr w:rsidR="000B4A1E" w:rsidRPr="00845C27" w:rsidTr="00517E51">
        <w:trPr>
          <w:trHeight w:hRule="exact" w:val="120"/>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Total Parliamentary authority (excluding </w:t>
            </w:r>
            <w:r w:rsidRPr="002B34BA">
              <w:rPr>
                <w:rFonts w:eastAsiaTheme="minorEastAsia"/>
                <w:b/>
                <w:bCs/>
                <w:i/>
                <w:color w:val="000000"/>
                <w:lang w:eastAsia="en-AU"/>
              </w:rPr>
              <w:t>Financial Management Act, No. 18 of 1994</w:t>
            </w:r>
            <w:r w:rsidRPr="00845C27">
              <w:rPr>
                <w:rFonts w:eastAsiaTheme="minorEastAsia"/>
                <w:b/>
                <w:bCs/>
                <w:color w:val="000000"/>
                <w:lang w:eastAsia="en-AU"/>
              </w:rPr>
              <w:t xml:space="preserve"> Section 33)</w:t>
            </w:r>
          </w:p>
        </w:tc>
        <w:tc>
          <w:tcPr>
            <w:tcW w:w="1538"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38 503</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38 503</w:t>
            </w:r>
          </w:p>
        </w:tc>
        <w:tc>
          <w:tcPr>
            <w:tcW w:w="1123" w:type="dxa"/>
            <w:tcBorders>
              <w:top w:val="nil"/>
              <w:left w:val="nil"/>
              <w:bottom w:val="nil"/>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36 962</w:t>
            </w:r>
          </w:p>
        </w:tc>
      </w:tr>
      <w:tr w:rsidR="000B4A1E" w:rsidRPr="00845C27" w:rsidTr="00517E51">
        <w:trPr>
          <w:trHeight w:hRule="exact" w:val="120"/>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color w:val="000000"/>
                <w:lang w:eastAsia="en-AU"/>
              </w:rPr>
            </w:pPr>
            <w:r w:rsidRPr="00845C27">
              <w:rPr>
                <w:rFonts w:eastAsiaTheme="minorEastAsia"/>
                <w:color w:val="000000"/>
                <w:lang w:eastAsia="en-AU"/>
              </w:rPr>
              <w:t xml:space="preserve"> </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nil"/>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Amounts issued under the authority of the </w:t>
            </w:r>
            <w:r w:rsidRPr="002B34BA">
              <w:rPr>
                <w:rFonts w:eastAsiaTheme="minorEastAsia"/>
                <w:b/>
                <w:bCs/>
                <w:i/>
                <w:color w:val="000000"/>
                <w:lang w:eastAsia="en-AU"/>
              </w:rPr>
              <w:t>Financial Management Act, No. 18 of 1994</w:t>
            </w:r>
            <w:r w:rsidRPr="00845C27">
              <w:rPr>
                <w:rFonts w:eastAsiaTheme="minorEastAsia"/>
                <w:b/>
                <w:bCs/>
                <w:color w:val="000000"/>
                <w:lang w:eastAsia="en-AU"/>
              </w:rPr>
              <w:t xml:space="preserve"> Section 33 (Special Appropriation) relating to prior year appropriations</w:t>
            </w:r>
          </w:p>
        </w:tc>
        <w:tc>
          <w:tcPr>
            <w:tcW w:w="1538"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w:t>
            </w:r>
          </w:p>
        </w:tc>
        <w:tc>
          <w:tcPr>
            <w:tcW w:w="1123" w:type="dxa"/>
            <w:tcBorders>
              <w:top w:val="nil"/>
              <w:left w:val="nil"/>
              <w:bottom w:val="nil"/>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w:t>
            </w:r>
          </w:p>
        </w:tc>
      </w:tr>
      <w:tr w:rsidR="000B4A1E" w:rsidRPr="00845C27" w:rsidTr="00517E51">
        <w:trPr>
          <w:trHeight w:hRule="exact" w:val="120"/>
        </w:trPr>
        <w:tc>
          <w:tcPr>
            <w:tcW w:w="5864" w:type="dxa"/>
            <w:tcBorders>
              <w:top w:val="nil"/>
              <w:left w:val="nil"/>
              <w:bottom w:val="single" w:sz="6" w:space="0" w:color="auto"/>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 xml:space="preserve"> </w:t>
            </w:r>
          </w:p>
        </w:tc>
        <w:tc>
          <w:tcPr>
            <w:tcW w:w="1538"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c>
          <w:tcPr>
            <w:tcW w:w="1123" w:type="dxa"/>
            <w:tcBorders>
              <w:top w:val="nil"/>
              <w:left w:val="nil"/>
              <w:bottom w:val="single" w:sz="6" w:space="0" w:color="auto"/>
              <w:right w:val="nil"/>
            </w:tcBorders>
          </w:tcPr>
          <w:p w:rsidR="000B4A1E" w:rsidRPr="00845C27" w:rsidRDefault="000B4A1E" w:rsidP="00517E51">
            <w:pPr>
              <w:pStyle w:val="TableofFigures"/>
              <w:rPr>
                <w:rFonts w:eastAsiaTheme="minorEastAsia"/>
                <w:color w:val="000000"/>
                <w:lang w:eastAsia="en-AU"/>
              </w:rPr>
            </w:pPr>
            <w:r w:rsidRPr="00845C27">
              <w:rPr>
                <w:rFonts w:eastAsiaTheme="minorEastAsia"/>
                <w:color w:val="000000"/>
                <w:lang w:eastAsia="en-AU"/>
              </w:rPr>
              <w:t xml:space="preserve"> </w:t>
            </w:r>
          </w:p>
        </w:tc>
      </w:tr>
      <w:tr w:rsidR="000B4A1E" w:rsidRPr="00845C27" w:rsidTr="00517E51">
        <w:trPr>
          <w:cantSplit/>
        </w:trPr>
        <w:tc>
          <w:tcPr>
            <w:tcW w:w="5864" w:type="dxa"/>
            <w:tcBorders>
              <w:top w:val="nil"/>
              <w:left w:val="nil"/>
              <w:bottom w:val="single" w:sz="12" w:space="0" w:color="auto"/>
              <w:right w:val="nil"/>
            </w:tcBorders>
          </w:tcPr>
          <w:p w:rsidR="000B4A1E" w:rsidRPr="00845C27" w:rsidRDefault="000B4A1E" w:rsidP="00517E51">
            <w:pPr>
              <w:pStyle w:val="Tabletext"/>
              <w:rPr>
                <w:rFonts w:eastAsiaTheme="minorEastAsia"/>
                <w:b/>
                <w:bCs/>
                <w:color w:val="000000"/>
                <w:lang w:eastAsia="en-AU"/>
              </w:rPr>
            </w:pPr>
            <w:r w:rsidRPr="00845C27">
              <w:rPr>
                <w:rFonts w:eastAsiaTheme="minorEastAsia"/>
                <w:b/>
                <w:bCs/>
                <w:color w:val="000000"/>
                <w:lang w:eastAsia="en-AU"/>
              </w:rPr>
              <w:t>Total Parliamentary authority</w:t>
            </w:r>
          </w:p>
        </w:tc>
        <w:tc>
          <w:tcPr>
            <w:tcW w:w="1538" w:type="dxa"/>
            <w:tcBorders>
              <w:top w:val="single" w:sz="6" w:space="0" w:color="auto"/>
              <w:left w:val="nil"/>
              <w:bottom w:val="single" w:sz="12"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38 503</w:t>
            </w:r>
          </w:p>
        </w:tc>
        <w:tc>
          <w:tcPr>
            <w:tcW w:w="1123" w:type="dxa"/>
            <w:tcBorders>
              <w:top w:val="single" w:sz="6" w:space="0" w:color="auto"/>
              <w:left w:val="nil"/>
              <w:bottom w:val="single" w:sz="12"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38 503</w:t>
            </w:r>
          </w:p>
        </w:tc>
        <w:tc>
          <w:tcPr>
            <w:tcW w:w="1123" w:type="dxa"/>
            <w:tcBorders>
              <w:top w:val="nil"/>
              <w:left w:val="nil"/>
              <w:bottom w:val="single" w:sz="12" w:space="0" w:color="auto"/>
              <w:right w:val="nil"/>
            </w:tcBorders>
          </w:tcPr>
          <w:p w:rsidR="000B4A1E" w:rsidRPr="00845C27" w:rsidRDefault="000B4A1E" w:rsidP="00517E51">
            <w:pPr>
              <w:pStyle w:val="TableofFigures"/>
              <w:rPr>
                <w:rFonts w:eastAsiaTheme="minorEastAsia"/>
                <w:b/>
                <w:bCs/>
                <w:color w:val="000000"/>
                <w:lang w:eastAsia="en-AU"/>
              </w:rPr>
            </w:pPr>
            <w:r w:rsidRPr="00845C27">
              <w:rPr>
                <w:rFonts w:eastAsiaTheme="minorEastAsia"/>
                <w:b/>
                <w:bCs/>
                <w:color w:val="000000"/>
                <w:lang w:eastAsia="en-AU"/>
              </w:rPr>
              <w:t xml:space="preserve"> 36 962</w:t>
            </w:r>
          </w:p>
        </w:tc>
      </w:tr>
    </w:tbl>
    <w:p w:rsidR="000B4A1E" w:rsidRDefault="000B4A1E" w:rsidP="00517E51">
      <w:pPr>
        <w:pStyle w:val="million"/>
      </w:pPr>
    </w:p>
    <w:p w:rsidR="000B4A1E" w:rsidRPr="00D00665" w:rsidRDefault="000B4A1E" w:rsidP="00517E51">
      <w:pPr>
        <w:pStyle w:val="million"/>
      </w:pPr>
    </w:p>
    <w:p w:rsidR="000B4A1E" w:rsidRPr="00D00665" w:rsidRDefault="000B4A1E" w:rsidP="00517E51">
      <w:pPr>
        <w:pStyle w:val="Notes"/>
      </w:pPr>
    </w:p>
    <w:p w:rsidR="000B4A1E" w:rsidRPr="00D00665" w:rsidRDefault="000B4A1E" w:rsidP="00517E51"/>
    <w:p w:rsidR="000B4A1E" w:rsidRPr="00D00665" w:rsidRDefault="000B4A1E" w:rsidP="00517E51">
      <w:pPr>
        <w:pStyle w:val="Heading2NotesContd"/>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pPr>
      <w:r w:rsidRPr="00D00665">
        <w:t>(p)</w:t>
      </w:r>
      <w:r w:rsidRPr="00D00665">
        <w:tab/>
        <w:t>Parliamentary authority – Education and Early Childhood Development</w:t>
      </w:r>
    </w:p>
    <w:p w:rsidR="000B4A1E" w:rsidRPr="003E2DBE" w:rsidRDefault="000B4A1E" w:rsidP="00517E51">
      <w:pPr>
        <w:pStyle w:val="million"/>
      </w:pPr>
      <w:r w:rsidRPr="00D00665">
        <w:t>($ thousand)</w:t>
      </w:r>
    </w:p>
    <w:tbl>
      <w:tblPr>
        <w:tblW w:w="9644" w:type="dxa"/>
        <w:tblInd w:w="29" w:type="dxa"/>
        <w:tblLayout w:type="fixed"/>
        <w:tblCellMar>
          <w:left w:w="43" w:type="dxa"/>
          <w:right w:w="43" w:type="dxa"/>
        </w:tblCellMar>
        <w:tblLook w:val="0000" w:firstRow="0" w:lastRow="0" w:firstColumn="0" w:lastColumn="0" w:noHBand="0" w:noVBand="0"/>
      </w:tblPr>
      <w:tblGrid>
        <w:gridCol w:w="5954"/>
        <w:gridCol w:w="1440"/>
        <w:gridCol w:w="1170"/>
        <w:gridCol w:w="1080"/>
      </w:tblGrid>
      <w:tr w:rsidR="000B4A1E" w:rsidRPr="003E2DBE" w:rsidTr="00517E51">
        <w:tc>
          <w:tcPr>
            <w:tcW w:w="5954" w:type="dxa"/>
            <w:tcBorders>
              <w:top w:val="single" w:sz="6" w:space="0" w:color="auto"/>
              <w:left w:val="single" w:sz="6"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40" w:type="dxa"/>
            <w:tcBorders>
              <w:top w:val="single" w:sz="6"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t>Parliamentary</w:t>
            </w:r>
            <w:r w:rsidRPr="003E2DBE">
              <w:rPr>
                <w:rFonts w:eastAsiaTheme="minorEastAsia"/>
                <w:lang w:eastAsia="en-AU"/>
              </w:rPr>
              <w:t xml:space="preserve"> </w:t>
            </w:r>
          </w:p>
        </w:tc>
        <w:tc>
          <w:tcPr>
            <w:tcW w:w="1170" w:type="dxa"/>
            <w:tcBorders>
              <w:top w:val="single" w:sz="6"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c>
          <w:tcPr>
            <w:tcW w:w="1080" w:type="dxa"/>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r>
      <w:tr w:rsidR="000B4A1E" w:rsidRPr="003E2DBE" w:rsidTr="00517E51">
        <w:tc>
          <w:tcPr>
            <w:tcW w:w="5954" w:type="dxa"/>
            <w:tcBorders>
              <w:top w:val="nil"/>
              <w:left w:val="single" w:sz="6"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40"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authority</w:t>
            </w:r>
          </w:p>
        </w:tc>
        <w:tc>
          <w:tcPr>
            <w:tcW w:w="1170"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c>
          <w:tcPr>
            <w:tcW w:w="1080" w:type="dxa"/>
            <w:tcBorders>
              <w:top w:val="nil"/>
              <w:left w:val="nil"/>
              <w:bottom w:val="single" w:sz="6" w:space="0" w:color="auto"/>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r>
      <w:tr w:rsidR="000B4A1E" w:rsidRPr="003E2DBE" w:rsidTr="00517E51">
        <w:tc>
          <w:tcPr>
            <w:tcW w:w="5954"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40"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70"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080"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Special appropriations</w:t>
            </w:r>
          </w:p>
        </w:tc>
        <w:tc>
          <w:tcPr>
            <w:tcW w:w="144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i/>
                <w:lang w:eastAsia="en-AU"/>
              </w:rPr>
              <w:t>Education and Training Reform Act No. 24/26 of 2006</w:t>
            </w:r>
            <w:r w:rsidRPr="003E2DBE">
              <w:rPr>
                <w:rFonts w:eastAsiaTheme="minorEastAsia"/>
                <w:lang w:eastAsia="en-AU"/>
              </w:rPr>
              <w:t xml:space="preserve"> – Section 5.6.8 – Volunteer Workers Compensation</w:t>
            </w:r>
          </w:p>
        </w:tc>
        <w:tc>
          <w:tcPr>
            <w:tcW w:w="144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227</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227</w:t>
            </w:r>
          </w:p>
        </w:tc>
        <w:tc>
          <w:tcPr>
            <w:tcW w:w="108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250</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10 </w:t>
            </w:r>
            <w:r w:rsidRPr="003E2DBE">
              <w:rPr>
                <w:rFonts w:eastAsiaTheme="minorEastAsia"/>
                <w:i/>
                <w:lang w:eastAsia="en-AU"/>
              </w:rPr>
              <w:t>Financial Management Act, No. 18 of 1994</w:t>
            </w:r>
            <w:r w:rsidRPr="003E2DBE">
              <w:rPr>
                <w:rFonts w:eastAsiaTheme="minorEastAsia"/>
                <w:lang w:eastAsia="en-AU"/>
              </w:rPr>
              <w:t xml:space="preserve"> – Appropriation of Commonwealth grants etc.</w:t>
            </w:r>
          </w:p>
        </w:tc>
        <w:tc>
          <w:tcPr>
            <w:tcW w:w="144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6 243</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6 243</w:t>
            </w:r>
          </w:p>
        </w:tc>
        <w:tc>
          <w:tcPr>
            <w:tcW w:w="108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30 737</w:t>
            </w:r>
          </w:p>
        </w:tc>
      </w:tr>
      <w:tr w:rsidR="000B4A1E" w:rsidRPr="003E2DBE" w:rsidTr="00517E51">
        <w:tc>
          <w:tcPr>
            <w:tcW w:w="595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special appropriations (excluding </w:t>
            </w:r>
            <w:r w:rsidRPr="003E2DBE">
              <w:rPr>
                <w:rFonts w:eastAsiaTheme="minorEastAsia"/>
                <w:b/>
                <w:bCs/>
                <w:i/>
                <w:lang w:eastAsia="en-AU"/>
              </w:rPr>
              <w:t>Financial Management Act, No</w:t>
            </w:r>
            <w:r w:rsidRPr="003E2DBE">
              <w:rPr>
                <w:rFonts w:eastAsiaTheme="minorEastAsia" w:cs="Calibri"/>
                <w:b/>
                <w:bCs/>
                <w:i/>
                <w:iCs/>
                <w:szCs w:val="22"/>
                <w:lang w:eastAsia="en-AU"/>
              </w:rPr>
              <w:t xml:space="preserve">. 18 of 1994 </w:t>
            </w:r>
            <w:r w:rsidRPr="003E2DBE">
              <w:rPr>
                <w:rFonts w:eastAsiaTheme="minorEastAsia" w:cs="Calibri"/>
                <w:b/>
                <w:bCs/>
                <w:szCs w:val="22"/>
                <w:lang w:eastAsia="en-AU"/>
              </w:rPr>
              <w:t>Section 33)</w:t>
            </w:r>
          </w:p>
        </w:tc>
        <w:tc>
          <w:tcPr>
            <w:tcW w:w="1440" w:type="dxa"/>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6 470</w:t>
            </w:r>
          </w:p>
        </w:tc>
        <w:tc>
          <w:tcPr>
            <w:tcW w:w="1170" w:type="dxa"/>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6 470</w:t>
            </w:r>
          </w:p>
        </w:tc>
        <w:tc>
          <w:tcPr>
            <w:tcW w:w="1080" w:type="dxa"/>
            <w:tcBorders>
              <w:top w:val="single" w:sz="6" w:space="0" w:color="auto"/>
              <w:left w:val="nil"/>
              <w:bottom w:val="single" w:sz="6" w:space="0" w:color="auto"/>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30 987</w:t>
            </w:r>
          </w:p>
        </w:tc>
      </w:tr>
      <w:tr w:rsidR="000B4A1E" w:rsidRPr="003E2DBE" w:rsidTr="00517E51">
        <w:trPr>
          <w:trHeight w:hRule="exact" w:val="120"/>
        </w:trPr>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Annual appropriations</w:t>
            </w:r>
          </w:p>
        </w:tc>
        <w:tc>
          <w:tcPr>
            <w:tcW w:w="144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Provision of outputs</w:t>
            </w:r>
          </w:p>
        </w:tc>
        <w:tc>
          <w:tcPr>
            <w:tcW w:w="144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Provision of outputs – net application</w:t>
            </w:r>
          </w:p>
        </w:tc>
        <w:tc>
          <w:tcPr>
            <w:tcW w:w="144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9 653 078</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9 515 878</w:t>
            </w:r>
          </w:p>
        </w:tc>
        <w:tc>
          <w:tcPr>
            <w:tcW w:w="108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9 009 535</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29 </w:t>
            </w:r>
            <w:r w:rsidRPr="003E2DBE">
              <w:rPr>
                <w:rFonts w:eastAsiaTheme="minorEastAsia"/>
                <w:i/>
                <w:lang w:eastAsia="en-AU"/>
              </w:rPr>
              <w:t>Financial Management Act, No. 18 of 1994</w:t>
            </w:r>
          </w:p>
        </w:tc>
        <w:tc>
          <w:tcPr>
            <w:tcW w:w="144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631 457</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513 588</w:t>
            </w:r>
          </w:p>
        </w:tc>
        <w:tc>
          <w:tcPr>
            <w:tcW w:w="108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477 856</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44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119 734</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119 734</w:t>
            </w:r>
          </w:p>
        </w:tc>
        <w:tc>
          <w:tcPr>
            <w:tcW w:w="108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118 617</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Advance to Treasurer </w:t>
            </w:r>
          </w:p>
        </w:tc>
        <w:tc>
          <w:tcPr>
            <w:tcW w:w="14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226 </w:t>
            </w:r>
            <w:r w:rsidRPr="003E2DBE">
              <w:rPr>
                <w:rFonts w:eastAsiaTheme="minorEastAsia" w:cs="Calibri"/>
                <w:szCs w:val="22"/>
                <w:lang w:eastAsia="en-AU"/>
              </w:rPr>
              <w:t>563</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226 </w:t>
            </w:r>
            <w:r w:rsidRPr="003E2DBE">
              <w:rPr>
                <w:rFonts w:eastAsiaTheme="minorEastAsia" w:cs="Calibri"/>
                <w:szCs w:val="22"/>
                <w:lang w:eastAsia="en-AU"/>
              </w:rPr>
              <w:t>563</w:t>
            </w:r>
          </w:p>
        </w:tc>
        <w:tc>
          <w:tcPr>
            <w:tcW w:w="1080" w:type="dxa"/>
            <w:tcBorders>
              <w:top w:val="nil"/>
              <w:left w:val="nil"/>
              <w:bottom w:val="nil"/>
              <w:right w:val="nil"/>
            </w:tcBorders>
          </w:tcPr>
          <w:p w:rsidR="000B4A1E" w:rsidRPr="003E2DBE" w:rsidRDefault="000B4A1E" w:rsidP="00517E51">
            <w:pPr>
              <w:autoSpaceDE w:val="0"/>
              <w:autoSpaceDN w:val="0"/>
              <w:adjustRightInd w:val="0"/>
              <w:spacing w:after="0"/>
              <w:jc w:val="right"/>
              <w:rPr>
                <w:rFonts w:ascii="Calibri" w:eastAsiaTheme="minorEastAsia" w:hAnsi="Calibri" w:cs="Calibri"/>
                <w:sz w:val="22"/>
                <w:szCs w:val="22"/>
                <w:lang w:eastAsia="en-AU"/>
              </w:rPr>
            </w:pPr>
            <w:r w:rsidRPr="003E2DBE">
              <w:rPr>
                <w:rFonts w:ascii="Calibri" w:eastAsiaTheme="minorEastAsia" w:hAnsi="Calibri" w:cs="Calibri"/>
                <w:sz w:val="22"/>
                <w:szCs w:val="22"/>
                <w:lang w:eastAsia="en-AU"/>
              </w:rPr>
              <w:t xml:space="preserve"> 579 910</w:t>
            </w:r>
          </w:p>
        </w:tc>
      </w:tr>
      <w:tr w:rsidR="000B4A1E" w:rsidRPr="003E2DBE" w:rsidTr="00517E51">
        <w:tc>
          <w:tcPr>
            <w:tcW w:w="5954" w:type="dxa"/>
            <w:tcBorders>
              <w:top w:val="nil"/>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Total provision of outputs</w:t>
            </w:r>
            <w:r w:rsidRPr="003E2DBE">
              <w:rPr>
                <w:rFonts w:eastAsiaTheme="minorEastAsia" w:cs="Calibri"/>
                <w:b/>
                <w:bCs/>
                <w:szCs w:val="22"/>
                <w:lang w:eastAsia="en-AU"/>
              </w:rPr>
              <w:t xml:space="preserve"> – gross application</w:t>
            </w:r>
          </w:p>
        </w:tc>
        <w:tc>
          <w:tcPr>
            <w:tcW w:w="144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10 630 832</w:t>
            </w:r>
          </w:p>
        </w:tc>
        <w:tc>
          <w:tcPr>
            <w:tcW w:w="117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10 375 763</w:t>
            </w:r>
          </w:p>
        </w:tc>
        <w:tc>
          <w:tcPr>
            <w:tcW w:w="108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10 185 918</w:t>
            </w:r>
          </w:p>
        </w:tc>
      </w:tr>
      <w:tr w:rsidR="000B4A1E" w:rsidRPr="003E2DBE" w:rsidTr="00517E51">
        <w:trPr>
          <w:trHeight w:hRule="exact" w:val="120"/>
        </w:trPr>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Additions </w:t>
            </w:r>
            <w:r w:rsidRPr="003E2DBE">
              <w:rPr>
                <w:rFonts w:eastAsiaTheme="minorEastAsia" w:cs="Calibri"/>
                <w:b/>
                <w:bCs/>
                <w:szCs w:val="22"/>
                <w:lang w:eastAsia="en-AU"/>
              </w:rPr>
              <w:t>to the net asset base</w:t>
            </w:r>
          </w:p>
        </w:tc>
        <w:tc>
          <w:tcPr>
            <w:tcW w:w="144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bCs/>
                <w:lang w:eastAsia="en-AU"/>
              </w:rPr>
              <w:t xml:space="preserve">Additions to the net asset base – </w:t>
            </w:r>
            <w:r w:rsidRPr="003E2DBE">
              <w:rPr>
                <w:rFonts w:eastAsiaTheme="minorEastAsia" w:cs="Calibri"/>
                <w:szCs w:val="22"/>
                <w:lang w:eastAsia="en-AU"/>
              </w:rPr>
              <w:t>net application</w:t>
            </w:r>
          </w:p>
        </w:tc>
        <w:tc>
          <w:tcPr>
            <w:tcW w:w="14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bCs/>
                <w:lang w:eastAsia="en-AU"/>
              </w:rPr>
              <w:t>..</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bCs/>
                <w:lang w:eastAsia="en-AU"/>
              </w:rPr>
              <w:t>..</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bCs/>
                <w:lang w:eastAsia="en-AU"/>
              </w:rPr>
              <w:t xml:space="preserve"> 187</w:t>
            </w:r>
            <w:r w:rsidRPr="003E2DBE">
              <w:rPr>
                <w:rFonts w:eastAsiaTheme="minorEastAsia" w:cs="Calibri"/>
                <w:szCs w:val="22"/>
                <w:lang w:eastAsia="en-AU"/>
              </w:rPr>
              <w:t xml:space="preserve"> 272</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Section 29 </w:t>
            </w:r>
            <w:r w:rsidRPr="003E2DBE">
              <w:rPr>
                <w:rFonts w:eastAsiaTheme="minorEastAsia"/>
                <w:i/>
                <w:lang w:eastAsia="en-AU"/>
              </w:rPr>
              <w:t xml:space="preserve">Financial Management Act, No. 18 of </w:t>
            </w:r>
            <w:r w:rsidRPr="003E2DBE">
              <w:rPr>
                <w:rFonts w:eastAsiaTheme="minorEastAsia" w:cs="Calibri"/>
                <w:i/>
                <w:szCs w:val="22"/>
                <w:lang w:eastAsia="en-AU"/>
              </w:rPr>
              <w:t>1994</w:t>
            </w:r>
          </w:p>
        </w:tc>
        <w:tc>
          <w:tcPr>
            <w:tcW w:w="144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1 </w:t>
            </w:r>
            <w:r w:rsidRPr="003E2DBE">
              <w:rPr>
                <w:rFonts w:eastAsiaTheme="minorEastAsia" w:cs="Calibri"/>
                <w:szCs w:val="22"/>
                <w:lang w:eastAsia="en-AU"/>
              </w:rPr>
              <w:t>335</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1 </w:t>
            </w:r>
            <w:r w:rsidRPr="003E2DBE">
              <w:rPr>
                <w:rFonts w:eastAsiaTheme="minorEastAsia" w:cs="Calibri"/>
                <w:szCs w:val="22"/>
                <w:lang w:eastAsia="en-AU"/>
              </w:rPr>
              <w:t>335</w:t>
            </w:r>
          </w:p>
        </w:tc>
        <w:tc>
          <w:tcPr>
            <w:tcW w:w="108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136 745</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44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34 032</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34 032</w:t>
            </w:r>
          </w:p>
        </w:tc>
        <w:tc>
          <w:tcPr>
            <w:tcW w:w="108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323 286</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lang w:eastAsia="en-AU"/>
              </w:rPr>
              <w:t xml:space="preserve">Section 35 </w:t>
            </w:r>
            <w:r w:rsidRPr="003E2DBE">
              <w:rPr>
                <w:rFonts w:eastAsiaTheme="minorEastAsia"/>
                <w:i/>
                <w:lang w:eastAsia="en-AU"/>
              </w:rPr>
              <w:t>Financial Management Act, No. 18 of 1994</w:t>
            </w:r>
            <w:r w:rsidRPr="003E2DBE">
              <w:rPr>
                <w:rFonts w:eastAsiaTheme="minorEastAsia"/>
                <w:lang w:eastAsia="en-AU"/>
              </w:rPr>
              <w:t xml:space="preserve"> </w:t>
            </w:r>
            <w:r w:rsidRPr="003E2DBE">
              <w:rPr>
                <w:rFonts w:eastAsiaTheme="minorEastAsia" w:cs="Calibri"/>
                <w:szCs w:val="22"/>
                <w:lang w:eastAsia="en-AU"/>
              </w:rPr>
              <w:t>(temporary advances)</w:t>
            </w:r>
          </w:p>
        </w:tc>
        <w:tc>
          <w:tcPr>
            <w:tcW w:w="144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1 000</w:t>
            </w:r>
          </w:p>
        </w:tc>
        <w:tc>
          <w:tcPr>
            <w:tcW w:w="117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1 000</w:t>
            </w:r>
          </w:p>
        </w:tc>
        <w:tc>
          <w:tcPr>
            <w:tcW w:w="108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954" w:type="dxa"/>
            <w:tcBorders>
              <w:top w:val="nil"/>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Total additions to the</w:t>
            </w:r>
            <w:r w:rsidRPr="003E2DBE">
              <w:rPr>
                <w:rFonts w:eastAsiaTheme="minorEastAsia" w:cs="Calibri"/>
                <w:b/>
                <w:bCs/>
                <w:szCs w:val="22"/>
                <w:lang w:eastAsia="en-AU"/>
              </w:rPr>
              <w:t xml:space="preserve"> net asset base – gross application</w:t>
            </w:r>
          </w:p>
        </w:tc>
        <w:tc>
          <w:tcPr>
            <w:tcW w:w="144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 xml:space="preserve"> 36 </w:t>
            </w:r>
            <w:r w:rsidRPr="003E2DBE">
              <w:rPr>
                <w:rFonts w:eastAsiaTheme="minorEastAsia" w:cs="Calibri"/>
                <w:b/>
                <w:bCs/>
                <w:szCs w:val="22"/>
                <w:lang w:eastAsia="en-AU"/>
              </w:rPr>
              <w:t>367</w:t>
            </w:r>
          </w:p>
        </w:tc>
        <w:tc>
          <w:tcPr>
            <w:tcW w:w="117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 xml:space="preserve"> 36 </w:t>
            </w:r>
            <w:r w:rsidRPr="003E2DBE">
              <w:rPr>
                <w:rFonts w:eastAsiaTheme="minorEastAsia" w:cs="Calibri"/>
                <w:b/>
                <w:bCs/>
                <w:szCs w:val="22"/>
                <w:lang w:eastAsia="en-AU"/>
              </w:rPr>
              <w:t>367</w:t>
            </w:r>
          </w:p>
        </w:tc>
        <w:tc>
          <w:tcPr>
            <w:tcW w:w="108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 xml:space="preserve"> 647 </w:t>
            </w:r>
            <w:r w:rsidRPr="003E2DBE">
              <w:rPr>
                <w:rFonts w:eastAsiaTheme="minorEastAsia" w:cs="Calibri"/>
                <w:b/>
                <w:bCs/>
                <w:szCs w:val="22"/>
                <w:lang w:eastAsia="en-AU"/>
              </w:rPr>
              <w:t>302</w:t>
            </w:r>
          </w:p>
        </w:tc>
      </w:tr>
      <w:tr w:rsidR="000B4A1E" w:rsidRPr="003E2DBE" w:rsidTr="00517E51">
        <w:trPr>
          <w:trHeight w:hRule="exact" w:val="120"/>
        </w:trPr>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w:t>
            </w:r>
            <w:r w:rsidRPr="003E2DBE">
              <w:rPr>
                <w:rFonts w:eastAsiaTheme="minorEastAsia" w:cs="Calibri"/>
                <w:b/>
                <w:bCs/>
                <w:szCs w:val="22"/>
                <w:lang w:eastAsia="en-AU"/>
              </w:rPr>
              <w:t>annual appropriations – gross application</w:t>
            </w:r>
          </w:p>
        </w:tc>
        <w:tc>
          <w:tcPr>
            <w:tcW w:w="1440"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10 </w:t>
            </w:r>
            <w:r w:rsidRPr="003E2DBE">
              <w:rPr>
                <w:rFonts w:eastAsiaTheme="minorEastAsia" w:cs="Calibri"/>
                <w:b/>
                <w:bCs/>
                <w:szCs w:val="22"/>
                <w:lang w:eastAsia="en-AU"/>
              </w:rPr>
              <w:t>667 199</w:t>
            </w:r>
          </w:p>
        </w:tc>
        <w:tc>
          <w:tcPr>
            <w:tcW w:w="1170"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10 </w:t>
            </w:r>
            <w:r w:rsidRPr="003E2DBE">
              <w:rPr>
                <w:rFonts w:eastAsiaTheme="minorEastAsia" w:cs="Calibri"/>
                <w:b/>
                <w:bCs/>
                <w:szCs w:val="22"/>
                <w:lang w:eastAsia="en-AU"/>
              </w:rPr>
              <w:t>412 131</w:t>
            </w:r>
          </w:p>
        </w:tc>
        <w:tc>
          <w:tcPr>
            <w:tcW w:w="1080" w:type="dxa"/>
            <w:tcBorders>
              <w:top w:val="nil"/>
              <w:left w:val="nil"/>
              <w:bottom w:val="nil"/>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10 </w:t>
            </w:r>
            <w:r w:rsidRPr="003E2DBE">
              <w:rPr>
                <w:rFonts w:eastAsiaTheme="minorEastAsia" w:cs="Calibri"/>
                <w:b/>
                <w:bCs/>
                <w:szCs w:val="22"/>
                <w:lang w:eastAsia="en-AU"/>
              </w:rPr>
              <w:t>833 221</w:t>
            </w:r>
          </w:p>
        </w:tc>
      </w:tr>
      <w:tr w:rsidR="000B4A1E" w:rsidRPr="003E2DBE" w:rsidTr="00517E51">
        <w:trPr>
          <w:trHeight w:hRule="exact" w:val="120"/>
        </w:trPr>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954" w:type="dxa"/>
            <w:tcBorders>
              <w:top w:val="nil"/>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w:t>
            </w:r>
            <w:r w:rsidRPr="003E2DBE">
              <w:rPr>
                <w:rFonts w:eastAsiaTheme="minorEastAsia" w:cs="Calibri"/>
                <w:b/>
                <w:bCs/>
                <w:szCs w:val="22"/>
                <w:lang w:eastAsia="en-AU"/>
              </w:rPr>
              <w:t xml:space="preserve">Parliamentary authority (excluding </w:t>
            </w:r>
            <w:r w:rsidRPr="003E2DBE">
              <w:rPr>
                <w:rFonts w:eastAsiaTheme="minorEastAsia" w:cs="Calibri"/>
                <w:b/>
                <w:bCs/>
                <w:i/>
                <w:szCs w:val="22"/>
                <w:lang w:eastAsia="en-AU"/>
              </w:rPr>
              <w:t>Financial Management Act, No</w:t>
            </w:r>
            <w:r w:rsidRPr="003E2DBE">
              <w:rPr>
                <w:rFonts w:eastAsiaTheme="minorEastAsia" w:cs="Calibri"/>
                <w:b/>
                <w:bCs/>
                <w:i/>
                <w:iCs/>
                <w:szCs w:val="22"/>
                <w:lang w:eastAsia="en-AU"/>
              </w:rPr>
              <w:t>. 18 of 1994</w:t>
            </w:r>
            <w:r w:rsidRPr="003E2DBE">
              <w:rPr>
                <w:rFonts w:eastAsiaTheme="minorEastAsia" w:cs="Calibri"/>
                <w:b/>
                <w:bCs/>
                <w:szCs w:val="22"/>
                <w:lang w:eastAsia="en-AU"/>
              </w:rPr>
              <w:t xml:space="preserve"> Section 33)</w:t>
            </w:r>
          </w:p>
        </w:tc>
        <w:tc>
          <w:tcPr>
            <w:tcW w:w="144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10 </w:t>
            </w:r>
            <w:r w:rsidRPr="003E2DBE">
              <w:rPr>
                <w:rFonts w:eastAsiaTheme="minorEastAsia" w:cs="Calibri"/>
                <w:b/>
                <w:bCs/>
                <w:szCs w:val="22"/>
                <w:lang w:eastAsia="en-AU"/>
              </w:rPr>
              <w:t>673 669</w:t>
            </w:r>
          </w:p>
        </w:tc>
        <w:tc>
          <w:tcPr>
            <w:tcW w:w="117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10 </w:t>
            </w:r>
            <w:r w:rsidRPr="003E2DBE">
              <w:rPr>
                <w:rFonts w:eastAsiaTheme="minorEastAsia" w:cs="Calibri"/>
                <w:b/>
                <w:bCs/>
                <w:szCs w:val="22"/>
                <w:lang w:eastAsia="en-AU"/>
              </w:rPr>
              <w:t>418 600</w:t>
            </w:r>
          </w:p>
        </w:tc>
        <w:tc>
          <w:tcPr>
            <w:tcW w:w="108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10 </w:t>
            </w:r>
            <w:r w:rsidRPr="003E2DBE">
              <w:rPr>
                <w:rFonts w:eastAsiaTheme="minorEastAsia" w:cs="Calibri"/>
                <w:b/>
                <w:bCs/>
                <w:szCs w:val="22"/>
                <w:lang w:eastAsia="en-AU"/>
              </w:rPr>
              <w:t>864 207</w:t>
            </w:r>
          </w:p>
        </w:tc>
      </w:tr>
      <w:tr w:rsidR="000B4A1E" w:rsidRPr="003E2DBE" w:rsidTr="00517E51">
        <w:trPr>
          <w:trHeight w:hRule="exact" w:val="120"/>
        </w:trPr>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7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08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954" w:type="dxa"/>
            <w:tcBorders>
              <w:top w:val="nil"/>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Amounts </w:t>
            </w:r>
            <w:r w:rsidRPr="003E2DBE">
              <w:rPr>
                <w:rFonts w:eastAsiaTheme="minorEastAsia" w:cs="Calibri"/>
                <w:b/>
                <w:bCs/>
                <w:szCs w:val="22"/>
                <w:lang w:eastAsia="en-AU"/>
              </w:rPr>
              <w:t xml:space="preserve">issued under the authority of the </w:t>
            </w:r>
            <w:r w:rsidRPr="003E2DBE">
              <w:rPr>
                <w:rFonts w:eastAsiaTheme="minorEastAsia" w:cs="Calibri"/>
                <w:b/>
                <w:bCs/>
                <w:i/>
                <w:szCs w:val="22"/>
                <w:lang w:eastAsia="en-AU"/>
              </w:rPr>
              <w:t>Financial Management Act, No. 18 of 1994</w:t>
            </w:r>
            <w:r w:rsidRPr="003E2DBE">
              <w:rPr>
                <w:rFonts w:eastAsiaTheme="minorEastAsia" w:cs="Calibri"/>
                <w:b/>
                <w:bCs/>
                <w:szCs w:val="22"/>
                <w:lang w:eastAsia="en-AU"/>
              </w:rPr>
              <w:t xml:space="preserve"> Section 33 (Special Appropriation) relating to prior year appropriations</w:t>
            </w:r>
          </w:p>
        </w:tc>
        <w:tc>
          <w:tcPr>
            <w:tcW w:w="144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 43</w:t>
            </w:r>
            <w:r w:rsidRPr="003E2DBE">
              <w:rPr>
                <w:rFonts w:eastAsiaTheme="minorEastAsia" w:cs="Calibri"/>
                <w:b/>
                <w:bCs/>
                <w:szCs w:val="22"/>
                <w:lang w:eastAsia="en-AU"/>
              </w:rPr>
              <w:t xml:space="preserve"> 448</w:t>
            </w:r>
          </w:p>
        </w:tc>
        <w:tc>
          <w:tcPr>
            <w:tcW w:w="117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 43</w:t>
            </w:r>
            <w:r w:rsidRPr="003E2DBE">
              <w:rPr>
                <w:rFonts w:eastAsiaTheme="minorEastAsia" w:cs="Calibri"/>
                <w:b/>
                <w:bCs/>
                <w:szCs w:val="22"/>
                <w:lang w:eastAsia="en-AU"/>
              </w:rPr>
              <w:t xml:space="preserve"> 448</w:t>
            </w:r>
          </w:p>
        </w:tc>
        <w:tc>
          <w:tcPr>
            <w:tcW w:w="1080"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 28</w:t>
            </w:r>
            <w:r w:rsidRPr="003E2DBE">
              <w:rPr>
                <w:rFonts w:eastAsiaTheme="minorEastAsia" w:cs="Calibri"/>
                <w:b/>
                <w:bCs/>
                <w:szCs w:val="22"/>
                <w:lang w:eastAsia="en-AU"/>
              </w:rPr>
              <w:t xml:space="preserve"> 275</w:t>
            </w:r>
          </w:p>
        </w:tc>
      </w:tr>
      <w:tr w:rsidR="000B4A1E" w:rsidRPr="003E2DBE" w:rsidTr="00517E51">
        <w:trPr>
          <w:trHeight w:hRule="exact" w:val="120"/>
        </w:trPr>
        <w:tc>
          <w:tcPr>
            <w:tcW w:w="5954" w:type="dxa"/>
            <w:tcBorders>
              <w:top w:val="nil"/>
              <w:left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tcBorders>
              <w:top w:val="nil"/>
              <w:left w:val="nil"/>
              <w:right w:val="nil"/>
            </w:tcBorders>
            <w:shd w:val="solid" w:color="FFFFFF" w:fill="auto"/>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70" w:type="dxa"/>
            <w:tcBorders>
              <w:top w:val="nil"/>
              <w:left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0" w:type="dxa"/>
            <w:tcBorders>
              <w:top w:val="nil"/>
              <w:left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954" w:type="dxa"/>
            <w:tcBorders>
              <w:top w:val="nil"/>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w:t>
            </w:r>
            <w:r w:rsidRPr="003E2DBE">
              <w:rPr>
                <w:rFonts w:eastAsiaTheme="minorEastAsia" w:cs="Calibri"/>
                <w:b/>
                <w:bCs/>
                <w:szCs w:val="22"/>
                <w:lang w:eastAsia="en-AU"/>
              </w:rPr>
              <w:t>Parliamentary authority</w:t>
            </w:r>
          </w:p>
        </w:tc>
        <w:tc>
          <w:tcPr>
            <w:tcW w:w="144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10 </w:t>
            </w:r>
            <w:r w:rsidRPr="003E2DBE">
              <w:rPr>
                <w:rFonts w:eastAsiaTheme="minorEastAsia" w:cs="Calibri"/>
                <w:b/>
                <w:bCs/>
                <w:szCs w:val="22"/>
                <w:lang w:eastAsia="en-AU"/>
              </w:rPr>
              <w:t>717 117</w:t>
            </w:r>
          </w:p>
        </w:tc>
        <w:tc>
          <w:tcPr>
            <w:tcW w:w="117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10 </w:t>
            </w:r>
            <w:r w:rsidRPr="003E2DBE">
              <w:rPr>
                <w:rFonts w:eastAsiaTheme="minorEastAsia" w:cs="Calibri"/>
                <w:b/>
                <w:bCs/>
                <w:szCs w:val="22"/>
                <w:lang w:eastAsia="en-AU"/>
              </w:rPr>
              <w:t>462 048</w:t>
            </w:r>
          </w:p>
        </w:tc>
        <w:tc>
          <w:tcPr>
            <w:tcW w:w="1080" w:type="dxa"/>
            <w:tcBorders>
              <w:top w:val="nil"/>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bCs/>
                <w:lang w:eastAsia="en-AU"/>
              </w:rPr>
              <w:t xml:space="preserve">10 </w:t>
            </w:r>
            <w:r w:rsidRPr="003E2DBE">
              <w:rPr>
                <w:rFonts w:eastAsiaTheme="minorEastAsia" w:cs="Calibri"/>
                <w:b/>
                <w:bCs/>
                <w:szCs w:val="22"/>
                <w:lang w:eastAsia="en-AU"/>
              </w:rPr>
              <w:t>892 483</w:t>
            </w:r>
          </w:p>
        </w:tc>
      </w:tr>
    </w:tbl>
    <w:p w:rsidR="000B4A1E" w:rsidRPr="00D00665" w:rsidRDefault="000B4A1E" w:rsidP="00517E51">
      <w:pPr>
        <w:pStyle w:val="million"/>
      </w:pPr>
    </w:p>
    <w:p w:rsidR="000B4A1E" w:rsidRPr="00D00665" w:rsidRDefault="000B4A1E" w:rsidP="00517E51"/>
    <w:p w:rsidR="000B4A1E" w:rsidRPr="00D00665" w:rsidRDefault="000B4A1E" w:rsidP="00517E51">
      <w:pPr>
        <w:pStyle w:val="Heading2NotesContd"/>
      </w:pPr>
      <w:r w:rsidRPr="00D00665">
        <w:br w:type="page"/>
      </w:r>
    </w:p>
    <w:p w:rsidR="000B4A1E" w:rsidRDefault="000B4A1E" w:rsidP="00517E51">
      <w:pPr>
        <w:pStyle w:val="Heading2NotesContd"/>
        <w:spacing w:before="0" w:after="0"/>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spacing w:before="0" w:after="0"/>
      </w:pPr>
      <w:r w:rsidRPr="00D00665">
        <w:t>(q)</w:t>
      </w:r>
      <w:r w:rsidRPr="00D00665">
        <w:tab/>
        <w:t xml:space="preserve">Parliamentary authority – Environment and Primary Industries </w:t>
      </w:r>
      <w:r w:rsidRPr="00A71EF7">
        <w:rPr>
          <w:vertAlign w:val="superscript"/>
        </w:rPr>
        <w:t>(</w:t>
      </w:r>
      <w:r w:rsidRPr="00D00665">
        <w:rPr>
          <w:vertAlign w:val="superscript"/>
        </w:rPr>
        <w:t>a)</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5594"/>
        <w:gridCol w:w="360"/>
        <w:gridCol w:w="1350"/>
        <w:gridCol w:w="1170"/>
        <w:gridCol w:w="1174"/>
      </w:tblGrid>
      <w:tr w:rsidR="000B4A1E" w:rsidRPr="00892C4B" w:rsidTr="00517E51">
        <w:tc>
          <w:tcPr>
            <w:tcW w:w="5954" w:type="dxa"/>
            <w:gridSpan w:val="2"/>
            <w:tcBorders>
              <w:top w:val="single" w:sz="4" w:space="0" w:color="auto"/>
              <w:left w:val="single" w:sz="4" w:space="0" w:color="auto"/>
              <w:bottom w:val="nil"/>
              <w:right w:val="nil"/>
            </w:tcBorders>
            <w:shd w:val="clear" w:color="auto" w:fill="000000"/>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350" w:type="dxa"/>
            <w:tcBorders>
              <w:top w:val="single" w:sz="4" w:space="0" w:color="auto"/>
              <w:left w:val="nil"/>
              <w:bottom w:val="nil"/>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sz w:val="21"/>
              </w:rPr>
              <w:t>Parliamentary</w:t>
            </w:r>
          </w:p>
        </w:tc>
        <w:tc>
          <w:tcPr>
            <w:tcW w:w="1170" w:type="dxa"/>
            <w:tcBorders>
              <w:top w:val="single" w:sz="4" w:space="0" w:color="auto"/>
              <w:left w:val="nil"/>
              <w:bottom w:val="nil"/>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Amounts</w:t>
            </w:r>
          </w:p>
        </w:tc>
        <w:tc>
          <w:tcPr>
            <w:tcW w:w="1174" w:type="dxa"/>
            <w:tcBorders>
              <w:top w:val="single" w:sz="4" w:space="0" w:color="auto"/>
              <w:left w:val="nil"/>
              <w:bottom w:val="nil"/>
              <w:right w:val="single" w:sz="4" w:space="0" w:color="auto"/>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Amounts</w:t>
            </w:r>
          </w:p>
        </w:tc>
      </w:tr>
      <w:tr w:rsidR="000B4A1E" w:rsidRPr="00892C4B" w:rsidTr="00517E51">
        <w:tc>
          <w:tcPr>
            <w:tcW w:w="5954" w:type="dxa"/>
            <w:gridSpan w:val="2"/>
            <w:tcBorders>
              <w:top w:val="nil"/>
              <w:left w:val="single" w:sz="4" w:space="0" w:color="auto"/>
              <w:right w:val="nil"/>
            </w:tcBorders>
            <w:shd w:val="clear" w:color="auto" w:fill="000000"/>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350" w:type="dxa"/>
            <w:tcBorders>
              <w:top w:val="nil"/>
              <w:left w:val="nil"/>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authority</w:t>
            </w:r>
          </w:p>
        </w:tc>
        <w:tc>
          <w:tcPr>
            <w:tcW w:w="1170" w:type="dxa"/>
            <w:tcBorders>
              <w:top w:val="nil"/>
              <w:left w:val="nil"/>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applied</w:t>
            </w:r>
          </w:p>
        </w:tc>
        <w:tc>
          <w:tcPr>
            <w:tcW w:w="1174" w:type="dxa"/>
            <w:tcBorders>
              <w:top w:val="nil"/>
              <w:left w:val="nil"/>
              <w:right w:val="single" w:sz="4" w:space="0" w:color="auto"/>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applied</w:t>
            </w:r>
          </w:p>
        </w:tc>
      </w:tr>
      <w:tr w:rsidR="000B4A1E" w:rsidRPr="00892C4B" w:rsidTr="00517E51">
        <w:tc>
          <w:tcPr>
            <w:tcW w:w="5954" w:type="dxa"/>
            <w:gridSpan w:val="2"/>
            <w:tcBorders>
              <w:left w:val="single" w:sz="4" w:space="0" w:color="auto"/>
              <w:bottom w:val="single" w:sz="4" w:space="0" w:color="auto"/>
              <w:right w:val="nil"/>
            </w:tcBorders>
            <w:shd w:val="solid" w:color="000000" w:fill="auto"/>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350" w:type="dxa"/>
            <w:tcBorders>
              <w:left w:val="nil"/>
              <w:bottom w:val="single" w:sz="4" w:space="0" w:color="auto"/>
              <w:right w:val="nil"/>
            </w:tcBorders>
            <w:shd w:val="solid" w:color="000000" w:fill="auto"/>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2013</w:t>
            </w:r>
          </w:p>
        </w:tc>
        <w:tc>
          <w:tcPr>
            <w:tcW w:w="1170" w:type="dxa"/>
            <w:tcBorders>
              <w:left w:val="nil"/>
              <w:bottom w:val="single" w:sz="4" w:space="0" w:color="auto"/>
              <w:right w:val="nil"/>
            </w:tcBorders>
            <w:shd w:val="solid" w:color="000000" w:fill="auto"/>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2013</w:t>
            </w:r>
          </w:p>
        </w:tc>
        <w:tc>
          <w:tcPr>
            <w:tcW w:w="1174" w:type="dxa"/>
            <w:tcBorders>
              <w:left w:val="nil"/>
              <w:bottom w:val="single" w:sz="4" w:space="0" w:color="auto"/>
              <w:right w:val="single" w:sz="4" w:space="0" w:color="auto"/>
            </w:tcBorders>
            <w:shd w:val="solid" w:color="000000" w:fill="auto"/>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2012</w:t>
            </w:r>
          </w:p>
        </w:tc>
      </w:tr>
      <w:tr w:rsidR="000B4A1E" w:rsidRPr="00892C4B" w:rsidTr="00517E51">
        <w:tc>
          <w:tcPr>
            <w:tcW w:w="5954" w:type="dxa"/>
            <w:gridSpan w:val="2"/>
            <w:tcBorders>
              <w:top w:val="single" w:sz="4" w:space="0" w:color="auto"/>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Special appropriations</w:t>
            </w:r>
          </w:p>
        </w:tc>
        <w:tc>
          <w:tcPr>
            <w:tcW w:w="1350" w:type="dxa"/>
            <w:tcBorders>
              <w:top w:val="single" w:sz="4" w:space="0" w:color="auto"/>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0" w:type="dxa"/>
            <w:tcBorders>
              <w:top w:val="single" w:sz="4" w:space="0" w:color="auto"/>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4" w:type="dxa"/>
            <w:tcBorders>
              <w:top w:val="single" w:sz="4" w:space="0" w:color="auto"/>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78154E">
              <w:rPr>
                <w:rFonts w:eastAsiaTheme="minorEastAsia"/>
                <w:i/>
                <w:sz w:val="21"/>
                <w:lang w:eastAsia="en-AU"/>
              </w:rPr>
              <w:t>Financial Management Act, No.18 of 1994</w:t>
            </w:r>
            <w:r w:rsidRPr="00892C4B">
              <w:rPr>
                <w:rFonts w:eastAsiaTheme="minorEastAsia"/>
                <w:sz w:val="21"/>
                <w:lang w:eastAsia="en-AU"/>
              </w:rPr>
              <w:t>, Section 10</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14 545</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14 545</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20 916</w:t>
            </w:r>
          </w:p>
        </w:tc>
      </w:tr>
      <w:tr w:rsidR="000B4A1E" w:rsidRPr="00892C4B" w:rsidTr="00517E51">
        <w:tc>
          <w:tcPr>
            <w:tcW w:w="5954" w:type="dxa"/>
            <w:gridSpan w:val="2"/>
            <w:tcBorders>
              <w:top w:val="single" w:sz="6" w:space="0" w:color="auto"/>
              <w:left w:val="nil"/>
              <w:bottom w:val="single" w:sz="6" w:space="0" w:color="auto"/>
              <w:right w:val="nil"/>
            </w:tcBorders>
          </w:tcPr>
          <w:p w:rsidR="000B4A1E" w:rsidRPr="00892C4B" w:rsidRDefault="000B4A1E" w:rsidP="00517E51">
            <w:pPr>
              <w:pStyle w:val="Tabletext"/>
              <w:rPr>
                <w:rFonts w:eastAsiaTheme="minorEastAsia" w:cs="Calibri"/>
                <w:b/>
                <w:bCs/>
                <w:sz w:val="21"/>
                <w:szCs w:val="22"/>
                <w:lang w:eastAsia="en-AU"/>
              </w:rPr>
            </w:pPr>
            <w:r w:rsidRPr="00892C4B">
              <w:rPr>
                <w:rFonts w:eastAsiaTheme="minorEastAsia"/>
                <w:b/>
                <w:bCs/>
                <w:sz w:val="21"/>
                <w:lang w:eastAsia="en-AU"/>
              </w:rPr>
              <w:t>Total special appropriations (excluding Financial Management Act, No</w:t>
            </w:r>
            <w:r w:rsidRPr="00892C4B">
              <w:rPr>
                <w:rFonts w:eastAsiaTheme="minorEastAsia" w:cs="Calibri"/>
                <w:b/>
                <w:bCs/>
                <w:i/>
                <w:iCs/>
                <w:sz w:val="21"/>
                <w:szCs w:val="22"/>
                <w:lang w:eastAsia="en-AU"/>
              </w:rPr>
              <w:t xml:space="preserve">. 18 of 1994 </w:t>
            </w:r>
            <w:r w:rsidRPr="00892C4B">
              <w:rPr>
                <w:rFonts w:eastAsiaTheme="minorEastAsia" w:cs="Calibri"/>
                <w:b/>
                <w:bCs/>
                <w:sz w:val="21"/>
                <w:szCs w:val="22"/>
                <w:lang w:eastAsia="en-AU"/>
              </w:rPr>
              <w:t>Section 33)</w:t>
            </w:r>
          </w:p>
        </w:tc>
        <w:tc>
          <w:tcPr>
            <w:tcW w:w="1350" w:type="dxa"/>
            <w:tcBorders>
              <w:top w:val="single" w:sz="6" w:space="0" w:color="auto"/>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14 545</w:t>
            </w:r>
          </w:p>
        </w:tc>
        <w:tc>
          <w:tcPr>
            <w:tcW w:w="1170" w:type="dxa"/>
            <w:tcBorders>
              <w:top w:val="single" w:sz="6" w:space="0" w:color="auto"/>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14 545</w:t>
            </w:r>
          </w:p>
        </w:tc>
        <w:tc>
          <w:tcPr>
            <w:tcW w:w="1174" w:type="dxa"/>
            <w:tcBorders>
              <w:top w:val="single" w:sz="6" w:space="0" w:color="auto"/>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20 916</w:t>
            </w:r>
          </w:p>
        </w:tc>
      </w:tr>
      <w:tr w:rsidR="000B4A1E" w:rsidRPr="00892C4B" w:rsidTr="00517E51">
        <w:trPr>
          <w:trHeight w:hRule="exact" w:val="58"/>
        </w:trPr>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Annual appropriations</w:t>
            </w:r>
          </w:p>
        </w:tc>
        <w:tc>
          <w:tcPr>
            <w:tcW w:w="135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7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74"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Provision of outputs</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Provision of outputs – net application</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814 113</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738 064</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876 370</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29 </w:t>
            </w:r>
            <w:r w:rsidRPr="00892C4B">
              <w:rPr>
                <w:rFonts w:eastAsiaTheme="minorEastAsia"/>
                <w:i/>
                <w:sz w:val="21"/>
                <w:lang w:eastAsia="en-AU"/>
              </w:rPr>
              <w:t>Financial Management Act, No. 18 of 1994</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112 940</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106 635</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104 771</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32 </w:t>
            </w:r>
            <w:r w:rsidRPr="00892C4B">
              <w:rPr>
                <w:rFonts w:eastAsiaTheme="minorEastAsia"/>
                <w:i/>
                <w:sz w:val="21"/>
                <w:lang w:eastAsia="en-AU"/>
              </w:rPr>
              <w:t>Financial Management Act, No. 18 of 1994</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50 843</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50 843</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55 437</w:t>
            </w:r>
          </w:p>
        </w:tc>
      </w:tr>
      <w:tr w:rsidR="000B4A1E" w:rsidRPr="00892C4B" w:rsidTr="00517E51">
        <w:tc>
          <w:tcPr>
            <w:tcW w:w="559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35 </w:t>
            </w:r>
            <w:r w:rsidRPr="00892C4B">
              <w:rPr>
                <w:rFonts w:eastAsiaTheme="minorEastAsia"/>
                <w:i/>
                <w:sz w:val="21"/>
                <w:lang w:eastAsia="en-AU"/>
              </w:rPr>
              <w:t>Financial Management Act, No. 18 of 1994</w:t>
            </w:r>
            <w:r w:rsidRPr="00892C4B">
              <w:rPr>
                <w:rFonts w:eastAsiaTheme="minorEastAsia"/>
                <w:sz w:val="21"/>
                <w:lang w:eastAsia="en-AU"/>
              </w:rPr>
              <w:t xml:space="preserve"> (temporary advances)</w:t>
            </w:r>
          </w:p>
        </w:tc>
        <w:tc>
          <w:tcPr>
            <w:tcW w:w="1710" w:type="dxa"/>
            <w:gridSpan w:val="2"/>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99 322</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99 322</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Advance to Treasurer </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35 704</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32 704</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28 229</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Victorian Water Trust – net application</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14 703</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2 358</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194</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32 </w:t>
            </w:r>
            <w:r w:rsidRPr="00892C4B">
              <w:rPr>
                <w:rFonts w:eastAsiaTheme="minorEastAsia"/>
                <w:i/>
                <w:sz w:val="21"/>
                <w:lang w:eastAsia="en-AU"/>
              </w:rPr>
              <w:t>Financial Management Act, No. 18 of 1994</w:t>
            </w:r>
            <w:r w:rsidRPr="00892C4B">
              <w:rPr>
                <w:rFonts w:eastAsiaTheme="minorEastAsia"/>
                <w:sz w:val="21"/>
                <w:lang w:eastAsia="en-AU"/>
              </w:rPr>
              <w:t xml:space="preserve"> – Victorian Water Trust</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769</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769</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141</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15 of the Environment Protection Act 1970 – net application </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30 318</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29 </w:t>
            </w:r>
            <w:r w:rsidRPr="00892C4B">
              <w:rPr>
                <w:rFonts w:eastAsiaTheme="minorEastAsia"/>
                <w:i/>
                <w:sz w:val="21"/>
                <w:lang w:eastAsia="en-AU"/>
              </w:rPr>
              <w:t>Financial Management Act, No. 18 of 1994</w:t>
            </w:r>
            <w:r w:rsidRPr="00892C4B">
              <w:rPr>
                <w:rFonts w:eastAsiaTheme="minorEastAsia"/>
                <w:sz w:val="21"/>
                <w:lang w:eastAsia="en-AU"/>
              </w:rPr>
              <w:t xml:space="preserve"> – Environment Protection Authority</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3 572</w:t>
            </w:r>
          </w:p>
        </w:tc>
      </w:tr>
      <w:tr w:rsidR="000B4A1E" w:rsidRPr="00892C4B" w:rsidTr="00517E51">
        <w:tc>
          <w:tcPr>
            <w:tcW w:w="5954" w:type="dxa"/>
            <w:gridSpan w:val="2"/>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32 </w:t>
            </w:r>
            <w:r w:rsidRPr="00892C4B">
              <w:rPr>
                <w:rFonts w:eastAsiaTheme="minorEastAsia"/>
                <w:i/>
                <w:sz w:val="21"/>
                <w:lang w:eastAsia="en-AU"/>
              </w:rPr>
              <w:t>Financial Management Act, No. 18 of 1994</w:t>
            </w:r>
            <w:r w:rsidRPr="00892C4B">
              <w:rPr>
                <w:rFonts w:eastAsiaTheme="minorEastAsia"/>
                <w:sz w:val="21"/>
                <w:lang w:eastAsia="en-AU"/>
              </w:rPr>
              <w:t xml:space="preserve"> –  Environment Protection Authority</w:t>
            </w:r>
          </w:p>
        </w:tc>
        <w:tc>
          <w:tcPr>
            <w:tcW w:w="1350"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0"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4"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504</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provision of outputs – gross application</w:t>
            </w:r>
          </w:p>
        </w:tc>
        <w:tc>
          <w:tcPr>
            <w:tcW w:w="135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1 128 395</w:t>
            </w:r>
          </w:p>
        </w:tc>
        <w:tc>
          <w:tcPr>
            <w:tcW w:w="117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1 030 695</w:t>
            </w:r>
          </w:p>
        </w:tc>
        <w:tc>
          <w:tcPr>
            <w:tcW w:w="1174"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1 099 536</w:t>
            </w:r>
          </w:p>
        </w:tc>
      </w:tr>
      <w:tr w:rsidR="000B4A1E" w:rsidRPr="00892C4B" w:rsidTr="00517E51">
        <w:trPr>
          <w:cantSplit/>
          <w:trHeight w:hRule="exact" w:val="58"/>
        </w:trPr>
        <w:tc>
          <w:tcPr>
            <w:tcW w:w="5954" w:type="dxa"/>
            <w:gridSpan w:val="2"/>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35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7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74"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Additions to the net asset base</w:t>
            </w:r>
          </w:p>
        </w:tc>
        <w:tc>
          <w:tcPr>
            <w:tcW w:w="135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7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74"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Additions to the net asset base – net application</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38 879</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28 941</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29 </w:t>
            </w:r>
            <w:r w:rsidRPr="00892C4B">
              <w:rPr>
                <w:rFonts w:eastAsiaTheme="minorEastAsia"/>
                <w:i/>
                <w:sz w:val="21"/>
                <w:lang w:eastAsia="en-AU"/>
              </w:rPr>
              <w:t>Financial Management Act, No. 18 of 1994</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30 388</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8 079</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16 780</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32 </w:t>
            </w:r>
            <w:r w:rsidRPr="00892C4B">
              <w:rPr>
                <w:rFonts w:eastAsiaTheme="minorEastAsia"/>
                <w:i/>
                <w:sz w:val="21"/>
                <w:lang w:eastAsia="en-AU"/>
              </w:rPr>
              <w:t>Financial Management Act, No. 18 of 1994</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99 171</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99 171</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71 335</w:t>
            </w:r>
          </w:p>
        </w:tc>
      </w:tr>
      <w:tr w:rsidR="000B4A1E" w:rsidRPr="00892C4B" w:rsidTr="00517E51">
        <w:tc>
          <w:tcPr>
            <w:tcW w:w="559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35 </w:t>
            </w:r>
            <w:r w:rsidRPr="00892C4B">
              <w:rPr>
                <w:rFonts w:eastAsiaTheme="minorEastAsia"/>
                <w:i/>
                <w:sz w:val="21"/>
                <w:lang w:eastAsia="en-AU"/>
              </w:rPr>
              <w:t>Financial Management Act, No. 18 of 1994</w:t>
            </w:r>
            <w:r w:rsidRPr="00892C4B">
              <w:rPr>
                <w:rFonts w:eastAsiaTheme="minorEastAsia"/>
                <w:sz w:val="21"/>
                <w:lang w:eastAsia="en-AU"/>
              </w:rPr>
              <w:t xml:space="preserve"> (temporary advances)</w:t>
            </w:r>
          </w:p>
        </w:tc>
        <w:tc>
          <w:tcPr>
            <w:tcW w:w="1710" w:type="dxa"/>
            <w:gridSpan w:val="2"/>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5 379</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Victorian Water Trust – net application</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21 372</w:t>
            </w:r>
          </w:p>
        </w:tc>
      </w:tr>
      <w:tr w:rsidR="000B4A1E" w:rsidRPr="00892C4B" w:rsidTr="00517E51">
        <w:tc>
          <w:tcPr>
            <w:tcW w:w="5954" w:type="dxa"/>
            <w:gridSpan w:val="2"/>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32 </w:t>
            </w:r>
            <w:r w:rsidRPr="00892C4B">
              <w:rPr>
                <w:rFonts w:eastAsiaTheme="minorEastAsia"/>
                <w:i/>
                <w:sz w:val="21"/>
                <w:lang w:eastAsia="en-AU"/>
              </w:rPr>
              <w:t>Financial Management Act, No. 18 of 1994</w:t>
            </w:r>
            <w:r w:rsidRPr="00892C4B">
              <w:rPr>
                <w:rFonts w:eastAsiaTheme="minorEastAsia"/>
                <w:sz w:val="21"/>
                <w:lang w:eastAsia="en-AU"/>
              </w:rPr>
              <w:t xml:space="preserve"> – Victorian Water Trust</w:t>
            </w:r>
          </w:p>
        </w:tc>
        <w:tc>
          <w:tcPr>
            <w:tcW w:w="1350"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6 949</w:t>
            </w:r>
          </w:p>
        </w:tc>
        <w:tc>
          <w:tcPr>
            <w:tcW w:w="1170"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6 949</w:t>
            </w:r>
          </w:p>
        </w:tc>
        <w:tc>
          <w:tcPr>
            <w:tcW w:w="1174"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1 135</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additions to the net asset base – gross application</w:t>
            </w:r>
          </w:p>
        </w:tc>
        <w:tc>
          <w:tcPr>
            <w:tcW w:w="135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175 387</w:t>
            </w:r>
          </w:p>
        </w:tc>
        <w:tc>
          <w:tcPr>
            <w:tcW w:w="117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114 199</w:t>
            </w:r>
          </w:p>
        </w:tc>
        <w:tc>
          <w:tcPr>
            <w:tcW w:w="1174"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144 942</w:t>
            </w:r>
          </w:p>
        </w:tc>
      </w:tr>
      <w:tr w:rsidR="000B4A1E" w:rsidRPr="00892C4B" w:rsidTr="00517E51">
        <w:trPr>
          <w:trHeight w:hRule="exact" w:val="80"/>
        </w:trPr>
        <w:tc>
          <w:tcPr>
            <w:tcW w:w="5954" w:type="dxa"/>
            <w:gridSpan w:val="2"/>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Payments made on behalf of the State</w:t>
            </w:r>
          </w:p>
        </w:tc>
        <w:tc>
          <w:tcPr>
            <w:tcW w:w="135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7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74"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Payments made on behalf of the State – net application</w:t>
            </w:r>
          </w:p>
        </w:tc>
        <w:tc>
          <w:tcPr>
            <w:tcW w:w="1350"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426 079</w:t>
            </w:r>
          </w:p>
        </w:tc>
        <w:tc>
          <w:tcPr>
            <w:tcW w:w="1170"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416 770</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r>
      <w:tr w:rsidR="000B4A1E" w:rsidRPr="00892C4B" w:rsidTr="00517E51">
        <w:tc>
          <w:tcPr>
            <w:tcW w:w="5954" w:type="dxa"/>
            <w:gridSpan w:val="2"/>
            <w:tcBorders>
              <w:top w:val="single" w:sz="6" w:space="0" w:color="auto"/>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for payments made on behalf of the State – gross application</w:t>
            </w:r>
          </w:p>
        </w:tc>
        <w:tc>
          <w:tcPr>
            <w:tcW w:w="135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426 079</w:t>
            </w:r>
          </w:p>
        </w:tc>
        <w:tc>
          <w:tcPr>
            <w:tcW w:w="1170" w:type="dxa"/>
            <w:tcBorders>
              <w:top w:val="single" w:sz="6" w:space="0" w:color="auto"/>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416 770</w:t>
            </w:r>
          </w:p>
        </w:tc>
        <w:tc>
          <w:tcPr>
            <w:tcW w:w="1174" w:type="dxa"/>
            <w:tcBorders>
              <w:top w:val="single" w:sz="6" w:space="0" w:color="auto"/>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w:t>
            </w:r>
          </w:p>
        </w:tc>
      </w:tr>
      <w:tr w:rsidR="000B4A1E" w:rsidRPr="00892C4B" w:rsidTr="00517E51">
        <w:trPr>
          <w:trHeight w:hRule="exact" w:val="80"/>
        </w:trPr>
        <w:tc>
          <w:tcPr>
            <w:tcW w:w="5954" w:type="dxa"/>
            <w:gridSpan w:val="2"/>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Other</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Section 25 of the Murray-Darling Basin Act 1993</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30 913</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30 650</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29 121</w:t>
            </w:r>
          </w:p>
        </w:tc>
      </w:tr>
      <w:tr w:rsidR="000B4A1E" w:rsidRPr="00892C4B" w:rsidTr="00517E51">
        <w:tc>
          <w:tcPr>
            <w:tcW w:w="5954" w:type="dxa"/>
            <w:gridSpan w:val="2"/>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32 </w:t>
            </w:r>
            <w:r w:rsidRPr="00892C4B">
              <w:rPr>
                <w:rFonts w:eastAsiaTheme="minorEastAsia"/>
                <w:i/>
                <w:sz w:val="21"/>
                <w:lang w:eastAsia="en-AU"/>
              </w:rPr>
              <w:t>Financial Management Act, No. 18 of 1994</w:t>
            </w:r>
            <w:r w:rsidRPr="00892C4B">
              <w:rPr>
                <w:rFonts w:eastAsiaTheme="minorEastAsia"/>
                <w:sz w:val="21"/>
                <w:lang w:eastAsia="en-AU"/>
              </w:rPr>
              <w:t xml:space="preserve"> – Section 25 of the Murray-Darling Basin Act 1993</w:t>
            </w:r>
          </w:p>
        </w:tc>
        <w:tc>
          <w:tcPr>
            <w:tcW w:w="1350"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0"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74"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603</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other</w:t>
            </w:r>
          </w:p>
        </w:tc>
        <w:tc>
          <w:tcPr>
            <w:tcW w:w="135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30 913</w:t>
            </w:r>
          </w:p>
        </w:tc>
        <w:tc>
          <w:tcPr>
            <w:tcW w:w="117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30 650</w:t>
            </w:r>
          </w:p>
        </w:tc>
        <w:tc>
          <w:tcPr>
            <w:tcW w:w="1174"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29 724</w:t>
            </w:r>
          </w:p>
        </w:tc>
      </w:tr>
      <w:tr w:rsidR="000B4A1E" w:rsidRPr="00892C4B" w:rsidTr="00517E51">
        <w:trPr>
          <w:trHeight w:hRule="exact" w:val="80"/>
        </w:trPr>
        <w:tc>
          <w:tcPr>
            <w:tcW w:w="595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35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0"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74"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annual appropriations – gross application</w:t>
            </w:r>
          </w:p>
        </w:tc>
        <w:tc>
          <w:tcPr>
            <w:tcW w:w="135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1 760 773</w:t>
            </w:r>
          </w:p>
        </w:tc>
        <w:tc>
          <w:tcPr>
            <w:tcW w:w="117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1 592 314</w:t>
            </w:r>
          </w:p>
        </w:tc>
        <w:tc>
          <w:tcPr>
            <w:tcW w:w="1174"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1 274 202</w:t>
            </w:r>
          </w:p>
        </w:tc>
      </w:tr>
      <w:tr w:rsidR="000B4A1E" w:rsidRPr="00892C4B" w:rsidTr="00517E51">
        <w:trPr>
          <w:cantSplit/>
          <w:trHeight w:hRule="exact" w:val="80"/>
        </w:trPr>
        <w:tc>
          <w:tcPr>
            <w:tcW w:w="5954" w:type="dxa"/>
            <w:gridSpan w:val="2"/>
            <w:tcBorders>
              <w:top w:val="nil"/>
              <w:left w:val="nil"/>
              <w:bottom w:val="single" w:sz="6"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350"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70"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74"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cs="Calibri"/>
                <w:b/>
                <w:bCs/>
                <w:sz w:val="21"/>
                <w:szCs w:val="22"/>
                <w:lang w:eastAsia="en-AU"/>
              </w:rPr>
            </w:pPr>
            <w:r w:rsidRPr="00892C4B">
              <w:rPr>
                <w:rFonts w:eastAsiaTheme="minorEastAsia"/>
                <w:b/>
                <w:bCs/>
                <w:sz w:val="21"/>
                <w:lang w:eastAsia="en-AU"/>
              </w:rPr>
              <w:t xml:space="preserve">Total Parliamentary authority (excluding </w:t>
            </w:r>
            <w:r w:rsidRPr="0078154E">
              <w:rPr>
                <w:rFonts w:eastAsiaTheme="minorEastAsia"/>
                <w:b/>
                <w:bCs/>
                <w:i/>
                <w:sz w:val="21"/>
                <w:lang w:eastAsia="en-AU"/>
              </w:rPr>
              <w:t>Financial Management Act,</w:t>
            </w:r>
            <w:r w:rsidRPr="00892C4B">
              <w:rPr>
                <w:rFonts w:eastAsiaTheme="minorEastAsia"/>
                <w:b/>
                <w:bCs/>
                <w:i/>
                <w:sz w:val="21"/>
                <w:lang w:eastAsia="en-AU"/>
              </w:rPr>
              <w:t xml:space="preserve"> No. 18 of 1994 </w:t>
            </w:r>
            <w:r w:rsidRPr="00892C4B">
              <w:rPr>
                <w:rFonts w:eastAsiaTheme="minorEastAsia"/>
                <w:b/>
                <w:bCs/>
                <w:sz w:val="21"/>
                <w:lang w:eastAsia="en-AU"/>
              </w:rPr>
              <w:t>Section 33)</w:t>
            </w:r>
          </w:p>
        </w:tc>
        <w:tc>
          <w:tcPr>
            <w:tcW w:w="135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1 775 318</w:t>
            </w:r>
          </w:p>
        </w:tc>
        <w:tc>
          <w:tcPr>
            <w:tcW w:w="117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1 606 859</w:t>
            </w:r>
          </w:p>
        </w:tc>
        <w:tc>
          <w:tcPr>
            <w:tcW w:w="1174"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1 295 118</w:t>
            </w:r>
          </w:p>
        </w:tc>
      </w:tr>
      <w:tr w:rsidR="000B4A1E" w:rsidRPr="00892C4B" w:rsidTr="00517E51">
        <w:trPr>
          <w:cantSplit/>
          <w:trHeight w:hRule="exact" w:val="58"/>
        </w:trPr>
        <w:tc>
          <w:tcPr>
            <w:tcW w:w="5954" w:type="dxa"/>
            <w:gridSpan w:val="2"/>
            <w:tcBorders>
              <w:top w:val="nil"/>
              <w:left w:val="nil"/>
              <w:bottom w:val="single" w:sz="6" w:space="0" w:color="auto"/>
              <w:right w:val="nil"/>
            </w:tcBorders>
          </w:tcPr>
          <w:p w:rsidR="000B4A1E" w:rsidRPr="00892C4B" w:rsidRDefault="000B4A1E" w:rsidP="00517E51">
            <w:pPr>
              <w:pStyle w:val="Tabletext"/>
              <w:rPr>
                <w:rFonts w:eastAsiaTheme="minorEastAsia"/>
                <w:i/>
                <w:sz w:val="14"/>
                <w:szCs w:val="20"/>
                <w:lang w:eastAsia="en-AU"/>
              </w:rPr>
            </w:pPr>
            <w:r w:rsidRPr="00892C4B">
              <w:rPr>
                <w:rFonts w:eastAsiaTheme="minorEastAsia"/>
                <w:i/>
                <w:sz w:val="14"/>
                <w:szCs w:val="20"/>
                <w:lang w:eastAsia="en-AU"/>
              </w:rPr>
              <w:t xml:space="preserve"> </w:t>
            </w:r>
          </w:p>
        </w:tc>
        <w:tc>
          <w:tcPr>
            <w:tcW w:w="1350" w:type="dxa"/>
            <w:tcBorders>
              <w:top w:val="nil"/>
              <w:left w:val="nil"/>
              <w:bottom w:val="single" w:sz="6" w:space="0" w:color="auto"/>
              <w:right w:val="nil"/>
            </w:tcBorders>
          </w:tcPr>
          <w:p w:rsidR="000B4A1E" w:rsidRPr="00892C4B" w:rsidRDefault="000B4A1E" w:rsidP="00517E51">
            <w:pPr>
              <w:pStyle w:val="TableofFigures"/>
              <w:rPr>
                <w:rFonts w:eastAsiaTheme="minorEastAsia"/>
                <w:i/>
                <w:sz w:val="14"/>
                <w:szCs w:val="20"/>
                <w:lang w:eastAsia="en-AU"/>
              </w:rPr>
            </w:pPr>
            <w:r w:rsidRPr="00892C4B">
              <w:rPr>
                <w:rFonts w:eastAsiaTheme="minorEastAsia"/>
                <w:i/>
                <w:sz w:val="14"/>
                <w:szCs w:val="20"/>
                <w:lang w:eastAsia="en-AU"/>
              </w:rPr>
              <w:t xml:space="preserve"> </w:t>
            </w:r>
          </w:p>
        </w:tc>
        <w:tc>
          <w:tcPr>
            <w:tcW w:w="1170" w:type="dxa"/>
            <w:tcBorders>
              <w:top w:val="nil"/>
              <w:left w:val="nil"/>
              <w:bottom w:val="single" w:sz="6" w:space="0" w:color="auto"/>
              <w:right w:val="nil"/>
            </w:tcBorders>
          </w:tcPr>
          <w:p w:rsidR="000B4A1E" w:rsidRPr="00892C4B" w:rsidRDefault="000B4A1E" w:rsidP="00517E51">
            <w:pPr>
              <w:pStyle w:val="TableofFigures"/>
              <w:rPr>
                <w:rFonts w:eastAsiaTheme="minorEastAsia"/>
                <w:i/>
                <w:sz w:val="14"/>
                <w:szCs w:val="20"/>
                <w:lang w:eastAsia="en-AU"/>
              </w:rPr>
            </w:pPr>
            <w:r w:rsidRPr="00892C4B">
              <w:rPr>
                <w:rFonts w:eastAsiaTheme="minorEastAsia"/>
                <w:i/>
                <w:sz w:val="14"/>
                <w:szCs w:val="20"/>
                <w:lang w:eastAsia="en-AU"/>
              </w:rPr>
              <w:t xml:space="preserve"> </w:t>
            </w:r>
          </w:p>
        </w:tc>
        <w:tc>
          <w:tcPr>
            <w:tcW w:w="1174" w:type="dxa"/>
            <w:tcBorders>
              <w:top w:val="nil"/>
              <w:left w:val="nil"/>
              <w:bottom w:val="single" w:sz="6" w:space="0" w:color="auto"/>
              <w:right w:val="nil"/>
            </w:tcBorders>
          </w:tcPr>
          <w:p w:rsidR="000B4A1E" w:rsidRPr="00892C4B" w:rsidRDefault="000B4A1E" w:rsidP="00517E51">
            <w:pPr>
              <w:pStyle w:val="TableofFigures"/>
              <w:rPr>
                <w:rFonts w:eastAsiaTheme="minorEastAsia"/>
                <w:i/>
                <w:sz w:val="14"/>
                <w:szCs w:val="20"/>
                <w:lang w:eastAsia="en-AU"/>
              </w:rPr>
            </w:pPr>
            <w:r w:rsidRPr="00892C4B">
              <w:rPr>
                <w:rFonts w:eastAsiaTheme="minorEastAsia"/>
                <w:i/>
                <w:sz w:val="14"/>
                <w:szCs w:val="20"/>
                <w:lang w:eastAsia="en-AU"/>
              </w:rPr>
              <w:t xml:space="preserve"> </w:t>
            </w:r>
          </w:p>
        </w:tc>
      </w:tr>
      <w:tr w:rsidR="000B4A1E" w:rsidRPr="00892C4B" w:rsidTr="00517E51">
        <w:tc>
          <w:tcPr>
            <w:tcW w:w="5954" w:type="dxa"/>
            <w:gridSpan w:val="2"/>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Amounts issued under the authority of the </w:t>
            </w:r>
            <w:r w:rsidRPr="00892C4B">
              <w:rPr>
                <w:rFonts w:eastAsiaTheme="minorEastAsia"/>
                <w:b/>
                <w:bCs/>
                <w:i/>
                <w:sz w:val="21"/>
                <w:lang w:eastAsia="en-AU"/>
              </w:rPr>
              <w:t>Financial</w:t>
            </w:r>
            <w:r w:rsidR="00FB4EAF">
              <w:rPr>
                <w:rFonts w:eastAsiaTheme="minorEastAsia"/>
                <w:b/>
                <w:bCs/>
                <w:i/>
                <w:sz w:val="21"/>
                <w:lang w:eastAsia="en-AU"/>
              </w:rPr>
              <w:t xml:space="preserve"> Management Act, No. 18 of 1994</w:t>
            </w:r>
            <w:r w:rsidRPr="00892C4B">
              <w:rPr>
                <w:rFonts w:eastAsiaTheme="minorEastAsia"/>
                <w:b/>
                <w:bCs/>
                <w:sz w:val="21"/>
                <w:lang w:eastAsia="en-AU"/>
              </w:rPr>
              <w:t xml:space="preserve"> Section 33 (Special Appropriation) relating to prior year appropriations</w:t>
            </w:r>
          </w:p>
        </w:tc>
        <w:tc>
          <w:tcPr>
            <w:tcW w:w="135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4 342</w:t>
            </w:r>
          </w:p>
        </w:tc>
        <w:tc>
          <w:tcPr>
            <w:tcW w:w="1170"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4 342</w:t>
            </w:r>
          </w:p>
        </w:tc>
        <w:tc>
          <w:tcPr>
            <w:tcW w:w="1174"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5 884</w:t>
            </w:r>
          </w:p>
        </w:tc>
      </w:tr>
      <w:tr w:rsidR="000B4A1E" w:rsidRPr="00892C4B" w:rsidTr="00517E51">
        <w:trPr>
          <w:trHeight w:hRule="exact" w:val="58"/>
        </w:trPr>
        <w:tc>
          <w:tcPr>
            <w:tcW w:w="5954" w:type="dxa"/>
            <w:gridSpan w:val="2"/>
            <w:tcBorders>
              <w:top w:val="nil"/>
              <w:left w:val="nil"/>
              <w:bottom w:val="single" w:sz="6"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350"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70"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74" w:type="dxa"/>
            <w:tcBorders>
              <w:top w:val="nil"/>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r>
      <w:tr w:rsidR="000B4A1E" w:rsidRPr="00892C4B" w:rsidTr="00517E51">
        <w:tc>
          <w:tcPr>
            <w:tcW w:w="5954" w:type="dxa"/>
            <w:gridSpan w:val="2"/>
            <w:tcBorders>
              <w:top w:val="nil"/>
              <w:left w:val="nil"/>
              <w:bottom w:val="single" w:sz="12"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Parliamentary authority</w:t>
            </w:r>
          </w:p>
        </w:tc>
        <w:tc>
          <w:tcPr>
            <w:tcW w:w="1350" w:type="dxa"/>
            <w:tcBorders>
              <w:top w:val="nil"/>
              <w:left w:val="nil"/>
              <w:bottom w:val="single" w:sz="12"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1 779 661</w:t>
            </w:r>
          </w:p>
        </w:tc>
        <w:tc>
          <w:tcPr>
            <w:tcW w:w="1170" w:type="dxa"/>
            <w:tcBorders>
              <w:top w:val="nil"/>
              <w:left w:val="nil"/>
              <w:bottom w:val="single" w:sz="12"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1 611 201</w:t>
            </w:r>
          </w:p>
        </w:tc>
        <w:tc>
          <w:tcPr>
            <w:tcW w:w="1174" w:type="dxa"/>
            <w:tcBorders>
              <w:top w:val="nil"/>
              <w:left w:val="nil"/>
              <w:bottom w:val="single" w:sz="12"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1 301 002</w:t>
            </w:r>
          </w:p>
        </w:tc>
      </w:tr>
    </w:tbl>
    <w:p w:rsidR="000B4A1E" w:rsidRPr="00A71EF7" w:rsidRDefault="000B4A1E" w:rsidP="00517E51">
      <w:pPr>
        <w:pStyle w:val="Notes"/>
        <w:rPr>
          <w:sz w:val="15"/>
        </w:rPr>
      </w:pPr>
      <w:r w:rsidRPr="00A71EF7">
        <w:rPr>
          <w:sz w:val="15"/>
        </w:rPr>
        <w:t>Note:</w:t>
      </w:r>
    </w:p>
    <w:p w:rsidR="000B4A1E" w:rsidRPr="00A71EF7" w:rsidRDefault="000B4A1E" w:rsidP="00517E51">
      <w:pPr>
        <w:pStyle w:val="Notes"/>
        <w:rPr>
          <w:sz w:val="15"/>
        </w:rPr>
      </w:pPr>
      <w:r w:rsidRPr="00A71EF7">
        <w:rPr>
          <w:sz w:val="15"/>
        </w:rPr>
        <w:t xml:space="preserve">(a) </w:t>
      </w:r>
      <w:r w:rsidRPr="00A71EF7">
        <w:rPr>
          <w:sz w:val="15"/>
        </w:rPr>
        <w:tab/>
        <w:t>Effective 9 April 2013, the Department of Sustainability and Environment became the Department of Environment and Primary In</w:t>
      </w:r>
      <w:r>
        <w:rPr>
          <w:sz w:val="15"/>
        </w:rPr>
        <w:t>dustries.</w:t>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pPr>
      <w:r w:rsidRPr="00D00665">
        <w:t>(r)</w:t>
      </w:r>
      <w:r w:rsidRPr="00D00665">
        <w:tab/>
        <w:t>Parliamentary authority – Health</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5864"/>
        <w:gridCol w:w="90"/>
        <w:gridCol w:w="1440"/>
        <w:gridCol w:w="1080"/>
        <w:gridCol w:w="1174"/>
      </w:tblGrid>
      <w:tr w:rsidR="000B4A1E" w:rsidRPr="00441ADF" w:rsidTr="00517E51">
        <w:tc>
          <w:tcPr>
            <w:tcW w:w="5954" w:type="dxa"/>
            <w:gridSpan w:val="2"/>
            <w:tcBorders>
              <w:top w:val="single" w:sz="6" w:space="0" w:color="auto"/>
              <w:left w:val="single" w:sz="6" w:space="0" w:color="auto"/>
              <w:bottom w:val="nil"/>
              <w:right w:val="nil"/>
            </w:tcBorders>
            <w:shd w:val="clear" w:color="auto" w:fill="000000"/>
          </w:tcPr>
          <w:p w:rsidR="000B4A1E" w:rsidRPr="00441ADF" w:rsidRDefault="000B4A1E" w:rsidP="00517E51">
            <w:pPr>
              <w:pStyle w:val="Tabletext"/>
              <w:rPr>
                <w:rFonts w:eastAsiaTheme="minorEastAsia"/>
                <w:sz w:val="21"/>
                <w:szCs w:val="21"/>
                <w:lang w:eastAsia="en-AU"/>
              </w:rPr>
            </w:pPr>
            <w:r w:rsidRPr="00441ADF">
              <w:rPr>
                <w:rFonts w:eastAsiaTheme="minorEastAsia"/>
                <w:sz w:val="21"/>
                <w:szCs w:val="21"/>
                <w:lang w:eastAsia="en-AU"/>
              </w:rPr>
              <w:t xml:space="preserve"> </w:t>
            </w:r>
          </w:p>
        </w:tc>
        <w:tc>
          <w:tcPr>
            <w:tcW w:w="1440" w:type="dxa"/>
            <w:tcBorders>
              <w:top w:val="single" w:sz="6" w:space="0" w:color="auto"/>
              <w:left w:val="nil"/>
              <w:bottom w:val="nil"/>
              <w:right w:val="nil"/>
            </w:tcBorders>
            <w:shd w:val="clear" w:color="auto" w:fill="000000"/>
          </w:tcPr>
          <w:p w:rsidR="000B4A1E" w:rsidRPr="00441ADF" w:rsidRDefault="000B4A1E" w:rsidP="00517E51">
            <w:pPr>
              <w:pStyle w:val="Tabletextheading"/>
              <w:rPr>
                <w:rFonts w:eastAsiaTheme="minorEastAsia"/>
                <w:sz w:val="21"/>
                <w:szCs w:val="21"/>
                <w:lang w:eastAsia="en-AU"/>
              </w:rPr>
            </w:pPr>
            <w:r w:rsidRPr="00441ADF">
              <w:rPr>
                <w:rFonts w:eastAsiaTheme="minorEastAsia"/>
                <w:sz w:val="21"/>
                <w:szCs w:val="21"/>
                <w:lang w:eastAsia="en-AU"/>
              </w:rPr>
              <w:t xml:space="preserve">Parliamentary </w:t>
            </w:r>
          </w:p>
        </w:tc>
        <w:tc>
          <w:tcPr>
            <w:tcW w:w="1080" w:type="dxa"/>
            <w:tcBorders>
              <w:top w:val="single" w:sz="6" w:space="0" w:color="auto"/>
              <w:left w:val="nil"/>
              <w:bottom w:val="nil"/>
              <w:right w:val="nil"/>
            </w:tcBorders>
            <w:shd w:val="clear" w:color="auto" w:fill="000000"/>
          </w:tcPr>
          <w:p w:rsidR="000B4A1E" w:rsidRPr="00441ADF" w:rsidRDefault="000B4A1E" w:rsidP="00517E51">
            <w:pPr>
              <w:pStyle w:val="Tabletextheading"/>
              <w:rPr>
                <w:rFonts w:eastAsiaTheme="minorEastAsia"/>
                <w:sz w:val="21"/>
                <w:szCs w:val="21"/>
                <w:lang w:eastAsia="en-AU"/>
              </w:rPr>
            </w:pPr>
            <w:r w:rsidRPr="00441ADF">
              <w:rPr>
                <w:rFonts w:eastAsiaTheme="minorEastAsia"/>
                <w:sz w:val="21"/>
                <w:szCs w:val="21"/>
                <w:lang w:eastAsia="en-AU"/>
              </w:rPr>
              <w:t>Amounts</w:t>
            </w:r>
          </w:p>
        </w:tc>
        <w:tc>
          <w:tcPr>
            <w:tcW w:w="1174" w:type="dxa"/>
            <w:tcBorders>
              <w:top w:val="single" w:sz="6" w:space="0" w:color="auto"/>
              <w:left w:val="nil"/>
              <w:bottom w:val="nil"/>
              <w:right w:val="single" w:sz="6" w:space="0" w:color="auto"/>
            </w:tcBorders>
            <w:shd w:val="clear" w:color="auto" w:fill="000000"/>
          </w:tcPr>
          <w:p w:rsidR="000B4A1E" w:rsidRPr="00441ADF" w:rsidRDefault="000B4A1E" w:rsidP="00517E51">
            <w:pPr>
              <w:pStyle w:val="Tabletextheading"/>
              <w:rPr>
                <w:rFonts w:eastAsiaTheme="minorEastAsia"/>
                <w:sz w:val="21"/>
                <w:szCs w:val="21"/>
                <w:lang w:eastAsia="en-AU"/>
              </w:rPr>
            </w:pPr>
            <w:r w:rsidRPr="00441ADF">
              <w:rPr>
                <w:rFonts w:eastAsiaTheme="minorEastAsia"/>
                <w:sz w:val="21"/>
                <w:szCs w:val="21"/>
                <w:lang w:eastAsia="en-AU"/>
              </w:rPr>
              <w:t>Amounts</w:t>
            </w:r>
          </w:p>
        </w:tc>
      </w:tr>
      <w:tr w:rsidR="000B4A1E" w:rsidRPr="00441ADF" w:rsidTr="00517E51">
        <w:tc>
          <w:tcPr>
            <w:tcW w:w="5954" w:type="dxa"/>
            <w:gridSpan w:val="2"/>
            <w:tcBorders>
              <w:top w:val="nil"/>
              <w:left w:val="single" w:sz="6" w:space="0" w:color="auto"/>
              <w:bottom w:val="single" w:sz="6" w:space="0" w:color="auto"/>
              <w:right w:val="nil"/>
            </w:tcBorders>
            <w:shd w:val="clear" w:color="auto" w:fill="000000"/>
          </w:tcPr>
          <w:p w:rsidR="000B4A1E" w:rsidRPr="00441ADF" w:rsidRDefault="000B4A1E" w:rsidP="00517E51">
            <w:pPr>
              <w:pStyle w:val="Tabletext"/>
              <w:rPr>
                <w:rFonts w:eastAsiaTheme="minorEastAsia"/>
                <w:sz w:val="21"/>
                <w:szCs w:val="21"/>
                <w:lang w:eastAsia="en-AU"/>
              </w:rPr>
            </w:pPr>
            <w:r w:rsidRPr="00441ADF">
              <w:rPr>
                <w:rFonts w:eastAsiaTheme="minorEastAsia"/>
                <w:sz w:val="21"/>
                <w:szCs w:val="21"/>
                <w:lang w:eastAsia="en-AU"/>
              </w:rPr>
              <w:t xml:space="preserve"> </w:t>
            </w:r>
          </w:p>
        </w:tc>
        <w:tc>
          <w:tcPr>
            <w:tcW w:w="1440" w:type="dxa"/>
            <w:tcBorders>
              <w:top w:val="nil"/>
              <w:left w:val="nil"/>
              <w:bottom w:val="single" w:sz="6" w:space="0" w:color="auto"/>
              <w:right w:val="nil"/>
            </w:tcBorders>
            <w:shd w:val="clear" w:color="auto" w:fill="000000"/>
          </w:tcPr>
          <w:p w:rsidR="000B4A1E" w:rsidRPr="00441ADF" w:rsidRDefault="000B4A1E" w:rsidP="00517E51">
            <w:pPr>
              <w:pStyle w:val="Tabletextheading"/>
              <w:rPr>
                <w:rFonts w:eastAsiaTheme="minorEastAsia"/>
                <w:sz w:val="21"/>
                <w:szCs w:val="21"/>
                <w:lang w:eastAsia="en-AU"/>
              </w:rPr>
            </w:pPr>
            <w:r w:rsidRPr="00441ADF">
              <w:rPr>
                <w:sz w:val="21"/>
                <w:szCs w:val="21"/>
              </w:rPr>
              <w:t>authority</w:t>
            </w:r>
          </w:p>
        </w:tc>
        <w:tc>
          <w:tcPr>
            <w:tcW w:w="1080" w:type="dxa"/>
            <w:tcBorders>
              <w:top w:val="nil"/>
              <w:left w:val="nil"/>
              <w:bottom w:val="single" w:sz="6" w:space="0" w:color="auto"/>
              <w:right w:val="nil"/>
            </w:tcBorders>
            <w:shd w:val="clear" w:color="auto" w:fill="000000"/>
          </w:tcPr>
          <w:p w:rsidR="000B4A1E" w:rsidRPr="00441ADF" w:rsidRDefault="000B4A1E" w:rsidP="00517E51">
            <w:pPr>
              <w:pStyle w:val="Tabletextheading"/>
              <w:rPr>
                <w:rFonts w:eastAsiaTheme="minorEastAsia"/>
                <w:sz w:val="21"/>
                <w:szCs w:val="21"/>
                <w:lang w:eastAsia="en-AU"/>
              </w:rPr>
            </w:pPr>
            <w:r w:rsidRPr="00441ADF">
              <w:rPr>
                <w:rFonts w:eastAsiaTheme="minorEastAsia"/>
                <w:sz w:val="21"/>
                <w:szCs w:val="21"/>
                <w:lang w:eastAsia="en-AU"/>
              </w:rPr>
              <w:t>applied</w:t>
            </w:r>
          </w:p>
        </w:tc>
        <w:tc>
          <w:tcPr>
            <w:tcW w:w="1174" w:type="dxa"/>
            <w:tcBorders>
              <w:top w:val="nil"/>
              <w:left w:val="nil"/>
              <w:bottom w:val="single" w:sz="6" w:space="0" w:color="auto"/>
              <w:right w:val="single" w:sz="6" w:space="0" w:color="auto"/>
            </w:tcBorders>
            <w:shd w:val="clear" w:color="auto" w:fill="000000"/>
          </w:tcPr>
          <w:p w:rsidR="000B4A1E" w:rsidRPr="00441ADF" w:rsidRDefault="000B4A1E" w:rsidP="00517E51">
            <w:pPr>
              <w:pStyle w:val="Tabletextheading"/>
              <w:rPr>
                <w:rFonts w:eastAsiaTheme="minorEastAsia"/>
                <w:sz w:val="21"/>
                <w:szCs w:val="21"/>
                <w:lang w:eastAsia="en-AU"/>
              </w:rPr>
            </w:pPr>
            <w:r w:rsidRPr="00441ADF">
              <w:rPr>
                <w:rFonts w:eastAsiaTheme="minorEastAsia"/>
                <w:sz w:val="21"/>
                <w:szCs w:val="21"/>
                <w:lang w:eastAsia="en-AU"/>
              </w:rPr>
              <w:t>applied</w:t>
            </w:r>
          </w:p>
        </w:tc>
      </w:tr>
      <w:tr w:rsidR="000B4A1E" w:rsidRPr="00441ADF" w:rsidTr="00517E51">
        <w:tc>
          <w:tcPr>
            <w:tcW w:w="5954" w:type="dxa"/>
            <w:gridSpan w:val="2"/>
            <w:tcBorders>
              <w:top w:val="single" w:sz="6" w:space="0" w:color="auto"/>
              <w:left w:val="single" w:sz="6" w:space="0" w:color="auto"/>
              <w:bottom w:val="single" w:sz="6" w:space="0" w:color="auto"/>
              <w:right w:val="nil"/>
            </w:tcBorders>
            <w:shd w:val="solid" w:color="000000" w:fill="auto"/>
          </w:tcPr>
          <w:p w:rsidR="000B4A1E" w:rsidRPr="00441ADF" w:rsidRDefault="000B4A1E" w:rsidP="00517E51">
            <w:pPr>
              <w:pStyle w:val="Tabletext"/>
              <w:rPr>
                <w:rFonts w:eastAsiaTheme="minorEastAsia"/>
                <w:sz w:val="21"/>
                <w:szCs w:val="21"/>
                <w:lang w:eastAsia="en-AU"/>
              </w:rPr>
            </w:pPr>
            <w:r w:rsidRPr="00441ADF">
              <w:rPr>
                <w:rFonts w:eastAsiaTheme="minorEastAsia"/>
                <w:sz w:val="21"/>
                <w:szCs w:val="21"/>
                <w:lang w:eastAsia="en-AU"/>
              </w:rPr>
              <w:t xml:space="preserve"> </w:t>
            </w:r>
          </w:p>
        </w:tc>
        <w:tc>
          <w:tcPr>
            <w:tcW w:w="1440" w:type="dxa"/>
            <w:tcBorders>
              <w:top w:val="single" w:sz="6" w:space="0" w:color="auto"/>
              <w:left w:val="nil"/>
              <w:bottom w:val="single" w:sz="6" w:space="0" w:color="auto"/>
              <w:right w:val="nil"/>
            </w:tcBorders>
            <w:shd w:val="solid" w:color="000000" w:fill="auto"/>
          </w:tcPr>
          <w:p w:rsidR="000B4A1E" w:rsidRPr="00441ADF" w:rsidRDefault="000B4A1E" w:rsidP="00517E51">
            <w:pPr>
              <w:pStyle w:val="Tabletextheading"/>
              <w:rPr>
                <w:rFonts w:eastAsiaTheme="minorEastAsia"/>
                <w:sz w:val="21"/>
                <w:szCs w:val="21"/>
                <w:lang w:eastAsia="en-AU"/>
              </w:rPr>
            </w:pPr>
            <w:r w:rsidRPr="00441ADF">
              <w:rPr>
                <w:rFonts w:eastAsiaTheme="minorEastAsia"/>
                <w:sz w:val="21"/>
                <w:szCs w:val="21"/>
                <w:lang w:eastAsia="en-AU"/>
              </w:rPr>
              <w:t>2013</w:t>
            </w:r>
          </w:p>
        </w:tc>
        <w:tc>
          <w:tcPr>
            <w:tcW w:w="1080" w:type="dxa"/>
            <w:tcBorders>
              <w:top w:val="single" w:sz="6" w:space="0" w:color="auto"/>
              <w:left w:val="nil"/>
              <w:bottom w:val="single" w:sz="6" w:space="0" w:color="auto"/>
              <w:right w:val="nil"/>
            </w:tcBorders>
            <w:shd w:val="solid" w:color="000000" w:fill="auto"/>
          </w:tcPr>
          <w:p w:rsidR="000B4A1E" w:rsidRPr="00441ADF" w:rsidRDefault="000B4A1E" w:rsidP="00517E51">
            <w:pPr>
              <w:pStyle w:val="Tabletextheading"/>
              <w:rPr>
                <w:rFonts w:eastAsiaTheme="minorEastAsia"/>
                <w:sz w:val="21"/>
                <w:szCs w:val="21"/>
                <w:lang w:eastAsia="en-AU"/>
              </w:rPr>
            </w:pPr>
            <w:r w:rsidRPr="00441ADF">
              <w:rPr>
                <w:rFonts w:eastAsiaTheme="minorEastAsia"/>
                <w:sz w:val="21"/>
                <w:szCs w:val="21"/>
                <w:lang w:eastAsia="en-AU"/>
              </w:rPr>
              <w:t>2013</w:t>
            </w:r>
          </w:p>
        </w:tc>
        <w:tc>
          <w:tcPr>
            <w:tcW w:w="1174" w:type="dxa"/>
            <w:tcBorders>
              <w:top w:val="single" w:sz="6" w:space="0" w:color="auto"/>
              <w:left w:val="nil"/>
              <w:bottom w:val="single" w:sz="6" w:space="0" w:color="auto"/>
              <w:right w:val="single" w:sz="6" w:space="0" w:color="auto"/>
            </w:tcBorders>
            <w:shd w:val="solid" w:color="000000" w:fill="auto"/>
          </w:tcPr>
          <w:p w:rsidR="000B4A1E" w:rsidRPr="00441ADF" w:rsidRDefault="000B4A1E" w:rsidP="00517E51">
            <w:pPr>
              <w:pStyle w:val="Tabletextheading"/>
              <w:rPr>
                <w:rFonts w:eastAsiaTheme="minorEastAsia"/>
                <w:sz w:val="21"/>
                <w:szCs w:val="21"/>
                <w:lang w:eastAsia="en-AU"/>
              </w:rPr>
            </w:pPr>
            <w:r w:rsidRPr="00441ADF">
              <w:rPr>
                <w:rFonts w:eastAsiaTheme="minorEastAsia"/>
                <w:sz w:val="21"/>
                <w:szCs w:val="21"/>
                <w:lang w:eastAsia="en-AU"/>
              </w:rPr>
              <w:t>2012</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Special appropriations</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i/>
                <w:sz w:val="21"/>
                <w:szCs w:val="21"/>
                <w:lang w:eastAsia="en-AU"/>
              </w:rPr>
              <w:t>Casino Control Act No. 47 of 1991,</w:t>
            </w:r>
            <w:r w:rsidRPr="00441ADF">
              <w:rPr>
                <w:rFonts w:eastAsiaTheme="minorEastAsia"/>
                <w:sz w:val="21"/>
                <w:szCs w:val="21"/>
                <w:lang w:eastAsia="en-AU"/>
              </w:rPr>
              <w:t xml:space="preserve"> Sections 114 and 114(b)</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15 375</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15 375</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25 923</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i/>
                <w:sz w:val="21"/>
                <w:szCs w:val="21"/>
                <w:lang w:eastAsia="en-AU"/>
              </w:rPr>
              <w:t>Financial Management Act, No.18 of 1994,</w:t>
            </w:r>
            <w:r w:rsidRPr="00441ADF">
              <w:rPr>
                <w:rFonts w:eastAsiaTheme="minorEastAsia"/>
                <w:sz w:val="21"/>
                <w:szCs w:val="21"/>
                <w:lang w:eastAsia="en-AU"/>
              </w:rPr>
              <w:t xml:space="preserve"> Section 10</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78 076</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78 076</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19 680</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i/>
                <w:sz w:val="21"/>
                <w:szCs w:val="21"/>
                <w:lang w:eastAsia="en-AU"/>
              </w:rPr>
              <w:t>Gambling Regulation Act No. 114 of 2003</w:t>
            </w:r>
            <w:r w:rsidRPr="00441ADF">
              <w:rPr>
                <w:rFonts w:eastAsiaTheme="minorEastAsia"/>
                <w:sz w:val="21"/>
                <w:szCs w:val="21"/>
                <w:lang w:eastAsia="en-AU"/>
              </w:rPr>
              <w:t xml:space="preserve"> Section 3.6.4 Contributions – Hospitals and Charities Fund</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42 334</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42 334</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114 911</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i/>
                <w:sz w:val="21"/>
                <w:szCs w:val="21"/>
                <w:lang w:eastAsia="en-AU"/>
              </w:rPr>
              <w:t xml:space="preserve">Gambling Regulation Act No. 114 of 2003 </w:t>
            </w:r>
            <w:r w:rsidRPr="00441ADF">
              <w:rPr>
                <w:rFonts w:eastAsiaTheme="minorEastAsia"/>
                <w:sz w:val="21"/>
                <w:szCs w:val="21"/>
                <w:lang w:eastAsia="en-AU"/>
              </w:rPr>
              <w:t>Section 3.6.11 Contributions – Hospitals and Charities Fun</w:t>
            </w:r>
            <w:r>
              <w:rPr>
                <w:rFonts w:eastAsiaTheme="minorEastAsia"/>
                <w:sz w:val="21"/>
                <w:szCs w:val="21"/>
                <w:lang w:eastAsia="en-AU"/>
              </w:rPr>
              <w:t>d/Mental Hospitals </w:t>
            </w:r>
            <w:r w:rsidRPr="00441ADF">
              <w:rPr>
                <w:rFonts w:eastAsiaTheme="minorEastAsia"/>
                <w:sz w:val="21"/>
                <w:szCs w:val="21"/>
                <w:lang w:eastAsia="en-AU"/>
              </w:rPr>
              <w:t>Fund</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653 452</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653 452</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652 011</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i/>
                <w:sz w:val="21"/>
                <w:szCs w:val="21"/>
                <w:lang w:eastAsia="en-AU"/>
              </w:rPr>
              <w:t>Gambling Regulation Act No. 114/2003,</w:t>
            </w:r>
            <w:r w:rsidRPr="00441ADF">
              <w:rPr>
                <w:rFonts w:eastAsiaTheme="minorEastAsia"/>
                <w:sz w:val="21"/>
                <w:szCs w:val="21"/>
                <w:lang w:eastAsia="en-AU"/>
              </w:rPr>
              <w:t xml:space="preserve"> Sec 4.6.8(2) Contributions to Hospitals and Charities Fund</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i/>
                <w:sz w:val="21"/>
                <w:szCs w:val="21"/>
                <w:lang w:eastAsia="en-AU"/>
              </w:rPr>
              <w:t>Gambling Regulation Act No. 114 of 2003</w:t>
            </w:r>
            <w:r w:rsidRPr="00441ADF">
              <w:rPr>
                <w:rFonts w:eastAsiaTheme="minorEastAsia"/>
                <w:sz w:val="21"/>
                <w:szCs w:val="21"/>
                <w:lang w:eastAsia="en-AU"/>
              </w:rPr>
              <w:t xml:space="preserve"> Sections 4.4.11 and 4.6.8 Contributions – Hospitals and Charities Fund</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71 510</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71 510</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120 826</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sz w:val="21"/>
                <w:szCs w:val="21"/>
                <w:lang w:eastAsia="en-AU"/>
              </w:rPr>
              <w:t>Gambling</w:t>
            </w:r>
            <w:r w:rsidRPr="00441ADF">
              <w:rPr>
                <w:rFonts w:eastAsiaTheme="minorEastAsia"/>
                <w:i/>
                <w:sz w:val="21"/>
                <w:szCs w:val="21"/>
                <w:lang w:eastAsia="en-AU"/>
              </w:rPr>
              <w:t xml:space="preserve"> Regulation Act No. 114/2003,</w:t>
            </w:r>
            <w:r w:rsidRPr="00441ADF">
              <w:rPr>
                <w:rFonts w:eastAsiaTheme="minorEastAsia"/>
                <w:sz w:val="21"/>
                <w:szCs w:val="21"/>
                <w:lang w:eastAsia="en-AU"/>
              </w:rPr>
              <w:t xml:space="preserve"> Sec 4.6.8(2) Contributions to Hospitals and Charities Fund</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i/>
                <w:sz w:val="21"/>
                <w:szCs w:val="21"/>
                <w:lang w:eastAsia="en-AU"/>
              </w:rPr>
              <w:t>Gambling Regulation Act No. 114 of 2003</w:t>
            </w:r>
            <w:r w:rsidRPr="00441ADF">
              <w:rPr>
                <w:rFonts w:eastAsiaTheme="minorEastAsia"/>
                <w:sz w:val="21"/>
                <w:szCs w:val="21"/>
                <w:lang w:eastAsia="en-AU"/>
              </w:rPr>
              <w:t xml:space="preserve"> Section 5.4.6 Contributions – Hospitals and Charities Fund/Mental Hos</w:t>
            </w:r>
            <w:r>
              <w:rPr>
                <w:rFonts w:eastAsiaTheme="minorEastAsia"/>
                <w:sz w:val="21"/>
                <w:szCs w:val="21"/>
                <w:lang w:eastAsia="en-AU"/>
              </w:rPr>
              <w:t>pitals </w:t>
            </w:r>
            <w:r w:rsidRPr="00441ADF">
              <w:rPr>
                <w:rFonts w:eastAsiaTheme="minorEastAsia"/>
                <w:sz w:val="21"/>
                <w:szCs w:val="21"/>
                <w:lang w:eastAsia="en-AU"/>
              </w:rPr>
              <w:t>Fund</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355 316</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355 316</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313 737</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i/>
                <w:sz w:val="21"/>
                <w:szCs w:val="21"/>
                <w:lang w:eastAsia="en-AU"/>
              </w:rPr>
              <w:t>Gambling Regulation Act No. 114 of 2003</w:t>
            </w:r>
            <w:r w:rsidRPr="00441ADF">
              <w:rPr>
                <w:rFonts w:eastAsiaTheme="minorEastAsia"/>
                <w:sz w:val="21"/>
                <w:szCs w:val="21"/>
                <w:lang w:eastAsia="en-AU"/>
              </w:rPr>
              <w:t xml:space="preserve"> Section 6.3.3 Contributions – Hospitals and </w:t>
            </w:r>
            <w:r>
              <w:rPr>
                <w:rFonts w:eastAsiaTheme="minorEastAsia"/>
                <w:sz w:val="21"/>
                <w:szCs w:val="21"/>
                <w:lang w:eastAsia="en-AU"/>
              </w:rPr>
              <w:t>Charities Fund/Mental Hospitals </w:t>
            </w:r>
            <w:r w:rsidRPr="00441ADF">
              <w:rPr>
                <w:rFonts w:eastAsiaTheme="minorEastAsia"/>
                <w:sz w:val="21"/>
                <w:szCs w:val="21"/>
                <w:lang w:eastAsia="en-AU"/>
              </w:rPr>
              <w:t>Fund</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1 053</w:t>
            </w:r>
          </w:p>
        </w:tc>
      </w:tr>
      <w:tr w:rsidR="000B4A1E" w:rsidRPr="00441ADF" w:rsidTr="00517E51">
        <w:tc>
          <w:tcPr>
            <w:tcW w:w="5954" w:type="dxa"/>
            <w:gridSpan w:val="2"/>
            <w:tcBorders>
              <w:top w:val="nil"/>
              <w:left w:val="nil"/>
              <w:bottom w:val="single" w:sz="6" w:space="0" w:color="auto"/>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i/>
                <w:sz w:val="21"/>
                <w:szCs w:val="21"/>
                <w:lang w:eastAsia="en-AU"/>
              </w:rPr>
              <w:t>Gambling Regulation Act No. 114 of 2003</w:t>
            </w:r>
            <w:r w:rsidRPr="00441ADF">
              <w:rPr>
                <w:rFonts w:eastAsiaTheme="minorEastAsia"/>
                <w:sz w:val="21"/>
                <w:szCs w:val="21"/>
                <w:lang w:eastAsia="en-AU"/>
              </w:rPr>
              <w:t xml:space="preserve"> Section 6A.4.4 Contributions – Hospitals and </w:t>
            </w:r>
            <w:r>
              <w:rPr>
                <w:rFonts w:eastAsiaTheme="minorEastAsia"/>
                <w:sz w:val="21"/>
                <w:szCs w:val="21"/>
                <w:lang w:eastAsia="en-AU"/>
              </w:rPr>
              <w:t>Charities Fund/Mental Hospitals </w:t>
            </w:r>
            <w:r w:rsidRPr="00441ADF">
              <w:rPr>
                <w:rFonts w:eastAsiaTheme="minorEastAsia"/>
                <w:sz w:val="21"/>
                <w:szCs w:val="21"/>
                <w:lang w:eastAsia="en-AU"/>
              </w:rPr>
              <w:t>Fund</w:t>
            </w:r>
          </w:p>
        </w:tc>
        <w:tc>
          <w:tcPr>
            <w:tcW w:w="1440" w:type="dxa"/>
            <w:tcBorders>
              <w:top w:val="nil"/>
              <w:left w:val="nil"/>
              <w:bottom w:val="nil"/>
              <w:right w:val="nil"/>
            </w:tcBorders>
          </w:tcPr>
          <w:p w:rsidR="000B4A1E" w:rsidRPr="00441ADF" w:rsidRDefault="000B4A1E" w:rsidP="00517E51">
            <w:pPr>
              <w:pStyle w:val="TableofFigures"/>
              <w:rPr>
                <w:rFonts w:eastAsiaTheme="minorEastAsia" w:cs="Calibri"/>
                <w:sz w:val="21"/>
                <w:szCs w:val="21"/>
                <w:lang w:eastAsia="en-AU"/>
              </w:rPr>
            </w:pPr>
            <w:r w:rsidRPr="00441ADF">
              <w:rPr>
                <w:rFonts w:eastAsiaTheme="minorEastAsia"/>
                <w:sz w:val="21"/>
                <w:szCs w:val="21"/>
                <w:lang w:eastAsia="en-AU"/>
              </w:rPr>
              <w:t xml:space="preserve"> 3 </w:t>
            </w:r>
            <w:r w:rsidRPr="00441ADF">
              <w:rPr>
                <w:rFonts w:eastAsiaTheme="minorEastAsia" w:cs="Calibri"/>
                <w:sz w:val="21"/>
                <w:szCs w:val="21"/>
                <w:lang w:eastAsia="en-AU"/>
              </w:rPr>
              <w:t>363</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3 363</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603</w:t>
            </w:r>
          </w:p>
        </w:tc>
      </w:tr>
      <w:tr w:rsidR="000B4A1E" w:rsidRPr="00441ADF" w:rsidTr="00517E51">
        <w:tc>
          <w:tcPr>
            <w:tcW w:w="5954" w:type="dxa"/>
            <w:gridSpan w:val="2"/>
            <w:tcBorders>
              <w:top w:val="nil"/>
              <w:left w:val="nil"/>
              <w:bottom w:val="single" w:sz="6" w:space="0" w:color="auto"/>
              <w:right w:val="nil"/>
            </w:tcBorders>
          </w:tcPr>
          <w:p w:rsidR="000B4A1E" w:rsidRPr="00441ADF" w:rsidRDefault="000B4A1E" w:rsidP="00517E51">
            <w:pPr>
              <w:pStyle w:val="Tabletext"/>
              <w:rPr>
                <w:rFonts w:eastAsiaTheme="minorEastAsia" w:cs="Calibri"/>
                <w:b/>
                <w:bCs/>
                <w:sz w:val="21"/>
                <w:szCs w:val="21"/>
                <w:lang w:eastAsia="en-AU"/>
              </w:rPr>
            </w:pPr>
            <w:r w:rsidRPr="00441ADF">
              <w:rPr>
                <w:rFonts w:eastAsiaTheme="minorEastAsia"/>
                <w:b/>
                <w:bCs/>
                <w:sz w:val="21"/>
                <w:szCs w:val="21"/>
                <w:lang w:eastAsia="en-AU"/>
              </w:rPr>
              <w:t xml:space="preserve">Total special appropriations (excluding </w:t>
            </w:r>
            <w:r w:rsidRPr="00441ADF">
              <w:rPr>
                <w:rFonts w:eastAsiaTheme="minorEastAsia"/>
                <w:b/>
                <w:bCs/>
                <w:i/>
                <w:sz w:val="21"/>
                <w:szCs w:val="21"/>
                <w:lang w:eastAsia="en-AU"/>
              </w:rPr>
              <w:t>Financial Management Act, No</w:t>
            </w:r>
            <w:r w:rsidRPr="00441ADF">
              <w:rPr>
                <w:rFonts w:eastAsiaTheme="minorEastAsia" w:cs="Calibri"/>
                <w:b/>
                <w:bCs/>
                <w:i/>
                <w:iCs/>
                <w:sz w:val="21"/>
                <w:szCs w:val="21"/>
                <w:lang w:eastAsia="en-AU"/>
              </w:rPr>
              <w:t xml:space="preserve">. 18 of 1994 </w:t>
            </w:r>
            <w:r w:rsidRPr="00441ADF">
              <w:rPr>
                <w:rFonts w:eastAsiaTheme="minorEastAsia" w:cs="Calibri"/>
                <w:b/>
                <w:bCs/>
                <w:sz w:val="21"/>
                <w:szCs w:val="21"/>
                <w:lang w:eastAsia="en-AU"/>
              </w:rPr>
              <w:t>Section 33)</w:t>
            </w:r>
          </w:p>
        </w:tc>
        <w:tc>
          <w:tcPr>
            <w:tcW w:w="1440" w:type="dxa"/>
            <w:tcBorders>
              <w:top w:val="single" w:sz="6" w:space="0" w:color="auto"/>
              <w:left w:val="nil"/>
              <w:bottom w:val="single" w:sz="6" w:space="0" w:color="auto"/>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1 219 427</w:t>
            </w:r>
          </w:p>
        </w:tc>
        <w:tc>
          <w:tcPr>
            <w:tcW w:w="1080" w:type="dxa"/>
            <w:tcBorders>
              <w:top w:val="single" w:sz="6" w:space="0" w:color="auto"/>
              <w:left w:val="nil"/>
              <w:bottom w:val="single" w:sz="6" w:space="0" w:color="auto"/>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1 219 427</w:t>
            </w:r>
          </w:p>
        </w:tc>
        <w:tc>
          <w:tcPr>
            <w:tcW w:w="1174" w:type="dxa"/>
            <w:tcBorders>
              <w:top w:val="single" w:sz="6" w:space="0" w:color="auto"/>
              <w:left w:val="nil"/>
              <w:bottom w:val="single" w:sz="6" w:space="0" w:color="auto"/>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1 248 745</w:t>
            </w:r>
          </w:p>
        </w:tc>
      </w:tr>
      <w:tr w:rsidR="000B4A1E" w:rsidRPr="00441ADF" w:rsidTr="00517E51">
        <w:trPr>
          <w:trHeight w:hRule="exact" w:val="80"/>
        </w:trPr>
        <w:tc>
          <w:tcPr>
            <w:tcW w:w="5954" w:type="dxa"/>
            <w:gridSpan w:val="2"/>
            <w:tcBorders>
              <w:top w:val="nil"/>
              <w:left w:val="nil"/>
              <w:bottom w:val="nil"/>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 xml:space="preserve"> </w:t>
            </w:r>
          </w:p>
        </w:tc>
        <w:tc>
          <w:tcPr>
            <w:tcW w:w="144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08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174"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Annual appropriations</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Provision of outputs</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sz w:val="21"/>
                <w:szCs w:val="21"/>
                <w:lang w:eastAsia="en-AU"/>
              </w:rPr>
              <w:t>Provision of outputs – net application</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6 867 147</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6 616 512</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9 403 074</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sz w:val="21"/>
                <w:szCs w:val="21"/>
                <w:lang w:eastAsia="en-AU"/>
              </w:rPr>
              <w:t xml:space="preserve">Section 29 </w:t>
            </w:r>
            <w:r w:rsidRPr="00441ADF">
              <w:rPr>
                <w:rFonts w:eastAsiaTheme="minorEastAsia"/>
                <w:i/>
                <w:sz w:val="21"/>
                <w:szCs w:val="21"/>
                <w:lang w:eastAsia="en-AU"/>
              </w:rPr>
              <w:t>Financial Management Act, No. 18 of 1994</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1 739 783</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1 700 938</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955 280</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sz w:val="21"/>
                <w:szCs w:val="21"/>
                <w:lang w:eastAsia="en-AU"/>
              </w:rPr>
              <w:t xml:space="preserve">Section 32 </w:t>
            </w:r>
            <w:r w:rsidRPr="00441ADF">
              <w:rPr>
                <w:rFonts w:eastAsiaTheme="minorEastAsia"/>
                <w:i/>
                <w:sz w:val="21"/>
                <w:szCs w:val="21"/>
                <w:lang w:eastAsia="en-AU"/>
              </w:rPr>
              <w:t>Financial Management Act, No. 18 of 1994</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130 750</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130 750</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53 190</w:t>
            </w:r>
          </w:p>
        </w:tc>
      </w:tr>
      <w:tr w:rsidR="000B4A1E" w:rsidRPr="00441ADF" w:rsidTr="00517E51">
        <w:tc>
          <w:tcPr>
            <w:tcW w:w="5864" w:type="dxa"/>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sz w:val="21"/>
                <w:szCs w:val="21"/>
                <w:lang w:eastAsia="en-AU"/>
              </w:rPr>
              <w:t xml:space="preserve">Section 35 </w:t>
            </w:r>
            <w:r w:rsidRPr="00441ADF">
              <w:rPr>
                <w:rFonts w:eastAsiaTheme="minorEastAsia"/>
                <w:i/>
                <w:sz w:val="21"/>
                <w:szCs w:val="21"/>
                <w:lang w:eastAsia="en-AU"/>
              </w:rPr>
              <w:t xml:space="preserve">Financial Management Act, No. 18 of 1994 </w:t>
            </w:r>
            <w:r>
              <w:rPr>
                <w:rFonts w:eastAsiaTheme="minorEastAsia"/>
                <w:sz w:val="21"/>
                <w:szCs w:val="21"/>
                <w:lang w:eastAsia="en-AU"/>
              </w:rPr>
              <w:t>(temporary </w:t>
            </w:r>
            <w:r w:rsidRPr="00441ADF">
              <w:rPr>
                <w:rFonts w:eastAsiaTheme="minorEastAsia"/>
                <w:sz w:val="21"/>
                <w:szCs w:val="21"/>
                <w:lang w:eastAsia="en-AU"/>
              </w:rPr>
              <w:t>advances)</w:t>
            </w:r>
          </w:p>
        </w:tc>
        <w:tc>
          <w:tcPr>
            <w:tcW w:w="1530" w:type="dxa"/>
            <w:gridSpan w:val="2"/>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91 000</w:t>
            </w:r>
          </w:p>
        </w:tc>
        <w:tc>
          <w:tcPr>
            <w:tcW w:w="1080" w:type="dxa"/>
            <w:tcBorders>
              <w:top w:val="nil"/>
              <w:left w:val="nil"/>
              <w:bottom w:val="nil"/>
              <w:right w:val="nil"/>
            </w:tcBorders>
          </w:tcPr>
          <w:p w:rsidR="000B4A1E" w:rsidRPr="00441ADF" w:rsidRDefault="000B4A1E" w:rsidP="00517E51">
            <w:pPr>
              <w:pStyle w:val="TableofFigures"/>
              <w:rPr>
                <w:rFonts w:eastAsiaTheme="minorEastAsia" w:cs="Calibri"/>
                <w:sz w:val="21"/>
                <w:szCs w:val="21"/>
                <w:lang w:eastAsia="en-AU"/>
              </w:rPr>
            </w:pPr>
            <w:r w:rsidRPr="00441ADF">
              <w:rPr>
                <w:rFonts w:eastAsiaTheme="minorEastAsia"/>
                <w:sz w:val="21"/>
                <w:szCs w:val="21"/>
                <w:lang w:eastAsia="en-AU"/>
              </w:rPr>
              <w:t xml:space="preserve"> 91 </w:t>
            </w:r>
            <w:r w:rsidRPr="00441ADF">
              <w:rPr>
                <w:rFonts w:eastAsiaTheme="minorEastAsia" w:cs="Calibri"/>
                <w:sz w:val="21"/>
                <w:szCs w:val="21"/>
                <w:lang w:eastAsia="en-AU"/>
              </w:rPr>
              <w:t>000</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p>
        </w:tc>
      </w:tr>
      <w:tr w:rsidR="000B4A1E" w:rsidRPr="00441ADF" w:rsidTr="00517E51">
        <w:tc>
          <w:tcPr>
            <w:tcW w:w="5954" w:type="dxa"/>
            <w:gridSpan w:val="2"/>
            <w:tcBorders>
              <w:top w:val="nil"/>
              <w:left w:val="nil"/>
              <w:bottom w:val="single" w:sz="6" w:space="0" w:color="auto"/>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sz w:val="21"/>
                <w:szCs w:val="21"/>
                <w:lang w:eastAsia="en-AU"/>
              </w:rPr>
              <w:t xml:space="preserve">Advance to Treasurer </w:t>
            </w:r>
          </w:p>
        </w:tc>
        <w:tc>
          <w:tcPr>
            <w:tcW w:w="1440" w:type="dxa"/>
            <w:tcBorders>
              <w:top w:val="nil"/>
              <w:left w:val="nil"/>
              <w:bottom w:val="single" w:sz="6" w:space="0" w:color="auto"/>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13 639</w:t>
            </w:r>
          </w:p>
        </w:tc>
        <w:tc>
          <w:tcPr>
            <w:tcW w:w="1080" w:type="dxa"/>
            <w:tcBorders>
              <w:top w:val="nil"/>
              <w:left w:val="nil"/>
              <w:bottom w:val="single" w:sz="6" w:space="0" w:color="auto"/>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13 639</w:t>
            </w:r>
          </w:p>
        </w:tc>
        <w:tc>
          <w:tcPr>
            <w:tcW w:w="1174" w:type="dxa"/>
            <w:tcBorders>
              <w:top w:val="nil"/>
              <w:left w:val="nil"/>
              <w:bottom w:val="single" w:sz="6" w:space="0" w:color="auto"/>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98 454</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Total provision of outputs – gross application</w:t>
            </w:r>
          </w:p>
        </w:tc>
        <w:tc>
          <w:tcPr>
            <w:tcW w:w="144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8 842 320</w:t>
            </w:r>
          </w:p>
        </w:tc>
        <w:tc>
          <w:tcPr>
            <w:tcW w:w="108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8 552 840</w:t>
            </w:r>
          </w:p>
        </w:tc>
        <w:tc>
          <w:tcPr>
            <w:tcW w:w="1174"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10 509 998</w:t>
            </w:r>
          </w:p>
        </w:tc>
      </w:tr>
      <w:tr w:rsidR="000B4A1E" w:rsidRPr="00441ADF" w:rsidTr="00517E51">
        <w:trPr>
          <w:trHeight w:hRule="exact" w:val="80"/>
        </w:trPr>
        <w:tc>
          <w:tcPr>
            <w:tcW w:w="5954" w:type="dxa"/>
            <w:gridSpan w:val="2"/>
            <w:tcBorders>
              <w:top w:val="nil"/>
              <w:left w:val="nil"/>
              <w:bottom w:val="nil"/>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 xml:space="preserve"> </w:t>
            </w:r>
          </w:p>
        </w:tc>
        <w:tc>
          <w:tcPr>
            <w:tcW w:w="144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08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174"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Additions to the net asset base</w:t>
            </w:r>
          </w:p>
        </w:tc>
        <w:tc>
          <w:tcPr>
            <w:tcW w:w="144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08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174"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sz w:val="21"/>
                <w:szCs w:val="21"/>
                <w:lang w:eastAsia="en-AU"/>
              </w:rPr>
              <w:t>Additions to the net asset base – net application</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30 745</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sz w:val="21"/>
                <w:szCs w:val="21"/>
                <w:lang w:eastAsia="en-AU"/>
              </w:rPr>
            </w:pPr>
            <w:r w:rsidRPr="00441ADF">
              <w:rPr>
                <w:rFonts w:eastAsiaTheme="minorEastAsia"/>
                <w:sz w:val="21"/>
                <w:szCs w:val="21"/>
                <w:lang w:eastAsia="en-AU"/>
              </w:rPr>
              <w:t xml:space="preserve">Section 29 </w:t>
            </w:r>
            <w:r w:rsidRPr="00441ADF">
              <w:rPr>
                <w:rFonts w:eastAsiaTheme="minorEastAsia"/>
                <w:i/>
                <w:sz w:val="21"/>
                <w:szCs w:val="21"/>
                <w:lang w:eastAsia="en-AU"/>
              </w:rPr>
              <w:t>Financial Management Act, No. 18 of 1994</w:t>
            </w:r>
          </w:p>
        </w:tc>
        <w:tc>
          <w:tcPr>
            <w:tcW w:w="144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96 916</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w:t>
            </w:r>
          </w:p>
        </w:tc>
        <w:tc>
          <w:tcPr>
            <w:tcW w:w="1174" w:type="dxa"/>
            <w:tcBorders>
              <w:top w:val="nil"/>
              <w:left w:val="nil"/>
              <w:bottom w:val="nil"/>
              <w:right w:val="nil"/>
            </w:tcBorders>
          </w:tcPr>
          <w:p w:rsidR="000B4A1E" w:rsidRPr="00441ADF" w:rsidRDefault="000B4A1E" w:rsidP="00517E51">
            <w:pPr>
              <w:pStyle w:val="TableofFigures"/>
              <w:rPr>
                <w:rFonts w:eastAsiaTheme="minorEastAsia" w:cs="Calibri"/>
                <w:sz w:val="21"/>
                <w:szCs w:val="21"/>
                <w:lang w:eastAsia="en-AU"/>
              </w:rPr>
            </w:pPr>
            <w:r w:rsidRPr="00441ADF">
              <w:rPr>
                <w:rFonts w:eastAsiaTheme="minorEastAsia"/>
                <w:sz w:val="21"/>
                <w:szCs w:val="21"/>
                <w:lang w:eastAsia="en-AU"/>
              </w:rPr>
              <w:t>.</w:t>
            </w:r>
            <w:r w:rsidRPr="00441ADF">
              <w:rPr>
                <w:rFonts w:eastAsiaTheme="minorEastAsia" w:cs="Calibri"/>
                <w:sz w:val="21"/>
                <w:szCs w:val="21"/>
                <w:lang w:eastAsia="en-AU"/>
              </w:rPr>
              <w:t>.</w:t>
            </w:r>
          </w:p>
        </w:tc>
      </w:tr>
      <w:tr w:rsidR="000B4A1E" w:rsidRPr="00441ADF" w:rsidTr="00517E51">
        <w:tc>
          <w:tcPr>
            <w:tcW w:w="5954" w:type="dxa"/>
            <w:gridSpan w:val="2"/>
            <w:tcBorders>
              <w:top w:val="nil"/>
              <w:left w:val="nil"/>
              <w:bottom w:val="single" w:sz="6" w:space="0" w:color="auto"/>
              <w:right w:val="nil"/>
            </w:tcBorders>
          </w:tcPr>
          <w:p w:rsidR="000B4A1E" w:rsidRPr="00441ADF" w:rsidRDefault="000B4A1E" w:rsidP="00517E51">
            <w:pPr>
              <w:pStyle w:val="Tabletext"/>
              <w:rPr>
                <w:rFonts w:eastAsiaTheme="minorEastAsia" w:cs="Calibri"/>
                <w:sz w:val="21"/>
                <w:szCs w:val="21"/>
                <w:lang w:eastAsia="en-AU"/>
              </w:rPr>
            </w:pPr>
            <w:r w:rsidRPr="00441ADF">
              <w:rPr>
                <w:rFonts w:eastAsiaTheme="minorEastAsia"/>
                <w:sz w:val="21"/>
                <w:szCs w:val="21"/>
                <w:lang w:eastAsia="en-AU"/>
              </w:rPr>
              <w:t xml:space="preserve">Section </w:t>
            </w:r>
            <w:r w:rsidRPr="00441ADF">
              <w:rPr>
                <w:rFonts w:eastAsiaTheme="minorEastAsia" w:cs="Calibri"/>
                <w:sz w:val="21"/>
                <w:szCs w:val="21"/>
                <w:lang w:eastAsia="en-AU"/>
              </w:rPr>
              <w:t xml:space="preserve">32 </w:t>
            </w:r>
            <w:r w:rsidRPr="00441ADF">
              <w:rPr>
                <w:rFonts w:eastAsiaTheme="minorEastAsia" w:cs="Calibri"/>
                <w:i/>
                <w:sz w:val="21"/>
                <w:szCs w:val="21"/>
                <w:lang w:eastAsia="en-AU"/>
              </w:rPr>
              <w:t>Financial Management Act, No. 18 of 1994</w:t>
            </w:r>
          </w:p>
        </w:tc>
        <w:tc>
          <w:tcPr>
            <w:tcW w:w="1440" w:type="dxa"/>
            <w:tcBorders>
              <w:top w:val="nil"/>
              <w:left w:val="nil"/>
              <w:bottom w:val="single" w:sz="6" w:space="0" w:color="auto"/>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151 270</w:t>
            </w:r>
          </w:p>
        </w:tc>
        <w:tc>
          <w:tcPr>
            <w:tcW w:w="1080" w:type="dxa"/>
            <w:tcBorders>
              <w:top w:val="nil"/>
              <w:left w:val="nil"/>
              <w:bottom w:val="single" w:sz="6" w:space="0" w:color="auto"/>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w:t>
            </w:r>
          </w:p>
        </w:tc>
        <w:tc>
          <w:tcPr>
            <w:tcW w:w="1174" w:type="dxa"/>
            <w:tcBorders>
              <w:top w:val="nil"/>
              <w:left w:val="nil"/>
              <w:bottom w:val="single" w:sz="6" w:space="0" w:color="auto"/>
              <w:right w:val="nil"/>
            </w:tcBorders>
          </w:tcPr>
          <w:p w:rsidR="000B4A1E" w:rsidRPr="00441ADF" w:rsidRDefault="000B4A1E" w:rsidP="00517E51">
            <w:pPr>
              <w:pStyle w:val="TableofFigures"/>
              <w:rPr>
                <w:rFonts w:eastAsiaTheme="minorEastAsia" w:cs="Calibri"/>
                <w:sz w:val="21"/>
                <w:szCs w:val="21"/>
                <w:lang w:eastAsia="en-AU"/>
              </w:rPr>
            </w:pPr>
            <w:r w:rsidRPr="00441ADF">
              <w:rPr>
                <w:rFonts w:eastAsiaTheme="minorEastAsia"/>
                <w:sz w:val="21"/>
                <w:szCs w:val="21"/>
                <w:lang w:eastAsia="en-AU"/>
              </w:rPr>
              <w:t>.</w:t>
            </w:r>
            <w:r w:rsidRPr="00441ADF">
              <w:rPr>
                <w:rFonts w:eastAsiaTheme="minorEastAsia" w:cs="Calibri"/>
                <w:sz w:val="21"/>
                <w:szCs w:val="21"/>
                <w:lang w:eastAsia="en-AU"/>
              </w:rPr>
              <w:t>.</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Total additions to the net asset base – gross application</w:t>
            </w:r>
          </w:p>
        </w:tc>
        <w:tc>
          <w:tcPr>
            <w:tcW w:w="1440" w:type="dxa"/>
            <w:tcBorders>
              <w:top w:val="nil"/>
              <w:left w:val="nil"/>
              <w:bottom w:val="nil"/>
              <w:right w:val="nil"/>
            </w:tcBorders>
          </w:tcPr>
          <w:p w:rsidR="000B4A1E" w:rsidRPr="00441ADF" w:rsidRDefault="000B4A1E" w:rsidP="00517E51">
            <w:pPr>
              <w:pStyle w:val="TableofFigures"/>
              <w:rPr>
                <w:rFonts w:eastAsiaTheme="minorEastAsia" w:cs="Calibri"/>
                <w:b/>
                <w:bCs/>
                <w:sz w:val="21"/>
                <w:szCs w:val="21"/>
                <w:lang w:eastAsia="en-AU"/>
              </w:rPr>
            </w:pPr>
            <w:r w:rsidRPr="00441ADF">
              <w:rPr>
                <w:rFonts w:eastAsiaTheme="minorEastAsia"/>
                <w:b/>
                <w:bCs/>
                <w:sz w:val="21"/>
                <w:szCs w:val="21"/>
                <w:lang w:eastAsia="en-AU"/>
              </w:rPr>
              <w:t xml:space="preserve"> 248 </w:t>
            </w:r>
            <w:r w:rsidRPr="00441ADF">
              <w:rPr>
                <w:rFonts w:eastAsiaTheme="minorEastAsia" w:cs="Calibri"/>
                <w:b/>
                <w:bCs/>
                <w:sz w:val="21"/>
                <w:szCs w:val="21"/>
                <w:lang w:eastAsia="en-AU"/>
              </w:rPr>
              <w:t>186</w:t>
            </w:r>
          </w:p>
        </w:tc>
        <w:tc>
          <w:tcPr>
            <w:tcW w:w="108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w:t>
            </w:r>
          </w:p>
        </w:tc>
        <w:tc>
          <w:tcPr>
            <w:tcW w:w="1174" w:type="dxa"/>
            <w:tcBorders>
              <w:top w:val="nil"/>
              <w:left w:val="nil"/>
              <w:bottom w:val="nil"/>
              <w:right w:val="nil"/>
            </w:tcBorders>
          </w:tcPr>
          <w:p w:rsidR="000B4A1E" w:rsidRPr="00441ADF" w:rsidRDefault="000B4A1E" w:rsidP="00517E51">
            <w:pPr>
              <w:pStyle w:val="TableofFigures"/>
              <w:rPr>
                <w:rFonts w:eastAsiaTheme="minorEastAsia" w:cs="Calibri"/>
                <w:b/>
                <w:bCs/>
                <w:sz w:val="21"/>
                <w:szCs w:val="21"/>
                <w:lang w:eastAsia="en-AU"/>
              </w:rPr>
            </w:pPr>
            <w:r w:rsidRPr="00441ADF">
              <w:rPr>
                <w:rFonts w:eastAsiaTheme="minorEastAsia"/>
                <w:b/>
                <w:bCs/>
                <w:sz w:val="21"/>
                <w:szCs w:val="21"/>
                <w:lang w:eastAsia="en-AU"/>
              </w:rPr>
              <w:t xml:space="preserve"> 30 </w:t>
            </w:r>
            <w:r w:rsidRPr="00441ADF">
              <w:rPr>
                <w:rFonts w:eastAsiaTheme="minorEastAsia" w:cs="Calibri"/>
                <w:b/>
                <w:bCs/>
                <w:sz w:val="21"/>
                <w:szCs w:val="21"/>
                <w:lang w:eastAsia="en-AU"/>
              </w:rPr>
              <w:t>745</w:t>
            </w:r>
          </w:p>
        </w:tc>
      </w:tr>
      <w:tr w:rsidR="000B4A1E" w:rsidRPr="00441ADF" w:rsidTr="00517E51">
        <w:trPr>
          <w:trHeight w:hRule="exact" w:val="80"/>
        </w:trPr>
        <w:tc>
          <w:tcPr>
            <w:tcW w:w="5954" w:type="dxa"/>
            <w:gridSpan w:val="2"/>
            <w:tcBorders>
              <w:top w:val="nil"/>
              <w:left w:val="nil"/>
              <w:bottom w:val="nil"/>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 xml:space="preserve"> </w:t>
            </w:r>
          </w:p>
        </w:tc>
        <w:tc>
          <w:tcPr>
            <w:tcW w:w="144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08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174"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Total annual appropriations gross application</w:t>
            </w:r>
          </w:p>
        </w:tc>
        <w:tc>
          <w:tcPr>
            <w:tcW w:w="1440" w:type="dxa"/>
            <w:tcBorders>
              <w:top w:val="nil"/>
              <w:left w:val="nil"/>
              <w:bottom w:val="nil"/>
              <w:right w:val="nil"/>
            </w:tcBorders>
          </w:tcPr>
          <w:p w:rsidR="000B4A1E" w:rsidRPr="00441ADF" w:rsidRDefault="000B4A1E" w:rsidP="00517E51">
            <w:pPr>
              <w:pStyle w:val="TableofFigures"/>
              <w:rPr>
                <w:rFonts w:eastAsiaTheme="minorEastAsia" w:cs="Calibri"/>
                <w:b/>
                <w:bCs/>
                <w:sz w:val="21"/>
                <w:szCs w:val="21"/>
                <w:lang w:eastAsia="en-AU"/>
              </w:rPr>
            </w:pPr>
            <w:r w:rsidRPr="00441ADF">
              <w:rPr>
                <w:rFonts w:eastAsiaTheme="minorEastAsia"/>
                <w:b/>
                <w:bCs/>
                <w:sz w:val="21"/>
                <w:szCs w:val="21"/>
                <w:lang w:eastAsia="en-AU"/>
              </w:rPr>
              <w:t>9 090 506</w:t>
            </w:r>
          </w:p>
        </w:tc>
        <w:tc>
          <w:tcPr>
            <w:tcW w:w="1080" w:type="dxa"/>
            <w:tcBorders>
              <w:top w:val="nil"/>
              <w:left w:val="nil"/>
              <w:bottom w:val="nil"/>
              <w:right w:val="nil"/>
            </w:tcBorders>
          </w:tcPr>
          <w:p w:rsidR="000B4A1E" w:rsidRPr="00441ADF" w:rsidRDefault="000B4A1E" w:rsidP="00517E51">
            <w:pPr>
              <w:pStyle w:val="TableofFigures"/>
              <w:rPr>
                <w:rFonts w:eastAsiaTheme="minorEastAsia" w:cs="Calibri"/>
                <w:b/>
                <w:bCs/>
                <w:sz w:val="21"/>
                <w:szCs w:val="21"/>
                <w:lang w:eastAsia="en-AU"/>
              </w:rPr>
            </w:pPr>
            <w:r w:rsidRPr="00441ADF">
              <w:rPr>
                <w:rFonts w:eastAsiaTheme="minorEastAsia"/>
                <w:b/>
                <w:bCs/>
                <w:sz w:val="21"/>
                <w:szCs w:val="21"/>
                <w:lang w:eastAsia="en-AU"/>
              </w:rPr>
              <w:t>8 552</w:t>
            </w:r>
            <w:r w:rsidRPr="00441ADF">
              <w:rPr>
                <w:rFonts w:eastAsiaTheme="minorEastAsia" w:cs="Calibri"/>
                <w:b/>
                <w:bCs/>
                <w:sz w:val="21"/>
                <w:szCs w:val="21"/>
                <w:lang w:eastAsia="en-AU"/>
              </w:rPr>
              <w:t xml:space="preserve"> 840</w:t>
            </w:r>
          </w:p>
        </w:tc>
        <w:tc>
          <w:tcPr>
            <w:tcW w:w="1174" w:type="dxa"/>
            <w:tcBorders>
              <w:top w:val="nil"/>
              <w:left w:val="nil"/>
              <w:bottom w:val="nil"/>
              <w:right w:val="nil"/>
            </w:tcBorders>
          </w:tcPr>
          <w:p w:rsidR="000B4A1E" w:rsidRPr="00441ADF" w:rsidRDefault="000B4A1E" w:rsidP="00517E51">
            <w:pPr>
              <w:pStyle w:val="TableofFigures"/>
              <w:rPr>
                <w:rFonts w:eastAsiaTheme="minorEastAsia" w:cs="Calibri"/>
                <w:b/>
                <w:bCs/>
                <w:sz w:val="21"/>
                <w:szCs w:val="21"/>
                <w:lang w:eastAsia="en-AU"/>
              </w:rPr>
            </w:pPr>
            <w:r w:rsidRPr="00441ADF">
              <w:rPr>
                <w:rFonts w:eastAsiaTheme="minorEastAsia"/>
                <w:b/>
                <w:bCs/>
                <w:sz w:val="21"/>
                <w:szCs w:val="21"/>
                <w:lang w:eastAsia="en-AU"/>
              </w:rPr>
              <w:t>10 540 743</w:t>
            </w:r>
          </w:p>
        </w:tc>
      </w:tr>
      <w:tr w:rsidR="000B4A1E" w:rsidRPr="00441ADF" w:rsidTr="00517E51">
        <w:trPr>
          <w:trHeight w:hRule="exact" w:val="80"/>
        </w:trPr>
        <w:tc>
          <w:tcPr>
            <w:tcW w:w="5954" w:type="dxa"/>
            <w:gridSpan w:val="2"/>
            <w:tcBorders>
              <w:top w:val="nil"/>
              <w:left w:val="nil"/>
              <w:bottom w:val="single" w:sz="6" w:space="0" w:color="auto"/>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 xml:space="preserve"> </w:t>
            </w:r>
          </w:p>
        </w:tc>
        <w:tc>
          <w:tcPr>
            <w:tcW w:w="1440" w:type="dxa"/>
            <w:tcBorders>
              <w:top w:val="nil"/>
              <w:left w:val="nil"/>
              <w:bottom w:val="single" w:sz="6" w:space="0" w:color="auto"/>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080" w:type="dxa"/>
            <w:tcBorders>
              <w:top w:val="nil"/>
              <w:left w:val="nil"/>
              <w:bottom w:val="single" w:sz="6" w:space="0" w:color="auto"/>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174" w:type="dxa"/>
            <w:tcBorders>
              <w:top w:val="nil"/>
              <w:left w:val="nil"/>
              <w:bottom w:val="single" w:sz="6" w:space="0" w:color="auto"/>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r>
      <w:tr w:rsidR="000B4A1E" w:rsidRPr="00441ADF" w:rsidTr="00517E51">
        <w:tc>
          <w:tcPr>
            <w:tcW w:w="5954" w:type="dxa"/>
            <w:gridSpan w:val="2"/>
            <w:tcBorders>
              <w:top w:val="nil"/>
              <w:left w:val="nil"/>
              <w:bottom w:val="nil"/>
              <w:right w:val="nil"/>
            </w:tcBorders>
          </w:tcPr>
          <w:p w:rsidR="000B4A1E" w:rsidRPr="00441ADF" w:rsidRDefault="000B4A1E" w:rsidP="00517E51">
            <w:pPr>
              <w:pStyle w:val="Tabletext"/>
              <w:rPr>
                <w:rFonts w:eastAsiaTheme="minorEastAsia" w:cs="Calibri"/>
                <w:b/>
                <w:bCs/>
                <w:sz w:val="21"/>
                <w:szCs w:val="21"/>
                <w:lang w:eastAsia="en-AU"/>
              </w:rPr>
            </w:pPr>
            <w:r w:rsidRPr="00441ADF">
              <w:rPr>
                <w:rFonts w:eastAsiaTheme="minorEastAsia"/>
                <w:b/>
                <w:bCs/>
                <w:sz w:val="21"/>
                <w:szCs w:val="21"/>
                <w:lang w:eastAsia="en-AU"/>
              </w:rPr>
              <w:t xml:space="preserve">Total Parliamentary authority (excluding </w:t>
            </w:r>
            <w:r w:rsidRPr="00441ADF">
              <w:rPr>
                <w:rFonts w:eastAsiaTheme="minorEastAsia"/>
                <w:b/>
                <w:bCs/>
                <w:i/>
                <w:sz w:val="21"/>
                <w:szCs w:val="21"/>
                <w:lang w:eastAsia="en-AU"/>
              </w:rPr>
              <w:t>Financial</w:t>
            </w:r>
            <w:r w:rsidRPr="00441ADF">
              <w:rPr>
                <w:rFonts w:eastAsiaTheme="minorEastAsia" w:cs="Calibri"/>
                <w:b/>
                <w:bCs/>
                <w:i/>
                <w:sz w:val="21"/>
                <w:szCs w:val="21"/>
                <w:lang w:eastAsia="en-AU"/>
              </w:rPr>
              <w:t xml:space="preserve"> Management Act, No. 18 of 1994</w:t>
            </w:r>
            <w:r w:rsidRPr="00441ADF">
              <w:rPr>
                <w:rFonts w:eastAsiaTheme="minorEastAsia" w:cs="Calibri"/>
                <w:b/>
                <w:bCs/>
                <w:sz w:val="21"/>
                <w:szCs w:val="21"/>
                <w:lang w:eastAsia="en-AU"/>
              </w:rPr>
              <w:t xml:space="preserve"> Section 33)</w:t>
            </w:r>
          </w:p>
        </w:tc>
        <w:tc>
          <w:tcPr>
            <w:tcW w:w="144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10 309 933</w:t>
            </w:r>
          </w:p>
        </w:tc>
        <w:tc>
          <w:tcPr>
            <w:tcW w:w="108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9 772 268</w:t>
            </w:r>
          </w:p>
        </w:tc>
        <w:tc>
          <w:tcPr>
            <w:tcW w:w="1174"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11 789 488</w:t>
            </w:r>
          </w:p>
        </w:tc>
      </w:tr>
      <w:tr w:rsidR="000B4A1E" w:rsidRPr="00441ADF" w:rsidTr="00517E51">
        <w:trPr>
          <w:trHeight w:hRule="exact" w:val="80"/>
        </w:trPr>
        <w:tc>
          <w:tcPr>
            <w:tcW w:w="5954" w:type="dxa"/>
            <w:gridSpan w:val="2"/>
            <w:tcBorders>
              <w:top w:val="nil"/>
              <w:left w:val="nil"/>
              <w:bottom w:val="single" w:sz="6" w:space="0" w:color="auto"/>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 xml:space="preserve"> </w:t>
            </w:r>
          </w:p>
        </w:tc>
        <w:tc>
          <w:tcPr>
            <w:tcW w:w="1440" w:type="dxa"/>
            <w:tcBorders>
              <w:top w:val="nil"/>
              <w:left w:val="nil"/>
              <w:bottom w:val="single" w:sz="6" w:space="0" w:color="auto"/>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080" w:type="dxa"/>
            <w:tcBorders>
              <w:top w:val="nil"/>
              <w:left w:val="nil"/>
              <w:bottom w:val="single" w:sz="6" w:space="0" w:color="auto"/>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174" w:type="dxa"/>
            <w:tcBorders>
              <w:top w:val="nil"/>
              <w:left w:val="nil"/>
              <w:bottom w:val="single" w:sz="6" w:space="0" w:color="auto"/>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r>
      <w:tr w:rsidR="000B4A1E" w:rsidRPr="00441ADF" w:rsidTr="00517E51">
        <w:tc>
          <w:tcPr>
            <w:tcW w:w="5954" w:type="dxa"/>
            <w:gridSpan w:val="2"/>
            <w:tcBorders>
              <w:top w:val="nil"/>
              <w:left w:val="nil"/>
              <w:bottom w:val="nil"/>
              <w:right w:val="nil"/>
            </w:tcBorders>
          </w:tcPr>
          <w:p w:rsidR="000B4A1E" w:rsidRPr="00441ADF" w:rsidRDefault="000B4A1E" w:rsidP="00FB4EAF">
            <w:pPr>
              <w:pStyle w:val="Tabletext"/>
              <w:rPr>
                <w:rFonts w:eastAsiaTheme="minorEastAsia" w:cs="Calibri"/>
                <w:b/>
                <w:bCs/>
                <w:sz w:val="21"/>
                <w:szCs w:val="21"/>
                <w:lang w:eastAsia="en-AU"/>
              </w:rPr>
            </w:pPr>
            <w:r w:rsidRPr="00441ADF">
              <w:rPr>
                <w:rFonts w:eastAsiaTheme="minorEastAsia"/>
                <w:b/>
                <w:bCs/>
                <w:sz w:val="21"/>
                <w:szCs w:val="21"/>
                <w:lang w:eastAsia="en-AU"/>
              </w:rPr>
              <w:t xml:space="preserve">Amounts issued under the authority of the </w:t>
            </w:r>
            <w:r w:rsidRPr="00441ADF">
              <w:rPr>
                <w:rFonts w:eastAsiaTheme="minorEastAsia"/>
                <w:b/>
                <w:bCs/>
                <w:i/>
                <w:sz w:val="21"/>
                <w:szCs w:val="21"/>
                <w:lang w:eastAsia="en-AU"/>
              </w:rPr>
              <w:t>Financial Management</w:t>
            </w:r>
            <w:r w:rsidRPr="00441ADF">
              <w:rPr>
                <w:rFonts w:eastAsiaTheme="minorEastAsia" w:cs="Calibri"/>
                <w:b/>
                <w:bCs/>
                <w:sz w:val="21"/>
                <w:szCs w:val="21"/>
                <w:lang w:eastAsia="en-AU"/>
              </w:rPr>
              <w:t xml:space="preserve"> Act, </w:t>
            </w:r>
            <w:r w:rsidRPr="00441ADF">
              <w:rPr>
                <w:rFonts w:eastAsiaTheme="minorEastAsia" w:cs="Calibri"/>
                <w:b/>
                <w:bCs/>
                <w:i/>
                <w:sz w:val="21"/>
                <w:szCs w:val="21"/>
                <w:lang w:eastAsia="en-AU"/>
              </w:rPr>
              <w:t>No. 18 of 1994</w:t>
            </w:r>
            <w:r w:rsidRPr="00441ADF">
              <w:rPr>
                <w:rFonts w:eastAsiaTheme="minorEastAsia" w:cs="Calibri"/>
                <w:b/>
                <w:bCs/>
                <w:sz w:val="21"/>
                <w:szCs w:val="21"/>
                <w:lang w:eastAsia="en-AU"/>
              </w:rPr>
              <w:t xml:space="preserve"> Section 33 (Special Appropriation) relating to prior year appropriations</w:t>
            </w:r>
          </w:p>
        </w:tc>
        <w:tc>
          <w:tcPr>
            <w:tcW w:w="1440" w:type="dxa"/>
            <w:tcBorders>
              <w:top w:val="nil"/>
              <w:left w:val="nil"/>
              <w:bottom w:val="nil"/>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15 055</w:t>
            </w:r>
          </w:p>
        </w:tc>
        <w:tc>
          <w:tcPr>
            <w:tcW w:w="1080"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15 055</w:t>
            </w:r>
          </w:p>
        </w:tc>
        <w:tc>
          <w:tcPr>
            <w:tcW w:w="1174" w:type="dxa"/>
            <w:tcBorders>
              <w:top w:val="nil"/>
              <w:left w:val="nil"/>
              <w:bottom w:val="nil"/>
              <w:right w:val="nil"/>
            </w:tcBorders>
          </w:tcPr>
          <w:p w:rsidR="000B4A1E" w:rsidRPr="00441ADF" w:rsidRDefault="000B4A1E" w:rsidP="00517E51">
            <w:pPr>
              <w:pStyle w:val="TableofFigures"/>
              <w:rPr>
                <w:rFonts w:eastAsiaTheme="minorEastAsia"/>
                <w:sz w:val="21"/>
                <w:szCs w:val="21"/>
                <w:lang w:eastAsia="en-AU"/>
              </w:rPr>
            </w:pPr>
            <w:r w:rsidRPr="00441ADF">
              <w:rPr>
                <w:rFonts w:eastAsiaTheme="minorEastAsia"/>
                <w:sz w:val="21"/>
                <w:szCs w:val="21"/>
                <w:lang w:eastAsia="en-AU"/>
              </w:rPr>
              <w:t xml:space="preserve"> 8 418</w:t>
            </w:r>
          </w:p>
        </w:tc>
      </w:tr>
      <w:tr w:rsidR="000B4A1E" w:rsidRPr="00441ADF" w:rsidTr="00517E51">
        <w:trPr>
          <w:trHeight w:hRule="exact" w:val="80"/>
        </w:trPr>
        <w:tc>
          <w:tcPr>
            <w:tcW w:w="5954" w:type="dxa"/>
            <w:gridSpan w:val="2"/>
            <w:tcBorders>
              <w:top w:val="nil"/>
              <w:left w:val="nil"/>
              <w:bottom w:val="single" w:sz="6" w:space="0" w:color="auto"/>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 xml:space="preserve"> </w:t>
            </w:r>
          </w:p>
        </w:tc>
        <w:tc>
          <w:tcPr>
            <w:tcW w:w="1440" w:type="dxa"/>
            <w:tcBorders>
              <w:top w:val="nil"/>
              <w:left w:val="nil"/>
              <w:bottom w:val="single" w:sz="6" w:space="0" w:color="auto"/>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080" w:type="dxa"/>
            <w:tcBorders>
              <w:top w:val="nil"/>
              <w:left w:val="nil"/>
              <w:bottom w:val="single" w:sz="6" w:space="0" w:color="auto"/>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c>
          <w:tcPr>
            <w:tcW w:w="1174" w:type="dxa"/>
            <w:tcBorders>
              <w:top w:val="nil"/>
              <w:left w:val="nil"/>
              <w:bottom w:val="single" w:sz="6" w:space="0" w:color="auto"/>
              <w:right w:val="nil"/>
            </w:tcBorders>
          </w:tcPr>
          <w:p w:rsidR="000B4A1E" w:rsidRPr="00441ADF" w:rsidRDefault="000B4A1E" w:rsidP="00517E51">
            <w:pPr>
              <w:pStyle w:val="TableofFigures"/>
              <w:rPr>
                <w:rFonts w:eastAsiaTheme="minorEastAsia"/>
                <w:b/>
                <w:bCs/>
                <w:sz w:val="21"/>
                <w:szCs w:val="21"/>
                <w:lang w:eastAsia="en-AU"/>
              </w:rPr>
            </w:pPr>
            <w:r w:rsidRPr="00441ADF">
              <w:rPr>
                <w:rFonts w:eastAsiaTheme="minorEastAsia"/>
                <w:b/>
                <w:bCs/>
                <w:sz w:val="21"/>
                <w:szCs w:val="21"/>
                <w:lang w:eastAsia="en-AU"/>
              </w:rPr>
              <w:t xml:space="preserve">   </w:t>
            </w:r>
          </w:p>
        </w:tc>
      </w:tr>
      <w:tr w:rsidR="000B4A1E" w:rsidRPr="00441ADF" w:rsidTr="00517E51">
        <w:tc>
          <w:tcPr>
            <w:tcW w:w="5954" w:type="dxa"/>
            <w:gridSpan w:val="2"/>
            <w:tcBorders>
              <w:top w:val="nil"/>
              <w:left w:val="nil"/>
              <w:bottom w:val="single" w:sz="12" w:space="0" w:color="auto"/>
              <w:right w:val="nil"/>
            </w:tcBorders>
          </w:tcPr>
          <w:p w:rsidR="000B4A1E" w:rsidRPr="00441ADF" w:rsidRDefault="000B4A1E" w:rsidP="00517E51">
            <w:pPr>
              <w:pStyle w:val="Tabletext"/>
              <w:rPr>
                <w:rFonts w:eastAsiaTheme="minorEastAsia"/>
                <w:b/>
                <w:bCs/>
                <w:sz w:val="21"/>
                <w:szCs w:val="21"/>
                <w:lang w:eastAsia="en-AU"/>
              </w:rPr>
            </w:pPr>
            <w:r w:rsidRPr="00441ADF">
              <w:rPr>
                <w:rFonts w:eastAsiaTheme="minorEastAsia"/>
                <w:b/>
                <w:bCs/>
                <w:sz w:val="21"/>
                <w:szCs w:val="21"/>
                <w:lang w:eastAsia="en-AU"/>
              </w:rPr>
              <w:t>Total Parliamentary authority</w:t>
            </w:r>
          </w:p>
        </w:tc>
        <w:tc>
          <w:tcPr>
            <w:tcW w:w="1440" w:type="dxa"/>
            <w:tcBorders>
              <w:top w:val="nil"/>
              <w:left w:val="nil"/>
              <w:bottom w:val="single" w:sz="12" w:space="0" w:color="auto"/>
              <w:right w:val="nil"/>
            </w:tcBorders>
          </w:tcPr>
          <w:p w:rsidR="000B4A1E" w:rsidRPr="00441ADF" w:rsidRDefault="000B4A1E" w:rsidP="00517E51">
            <w:pPr>
              <w:pStyle w:val="TableofFigures"/>
              <w:rPr>
                <w:rFonts w:eastAsiaTheme="minorEastAsia" w:cs="Calibri"/>
                <w:b/>
                <w:bCs/>
                <w:sz w:val="21"/>
                <w:szCs w:val="21"/>
                <w:lang w:eastAsia="en-AU"/>
              </w:rPr>
            </w:pPr>
            <w:r w:rsidRPr="00441ADF">
              <w:rPr>
                <w:rFonts w:eastAsiaTheme="minorEastAsia"/>
                <w:b/>
                <w:bCs/>
                <w:sz w:val="21"/>
                <w:szCs w:val="21"/>
                <w:lang w:eastAsia="en-AU"/>
              </w:rPr>
              <w:t>10 324 989</w:t>
            </w:r>
          </w:p>
        </w:tc>
        <w:tc>
          <w:tcPr>
            <w:tcW w:w="1080" w:type="dxa"/>
            <w:tcBorders>
              <w:top w:val="nil"/>
              <w:left w:val="nil"/>
              <w:bottom w:val="single" w:sz="12" w:space="0" w:color="auto"/>
              <w:right w:val="nil"/>
            </w:tcBorders>
          </w:tcPr>
          <w:p w:rsidR="000B4A1E" w:rsidRPr="00441ADF" w:rsidRDefault="000B4A1E" w:rsidP="00517E51">
            <w:pPr>
              <w:pStyle w:val="TableofFigures"/>
              <w:rPr>
                <w:rFonts w:eastAsiaTheme="minorEastAsia" w:cs="Calibri"/>
                <w:b/>
                <w:bCs/>
                <w:sz w:val="21"/>
                <w:szCs w:val="21"/>
                <w:lang w:eastAsia="en-AU"/>
              </w:rPr>
            </w:pPr>
            <w:r w:rsidRPr="00441ADF">
              <w:rPr>
                <w:rFonts w:eastAsiaTheme="minorEastAsia"/>
                <w:b/>
                <w:bCs/>
                <w:sz w:val="21"/>
                <w:szCs w:val="21"/>
                <w:lang w:eastAsia="en-AU"/>
              </w:rPr>
              <w:t>9 787 323</w:t>
            </w:r>
          </w:p>
        </w:tc>
        <w:tc>
          <w:tcPr>
            <w:tcW w:w="1174" w:type="dxa"/>
            <w:tcBorders>
              <w:top w:val="nil"/>
              <w:left w:val="nil"/>
              <w:bottom w:val="single" w:sz="12" w:space="0" w:color="auto"/>
              <w:right w:val="nil"/>
            </w:tcBorders>
          </w:tcPr>
          <w:p w:rsidR="000B4A1E" w:rsidRPr="00441ADF" w:rsidRDefault="000B4A1E" w:rsidP="00517E51">
            <w:pPr>
              <w:pStyle w:val="TableofFigures"/>
              <w:rPr>
                <w:rFonts w:eastAsiaTheme="minorEastAsia" w:cs="Calibri"/>
                <w:b/>
                <w:bCs/>
                <w:sz w:val="21"/>
                <w:szCs w:val="21"/>
                <w:lang w:eastAsia="en-AU"/>
              </w:rPr>
            </w:pPr>
            <w:r w:rsidRPr="00441ADF">
              <w:rPr>
                <w:rFonts w:eastAsiaTheme="minorEastAsia"/>
                <w:b/>
                <w:bCs/>
                <w:sz w:val="21"/>
                <w:szCs w:val="21"/>
                <w:lang w:eastAsia="en-AU"/>
              </w:rPr>
              <w:t>11 797 906</w:t>
            </w:r>
          </w:p>
        </w:tc>
      </w:tr>
    </w:tbl>
    <w:p w:rsidR="000B4A1E" w:rsidRPr="00D00665" w:rsidRDefault="000B4A1E" w:rsidP="00517E51">
      <w:pPr>
        <w:pStyle w:val="Notes"/>
      </w:pP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pPr>
      <w:r w:rsidRPr="00D00665">
        <w:t>(s)</w:t>
      </w:r>
      <w:r w:rsidRPr="00D00665">
        <w:tab/>
        <w:t>Parliamentary authority – Human Services</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5774"/>
        <w:gridCol w:w="90"/>
        <w:gridCol w:w="1538"/>
        <w:gridCol w:w="1123"/>
        <w:gridCol w:w="1123"/>
      </w:tblGrid>
      <w:tr w:rsidR="000B4A1E" w:rsidRPr="003E2DBE" w:rsidTr="00517E51">
        <w:tc>
          <w:tcPr>
            <w:tcW w:w="5864" w:type="dxa"/>
            <w:gridSpan w:val="2"/>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538" w:type="dxa"/>
            <w:tcBorders>
              <w:top w:val="single" w:sz="4" w:space="0" w:color="auto"/>
              <w:left w:val="nil"/>
              <w:bottom w:val="nil"/>
              <w:right w:val="nil"/>
            </w:tcBorders>
            <w:shd w:val="clear" w:color="auto" w:fill="000000"/>
          </w:tcPr>
          <w:p w:rsidR="000B4A1E" w:rsidRPr="003E2DBE" w:rsidRDefault="000B4A1E" w:rsidP="00517E51">
            <w:pPr>
              <w:pStyle w:val="Tabletextheading"/>
              <w:ind w:left="-71" w:firstLine="71"/>
              <w:rPr>
                <w:rFonts w:eastAsiaTheme="minorEastAsia"/>
                <w:lang w:eastAsia="en-AU"/>
              </w:rPr>
            </w:pPr>
            <w:r w:rsidRPr="003E2DBE">
              <w:rPr>
                <w:rFonts w:eastAsiaTheme="minorEastAsia"/>
                <w:lang w:eastAsia="en-AU"/>
              </w:rPr>
              <w:t xml:space="preserve">Parliamentary </w:t>
            </w:r>
          </w:p>
        </w:tc>
        <w:tc>
          <w:tcPr>
            <w:tcW w:w="1123"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c>
          <w:tcPr>
            <w:tcW w:w="1123"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r>
      <w:tr w:rsidR="000B4A1E" w:rsidRPr="003E2DBE" w:rsidTr="00517E51">
        <w:tc>
          <w:tcPr>
            <w:tcW w:w="5864" w:type="dxa"/>
            <w:gridSpan w:val="2"/>
            <w:tcBorders>
              <w:top w:val="nil"/>
              <w:left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538" w:type="dxa"/>
            <w:tcBorders>
              <w:top w:val="nil"/>
              <w:left w:val="nil"/>
              <w:right w:val="nil"/>
            </w:tcBorders>
            <w:shd w:val="clear" w:color="auto" w:fill="000000"/>
          </w:tcPr>
          <w:p w:rsidR="000B4A1E" w:rsidRPr="003E2DBE" w:rsidRDefault="000B4A1E" w:rsidP="00517E51">
            <w:pPr>
              <w:pStyle w:val="Tabletextheading"/>
              <w:ind w:left="-71" w:firstLine="71"/>
              <w:rPr>
                <w:rFonts w:eastAsiaTheme="minorEastAsia"/>
                <w:lang w:eastAsia="en-AU"/>
              </w:rPr>
            </w:pPr>
            <w:r w:rsidRPr="003E2DBE">
              <w:rPr>
                <w:rFonts w:eastAsiaTheme="minorEastAsia"/>
                <w:lang w:eastAsia="en-AU"/>
              </w:rPr>
              <w:t>authority</w:t>
            </w:r>
          </w:p>
        </w:tc>
        <w:tc>
          <w:tcPr>
            <w:tcW w:w="1123" w:type="dxa"/>
            <w:tcBorders>
              <w:top w:val="nil"/>
              <w:left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c>
          <w:tcPr>
            <w:tcW w:w="1123" w:type="dxa"/>
            <w:tcBorders>
              <w:top w:val="nil"/>
              <w:left w:val="nil"/>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r>
      <w:tr w:rsidR="000B4A1E" w:rsidRPr="003E2DBE" w:rsidTr="00517E51">
        <w:tc>
          <w:tcPr>
            <w:tcW w:w="5864" w:type="dxa"/>
            <w:gridSpan w:val="2"/>
            <w:tcBorders>
              <w:left w:val="single" w:sz="4" w:space="0" w:color="auto"/>
              <w:bottom w:val="single" w:sz="4" w:space="0" w:color="auto"/>
              <w:right w:val="nil"/>
            </w:tcBorders>
            <w:shd w:val="solid" w:color="000000" w:fill="auto"/>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538" w:type="dxa"/>
            <w:tcBorders>
              <w:left w:val="nil"/>
              <w:bottom w:val="single" w:sz="4" w:space="0" w:color="auto"/>
              <w:right w:val="nil"/>
            </w:tcBorders>
            <w:shd w:val="solid" w:color="000000" w:fill="auto"/>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2013</w:t>
            </w:r>
          </w:p>
        </w:tc>
        <w:tc>
          <w:tcPr>
            <w:tcW w:w="1123" w:type="dxa"/>
            <w:tcBorders>
              <w:left w:val="nil"/>
              <w:bottom w:val="single" w:sz="4" w:space="0" w:color="auto"/>
              <w:right w:val="nil"/>
            </w:tcBorders>
            <w:shd w:val="solid" w:color="000000"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2013</w:t>
            </w:r>
          </w:p>
        </w:tc>
        <w:tc>
          <w:tcPr>
            <w:tcW w:w="1123" w:type="dxa"/>
            <w:tcBorders>
              <w:left w:val="nil"/>
              <w:bottom w:val="single" w:sz="4" w:space="0" w:color="auto"/>
              <w:right w:val="single" w:sz="4" w:space="0" w:color="auto"/>
            </w:tcBorders>
            <w:shd w:val="solid" w:color="000000"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2012</w:t>
            </w:r>
          </w:p>
        </w:tc>
      </w:tr>
      <w:tr w:rsidR="000B4A1E" w:rsidRPr="003E2DBE" w:rsidTr="000B4A1E">
        <w:tc>
          <w:tcPr>
            <w:tcW w:w="5864" w:type="dxa"/>
            <w:gridSpan w:val="2"/>
            <w:tcBorders>
              <w:top w:val="single" w:sz="4" w:space="0" w:color="auto"/>
              <w:left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Special appropriations</w:t>
            </w:r>
          </w:p>
        </w:tc>
        <w:tc>
          <w:tcPr>
            <w:tcW w:w="1538" w:type="dxa"/>
            <w:tcBorders>
              <w:top w:val="single" w:sz="4" w:space="0" w:color="auto"/>
              <w:left w:val="nil"/>
              <w:right w:val="nil"/>
            </w:tcBorders>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 xml:space="preserve"> </w:t>
            </w:r>
          </w:p>
        </w:tc>
        <w:tc>
          <w:tcPr>
            <w:tcW w:w="1123" w:type="dxa"/>
            <w:tcBorders>
              <w:top w:val="single" w:sz="4" w:space="0" w:color="auto"/>
              <w:left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single" w:sz="4" w:space="0" w:color="auto"/>
              <w:left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0B4A1E">
        <w:tc>
          <w:tcPr>
            <w:tcW w:w="577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i/>
                <w:lang w:eastAsia="en-AU"/>
              </w:rPr>
              <w:t>Gambling Regulation Act No. 114 of 2003</w:t>
            </w:r>
            <w:r w:rsidRPr="003E2DBE">
              <w:rPr>
                <w:rFonts w:eastAsiaTheme="minorEastAsia"/>
                <w:lang w:eastAsia="en-AU"/>
              </w:rPr>
              <w:t xml:space="preserve"> Section 5.4.6 Contributions – Hospitals and Charities Fund/Mental Hospitals Fund</w:t>
            </w:r>
          </w:p>
        </w:tc>
        <w:tc>
          <w:tcPr>
            <w:tcW w:w="1628" w:type="dxa"/>
            <w:gridSpan w:val="2"/>
            <w:tcBorders>
              <w:top w:val="nil"/>
              <w:left w:val="nil"/>
              <w:bottom w:val="single" w:sz="6" w:space="0" w:color="auto"/>
              <w:right w:val="nil"/>
            </w:tcBorders>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 xml:space="preserve"> 63 935</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63 935</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63 935</w:t>
            </w:r>
          </w:p>
        </w:tc>
      </w:tr>
      <w:tr w:rsidR="000B4A1E" w:rsidRPr="003E2DBE" w:rsidTr="000B4A1E">
        <w:tc>
          <w:tcPr>
            <w:tcW w:w="5864" w:type="dxa"/>
            <w:gridSpan w:val="2"/>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special appropriations (excluding </w:t>
            </w:r>
            <w:r w:rsidRPr="003E2DBE">
              <w:rPr>
                <w:rFonts w:eastAsiaTheme="minorEastAsia"/>
                <w:b/>
                <w:bCs/>
                <w:i/>
                <w:lang w:eastAsia="en-AU"/>
              </w:rPr>
              <w:t>Financial Management Act, No</w:t>
            </w:r>
            <w:r w:rsidRPr="003E2DBE">
              <w:rPr>
                <w:rFonts w:eastAsiaTheme="minorEastAsia" w:cs="Calibri"/>
                <w:b/>
                <w:bCs/>
                <w:i/>
                <w:iCs/>
                <w:szCs w:val="22"/>
                <w:lang w:eastAsia="en-AU"/>
              </w:rPr>
              <w:t xml:space="preserve">. 18 of 1994 </w:t>
            </w:r>
            <w:r w:rsidRPr="003E2DBE">
              <w:rPr>
                <w:rFonts w:eastAsiaTheme="minorEastAsia" w:cs="Calibri"/>
                <w:b/>
                <w:bCs/>
                <w:szCs w:val="22"/>
                <w:lang w:eastAsia="en-AU"/>
              </w:rPr>
              <w:t>Section 33)</w:t>
            </w:r>
          </w:p>
        </w:tc>
        <w:tc>
          <w:tcPr>
            <w:tcW w:w="1538" w:type="dxa"/>
            <w:tcBorders>
              <w:top w:val="single" w:sz="6" w:space="0" w:color="auto"/>
              <w:left w:val="nil"/>
              <w:bottom w:val="single" w:sz="6" w:space="0" w:color="auto"/>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 xml:space="preserve"> 63 935</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63 935</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63 935</w:t>
            </w:r>
          </w:p>
        </w:tc>
      </w:tr>
      <w:tr w:rsidR="000B4A1E" w:rsidRPr="003E2DBE" w:rsidTr="00517E51">
        <w:trPr>
          <w:trHeight w:hRule="exact" w:val="120"/>
        </w:trPr>
        <w:tc>
          <w:tcPr>
            <w:tcW w:w="586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Annual appropriations</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Provision of outputs</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Provision of outputs – net application</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3 375 362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3 345 821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3 251 604</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29 </w:t>
            </w:r>
            <w:r w:rsidRPr="003E2DBE">
              <w:rPr>
                <w:rFonts w:eastAsiaTheme="minorEastAsia"/>
                <w:i/>
                <w:lang w:eastAsia="en-AU"/>
              </w:rPr>
              <w:t>Financial Management Act, No. 18 of 1994</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 xml:space="preserve"> 19 715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19 715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14 264</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 xml:space="preserve"> 20 957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20 957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7 561</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35 </w:t>
            </w:r>
            <w:r w:rsidRPr="003E2DBE">
              <w:rPr>
                <w:rFonts w:eastAsiaTheme="minorEastAsia"/>
                <w:i/>
                <w:lang w:eastAsia="en-AU"/>
              </w:rPr>
              <w:t>Financial Management Act, No. 18 of 1994</w:t>
            </w:r>
            <w:r w:rsidRPr="003E2DBE">
              <w:rPr>
                <w:rFonts w:eastAsiaTheme="minorEastAsia"/>
                <w:lang w:eastAsia="en-AU"/>
              </w:rPr>
              <w:t xml:space="preserve"> (temporary advances)</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 xml:space="preserve"> 10 000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9 500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86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Advance to Treasurer </w:t>
            </w:r>
          </w:p>
        </w:tc>
        <w:tc>
          <w:tcPr>
            <w:tcW w:w="1538" w:type="dxa"/>
            <w:tcBorders>
              <w:top w:val="nil"/>
              <w:left w:val="nil"/>
              <w:bottom w:val="single" w:sz="6" w:space="0" w:color="auto"/>
              <w:right w:val="nil"/>
            </w:tcBorders>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52,320</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52,320</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7 725</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provision of outputs – gross application</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3 478 354</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3 448 313</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3 281 154</w:t>
            </w:r>
          </w:p>
        </w:tc>
      </w:tr>
      <w:tr w:rsidR="000B4A1E" w:rsidRPr="003E2DBE" w:rsidTr="00517E51">
        <w:trPr>
          <w:trHeight w:hRule="exact" w:val="120"/>
        </w:trPr>
        <w:tc>
          <w:tcPr>
            <w:tcW w:w="586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Additions to the net asset base</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Additions to the net asset base – net application</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 xml:space="preserve"> 70 795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38 294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39 928</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29 </w:t>
            </w:r>
            <w:r w:rsidRPr="003E2DBE">
              <w:rPr>
                <w:rFonts w:eastAsiaTheme="minorEastAsia"/>
                <w:i/>
                <w:lang w:eastAsia="en-AU"/>
              </w:rPr>
              <w:t>Financial Management Act, No. 18 of 1994</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 xml:space="preserve"> 19 142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12 574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198 905</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 xml:space="preserve"> 11 261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11 260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2 839</w:t>
            </w:r>
          </w:p>
        </w:tc>
      </w:tr>
      <w:tr w:rsidR="000B4A1E" w:rsidRPr="003E2DBE" w:rsidTr="00517E51">
        <w:tc>
          <w:tcPr>
            <w:tcW w:w="586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35 </w:t>
            </w:r>
            <w:r w:rsidRPr="003E2DBE">
              <w:rPr>
                <w:rFonts w:eastAsiaTheme="minorEastAsia"/>
                <w:i/>
                <w:lang w:eastAsia="en-AU"/>
              </w:rPr>
              <w:t>Financial Management Act, No. 18 of 1994</w:t>
            </w:r>
            <w:r w:rsidRPr="003E2DBE">
              <w:rPr>
                <w:rFonts w:eastAsiaTheme="minorEastAsia"/>
                <w:lang w:eastAsia="en-AU"/>
              </w:rPr>
              <w:t xml:space="preserve"> (temporary advances)</w:t>
            </w:r>
          </w:p>
        </w:tc>
        <w:tc>
          <w:tcPr>
            <w:tcW w:w="1538" w:type="dxa"/>
            <w:tcBorders>
              <w:top w:val="nil"/>
              <w:left w:val="nil"/>
              <w:bottom w:val="single" w:sz="6" w:space="0" w:color="auto"/>
              <w:right w:val="nil"/>
            </w:tcBorders>
          </w:tcPr>
          <w:p w:rsidR="000B4A1E" w:rsidRPr="003E2DBE" w:rsidRDefault="000B4A1E" w:rsidP="00517E51">
            <w:pPr>
              <w:pStyle w:val="TableofFigures"/>
              <w:ind w:left="-71" w:firstLine="71"/>
              <w:rPr>
                <w:rFonts w:eastAsiaTheme="minorEastAsia"/>
                <w:lang w:eastAsia="en-AU"/>
              </w:rPr>
            </w:pPr>
            <w:r w:rsidRPr="003E2DBE">
              <w:rPr>
                <w:rFonts w:eastAsiaTheme="minorEastAsia"/>
                <w:lang w:eastAsia="en-AU"/>
              </w:rPr>
              <w:t xml:space="preserve">  500</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500</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9 700</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additions to the net asset base – gross application</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 xml:space="preserve"> 101 698</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62 628</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251 372</w:t>
            </w:r>
          </w:p>
        </w:tc>
      </w:tr>
      <w:tr w:rsidR="000B4A1E" w:rsidRPr="003E2DBE" w:rsidTr="00517E51">
        <w:trPr>
          <w:trHeight w:hRule="exact" w:val="120"/>
        </w:trPr>
        <w:tc>
          <w:tcPr>
            <w:tcW w:w="586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annual appropriations gross application</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3 580 052</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3 510 941</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3 532 526</w:t>
            </w:r>
          </w:p>
        </w:tc>
      </w:tr>
      <w:tr w:rsidR="000B4A1E" w:rsidRPr="003E2DBE" w:rsidTr="00517E51">
        <w:trPr>
          <w:trHeight w:hRule="exact" w:val="120"/>
        </w:trPr>
        <w:tc>
          <w:tcPr>
            <w:tcW w:w="586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538" w:type="dxa"/>
            <w:tcBorders>
              <w:top w:val="nil"/>
              <w:left w:val="nil"/>
              <w:bottom w:val="single" w:sz="6" w:space="0" w:color="auto"/>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Total Parliamentary authority (</w:t>
            </w:r>
            <w:r w:rsidRPr="003E2DBE">
              <w:rPr>
                <w:rFonts w:eastAsiaTheme="minorEastAsia"/>
                <w:b/>
                <w:bCs/>
                <w:i/>
                <w:lang w:eastAsia="en-AU"/>
              </w:rPr>
              <w:t>excluding Financial Management Act, No</w:t>
            </w:r>
            <w:r w:rsidRPr="003E2DBE">
              <w:rPr>
                <w:rFonts w:eastAsiaTheme="minorEastAsia" w:cs="Calibri"/>
                <w:b/>
                <w:bCs/>
                <w:i/>
                <w:iCs/>
                <w:szCs w:val="22"/>
                <w:lang w:eastAsia="en-AU"/>
              </w:rPr>
              <w:t>. 18 of 1994</w:t>
            </w:r>
            <w:r w:rsidRPr="003E2DBE">
              <w:rPr>
                <w:rFonts w:eastAsiaTheme="minorEastAsia" w:cs="Calibri"/>
                <w:b/>
                <w:bCs/>
                <w:szCs w:val="22"/>
                <w:lang w:eastAsia="en-AU"/>
              </w:rPr>
              <w:t xml:space="preserve"> Section 33)</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3 643 987</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3 574 876</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3 596 461</w:t>
            </w:r>
          </w:p>
        </w:tc>
      </w:tr>
      <w:tr w:rsidR="000B4A1E" w:rsidRPr="003E2DBE" w:rsidTr="00517E51">
        <w:trPr>
          <w:trHeight w:hRule="exact" w:val="120"/>
        </w:trPr>
        <w:tc>
          <w:tcPr>
            <w:tcW w:w="586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538" w:type="dxa"/>
            <w:tcBorders>
              <w:top w:val="nil"/>
              <w:left w:val="nil"/>
              <w:bottom w:val="single" w:sz="6" w:space="0" w:color="auto"/>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86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Amounts issued under the authority of the </w:t>
            </w:r>
            <w:r w:rsidRPr="003E2DBE">
              <w:rPr>
                <w:rFonts w:eastAsiaTheme="minorEastAsia"/>
                <w:b/>
                <w:bCs/>
                <w:i/>
                <w:lang w:eastAsia="en-AU"/>
              </w:rPr>
              <w:t>Financial</w:t>
            </w:r>
            <w:r w:rsidR="00FB4EAF">
              <w:rPr>
                <w:rFonts w:eastAsiaTheme="minorEastAsia"/>
                <w:b/>
                <w:bCs/>
                <w:i/>
                <w:lang w:eastAsia="en-AU"/>
              </w:rPr>
              <w:t xml:space="preserve"> Management Act, No. 18 of 1994</w:t>
            </w:r>
            <w:r w:rsidRPr="003E2DBE">
              <w:rPr>
                <w:rFonts w:eastAsiaTheme="minorEastAsia"/>
                <w:b/>
                <w:bCs/>
                <w:lang w:eastAsia="en-AU"/>
              </w:rPr>
              <w:t xml:space="preserve"> Section 33 (Special Appropriation) relating to prior year appropriations</w:t>
            </w:r>
          </w:p>
        </w:tc>
        <w:tc>
          <w:tcPr>
            <w:tcW w:w="1538" w:type="dxa"/>
            <w:tcBorders>
              <w:top w:val="nil"/>
              <w:left w:val="nil"/>
              <w:bottom w:val="nil"/>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 xml:space="preserve"> 15 736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15 736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8 073</w:t>
            </w:r>
          </w:p>
        </w:tc>
      </w:tr>
      <w:tr w:rsidR="000B4A1E" w:rsidRPr="003E2DBE" w:rsidTr="00517E51">
        <w:trPr>
          <w:trHeight w:hRule="exact" w:val="120"/>
        </w:trPr>
        <w:tc>
          <w:tcPr>
            <w:tcW w:w="586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538" w:type="dxa"/>
            <w:tcBorders>
              <w:top w:val="nil"/>
              <w:left w:val="nil"/>
              <w:bottom w:val="single" w:sz="6" w:space="0" w:color="auto"/>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864" w:type="dxa"/>
            <w:gridSpan w:val="2"/>
            <w:tcBorders>
              <w:top w:val="nil"/>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Parliamentary authority</w:t>
            </w:r>
          </w:p>
        </w:tc>
        <w:tc>
          <w:tcPr>
            <w:tcW w:w="1538" w:type="dxa"/>
            <w:tcBorders>
              <w:top w:val="nil"/>
              <w:left w:val="nil"/>
              <w:bottom w:val="single" w:sz="12" w:space="0" w:color="auto"/>
              <w:right w:val="nil"/>
            </w:tcBorders>
          </w:tcPr>
          <w:p w:rsidR="000B4A1E" w:rsidRPr="003E2DBE" w:rsidRDefault="000B4A1E" w:rsidP="00517E51">
            <w:pPr>
              <w:pStyle w:val="TableofFigures"/>
              <w:ind w:left="-71" w:firstLine="71"/>
              <w:rPr>
                <w:rFonts w:eastAsiaTheme="minorEastAsia"/>
                <w:b/>
                <w:bCs/>
                <w:lang w:eastAsia="en-AU"/>
              </w:rPr>
            </w:pPr>
            <w:r w:rsidRPr="003E2DBE">
              <w:rPr>
                <w:rFonts w:eastAsiaTheme="minorEastAsia"/>
                <w:b/>
                <w:bCs/>
                <w:lang w:eastAsia="en-AU"/>
              </w:rPr>
              <w:t>3 659 722</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3 590 612</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3 604 533</w:t>
            </w:r>
          </w:p>
        </w:tc>
      </w:tr>
    </w:tbl>
    <w:p w:rsidR="000B4A1E" w:rsidRPr="00D00665" w:rsidRDefault="000B4A1E" w:rsidP="00517E51">
      <w:pPr>
        <w:pStyle w:val="Notes"/>
      </w:pPr>
    </w:p>
    <w:p w:rsidR="000B4A1E" w:rsidRPr="00D00665" w:rsidRDefault="000B4A1E" w:rsidP="00517E51"/>
    <w:p w:rsidR="000B4A1E" w:rsidRPr="00D00665" w:rsidRDefault="000B4A1E" w:rsidP="00517E51"/>
    <w:p w:rsidR="000B4A1E" w:rsidRPr="00D00665" w:rsidRDefault="000B4A1E" w:rsidP="00517E51">
      <w:pPr>
        <w:pStyle w:val="Heading2NotesContd"/>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pPr>
      <w:r w:rsidRPr="00D00665">
        <w:t>(t)</w:t>
      </w:r>
      <w:r w:rsidRPr="00D00665">
        <w:tab/>
        <w:t>Parliamentary authority – Justice</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5864"/>
        <w:gridCol w:w="180"/>
        <w:gridCol w:w="180"/>
        <w:gridCol w:w="1178"/>
        <w:gridCol w:w="1123"/>
        <w:gridCol w:w="1123"/>
      </w:tblGrid>
      <w:tr w:rsidR="000B4A1E" w:rsidRPr="00892C4B" w:rsidTr="00517E51">
        <w:trPr>
          <w:cantSplit/>
          <w:tblHeader/>
        </w:trPr>
        <w:tc>
          <w:tcPr>
            <w:tcW w:w="5864" w:type="dxa"/>
            <w:tcBorders>
              <w:top w:val="single" w:sz="6" w:space="0" w:color="auto"/>
              <w:left w:val="single" w:sz="6" w:space="0" w:color="auto"/>
              <w:bottom w:val="nil"/>
              <w:right w:val="nil"/>
            </w:tcBorders>
            <w:shd w:val="clear" w:color="auto" w:fill="000000"/>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538" w:type="dxa"/>
            <w:gridSpan w:val="3"/>
            <w:tcBorders>
              <w:top w:val="single" w:sz="6" w:space="0" w:color="auto"/>
              <w:left w:val="nil"/>
              <w:bottom w:val="nil"/>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sz w:val="21"/>
              </w:rPr>
              <w:t>Parliamentary</w:t>
            </w:r>
            <w:r w:rsidRPr="00892C4B">
              <w:rPr>
                <w:rFonts w:eastAsiaTheme="minorEastAsia"/>
                <w:sz w:val="21"/>
                <w:lang w:eastAsia="en-AU"/>
              </w:rPr>
              <w:t xml:space="preserve"> </w:t>
            </w:r>
          </w:p>
        </w:tc>
        <w:tc>
          <w:tcPr>
            <w:tcW w:w="1123" w:type="dxa"/>
            <w:tcBorders>
              <w:top w:val="single" w:sz="6" w:space="0" w:color="auto"/>
              <w:left w:val="nil"/>
              <w:bottom w:val="nil"/>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Amounts</w:t>
            </w:r>
          </w:p>
        </w:tc>
        <w:tc>
          <w:tcPr>
            <w:tcW w:w="1123" w:type="dxa"/>
            <w:tcBorders>
              <w:top w:val="single" w:sz="6" w:space="0" w:color="auto"/>
              <w:left w:val="nil"/>
              <w:bottom w:val="nil"/>
              <w:right w:val="single" w:sz="6" w:space="0" w:color="auto"/>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Amounts</w:t>
            </w:r>
          </w:p>
        </w:tc>
      </w:tr>
      <w:tr w:rsidR="000B4A1E" w:rsidRPr="00892C4B" w:rsidTr="00517E51">
        <w:trPr>
          <w:cantSplit/>
          <w:tblHeader/>
        </w:trPr>
        <w:tc>
          <w:tcPr>
            <w:tcW w:w="5864" w:type="dxa"/>
            <w:tcBorders>
              <w:top w:val="nil"/>
              <w:left w:val="single" w:sz="6" w:space="0" w:color="auto"/>
              <w:bottom w:val="single" w:sz="6" w:space="0" w:color="auto"/>
              <w:right w:val="nil"/>
            </w:tcBorders>
            <w:shd w:val="clear" w:color="auto" w:fill="000000"/>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538" w:type="dxa"/>
            <w:gridSpan w:val="3"/>
            <w:tcBorders>
              <w:top w:val="nil"/>
              <w:left w:val="nil"/>
              <w:bottom w:val="single" w:sz="6" w:space="0" w:color="auto"/>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authority</w:t>
            </w:r>
          </w:p>
        </w:tc>
        <w:tc>
          <w:tcPr>
            <w:tcW w:w="1123" w:type="dxa"/>
            <w:tcBorders>
              <w:top w:val="nil"/>
              <w:left w:val="nil"/>
              <w:bottom w:val="single" w:sz="6" w:space="0" w:color="auto"/>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applied</w:t>
            </w:r>
          </w:p>
        </w:tc>
        <w:tc>
          <w:tcPr>
            <w:tcW w:w="1123" w:type="dxa"/>
            <w:tcBorders>
              <w:top w:val="nil"/>
              <w:left w:val="nil"/>
              <w:bottom w:val="single" w:sz="6" w:space="0" w:color="auto"/>
              <w:right w:val="single" w:sz="6" w:space="0" w:color="auto"/>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applied</w:t>
            </w:r>
          </w:p>
        </w:tc>
      </w:tr>
      <w:tr w:rsidR="000B4A1E" w:rsidRPr="00892C4B" w:rsidTr="00517E51">
        <w:trPr>
          <w:cantSplit/>
          <w:tblHeader/>
        </w:trPr>
        <w:tc>
          <w:tcPr>
            <w:tcW w:w="5864" w:type="dxa"/>
            <w:tcBorders>
              <w:top w:val="single" w:sz="6" w:space="0" w:color="auto"/>
              <w:left w:val="single" w:sz="6" w:space="0" w:color="auto"/>
              <w:bottom w:val="single" w:sz="6" w:space="0" w:color="auto"/>
              <w:right w:val="nil"/>
            </w:tcBorders>
            <w:shd w:val="solid" w:color="000000" w:fill="auto"/>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538" w:type="dxa"/>
            <w:gridSpan w:val="3"/>
            <w:tcBorders>
              <w:top w:val="single" w:sz="6" w:space="0" w:color="auto"/>
              <w:left w:val="nil"/>
              <w:bottom w:val="single" w:sz="6" w:space="0" w:color="auto"/>
              <w:right w:val="nil"/>
            </w:tcBorders>
            <w:shd w:val="solid" w:color="000000" w:fill="auto"/>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2013</w:t>
            </w:r>
          </w:p>
        </w:tc>
        <w:tc>
          <w:tcPr>
            <w:tcW w:w="1123" w:type="dxa"/>
            <w:tcBorders>
              <w:top w:val="single" w:sz="6" w:space="0" w:color="auto"/>
              <w:left w:val="nil"/>
              <w:bottom w:val="single" w:sz="6" w:space="0" w:color="auto"/>
              <w:right w:val="nil"/>
            </w:tcBorders>
            <w:shd w:val="clear" w:color="auto" w:fill="000000" w:themeFill="text1"/>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2013</w:t>
            </w:r>
          </w:p>
        </w:tc>
        <w:tc>
          <w:tcPr>
            <w:tcW w:w="1123" w:type="dxa"/>
            <w:tcBorders>
              <w:top w:val="single" w:sz="6" w:space="0" w:color="auto"/>
              <w:left w:val="nil"/>
              <w:bottom w:val="single" w:sz="6" w:space="0" w:color="auto"/>
              <w:right w:val="single" w:sz="6" w:space="0" w:color="auto"/>
            </w:tcBorders>
            <w:shd w:val="clear" w:color="auto" w:fill="000000" w:themeFill="text1"/>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2012</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Special appropriations</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Constitution Act, No. 8750 of 1975</w:t>
            </w:r>
            <w:r w:rsidRPr="00892C4B">
              <w:rPr>
                <w:rFonts w:eastAsiaTheme="minorEastAsia"/>
                <w:sz w:val="21"/>
                <w:lang w:eastAsia="en-AU"/>
              </w:rPr>
              <w:t xml:space="preserve"> – Chief Justice</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639</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639</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562</w:t>
            </w:r>
          </w:p>
        </w:tc>
      </w:tr>
      <w:tr w:rsidR="000B4A1E" w:rsidRPr="00892C4B" w:rsidTr="00517E51">
        <w:tc>
          <w:tcPr>
            <w:tcW w:w="6044" w:type="dxa"/>
            <w:gridSpan w:val="2"/>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Constitution Act, No. 8750 of 1975</w:t>
            </w:r>
            <w:r w:rsidRPr="00892C4B">
              <w:rPr>
                <w:rFonts w:eastAsiaTheme="minorEastAsia"/>
                <w:sz w:val="21"/>
                <w:lang w:eastAsia="en-AU"/>
              </w:rPr>
              <w:t xml:space="preserve"> – Judges of the Court of Appeal</w:t>
            </w:r>
          </w:p>
        </w:tc>
        <w:tc>
          <w:tcPr>
            <w:tcW w:w="1358" w:type="dxa"/>
            <w:gridSpan w:val="2"/>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5 922</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5 922</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5 704</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Constitution Act, No. 8750 of 1975</w:t>
            </w:r>
            <w:r w:rsidRPr="00892C4B">
              <w:rPr>
                <w:rFonts w:eastAsiaTheme="minorEastAsia"/>
                <w:sz w:val="21"/>
                <w:lang w:eastAsia="en-AU"/>
              </w:rPr>
              <w:t xml:space="preserve"> – President, Court of Appeal</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482</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482</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473</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Constitution Act, No. 8750 of 1975</w:t>
            </w:r>
            <w:r w:rsidRPr="00892C4B">
              <w:rPr>
                <w:rFonts w:eastAsiaTheme="minorEastAsia"/>
                <w:sz w:val="21"/>
                <w:lang w:eastAsia="en-AU"/>
              </w:rPr>
              <w:t xml:space="preserve"> – Judges Supreme Court</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17 617</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17 617</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17 225</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County Court Act, No. 6230 of 1958</w:t>
            </w:r>
            <w:r w:rsidRPr="00892C4B">
              <w:rPr>
                <w:rFonts w:eastAsiaTheme="minorEastAsia"/>
                <w:sz w:val="21"/>
                <w:lang w:eastAsia="en-AU"/>
              </w:rPr>
              <w:t xml:space="preserve"> – Judges</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27 249</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27 249</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25 839</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i/>
                <w:sz w:val="21"/>
                <w:lang w:eastAsia="en-AU"/>
              </w:rPr>
            </w:pPr>
            <w:r w:rsidRPr="00892C4B">
              <w:rPr>
                <w:rFonts w:eastAsiaTheme="minorEastAsia"/>
                <w:i/>
                <w:sz w:val="21"/>
                <w:lang w:eastAsia="en-AU"/>
              </w:rPr>
              <w:t>Crown Proceedings Act, No. 6232 of 1958</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2 339</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2 339</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5 339</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Juries Act No.53 of 2000,</w:t>
            </w:r>
            <w:r w:rsidRPr="00892C4B">
              <w:rPr>
                <w:rFonts w:eastAsiaTheme="minorEastAsia"/>
                <w:sz w:val="21"/>
                <w:lang w:eastAsia="en-AU"/>
              </w:rPr>
              <w:t xml:space="preserve"> Section 59 – Compensation to Jurors</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372</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372</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138</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Electoral Act, No. 23 of 2002,</w:t>
            </w:r>
            <w:r w:rsidRPr="00892C4B">
              <w:rPr>
                <w:rFonts w:eastAsiaTheme="minorEastAsia"/>
                <w:sz w:val="21"/>
                <w:lang w:eastAsia="en-AU"/>
              </w:rPr>
              <w:t xml:space="preserve"> Section 181 – Electoral Expenses</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42 489</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42 489</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23 399</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Electoral Act, No. 23 of 2002,</w:t>
            </w:r>
            <w:r w:rsidRPr="00892C4B">
              <w:rPr>
                <w:rFonts w:eastAsiaTheme="minorEastAsia"/>
                <w:sz w:val="21"/>
                <w:lang w:eastAsia="en-AU"/>
              </w:rPr>
              <w:t xml:space="preserve"> Section 215 – Entitlement</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78</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78</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44</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Eastlink Project Act No 39 of 2004,</w:t>
            </w:r>
            <w:r w:rsidRPr="00892C4B">
              <w:rPr>
                <w:rFonts w:eastAsiaTheme="minorEastAsia"/>
                <w:sz w:val="21"/>
                <w:lang w:eastAsia="en-AU"/>
              </w:rPr>
              <w:t xml:space="preserve"> Section 26</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1 142</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1 142</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1 005</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i/>
                <w:sz w:val="21"/>
                <w:lang w:eastAsia="en-AU"/>
              </w:rPr>
            </w:pPr>
            <w:r w:rsidRPr="00892C4B">
              <w:rPr>
                <w:rFonts w:eastAsiaTheme="minorEastAsia"/>
                <w:i/>
                <w:sz w:val="21"/>
                <w:lang w:eastAsia="en-AU"/>
              </w:rPr>
              <w:t>Magistrates Court Act, No. 51 of 1989</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44 651</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44 651</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42 819</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Melbourne City Link Act, No. 107 of 1995,</w:t>
            </w:r>
            <w:r w:rsidRPr="00892C4B">
              <w:rPr>
                <w:rFonts w:eastAsiaTheme="minorEastAsia"/>
                <w:sz w:val="21"/>
                <w:lang w:eastAsia="en-AU"/>
              </w:rPr>
              <w:t xml:space="preserve"> Section 14 (4)</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2 797</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2 797</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1 970</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Victims of Crime Assistance Act, No. 81 of 1996</w:t>
            </w:r>
            <w:r w:rsidRPr="00892C4B">
              <w:rPr>
                <w:rFonts w:eastAsiaTheme="minorEastAsia"/>
                <w:sz w:val="21"/>
                <w:lang w:eastAsia="en-AU"/>
              </w:rPr>
              <w:t xml:space="preserve"> – Tribunal</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2 365</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2 365</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2 357</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Victims of Crime Assistance Act, No. 81 of 1996</w:t>
            </w:r>
            <w:r w:rsidRPr="00892C4B">
              <w:rPr>
                <w:rFonts w:eastAsiaTheme="minorEastAsia"/>
                <w:sz w:val="21"/>
                <w:lang w:eastAsia="en-AU"/>
              </w:rPr>
              <w:t xml:space="preserve"> – Criminal Injuries Compensation</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41 338</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41 338</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38 539</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Emergency Management Act No 30/1986</w:t>
            </w:r>
            <w:r w:rsidRPr="00892C4B">
              <w:rPr>
                <w:rFonts w:eastAsiaTheme="minorEastAsia"/>
                <w:sz w:val="21"/>
                <w:lang w:eastAsia="en-AU"/>
              </w:rPr>
              <w:t xml:space="preserve"> Section 32 – Volunteer Workers Compensation</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134</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134</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139</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i/>
                <w:sz w:val="21"/>
                <w:lang w:eastAsia="en-AU"/>
              </w:rPr>
            </w:pPr>
            <w:r w:rsidRPr="00892C4B">
              <w:rPr>
                <w:rFonts w:eastAsiaTheme="minorEastAsia"/>
                <w:i/>
                <w:sz w:val="21"/>
                <w:lang w:eastAsia="en-AU"/>
              </w:rPr>
              <w:t>Victorian State Emergency Services Volunteer Workers Compensation – Act No. 51 of 2005</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135</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135</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280</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i/>
                <w:sz w:val="21"/>
                <w:lang w:eastAsia="en-AU"/>
              </w:rPr>
              <w:t>Work Cover Authority Fund, Corrections Act 1986,</w:t>
            </w:r>
            <w:r w:rsidRPr="00892C4B">
              <w:rPr>
                <w:rFonts w:eastAsiaTheme="minorEastAsia"/>
                <w:sz w:val="21"/>
                <w:lang w:eastAsia="en-AU"/>
              </w:rPr>
              <w:t xml:space="preserve"> Part 9D, S.104ZW</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91</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91</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156</w:t>
            </w:r>
          </w:p>
        </w:tc>
      </w:tr>
      <w:tr w:rsidR="000B4A1E" w:rsidRPr="00892C4B" w:rsidTr="00517E51">
        <w:tc>
          <w:tcPr>
            <w:tcW w:w="5864" w:type="dxa"/>
            <w:tcBorders>
              <w:top w:val="single" w:sz="6" w:space="0" w:color="auto"/>
              <w:left w:val="nil"/>
              <w:bottom w:val="single" w:sz="6" w:space="0" w:color="auto"/>
              <w:right w:val="nil"/>
            </w:tcBorders>
          </w:tcPr>
          <w:p w:rsidR="000B4A1E" w:rsidRPr="00892C4B" w:rsidRDefault="000B4A1E" w:rsidP="00517E51">
            <w:pPr>
              <w:pStyle w:val="Tabletext"/>
              <w:rPr>
                <w:rFonts w:eastAsiaTheme="minorEastAsia" w:cs="Calibri"/>
                <w:b/>
                <w:bCs/>
                <w:sz w:val="21"/>
                <w:szCs w:val="22"/>
                <w:lang w:eastAsia="en-AU"/>
              </w:rPr>
            </w:pPr>
            <w:r w:rsidRPr="00892C4B">
              <w:rPr>
                <w:rFonts w:eastAsiaTheme="minorEastAsia"/>
                <w:b/>
                <w:bCs/>
                <w:sz w:val="21"/>
                <w:lang w:eastAsia="en-AU"/>
              </w:rPr>
              <w:t xml:space="preserve">Total special appropriations (excluding </w:t>
            </w:r>
            <w:r w:rsidRPr="00892C4B">
              <w:rPr>
                <w:rFonts w:eastAsiaTheme="minorEastAsia"/>
                <w:b/>
                <w:bCs/>
                <w:i/>
                <w:sz w:val="21"/>
                <w:lang w:eastAsia="en-AU"/>
              </w:rPr>
              <w:t>Financial Management Act, No</w:t>
            </w:r>
            <w:r w:rsidRPr="00892C4B">
              <w:rPr>
                <w:rFonts w:eastAsiaTheme="minorEastAsia" w:cs="Calibri"/>
                <w:b/>
                <w:bCs/>
                <w:i/>
                <w:iCs/>
                <w:sz w:val="21"/>
                <w:szCs w:val="22"/>
                <w:lang w:eastAsia="en-AU"/>
              </w:rPr>
              <w:t xml:space="preserve">. 18 of 1994 </w:t>
            </w:r>
            <w:r w:rsidRPr="00892C4B">
              <w:rPr>
                <w:rFonts w:eastAsiaTheme="minorEastAsia" w:cs="Calibri"/>
                <w:b/>
                <w:bCs/>
                <w:sz w:val="21"/>
                <w:szCs w:val="22"/>
                <w:lang w:eastAsia="en-AU"/>
              </w:rPr>
              <w:t>Section 33)</w:t>
            </w:r>
          </w:p>
        </w:tc>
        <w:tc>
          <w:tcPr>
            <w:tcW w:w="1538" w:type="dxa"/>
            <w:gridSpan w:val="3"/>
            <w:tcBorders>
              <w:top w:val="single" w:sz="6" w:space="0" w:color="auto"/>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189 841</w:t>
            </w:r>
          </w:p>
        </w:tc>
        <w:tc>
          <w:tcPr>
            <w:tcW w:w="1123" w:type="dxa"/>
            <w:tcBorders>
              <w:top w:val="single" w:sz="6" w:space="0" w:color="auto"/>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189 841</w:t>
            </w:r>
          </w:p>
        </w:tc>
        <w:tc>
          <w:tcPr>
            <w:tcW w:w="1123" w:type="dxa"/>
            <w:tcBorders>
              <w:top w:val="single" w:sz="6" w:space="0" w:color="auto"/>
              <w:left w:val="nil"/>
              <w:bottom w:val="single" w:sz="6"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165 986</w:t>
            </w:r>
          </w:p>
        </w:tc>
      </w:tr>
      <w:tr w:rsidR="000B4A1E" w:rsidRPr="00892C4B" w:rsidTr="00517E51">
        <w:trPr>
          <w:trHeight w:hRule="exact" w:val="120"/>
        </w:trPr>
        <w:tc>
          <w:tcPr>
            <w:tcW w:w="586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Annual appropriations</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Provision of outputs</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Provision of outputs – net application</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3 920 864</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3 808 575</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3 630 317</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29 </w:t>
            </w:r>
            <w:r w:rsidRPr="00892C4B">
              <w:rPr>
                <w:rFonts w:eastAsiaTheme="minorEastAsia"/>
                <w:i/>
                <w:sz w:val="21"/>
                <w:lang w:eastAsia="en-AU"/>
              </w:rPr>
              <w:t>Financial Management Act, No. 18 of 1994</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238 663</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238 663</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242 706</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32 </w:t>
            </w:r>
            <w:r w:rsidRPr="00892C4B">
              <w:rPr>
                <w:rFonts w:eastAsiaTheme="minorEastAsia"/>
                <w:i/>
                <w:sz w:val="21"/>
                <w:lang w:eastAsia="en-AU"/>
              </w:rPr>
              <w:t>Financial Management Act, No. 18 of 1994</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95 812</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68 018</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96 140</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35 </w:t>
            </w:r>
            <w:r w:rsidRPr="00892C4B">
              <w:rPr>
                <w:rFonts w:eastAsiaTheme="minorEastAsia"/>
                <w:i/>
                <w:sz w:val="21"/>
                <w:lang w:eastAsia="en-AU"/>
              </w:rPr>
              <w:t>Financial Management Act, No. 18 of 1994</w:t>
            </w:r>
            <w:r>
              <w:rPr>
                <w:rFonts w:eastAsiaTheme="minorEastAsia"/>
                <w:sz w:val="21"/>
                <w:lang w:eastAsia="en-AU"/>
              </w:rPr>
              <w:t xml:space="preserve"> (temporary </w:t>
            </w:r>
            <w:r w:rsidRPr="00892C4B">
              <w:rPr>
                <w:rFonts w:eastAsiaTheme="minorEastAsia"/>
                <w:sz w:val="21"/>
                <w:lang w:eastAsia="en-AU"/>
              </w:rPr>
              <w:t>advances)</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r>
      <w:tr w:rsidR="000B4A1E" w:rsidRPr="00892C4B" w:rsidTr="00517E51">
        <w:tc>
          <w:tcPr>
            <w:tcW w:w="586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Advance to Treasurer </w:t>
            </w:r>
          </w:p>
        </w:tc>
        <w:tc>
          <w:tcPr>
            <w:tcW w:w="1538" w:type="dxa"/>
            <w:gridSpan w:val="3"/>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42 613</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42 410</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7 351</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provision of outputs – gross application</w:t>
            </w:r>
          </w:p>
        </w:tc>
        <w:tc>
          <w:tcPr>
            <w:tcW w:w="1538" w:type="dxa"/>
            <w:gridSpan w:val="3"/>
            <w:tcBorders>
              <w:top w:val="nil"/>
              <w:left w:val="nil"/>
              <w:bottom w:val="nil"/>
              <w:right w:val="nil"/>
            </w:tcBorders>
            <w:shd w:val="solid" w:color="FFFFFF" w:fill="auto"/>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4 297 952</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4 157 666</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3 976 514</w:t>
            </w:r>
          </w:p>
        </w:tc>
      </w:tr>
      <w:tr w:rsidR="000B4A1E" w:rsidRPr="00892C4B" w:rsidTr="00517E51">
        <w:trPr>
          <w:trHeight w:hRule="exact" w:val="120"/>
        </w:trPr>
        <w:tc>
          <w:tcPr>
            <w:tcW w:w="586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Additions to the net asset base</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Additions to the net asset base – net application</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304 383</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64 444</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100 443</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29 </w:t>
            </w:r>
            <w:r w:rsidRPr="00892C4B">
              <w:rPr>
                <w:rFonts w:eastAsiaTheme="minorEastAsia"/>
                <w:i/>
                <w:sz w:val="21"/>
                <w:lang w:eastAsia="en-AU"/>
              </w:rPr>
              <w:t>Financial Management Act, No. 18 of 1994</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10 090</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10 090</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5 882</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32 </w:t>
            </w:r>
            <w:r w:rsidRPr="00892C4B">
              <w:rPr>
                <w:rFonts w:eastAsiaTheme="minorEastAsia"/>
                <w:i/>
                <w:sz w:val="21"/>
                <w:lang w:eastAsia="en-AU"/>
              </w:rPr>
              <w:t>Financial Management Act, No. 18 of 1994</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53 909</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40 343</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38 096</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Section 35 </w:t>
            </w:r>
            <w:r w:rsidRPr="00892C4B">
              <w:rPr>
                <w:rFonts w:eastAsiaTheme="minorEastAsia"/>
                <w:i/>
                <w:sz w:val="21"/>
                <w:lang w:eastAsia="en-AU"/>
              </w:rPr>
              <w:t>Financial Management Act, No. 18 of 1994</w:t>
            </w:r>
            <w:r w:rsidRPr="00892C4B">
              <w:rPr>
                <w:rFonts w:eastAsiaTheme="minorEastAsia"/>
                <w:sz w:val="21"/>
                <w:lang w:eastAsia="en-AU"/>
              </w:rPr>
              <w:t xml:space="preserve"> (temporary advances)</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r>
      <w:tr w:rsidR="000B4A1E" w:rsidRPr="00892C4B" w:rsidTr="00517E51">
        <w:tc>
          <w:tcPr>
            <w:tcW w:w="586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Advance to Treasurer </w:t>
            </w:r>
          </w:p>
        </w:tc>
        <w:tc>
          <w:tcPr>
            <w:tcW w:w="1538" w:type="dxa"/>
            <w:gridSpan w:val="3"/>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additions to the net asset base – gross application</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368 382</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114 877</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144 422</w:t>
            </w:r>
          </w:p>
        </w:tc>
      </w:tr>
      <w:tr w:rsidR="000B4A1E" w:rsidRPr="00892C4B" w:rsidTr="00517E51">
        <w:trPr>
          <w:trHeight w:hRule="exact" w:val="120"/>
        </w:trPr>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Payments made on behalf of the State</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Payments made on behalf of the State – net application</w:t>
            </w:r>
          </w:p>
        </w:tc>
        <w:tc>
          <w:tcPr>
            <w:tcW w:w="1538" w:type="dxa"/>
            <w:gridSpan w:val="3"/>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54 461</w:t>
            </w:r>
          </w:p>
        </w:tc>
        <w:tc>
          <w:tcPr>
            <w:tcW w:w="1123" w:type="dxa"/>
            <w:tcBorders>
              <w:top w:val="nil"/>
              <w:left w:val="nil"/>
              <w:bottom w:val="nil"/>
              <w:right w:val="nil"/>
            </w:tcBorders>
          </w:tcPr>
          <w:p w:rsidR="000B4A1E" w:rsidRPr="00892C4B" w:rsidRDefault="000B4A1E" w:rsidP="00517E51">
            <w:pPr>
              <w:pStyle w:val="TableofFigures"/>
              <w:rPr>
                <w:rFonts w:eastAsiaTheme="minorEastAsia" w:cs="Calibri"/>
                <w:sz w:val="21"/>
                <w:szCs w:val="22"/>
                <w:lang w:eastAsia="en-AU"/>
              </w:rPr>
            </w:pPr>
            <w:r w:rsidRPr="00892C4B">
              <w:rPr>
                <w:rFonts w:eastAsiaTheme="minorEastAsia"/>
                <w:sz w:val="21"/>
                <w:lang w:eastAsia="en-AU"/>
              </w:rPr>
              <w:t xml:space="preserve"> 35 </w:t>
            </w:r>
            <w:r w:rsidRPr="00892C4B">
              <w:rPr>
                <w:rFonts w:eastAsiaTheme="minorEastAsia" w:cs="Calibri"/>
                <w:sz w:val="21"/>
                <w:szCs w:val="22"/>
                <w:lang w:eastAsia="en-AU"/>
              </w:rPr>
              <w:t>420</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41 149</w:t>
            </w:r>
          </w:p>
        </w:tc>
      </w:tr>
      <w:tr w:rsidR="000B4A1E" w:rsidRPr="00892C4B" w:rsidTr="001C7CDE">
        <w:tc>
          <w:tcPr>
            <w:tcW w:w="5864" w:type="dxa"/>
            <w:tcBorders>
              <w:top w:val="nil"/>
              <w:left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Advance to Treasurer </w:t>
            </w:r>
          </w:p>
        </w:tc>
        <w:tc>
          <w:tcPr>
            <w:tcW w:w="1538" w:type="dxa"/>
            <w:gridSpan w:val="3"/>
            <w:tcBorders>
              <w:top w:val="nil"/>
              <w:left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23" w:type="dxa"/>
            <w:tcBorders>
              <w:top w:val="nil"/>
              <w:left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c>
          <w:tcPr>
            <w:tcW w:w="1123" w:type="dxa"/>
            <w:tcBorders>
              <w:top w:val="nil"/>
              <w:left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w:t>
            </w:r>
          </w:p>
        </w:tc>
      </w:tr>
      <w:tr w:rsidR="000B4A1E" w:rsidRPr="00892C4B" w:rsidTr="001C7CDE">
        <w:tc>
          <w:tcPr>
            <w:tcW w:w="6224" w:type="dxa"/>
            <w:gridSpan w:val="3"/>
            <w:tcBorders>
              <w:top w:val="nil"/>
              <w:left w:val="nil"/>
              <w:bottom w:val="single" w:sz="12"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for payments made on behalf of the State – gross application</w:t>
            </w:r>
          </w:p>
        </w:tc>
        <w:tc>
          <w:tcPr>
            <w:tcW w:w="1178" w:type="dxa"/>
            <w:tcBorders>
              <w:top w:val="nil"/>
              <w:left w:val="nil"/>
              <w:bottom w:val="single" w:sz="12"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54 461</w:t>
            </w:r>
          </w:p>
        </w:tc>
        <w:tc>
          <w:tcPr>
            <w:tcW w:w="1123" w:type="dxa"/>
            <w:tcBorders>
              <w:top w:val="nil"/>
              <w:left w:val="nil"/>
              <w:bottom w:val="single" w:sz="12" w:space="0" w:color="auto"/>
              <w:right w:val="nil"/>
            </w:tcBorders>
          </w:tcPr>
          <w:p w:rsidR="000B4A1E" w:rsidRPr="00892C4B" w:rsidRDefault="000B4A1E" w:rsidP="00517E51">
            <w:pPr>
              <w:pStyle w:val="TableofFigures"/>
              <w:rPr>
                <w:rFonts w:eastAsiaTheme="minorEastAsia" w:cs="Calibri"/>
                <w:b/>
                <w:bCs/>
                <w:sz w:val="21"/>
                <w:szCs w:val="22"/>
                <w:lang w:eastAsia="en-AU"/>
              </w:rPr>
            </w:pPr>
            <w:r w:rsidRPr="00892C4B">
              <w:rPr>
                <w:rFonts w:eastAsiaTheme="minorEastAsia"/>
                <w:b/>
                <w:bCs/>
                <w:sz w:val="21"/>
                <w:lang w:eastAsia="en-AU"/>
              </w:rPr>
              <w:t xml:space="preserve"> 35 </w:t>
            </w:r>
            <w:r w:rsidRPr="00892C4B">
              <w:rPr>
                <w:rFonts w:eastAsiaTheme="minorEastAsia" w:cs="Calibri"/>
                <w:b/>
                <w:bCs/>
                <w:sz w:val="21"/>
                <w:szCs w:val="22"/>
                <w:lang w:eastAsia="en-AU"/>
              </w:rPr>
              <w:t>420</w:t>
            </w:r>
          </w:p>
        </w:tc>
        <w:tc>
          <w:tcPr>
            <w:tcW w:w="1123" w:type="dxa"/>
            <w:tcBorders>
              <w:top w:val="nil"/>
              <w:left w:val="nil"/>
              <w:bottom w:val="single" w:sz="12"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41 149</w:t>
            </w:r>
          </w:p>
        </w:tc>
      </w:tr>
      <w:tr w:rsidR="000B4A1E" w:rsidRPr="00892C4B" w:rsidTr="001C7CDE">
        <w:trPr>
          <w:trHeight w:hRule="exact" w:val="120"/>
        </w:trPr>
        <w:tc>
          <w:tcPr>
            <w:tcW w:w="5864" w:type="dxa"/>
            <w:tcBorders>
              <w:top w:val="single" w:sz="12" w:space="0" w:color="auto"/>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538" w:type="dxa"/>
            <w:gridSpan w:val="3"/>
            <w:tcBorders>
              <w:top w:val="single" w:sz="12" w:space="0" w:color="auto"/>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single" w:sz="12" w:space="0" w:color="auto"/>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c>
          <w:tcPr>
            <w:tcW w:w="1123" w:type="dxa"/>
            <w:tcBorders>
              <w:top w:val="single" w:sz="12" w:space="0" w:color="auto"/>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w:t>
            </w:r>
          </w:p>
        </w:tc>
      </w:tr>
    </w:tbl>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441ADF" w:rsidRDefault="000B4A1E" w:rsidP="00517E51">
      <w:pPr>
        <w:pStyle w:val="Heading5"/>
        <w:rPr>
          <w:i/>
        </w:rPr>
      </w:pPr>
      <w:r w:rsidRPr="00D00665">
        <w:t>(t)</w:t>
      </w:r>
      <w:r w:rsidRPr="00D00665">
        <w:tab/>
        <w:t>Pa</w:t>
      </w:r>
      <w:r>
        <w:t xml:space="preserve">rliamentary authority – Justice </w:t>
      </w:r>
      <w:r w:rsidR="005B0F2C">
        <w:rPr>
          <w:i/>
        </w:rPr>
        <w:t>(continued)</w:t>
      </w:r>
    </w:p>
    <w:p w:rsidR="000B4A1E" w:rsidRDefault="000B4A1E" w:rsidP="00517E51">
      <w:pPr>
        <w:pStyle w:val="million"/>
      </w:pPr>
      <w:r>
        <w:t>($ thousand)</w:t>
      </w:r>
    </w:p>
    <w:tbl>
      <w:tblPr>
        <w:tblW w:w="9648" w:type="dxa"/>
        <w:tblInd w:w="29" w:type="dxa"/>
        <w:tblLayout w:type="fixed"/>
        <w:tblCellMar>
          <w:left w:w="43" w:type="dxa"/>
          <w:right w:w="43" w:type="dxa"/>
        </w:tblCellMar>
        <w:tblLook w:val="0000" w:firstRow="0" w:lastRow="0" w:firstColumn="0" w:lastColumn="0" w:noHBand="0" w:noVBand="0"/>
      </w:tblPr>
      <w:tblGrid>
        <w:gridCol w:w="5864"/>
        <w:gridCol w:w="1538"/>
        <w:gridCol w:w="1123"/>
        <w:gridCol w:w="1123"/>
      </w:tblGrid>
      <w:tr w:rsidR="000B4A1E" w:rsidRPr="00892C4B" w:rsidTr="00517E51">
        <w:trPr>
          <w:cantSplit/>
          <w:tblHeader/>
        </w:trPr>
        <w:tc>
          <w:tcPr>
            <w:tcW w:w="5864" w:type="dxa"/>
            <w:tcBorders>
              <w:top w:val="single" w:sz="6" w:space="0" w:color="auto"/>
              <w:left w:val="single" w:sz="6" w:space="0" w:color="auto"/>
              <w:bottom w:val="nil"/>
              <w:right w:val="nil"/>
            </w:tcBorders>
            <w:shd w:val="clear" w:color="auto" w:fill="000000"/>
          </w:tcPr>
          <w:p w:rsidR="000B4A1E" w:rsidRPr="00892C4B" w:rsidRDefault="000B4A1E" w:rsidP="00517E51">
            <w:pPr>
              <w:pStyle w:val="Tabletext"/>
              <w:rPr>
                <w:rFonts w:eastAsiaTheme="minorEastAsia"/>
                <w:sz w:val="21"/>
                <w:lang w:eastAsia="en-AU"/>
              </w:rPr>
            </w:pPr>
          </w:p>
        </w:tc>
        <w:tc>
          <w:tcPr>
            <w:tcW w:w="1538" w:type="dxa"/>
            <w:tcBorders>
              <w:top w:val="single" w:sz="6" w:space="0" w:color="auto"/>
              <w:left w:val="nil"/>
              <w:bottom w:val="nil"/>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sz w:val="21"/>
              </w:rPr>
              <w:t>Parliamentary</w:t>
            </w:r>
            <w:r w:rsidRPr="00892C4B">
              <w:rPr>
                <w:rFonts w:eastAsiaTheme="minorEastAsia"/>
                <w:sz w:val="21"/>
                <w:lang w:eastAsia="en-AU"/>
              </w:rPr>
              <w:t xml:space="preserve"> </w:t>
            </w:r>
          </w:p>
        </w:tc>
        <w:tc>
          <w:tcPr>
            <w:tcW w:w="1123" w:type="dxa"/>
            <w:tcBorders>
              <w:top w:val="single" w:sz="6" w:space="0" w:color="auto"/>
              <w:left w:val="nil"/>
              <w:bottom w:val="nil"/>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Amounts</w:t>
            </w:r>
          </w:p>
        </w:tc>
        <w:tc>
          <w:tcPr>
            <w:tcW w:w="1123" w:type="dxa"/>
            <w:tcBorders>
              <w:top w:val="single" w:sz="6" w:space="0" w:color="auto"/>
              <w:left w:val="nil"/>
              <w:bottom w:val="nil"/>
              <w:right w:val="single" w:sz="6" w:space="0" w:color="auto"/>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Amounts</w:t>
            </w:r>
          </w:p>
        </w:tc>
      </w:tr>
      <w:tr w:rsidR="000B4A1E" w:rsidRPr="00892C4B" w:rsidTr="00517E51">
        <w:trPr>
          <w:cantSplit/>
          <w:tblHeader/>
        </w:trPr>
        <w:tc>
          <w:tcPr>
            <w:tcW w:w="5864" w:type="dxa"/>
            <w:tcBorders>
              <w:top w:val="nil"/>
              <w:left w:val="single" w:sz="6" w:space="0" w:color="auto"/>
              <w:bottom w:val="single" w:sz="6" w:space="0" w:color="auto"/>
              <w:right w:val="nil"/>
            </w:tcBorders>
            <w:shd w:val="clear" w:color="auto" w:fill="000000"/>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538" w:type="dxa"/>
            <w:tcBorders>
              <w:top w:val="nil"/>
              <w:left w:val="nil"/>
              <w:bottom w:val="single" w:sz="6" w:space="0" w:color="auto"/>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authority</w:t>
            </w:r>
          </w:p>
        </w:tc>
        <w:tc>
          <w:tcPr>
            <w:tcW w:w="1123" w:type="dxa"/>
            <w:tcBorders>
              <w:top w:val="nil"/>
              <w:left w:val="nil"/>
              <w:bottom w:val="single" w:sz="6" w:space="0" w:color="auto"/>
              <w:right w:val="nil"/>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applied</w:t>
            </w:r>
          </w:p>
        </w:tc>
        <w:tc>
          <w:tcPr>
            <w:tcW w:w="1123" w:type="dxa"/>
            <w:tcBorders>
              <w:top w:val="nil"/>
              <w:left w:val="nil"/>
              <w:bottom w:val="single" w:sz="6" w:space="0" w:color="auto"/>
              <w:right w:val="single" w:sz="6" w:space="0" w:color="auto"/>
            </w:tcBorders>
            <w:shd w:val="clear" w:color="auto" w:fill="000000"/>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applied</w:t>
            </w:r>
          </w:p>
        </w:tc>
      </w:tr>
      <w:tr w:rsidR="000B4A1E" w:rsidRPr="00892C4B" w:rsidTr="00517E51">
        <w:trPr>
          <w:cantSplit/>
          <w:tblHeader/>
        </w:trPr>
        <w:tc>
          <w:tcPr>
            <w:tcW w:w="5864" w:type="dxa"/>
            <w:tcBorders>
              <w:top w:val="single" w:sz="6" w:space="0" w:color="auto"/>
              <w:left w:val="single" w:sz="6" w:space="0" w:color="auto"/>
              <w:bottom w:val="single" w:sz="6" w:space="0" w:color="auto"/>
              <w:right w:val="nil"/>
            </w:tcBorders>
            <w:shd w:val="solid" w:color="000000" w:fill="auto"/>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538" w:type="dxa"/>
            <w:tcBorders>
              <w:top w:val="single" w:sz="6" w:space="0" w:color="auto"/>
              <w:left w:val="nil"/>
              <w:bottom w:val="single" w:sz="6" w:space="0" w:color="auto"/>
              <w:right w:val="nil"/>
            </w:tcBorders>
            <w:shd w:val="solid" w:color="000000" w:fill="auto"/>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2013</w:t>
            </w:r>
          </w:p>
        </w:tc>
        <w:tc>
          <w:tcPr>
            <w:tcW w:w="1123" w:type="dxa"/>
            <w:tcBorders>
              <w:top w:val="single" w:sz="6" w:space="0" w:color="auto"/>
              <w:left w:val="nil"/>
              <w:bottom w:val="single" w:sz="6" w:space="0" w:color="auto"/>
              <w:right w:val="nil"/>
            </w:tcBorders>
            <w:shd w:val="clear" w:color="auto" w:fill="000000" w:themeFill="text1"/>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2013</w:t>
            </w:r>
          </w:p>
        </w:tc>
        <w:tc>
          <w:tcPr>
            <w:tcW w:w="1123" w:type="dxa"/>
            <w:tcBorders>
              <w:top w:val="single" w:sz="6" w:space="0" w:color="auto"/>
              <w:left w:val="nil"/>
              <w:bottom w:val="single" w:sz="6" w:space="0" w:color="auto"/>
              <w:right w:val="single" w:sz="6" w:space="0" w:color="auto"/>
            </w:tcBorders>
            <w:shd w:val="clear" w:color="auto" w:fill="000000" w:themeFill="text1"/>
          </w:tcPr>
          <w:p w:rsidR="000B4A1E" w:rsidRPr="00892C4B" w:rsidRDefault="000B4A1E" w:rsidP="00517E51">
            <w:pPr>
              <w:pStyle w:val="Tabletextheading"/>
              <w:rPr>
                <w:rFonts w:eastAsiaTheme="minorEastAsia"/>
                <w:sz w:val="21"/>
                <w:lang w:eastAsia="en-AU"/>
              </w:rPr>
            </w:pPr>
            <w:r w:rsidRPr="00892C4B">
              <w:rPr>
                <w:rFonts w:eastAsiaTheme="minorEastAsia"/>
                <w:sz w:val="21"/>
                <w:lang w:eastAsia="en-AU"/>
              </w:rPr>
              <w:t>2012</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keepNext/>
              <w:ind w:left="187" w:hanging="187"/>
              <w:rPr>
                <w:rFonts w:eastAsiaTheme="minorEastAsia"/>
                <w:b/>
                <w:bCs/>
                <w:sz w:val="21"/>
                <w:lang w:eastAsia="en-AU"/>
              </w:rPr>
            </w:pPr>
            <w:r w:rsidRPr="00892C4B">
              <w:rPr>
                <w:rFonts w:eastAsiaTheme="minorEastAsia"/>
                <w:b/>
                <w:bCs/>
                <w:sz w:val="21"/>
                <w:lang w:eastAsia="en-AU"/>
              </w:rPr>
              <w:t>Other</w:t>
            </w:r>
          </w:p>
        </w:tc>
        <w:tc>
          <w:tcPr>
            <w:tcW w:w="1538"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c>
          <w:tcPr>
            <w:tcW w:w="5864" w:type="dxa"/>
            <w:tcBorders>
              <w:top w:val="nil"/>
              <w:left w:val="nil"/>
              <w:bottom w:val="single" w:sz="6" w:space="0" w:color="auto"/>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Victorian Law Reform Commission – pursuant to Section 17 (b) of the </w:t>
            </w:r>
            <w:r w:rsidRPr="00892C4B">
              <w:rPr>
                <w:rFonts w:eastAsiaTheme="minorEastAsia"/>
                <w:i/>
                <w:sz w:val="21"/>
                <w:lang w:eastAsia="en-AU"/>
              </w:rPr>
              <w:t>Victorian Law Reform Commission Act 2000</w:t>
            </w:r>
          </w:p>
        </w:tc>
        <w:tc>
          <w:tcPr>
            <w:tcW w:w="1538"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949</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791</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894</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other</w:t>
            </w:r>
          </w:p>
        </w:tc>
        <w:tc>
          <w:tcPr>
            <w:tcW w:w="1538"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949</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791</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 xml:space="preserve">  894</w:t>
            </w:r>
          </w:p>
        </w:tc>
      </w:tr>
      <w:tr w:rsidR="000B4A1E" w:rsidRPr="00892C4B" w:rsidTr="00517E51">
        <w:trPr>
          <w:trHeight w:hRule="exact" w:val="120"/>
        </w:trPr>
        <w:tc>
          <w:tcPr>
            <w:tcW w:w="5864" w:type="dxa"/>
            <w:tcBorders>
              <w:top w:val="nil"/>
              <w:left w:val="nil"/>
              <w:bottom w:val="nil"/>
              <w:right w:val="nil"/>
            </w:tcBorders>
          </w:tcPr>
          <w:p w:rsidR="000B4A1E" w:rsidRPr="00892C4B" w:rsidRDefault="000B4A1E" w:rsidP="00517E51">
            <w:pPr>
              <w:pStyle w:val="Tabletext"/>
              <w:rPr>
                <w:rFonts w:eastAsiaTheme="minorEastAsia"/>
                <w:sz w:val="21"/>
                <w:lang w:eastAsia="en-AU"/>
              </w:rPr>
            </w:pPr>
            <w:r w:rsidRPr="00892C4B">
              <w:rPr>
                <w:rFonts w:eastAsiaTheme="minorEastAsia"/>
                <w:sz w:val="21"/>
                <w:lang w:eastAsia="en-AU"/>
              </w:rPr>
              <w:t xml:space="preserve"> </w:t>
            </w:r>
          </w:p>
        </w:tc>
        <w:tc>
          <w:tcPr>
            <w:tcW w:w="1538"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c>
          <w:tcPr>
            <w:tcW w:w="1123" w:type="dxa"/>
            <w:tcBorders>
              <w:top w:val="nil"/>
              <w:left w:val="nil"/>
              <w:bottom w:val="nil"/>
              <w:right w:val="nil"/>
            </w:tcBorders>
          </w:tcPr>
          <w:p w:rsidR="000B4A1E" w:rsidRPr="00892C4B" w:rsidRDefault="000B4A1E" w:rsidP="00517E51">
            <w:pPr>
              <w:pStyle w:val="TableofFigures"/>
              <w:rPr>
                <w:rFonts w:eastAsiaTheme="minorEastAsia"/>
                <w:sz w:val="21"/>
                <w:lang w:eastAsia="en-AU"/>
              </w:rPr>
            </w:pPr>
            <w:r w:rsidRPr="00892C4B">
              <w:rPr>
                <w:rFonts w:eastAsiaTheme="minorEastAsia"/>
                <w:sz w:val="21"/>
                <w:lang w:eastAsia="en-AU"/>
              </w:rPr>
              <w:t xml:space="preserve">   </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annual appropriations gross application</w:t>
            </w:r>
          </w:p>
        </w:tc>
        <w:tc>
          <w:tcPr>
            <w:tcW w:w="1538"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4 721 744</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4 308 753</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4 162 979</w:t>
            </w:r>
          </w:p>
        </w:tc>
      </w:tr>
      <w:tr w:rsidR="000B4A1E" w:rsidRPr="00892C4B" w:rsidTr="00517E51">
        <w:trPr>
          <w:trHeight w:hRule="exact" w:val="120"/>
        </w:trPr>
        <w:tc>
          <w:tcPr>
            <w:tcW w:w="5864" w:type="dxa"/>
            <w:tcBorders>
              <w:top w:val="nil"/>
              <w:left w:val="nil"/>
              <w:bottom w:val="single" w:sz="6"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538" w:type="dxa"/>
            <w:tcBorders>
              <w:top w:val="nil"/>
              <w:left w:val="nil"/>
              <w:bottom w:val="single" w:sz="6" w:space="0" w:color="auto"/>
              <w:right w:val="nil"/>
            </w:tcBorders>
          </w:tcPr>
          <w:p w:rsidR="000B4A1E" w:rsidRPr="00892C4B" w:rsidRDefault="000B4A1E" w:rsidP="00517E51">
            <w:pPr>
              <w:pStyle w:val="TableofFigures"/>
              <w:rPr>
                <w:rFonts w:eastAsiaTheme="minorEastAsia" w:cs="Calibri"/>
                <w:b/>
                <w:bCs/>
                <w:sz w:val="21"/>
                <w:szCs w:val="22"/>
                <w:lang w:eastAsia="en-AU"/>
              </w:rPr>
            </w:pPr>
            <w:r w:rsidRPr="00892C4B">
              <w:rPr>
                <w:rFonts w:eastAsiaTheme="minorEastAsia"/>
                <w:b/>
                <w:bCs/>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cs="Calibri"/>
                <w:b/>
                <w:bCs/>
                <w:sz w:val="21"/>
                <w:szCs w:val="22"/>
                <w:lang w:eastAsia="en-AU"/>
              </w:rPr>
            </w:pPr>
            <w:r w:rsidRPr="00892C4B">
              <w:rPr>
                <w:rFonts w:eastAsiaTheme="minorEastAsia"/>
                <w:b/>
                <w:bCs/>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cs="Calibri"/>
                <w:b/>
                <w:bCs/>
                <w:sz w:val="21"/>
                <w:szCs w:val="22"/>
                <w:lang w:eastAsia="en-AU"/>
              </w:rPr>
            </w:pPr>
            <w:r w:rsidRPr="00892C4B">
              <w:rPr>
                <w:rFonts w:eastAsiaTheme="minorEastAsia"/>
                <w:b/>
                <w:bCs/>
                <w:sz w:val="21"/>
                <w:lang w:eastAsia="en-AU"/>
              </w:rPr>
              <w:t xml:space="preserve"> </w:t>
            </w:r>
          </w:p>
        </w:tc>
      </w:tr>
      <w:tr w:rsidR="000B4A1E" w:rsidRPr="00892C4B" w:rsidTr="00517E51">
        <w:tc>
          <w:tcPr>
            <w:tcW w:w="5864" w:type="dxa"/>
            <w:tcBorders>
              <w:top w:val="nil"/>
              <w:left w:val="nil"/>
              <w:bottom w:val="nil"/>
              <w:right w:val="nil"/>
            </w:tcBorders>
          </w:tcPr>
          <w:p w:rsidR="000B4A1E" w:rsidRPr="00892C4B" w:rsidRDefault="000B4A1E" w:rsidP="00517E51">
            <w:pPr>
              <w:pStyle w:val="Tabletext"/>
              <w:rPr>
                <w:rFonts w:eastAsiaTheme="minorEastAsia" w:cs="Calibri"/>
                <w:b/>
                <w:bCs/>
                <w:sz w:val="21"/>
                <w:szCs w:val="22"/>
                <w:lang w:eastAsia="en-AU"/>
              </w:rPr>
            </w:pPr>
            <w:r w:rsidRPr="00892C4B">
              <w:rPr>
                <w:rFonts w:eastAsiaTheme="minorEastAsia"/>
                <w:b/>
                <w:bCs/>
                <w:sz w:val="21"/>
                <w:lang w:eastAsia="en-AU"/>
              </w:rPr>
              <w:t xml:space="preserve">Total Parliamentary authority (excluding </w:t>
            </w:r>
            <w:r w:rsidRPr="00892C4B">
              <w:rPr>
                <w:rFonts w:eastAsiaTheme="minorEastAsia"/>
                <w:b/>
                <w:bCs/>
                <w:i/>
                <w:sz w:val="21"/>
                <w:lang w:eastAsia="en-AU"/>
              </w:rPr>
              <w:t>Financial Management Act, No</w:t>
            </w:r>
            <w:r w:rsidRPr="00892C4B">
              <w:rPr>
                <w:rFonts w:eastAsiaTheme="minorEastAsia" w:cs="Calibri"/>
                <w:b/>
                <w:bCs/>
                <w:i/>
                <w:iCs/>
                <w:sz w:val="21"/>
                <w:szCs w:val="22"/>
                <w:lang w:eastAsia="en-AU"/>
              </w:rPr>
              <w:t>. 18 of 1994</w:t>
            </w:r>
            <w:r w:rsidRPr="00892C4B">
              <w:rPr>
                <w:rFonts w:eastAsiaTheme="minorEastAsia" w:cs="Calibri"/>
                <w:b/>
                <w:bCs/>
                <w:sz w:val="21"/>
                <w:szCs w:val="22"/>
                <w:lang w:eastAsia="en-AU"/>
              </w:rPr>
              <w:t xml:space="preserve"> Section 33)</w:t>
            </w:r>
          </w:p>
        </w:tc>
        <w:tc>
          <w:tcPr>
            <w:tcW w:w="1538"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4 911 585</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4 498 594</w:t>
            </w:r>
          </w:p>
        </w:tc>
        <w:tc>
          <w:tcPr>
            <w:tcW w:w="1123" w:type="dxa"/>
            <w:tcBorders>
              <w:top w:val="nil"/>
              <w:left w:val="nil"/>
              <w:bottom w:val="nil"/>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4 328 966</w:t>
            </w:r>
          </w:p>
        </w:tc>
      </w:tr>
      <w:tr w:rsidR="000B4A1E" w:rsidRPr="00892C4B" w:rsidTr="00517E51">
        <w:trPr>
          <w:trHeight w:hRule="exact" w:val="120"/>
        </w:trPr>
        <w:tc>
          <w:tcPr>
            <w:tcW w:w="5864" w:type="dxa"/>
            <w:tcBorders>
              <w:top w:val="nil"/>
              <w:left w:val="nil"/>
              <w:bottom w:val="single" w:sz="6"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538" w:type="dxa"/>
            <w:tcBorders>
              <w:top w:val="nil"/>
              <w:left w:val="nil"/>
              <w:bottom w:val="single" w:sz="6" w:space="0" w:color="auto"/>
              <w:right w:val="nil"/>
            </w:tcBorders>
          </w:tcPr>
          <w:p w:rsidR="000B4A1E" w:rsidRPr="00892C4B" w:rsidRDefault="000B4A1E" w:rsidP="00517E51">
            <w:pPr>
              <w:pStyle w:val="TableofFigures"/>
              <w:rPr>
                <w:rFonts w:eastAsiaTheme="minorEastAsia" w:cs="Calibri"/>
                <w:b/>
                <w:bCs/>
                <w:sz w:val="21"/>
                <w:szCs w:val="22"/>
                <w:lang w:eastAsia="en-AU"/>
              </w:rPr>
            </w:pPr>
            <w:r w:rsidRPr="00892C4B">
              <w:rPr>
                <w:rFonts w:eastAsiaTheme="minorEastAsia"/>
                <w:b/>
                <w:bCs/>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cs="Calibri"/>
                <w:b/>
                <w:bCs/>
                <w:sz w:val="21"/>
                <w:szCs w:val="22"/>
                <w:lang w:eastAsia="en-AU"/>
              </w:rPr>
            </w:pPr>
            <w:r w:rsidRPr="00892C4B">
              <w:rPr>
                <w:rFonts w:eastAsiaTheme="minorEastAsia"/>
                <w:b/>
                <w:bCs/>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cs="Calibri"/>
                <w:b/>
                <w:bCs/>
                <w:sz w:val="21"/>
                <w:szCs w:val="22"/>
                <w:lang w:eastAsia="en-AU"/>
              </w:rPr>
            </w:pPr>
            <w:r w:rsidRPr="00892C4B">
              <w:rPr>
                <w:rFonts w:eastAsiaTheme="minorEastAsia"/>
                <w:b/>
                <w:bCs/>
                <w:sz w:val="21"/>
                <w:lang w:eastAsia="en-AU"/>
              </w:rPr>
              <w:t xml:space="preserve"> </w:t>
            </w:r>
          </w:p>
        </w:tc>
      </w:tr>
      <w:tr w:rsidR="000B4A1E" w:rsidRPr="0078154E" w:rsidTr="00517E51">
        <w:tc>
          <w:tcPr>
            <w:tcW w:w="5864" w:type="dxa"/>
            <w:tcBorders>
              <w:top w:val="nil"/>
              <w:left w:val="nil"/>
              <w:bottom w:val="nil"/>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Amounts issued under the authority of the </w:t>
            </w:r>
            <w:r w:rsidRPr="00892C4B">
              <w:rPr>
                <w:rFonts w:eastAsiaTheme="minorEastAsia"/>
                <w:b/>
                <w:bCs/>
                <w:i/>
                <w:sz w:val="21"/>
                <w:lang w:eastAsia="en-AU"/>
              </w:rPr>
              <w:t>Financial</w:t>
            </w:r>
            <w:r w:rsidR="00FB4EAF">
              <w:rPr>
                <w:rFonts w:eastAsiaTheme="minorEastAsia"/>
                <w:b/>
                <w:bCs/>
                <w:i/>
                <w:sz w:val="21"/>
                <w:lang w:eastAsia="en-AU"/>
              </w:rPr>
              <w:t xml:space="preserve"> Management Act, No. 18 of 1994</w:t>
            </w:r>
            <w:r w:rsidRPr="00892C4B">
              <w:rPr>
                <w:rFonts w:eastAsiaTheme="minorEastAsia"/>
                <w:b/>
                <w:bCs/>
                <w:sz w:val="21"/>
                <w:lang w:eastAsia="en-AU"/>
              </w:rPr>
              <w:t xml:space="preserve"> Section 33 (Special Appropriation) relating to prior year appropriations</w:t>
            </w:r>
          </w:p>
        </w:tc>
        <w:tc>
          <w:tcPr>
            <w:tcW w:w="1538" w:type="dxa"/>
            <w:tcBorders>
              <w:top w:val="nil"/>
              <w:left w:val="nil"/>
              <w:bottom w:val="nil"/>
              <w:right w:val="nil"/>
            </w:tcBorders>
            <w:shd w:val="solid" w:color="FFFFFF" w:fill="auto"/>
          </w:tcPr>
          <w:p w:rsidR="000B4A1E" w:rsidRPr="0078154E" w:rsidRDefault="000B4A1E" w:rsidP="00517E51">
            <w:pPr>
              <w:pStyle w:val="TableofFigures"/>
              <w:rPr>
                <w:rFonts w:eastAsiaTheme="minorEastAsia"/>
                <w:b/>
                <w:bCs/>
                <w:sz w:val="21"/>
                <w:lang w:eastAsia="en-AU"/>
              </w:rPr>
            </w:pPr>
            <w:r w:rsidRPr="0078154E">
              <w:rPr>
                <w:rFonts w:eastAsiaTheme="minorEastAsia"/>
                <w:b/>
                <w:bCs/>
                <w:sz w:val="21"/>
                <w:lang w:eastAsia="en-AU"/>
              </w:rPr>
              <w:t xml:space="preserve"> 11 693</w:t>
            </w:r>
          </w:p>
        </w:tc>
        <w:tc>
          <w:tcPr>
            <w:tcW w:w="1123" w:type="dxa"/>
            <w:tcBorders>
              <w:top w:val="nil"/>
              <w:left w:val="nil"/>
              <w:bottom w:val="nil"/>
              <w:right w:val="nil"/>
            </w:tcBorders>
          </w:tcPr>
          <w:p w:rsidR="000B4A1E" w:rsidRPr="0078154E" w:rsidRDefault="000B4A1E" w:rsidP="00517E51">
            <w:pPr>
              <w:pStyle w:val="TableofFigures"/>
              <w:rPr>
                <w:rFonts w:eastAsiaTheme="minorEastAsia"/>
                <w:b/>
                <w:sz w:val="21"/>
                <w:lang w:eastAsia="en-AU"/>
              </w:rPr>
            </w:pPr>
            <w:r w:rsidRPr="0078154E">
              <w:rPr>
                <w:rFonts w:eastAsiaTheme="minorEastAsia"/>
                <w:b/>
                <w:sz w:val="21"/>
                <w:lang w:eastAsia="en-AU"/>
              </w:rPr>
              <w:t xml:space="preserve"> 11 693</w:t>
            </w:r>
          </w:p>
        </w:tc>
        <w:tc>
          <w:tcPr>
            <w:tcW w:w="1123" w:type="dxa"/>
            <w:tcBorders>
              <w:top w:val="nil"/>
              <w:left w:val="nil"/>
              <w:bottom w:val="nil"/>
              <w:right w:val="nil"/>
            </w:tcBorders>
          </w:tcPr>
          <w:p w:rsidR="000B4A1E" w:rsidRPr="0078154E" w:rsidRDefault="000B4A1E" w:rsidP="00517E51">
            <w:pPr>
              <w:pStyle w:val="TableofFigures"/>
              <w:rPr>
                <w:rFonts w:eastAsiaTheme="minorEastAsia" w:cs="Calibri"/>
                <w:b/>
                <w:bCs/>
                <w:sz w:val="21"/>
                <w:szCs w:val="22"/>
                <w:lang w:eastAsia="en-AU"/>
              </w:rPr>
            </w:pPr>
            <w:r w:rsidRPr="0078154E">
              <w:rPr>
                <w:rFonts w:eastAsiaTheme="minorEastAsia"/>
                <w:b/>
                <w:sz w:val="21"/>
                <w:lang w:eastAsia="en-AU"/>
              </w:rPr>
              <w:t xml:space="preserve"> 23</w:t>
            </w:r>
            <w:r w:rsidRPr="0078154E">
              <w:rPr>
                <w:rFonts w:eastAsiaTheme="minorEastAsia" w:cs="Calibri"/>
                <w:b/>
                <w:bCs/>
                <w:sz w:val="21"/>
                <w:szCs w:val="22"/>
                <w:lang w:eastAsia="en-AU"/>
              </w:rPr>
              <w:t xml:space="preserve"> 544</w:t>
            </w:r>
          </w:p>
        </w:tc>
      </w:tr>
      <w:tr w:rsidR="000B4A1E" w:rsidRPr="00892C4B" w:rsidTr="00517E51">
        <w:trPr>
          <w:trHeight w:hRule="exact" w:val="120"/>
        </w:trPr>
        <w:tc>
          <w:tcPr>
            <w:tcW w:w="5864" w:type="dxa"/>
            <w:tcBorders>
              <w:top w:val="nil"/>
              <w:left w:val="nil"/>
              <w:bottom w:val="single" w:sz="6"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 xml:space="preserve"> </w:t>
            </w:r>
          </w:p>
        </w:tc>
        <w:tc>
          <w:tcPr>
            <w:tcW w:w="1538" w:type="dxa"/>
            <w:tcBorders>
              <w:top w:val="nil"/>
              <w:left w:val="nil"/>
              <w:bottom w:val="single" w:sz="6" w:space="0" w:color="auto"/>
              <w:right w:val="nil"/>
            </w:tcBorders>
          </w:tcPr>
          <w:p w:rsidR="000B4A1E" w:rsidRPr="00892C4B" w:rsidRDefault="000B4A1E" w:rsidP="00517E51">
            <w:pPr>
              <w:pStyle w:val="TableofFigures"/>
              <w:rPr>
                <w:rFonts w:eastAsiaTheme="minorEastAsia" w:cs="Calibri"/>
                <w:b/>
                <w:bCs/>
                <w:sz w:val="21"/>
                <w:szCs w:val="22"/>
                <w:lang w:eastAsia="en-AU"/>
              </w:rPr>
            </w:pPr>
            <w:r w:rsidRPr="00892C4B">
              <w:rPr>
                <w:rFonts w:eastAsiaTheme="minorEastAsia"/>
                <w:b/>
                <w:bCs/>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cs="Calibri"/>
                <w:b/>
                <w:bCs/>
                <w:sz w:val="21"/>
                <w:szCs w:val="22"/>
                <w:lang w:eastAsia="en-AU"/>
              </w:rPr>
            </w:pPr>
            <w:r w:rsidRPr="00892C4B">
              <w:rPr>
                <w:rFonts w:eastAsiaTheme="minorEastAsia"/>
                <w:b/>
                <w:bCs/>
                <w:sz w:val="21"/>
                <w:lang w:eastAsia="en-AU"/>
              </w:rPr>
              <w:t xml:space="preserve"> </w:t>
            </w:r>
          </w:p>
        </w:tc>
        <w:tc>
          <w:tcPr>
            <w:tcW w:w="1123" w:type="dxa"/>
            <w:tcBorders>
              <w:top w:val="nil"/>
              <w:left w:val="nil"/>
              <w:bottom w:val="single" w:sz="6" w:space="0" w:color="auto"/>
              <w:right w:val="nil"/>
            </w:tcBorders>
          </w:tcPr>
          <w:p w:rsidR="000B4A1E" w:rsidRPr="00892C4B" w:rsidRDefault="000B4A1E" w:rsidP="00517E51">
            <w:pPr>
              <w:pStyle w:val="TableofFigures"/>
              <w:rPr>
                <w:rFonts w:eastAsiaTheme="minorEastAsia" w:cs="Calibri"/>
                <w:b/>
                <w:bCs/>
                <w:sz w:val="21"/>
                <w:szCs w:val="22"/>
                <w:lang w:eastAsia="en-AU"/>
              </w:rPr>
            </w:pPr>
            <w:r w:rsidRPr="00892C4B">
              <w:rPr>
                <w:rFonts w:eastAsiaTheme="minorEastAsia"/>
                <w:b/>
                <w:bCs/>
                <w:sz w:val="21"/>
                <w:lang w:eastAsia="en-AU"/>
              </w:rPr>
              <w:t xml:space="preserve"> </w:t>
            </w:r>
          </w:p>
        </w:tc>
      </w:tr>
      <w:tr w:rsidR="000B4A1E" w:rsidRPr="00892C4B" w:rsidTr="00517E51">
        <w:tc>
          <w:tcPr>
            <w:tcW w:w="5864" w:type="dxa"/>
            <w:tcBorders>
              <w:top w:val="nil"/>
              <w:left w:val="nil"/>
              <w:bottom w:val="single" w:sz="12" w:space="0" w:color="auto"/>
              <w:right w:val="nil"/>
            </w:tcBorders>
          </w:tcPr>
          <w:p w:rsidR="000B4A1E" w:rsidRPr="00892C4B" w:rsidRDefault="000B4A1E" w:rsidP="00517E51">
            <w:pPr>
              <w:pStyle w:val="Tabletext"/>
              <w:rPr>
                <w:rFonts w:eastAsiaTheme="minorEastAsia"/>
                <w:b/>
                <w:bCs/>
                <w:sz w:val="21"/>
                <w:lang w:eastAsia="en-AU"/>
              </w:rPr>
            </w:pPr>
            <w:r w:rsidRPr="00892C4B">
              <w:rPr>
                <w:rFonts w:eastAsiaTheme="minorEastAsia"/>
                <w:b/>
                <w:bCs/>
                <w:sz w:val="21"/>
                <w:lang w:eastAsia="en-AU"/>
              </w:rPr>
              <w:t>Total Parliamentary authority</w:t>
            </w:r>
          </w:p>
        </w:tc>
        <w:tc>
          <w:tcPr>
            <w:tcW w:w="1538" w:type="dxa"/>
            <w:tcBorders>
              <w:top w:val="nil"/>
              <w:left w:val="nil"/>
              <w:bottom w:val="single" w:sz="12"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4 923 277</w:t>
            </w:r>
          </w:p>
        </w:tc>
        <w:tc>
          <w:tcPr>
            <w:tcW w:w="1123" w:type="dxa"/>
            <w:tcBorders>
              <w:top w:val="nil"/>
              <w:left w:val="nil"/>
              <w:bottom w:val="single" w:sz="12"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4 510 287</w:t>
            </w:r>
          </w:p>
        </w:tc>
        <w:tc>
          <w:tcPr>
            <w:tcW w:w="1123" w:type="dxa"/>
            <w:tcBorders>
              <w:top w:val="nil"/>
              <w:left w:val="nil"/>
              <w:bottom w:val="single" w:sz="12" w:space="0" w:color="auto"/>
              <w:right w:val="nil"/>
            </w:tcBorders>
          </w:tcPr>
          <w:p w:rsidR="000B4A1E" w:rsidRPr="00892C4B" w:rsidRDefault="000B4A1E" w:rsidP="00517E51">
            <w:pPr>
              <w:pStyle w:val="TableofFigures"/>
              <w:rPr>
                <w:rFonts w:eastAsiaTheme="minorEastAsia"/>
                <w:b/>
                <w:bCs/>
                <w:sz w:val="21"/>
                <w:lang w:eastAsia="en-AU"/>
              </w:rPr>
            </w:pPr>
            <w:r w:rsidRPr="00892C4B">
              <w:rPr>
                <w:rFonts w:eastAsiaTheme="minorEastAsia"/>
                <w:b/>
                <w:bCs/>
                <w:sz w:val="21"/>
                <w:lang w:eastAsia="en-AU"/>
              </w:rPr>
              <w:t>4 352 510</w:t>
            </w:r>
          </w:p>
        </w:tc>
      </w:tr>
    </w:tbl>
    <w:p w:rsidR="000B4A1E" w:rsidRPr="00D00665" w:rsidRDefault="000B4A1E" w:rsidP="00517E51">
      <w:pPr>
        <w:pStyle w:val="million"/>
      </w:pPr>
    </w:p>
    <w:p w:rsidR="000B4A1E" w:rsidRPr="00D00665" w:rsidRDefault="000B4A1E" w:rsidP="00517E51"/>
    <w:p w:rsidR="000B4A1E" w:rsidRPr="00D00665" w:rsidRDefault="000B4A1E" w:rsidP="00517E51">
      <w:pPr>
        <w:pStyle w:val="Heading2NotesContd"/>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Tableheading"/>
      </w:pPr>
      <w:r w:rsidRPr="00D00665">
        <w:t>(u)</w:t>
      </w:r>
      <w:r w:rsidRPr="00D00665">
        <w:tab/>
        <w:t>Parliamentary authority – Planning and Community Development</w:t>
      </w:r>
    </w:p>
    <w:p w:rsidR="000B4A1E" w:rsidRPr="003E2DBE" w:rsidRDefault="000B4A1E" w:rsidP="00517E51">
      <w:pPr>
        <w:pStyle w:val="million"/>
        <w:rPr>
          <w:b/>
          <w:bCs/>
          <w:lang w:val="en-US"/>
        </w:rPr>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5864"/>
        <w:gridCol w:w="270"/>
        <w:gridCol w:w="90"/>
        <w:gridCol w:w="90"/>
        <w:gridCol w:w="1260"/>
        <w:gridCol w:w="990"/>
        <w:gridCol w:w="1084"/>
      </w:tblGrid>
      <w:tr w:rsidR="000B4A1E" w:rsidRPr="003E2DBE" w:rsidTr="00517E51">
        <w:tc>
          <w:tcPr>
            <w:tcW w:w="6134" w:type="dxa"/>
            <w:gridSpan w:val="2"/>
            <w:tcBorders>
              <w:top w:val="single" w:sz="6" w:space="0" w:color="auto"/>
              <w:left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40" w:type="dxa"/>
            <w:gridSpan w:val="3"/>
            <w:tcBorders>
              <w:top w:val="single" w:sz="6" w:space="0" w:color="auto"/>
              <w:left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rPr>
              <w:t>Parliamentary</w:t>
            </w:r>
            <w:r w:rsidRPr="003E2DBE">
              <w:rPr>
                <w:rFonts w:eastAsiaTheme="minorEastAsia"/>
                <w:lang w:eastAsia="en-AU"/>
              </w:rPr>
              <w:t xml:space="preserve"> </w:t>
            </w:r>
          </w:p>
        </w:tc>
        <w:tc>
          <w:tcPr>
            <w:tcW w:w="990" w:type="dxa"/>
            <w:tcBorders>
              <w:top w:val="single" w:sz="6" w:space="0" w:color="auto"/>
              <w:left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c>
          <w:tcPr>
            <w:tcW w:w="1084" w:type="dxa"/>
            <w:tcBorders>
              <w:top w:val="single" w:sz="6" w:space="0" w:color="auto"/>
              <w:left w:val="nil"/>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r>
      <w:tr w:rsidR="000B4A1E" w:rsidRPr="003E2DBE" w:rsidTr="00517E51">
        <w:tc>
          <w:tcPr>
            <w:tcW w:w="6134" w:type="dxa"/>
            <w:gridSpan w:val="2"/>
            <w:tcBorders>
              <w:top w:val="nil"/>
              <w:left w:val="single" w:sz="6" w:space="0" w:color="auto"/>
              <w:right w:val="nil"/>
            </w:tcBorders>
            <w:shd w:val="clear" w:color="auto" w:fill="000000"/>
          </w:tcPr>
          <w:p w:rsidR="000B4A1E" w:rsidRPr="003E2DBE" w:rsidRDefault="000B4A1E" w:rsidP="00517E51">
            <w:pPr>
              <w:pStyle w:val="Tabletext"/>
              <w:rPr>
                <w:rFonts w:eastAsiaTheme="minorEastAsia"/>
                <w:i/>
                <w:lang w:eastAsia="en-AU"/>
              </w:rPr>
            </w:pPr>
            <w:r w:rsidRPr="003E2DBE">
              <w:rPr>
                <w:rFonts w:eastAsiaTheme="minorEastAsia"/>
                <w:i/>
                <w:lang w:eastAsia="en-AU"/>
              </w:rPr>
              <w:t xml:space="preserve"> </w:t>
            </w:r>
          </w:p>
        </w:tc>
        <w:tc>
          <w:tcPr>
            <w:tcW w:w="1440" w:type="dxa"/>
            <w:gridSpan w:val="3"/>
            <w:tcBorders>
              <w:top w:val="nil"/>
              <w:left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authority</w:t>
            </w:r>
          </w:p>
        </w:tc>
        <w:tc>
          <w:tcPr>
            <w:tcW w:w="990" w:type="dxa"/>
            <w:tcBorders>
              <w:top w:val="nil"/>
              <w:left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c>
          <w:tcPr>
            <w:tcW w:w="1084" w:type="dxa"/>
            <w:tcBorders>
              <w:top w:val="nil"/>
              <w:left w:val="nil"/>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r>
      <w:tr w:rsidR="000B4A1E" w:rsidRPr="003E2DBE" w:rsidTr="00517E51">
        <w:tc>
          <w:tcPr>
            <w:tcW w:w="6134" w:type="dxa"/>
            <w:gridSpan w:val="2"/>
            <w:tcBorders>
              <w:left w:val="single" w:sz="6" w:space="0" w:color="auto"/>
              <w:bottom w:val="single" w:sz="6" w:space="0" w:color="auto"/>
              <w:right w:val="nil"/>
            </w:tcBorders>
            <w:shd w:val="solid" w:color="000000" w:fill="auto"/>
          </w:tcPr>
          <w:p w:rsidR="000B4A1E" w:rsidRPr="003E2DBE" w:rsidRDefault="000B4A1E" w:rsidP="00517E51">
            <w:pPr>
              <w:pStyle w:val="Tabletext"/>
              <w:rPr>
                <w:rFonts w:eastAsiaTheme="minorEastAsia"/>
                <w:i/>
                <w:lang w:eastAsia="en-AU"/>
              </w:rPr>
            </w:pPr>
            <w:r w:rsidRPr="003E2DBE">
              <w:rPr>
                <w:rFonts w:eastAsiaTheme="minorEastAsia"/>
                <w:i/>
                <w:lang w:eastAsia="en-AU"/>
              </w:rPr>
              <w:t xml:space="preserve"> </w:t>
            </w:r>
          </w:p>
        </w:tc>
        <w:tc>
          <w:tcPr>
            <w:tcW w:w="1440" w:type="dxa"/>
            <w:gridSpan w:val="3"/>
            <w:tcBorders>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990" w:type="dxa"/>
            <w:tcBorders>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084" w:type="dxa"/>
            <w:tcBorders>
              <w:left w:val="nil"/>
              <w:bottom w:val="single" w:sz="6" w:space="0" w:color="auto"/>
              <w:right w:val="single" w:sz="6" w:space="0" w:color="auto"/>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Special appropriations</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99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084"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6224" w:type="dxa"/>
            <w:gridSpan w:val="3"/>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Payments to Growth Areas Public Transport Fund pursuant to section 46QB of the </w:t>
            </w:r>
            <w:r w:rsidRPr="003E2DBE">
              <w:rPr>
                <w:rFonts w:eastAsiaTheme="minorEastAsia"/>
                <w:i/>
                <w:lang w:eastAsia="en-AU"/>
              </w:rPr>
              <w:t>Planning and Environment Act No. 45 of 1987</w:t>
            </w:r>
          </w:p>
        </w:tc>
        <w:tc>
          <w:tcPr>
            <w:tcW w:w="135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7 000</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7 000</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8 985</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Payments to Building New Communities Fund pursuant to section 46QB of the </w:t>
            </w:r>
            <w:r w:rsidRPr="003E2DBE">
              <w:rPr>
                <w:rFonts w:eastAsiaTheme="minorEastAsia"/>
                <w:i/>
                <w:lang w:eastAsia="en-AU"/>
              </w:rPr>
              <w:t>Planning and Environment Act No. 45 of 1987</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7 000</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7 000</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8 985</w:t>
            </w:r>
          </w:p>
        </w:tc>
      </w:tr>
      <w:tr w:rsidR="000B4A1E" w:rsidRPr="003E2DBE" w:rsidTr="00517E51">
        <w:tc>
          <w:tcPr>
            <w:tcW w:w="6134" w:type="dxa"/>
            <w:gridSpan w:val="2"/>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special appropriations (excluding </w:t>
            </w:r>
            <w:r w:rsidRPr="003E2DBE">
              <w:rPr>
                <w:rFonts w:eastAsiaTheme="minorEastAsia"/>
                <w:b/>
                <w:bCs/>
                <w:i/>
                <w:lang w:eastAsia="en-AU"/>
              </w:rPr>
              <w:t>Financial Management Act, No</w:t>
            </w:r>
            <w:r w:rsidRPr="003E2DBE">
              <w:rPr>
                <w:rFonts w:eastAsiaTheme="minorEastAsia" w:cs="Calibri"/>
                <w:b/>
                <w:bCs/>
                <w:i/>
                <w:iCs/>
                <w:szCs w:val="22"/>
                <w:lang w:eastAsia="en-AU"/>
              </w:rPr>
              <w:t>. 18 of 1994</w:t>
            </w:r>
            <w:r w:rsidRPr="003E2DBE">
              <w:rPr>
                <w:rFonts w:eastAsiaTheme="minorEastAsia" w:cs="Calibri"/>
                <w:b/>
                <w:bCs/>
                <w:szCs w:val="22"/>
                <w:lang w:eastAsia="en-AU"/>
              </w:rPr>
              <w:t xml:space="preserve"> Section 33)</w:t>
            </w:r>
          </w:p>
        </w:tc>
        <w:tc>
          <w:tcPr>
            <w:tcW w:w="1440"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14 000</w:t>
            </w:r>
          </w:p>
        </w:tc>
        <w:tc>
          <w:tcPr>
            <w:tcW w:w="99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14 000</w:t>
            </w:r>
          </w:p>
        </w:tc>
        <w:tc>
          <w:tcPr>
            <w:tcW w:w="1084"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17 971</w:t>
            </w:r>
          </w:p>
        </w:tc>
      </w:tr>
      <w:tr w:rsidR="000B4A1E" w:rsidRPr="003E2DBE" w:rsidTr="00517E51">
        <w:trPr>
          <w:trHeight w:hRule="exact" w:val="120"/>
        </w:trPr>
        <w:tc>
          <w:tcPr>
            <w:tcW w:w="6134" w:type="dxa"/>
            <w:gridSpan w:val="2"/>
            <w:tcBorders>
              <w:top w:val="nil"/>
              <w:left w:val="nil"/>
              <w:bottom w:val="nil"/>
              <w:right w:val="nil"/>
            </w:tcBorders>
          </w:tcPr>
          <w:p w:rsidR="000B4A1E" w:rsidRPr="003E2DBE" w:rsidRDefault="000B4A1E" w:rsidP="00517E51">
            <w:pPr>
              <w:pStyle w:val="Tabletext"/>
              <w:rPr>
                <w:rFonts w:eastAsiaTheme="minorEastAsia"/>
                <w:i/>
                <w:lang w:eastAsia="en-AU"/>
              </w:rPr>
            </w:pPr>
            <w:r w:rsidRPr="003E2DBE">
              <w:rPr>
                <w:rFonts w:eastAsiaTheme="minorEastAsia"/>
                <w:i/>
                <w:lang w:eastAsia="en-AU"/>
              </w:rPr>
              <w:t xml:space="preserve"> </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Annual appropriations</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Provision of outputs</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Provision of outputs – net application</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347 145</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298 297</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328 203</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29 </w:t>
            </w:r>
            <w:r w:rsidRPr="003E2DBE">
              <w:rPr>
                <w:rFonts w:eastAsiaTheme="minorEastAsia"/>
                <w:i/>
                <w:lang w:eastAsia="en-AU"/>
              </w:rPr>
              <w:t>Financial Management Act, No. 18 of 1994</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465</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465</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8 656</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12 850</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11 649</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12 526</w:t>
            </w:r>
          </w:p>
        </w:tc>
      </w:tr>
      <w:tr w:rsidR="000B4A1E" w:rsidRPr="003E2DBE" w:rsidTr="00517E51">
        <w:tc>
          <w:tcPr>
            <w:tcW w:w="613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Advance to Treasurer </w:t>
            </w:r>
          </w:p>
        </w:tc>
        <w:tc>
          <w:tcPr>
            <w:tcW w:w="1440" w:type="dxa"/>
            <w:gridSpan w:val="3"/>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6 690</w:t>
            </w:r>
          </w:p>
        </w:tc>
        <w:tc>
          <w:tcPr>
            <w:tcW w:w="990"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6 494</w:t>
            </w:r>
          </w:p>
        </w:tc>
        <w:tc>
          <w:tcPr>
            <w:tcW w:w="1084"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2 275</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provision of outputs – gross application</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367 150</w:t>
            </w:r>
          </w:p>
        </w:tc>
        <w:tc>
          <w:tcPr>
            <w:tcW w:w="99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316 905</w:t>
            </w:r>
          </w:p>
        </w:tc>
        <w:tc>
          <w:tcPr>
            <w:tcW w:w="1084"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351 659</w:t>
            </w:r>
          </w:p>
        </w:tc>
      </w:tr>
      <w:tr w:rsidR="000B4A1E" w:rsidRPr="003E2DBE" w:rsidTr="00517E51">
        <w:trPr>
          <w:trHeight w:hRule="exact" w:val="120"/>
        </w:trPr>
        <w:tc>
          <w:tcPr>
            <w:tcW w:w="613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Additions to the net assets base</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Additions to the net asset base – net application</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155 633</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126 838</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138 661</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13 610</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9 318</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473</w:t>
            </w:r>
          </w:p>
        </w:tc>
      </w:tr>
      <w:tr w:rsidR="000B4A1E" w:rsidRPr="003E2DBE" w:rsidTr="00517E51">
        <w:tc>
          <w:tcPr>
            <w:tcW w:w="586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35 </w:t>
            </w:r>
            <w:r w:rsidRPr="003E2DBE">
              <w:rPr>
                <w:rFonts w:eastAsiaTheme="minorEastAsia"/>
                <w:i/>
                <w:lang w:eastAsia="en-AU"/>
              </w:rPr>
              <w:t>Financial Management Act, No. 18 of 1994</w:t>
            </w:r>
            <w:r w:rsidRPr="003E2DBE">
              <w:rPr>
                <w:rFonts w:eastAsiaTheme="minorEastAsia"/>
                <w:lang w:eastAsia="en-AU"/>
              </w:rPr>
              <w:t xml:space="preserve"> (temporary advances)</w:t>
            </w:r>
          </w:p>
        </w:tc>
        <w:tc>
          <w:tcPr>
            <w:tcW w:w="1710" w:type="dxa"/>
            <w:gridSpan w:val="4"/>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2 700</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2 670</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438</w:t>
            </w:r>
          </w:p>
        </w:tc>
      </w:tr>
      <w:tr w:rsidR="000B4A1E" w:rsidRPr="003E2DBE" w:rsidTr="00517E51">
        <w:tc>
          <w:tcPr>
            <w:tcW w:w="6134" w:type="dxa"/>
            <w:gridSpan w:val="2"/>
            <w:tcBorders>
              <w:top w:val="single" w:sz="6"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additions to the net asset base – gross application</w:t>
            </w:r>
          </w:p>
        </w:tc>
        <w:tc>
          <w:tcPr>
            <w:tcW w:w="1440" w:type="dxa"/>
            <w:gridSpan w:val="3"/>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171 943</w:t>
            </w:r>
          </w:p>
        </w:tc>
        <w:tc>
          <w:tcPr>
            <w:tcW w:w="990" w:type="dxa"/>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138 827</w:t>
            </w:r>
          </w:p>
        </w:tc>
        <w:tc>
          <w:tcPr>
            <w:tcW w:w="1084" w:type="dxa"/>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139 572</w:t>
            </w:r>
          </w:p>
        </w:tc>
      </w:tr>
      <w:tr w:rsidR="000B4A1E" w:rsidRPr="003E2DBE" w:rsidTr="00517E51">
        <w:trPr>
          <w:trHeight w:hRule="exact" w:val="120"/>
        </w:trPr>
        <w:tc>
          <w:tcPr>
            <w:tcW w:w="613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Payments made on behalf of the State</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13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Payments made on behalf of the State – net application</w:t>
            </w:r>
          </w:p>
        </w:tc>
        <w:tc>
          <w:tcPr>
            <w:tcW w:w="1440" w:type="dxa"/>
            <w:gridSpan w:val="3"/>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850</w:t>
            </w:r>
          </w:p>
        </w:tc>
        <w:tc>
          <w:tcPr>
            <w:tcW w:w="990"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156</w:t>
            </w:r>
          </w:p>
        </w:tc>
        <w:tc>
          <w:tcPr>
            <w:tcW w:w="1084"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412</w:t>
            </w:r>
          </w:p>
        </w:tc>
      </w:tr>
      <w:tr w:rsidR="000B4A1E" w:rsidRPr="003E2DBE" w:rsidTr="00517E51">
        <w:tc>
          <w:tcPr>
            <w:tcW w:w="6314" w:type="dxa"/>
            <w:gridSpan w:val="4"/>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for payments made on behalf of the State – gross application</w:t>
            </w:r>
          </w:p>
        </w:tc>
        <w:tc>
          <w:tcPr>
            <w:tcW w:w="126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850</w:t>
            </w:r>
          </w:p>
        </w:tc>
        <w:tc>
          <w:tcPr>
            <w:tcW w:w="99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156</w:t>
            </w:r>
          </w:p>
        </w:tc>
        <w:tc>
          <w:tcPr>
            <w:tcW w:w="1084"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412</w:t>
            </w:r>
          </w:p>
        </w:tc>
      </w:tr>
      <w:tr w:rsidR="000B4A1E" w:rsidRPr="003E2DBE" w:rsidTr="00517E51">
        <w:trPr>
          <w:trHeight w:hRule="exact" w:val="120"/>
        </w:trPr>
        <w:tc>
          <w:tcPr>
            <w:tcW w:w="613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Other </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Payment to Regional Growth Fund pursuant to Section 4 of the </w:t>
            </w:r>
            <w:r w:rsidRPr="003E2DBE">
              <w:rPr>
                <w:rFonts w:eastAsiaTheme="minorEastAsia"/>
                <w:i/>
                <w:lang w:eastAsia="en-AU"/>
              </w:rPr>
              <w:t xml:space="preserve">Regional Growth Fund Act No. 8 of 2011 </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125 000</w:t>
            </w:r>
          </w:p>
        </w:tc>
        <w:tc>
          <w:tcPr>
            <w:tcW w:w="990"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122 000</w:t>
            </w:r>
          </w:p>
        </w:tc>
        <w:tc>
          <w:tcPr>
            <w:tcW w:w="1084"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127 000</w:t>
            </w:r>
          </w:p>
        </w:tc>
      </w:tr>
      <w:tr w:rsidR="000B4A1E" w:rsidRPr="003E2DBE" w:rsidTr="00517E51">
        <w:tc>
          <w:tcPr>
            <w:tcW w:w="6134" w:type="dxa"/>
            <w:gridSpan w:val="2"/>
            <w:tcBorders>
              <w:top w:val="single" w:sz="6"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other</w:t>
            </w:r>
          </w:p>
        </w:tc>
        <w:tc>
          <w:tcPr>
            <w:tcW w:w="1440" w:type="dxa"/>
            <w:gridSpan w:val="3"/>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125,000</w:t>
            </w:r>
          </w:p>
        </w:tc>
        <w:tc>
          <w:tcPr>
            <w:tcW w:w="990" w:type="dxa"/>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122,000</w:t>
            </w:r>
          </w:p>
        </w:tc>
        <w:tc>
          <w:tcPr>
            <w:tcW w:w="1084" w:type="dxa"/>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127,000</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annual appropriations – gross application</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664 943</w:t>
            </w:r>
          </w:p>
        </w:tc>
        <w:tc>
          <w:tcPr>
            <w:tcW w:w="99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577 888</w:t>
            </w:r>
          </w:p>
        </w:tc>
        <w:tc>
          <w:tcPr>
            <w:tcW w:w="1084"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618 644</w:t>
            </w:r>
          </w:p>
        </w:tc>
      </w:tr>
      <w:tr w:rsidR="000B4A1E" w:rsidRPr="003E2DBE" w:rsidTr="00517E51">
        <w:trPr>
          <w:trHeight w:hRule="exact" w:val="120"/>
        </w:trPr>
        <w:tc>
          <w:tcPr>
            <w:tcW w:w="613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gridSpan w:val="3"/>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990"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4"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134" w:type="dxa"/>
            <w:gridSpan w:val="2"/>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Parliamentary authority (excluding </w:t>
            </w:r>
            <w:r w:rsidRPr="003E2DBE">
              <w:rPr>
                <w:rFonts w:eastAsiaTheme="minorEastAsia"/>
                <w:b/>
                <w:bCs/>
                <w:i/>
                <w:lang w:eastAsia="en-AU"/>
              </w:rPr>
              <w:t>Financial Management Act, No</w:t>
            </w:r>
            <w:r w:rsidRPr="003E2DBE">
              <w:rPr>
                <w:rFonts w:eastAsiaTheme="minorEastAsia" w:cs="Calibri"/>
                <w:b/>
                <w:bCs/>
                <w:i/>
                <w:iCs/>
                <w:szCs w:val="22"/>
                <w:lang w:eastAsia="en-AU"/>
              </w:rPr>
              <w:t>. 18 of 1994</w:t>
            </w:r>
            <w:r w:rsidRPr="003E2DBE">
              <w:rPr>
                <w:rFonts w:eastAsiaTheme="minorEastAsia" w:cs="Calibri"/>
                <w:b/>
                <w:bCs/>
                <w:szCs w:val="22"/>
                <w:lang w:eastAsia="en-AU"/>
              </w:rPr>
              <w:t xml:space="preserve"> Section 33)</w:t>
            </w:r>
          </w:p>
        </w:tc>
        <w:tc>
          <w:tcPr>
            <w:tcW w:w="1440" w:type="dxa"/>
            <w:gridSpan w:val="3"/>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678 943</w:t>
            </w:r>
          </w:p>
        </w:tc>
        <w:tc>
          <w:tcPr>
            <w:tcW w:w="990"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591 888</w:t>
            </w:r>
          </w:p>
        </w:tc>
        <w:tc>
          <w:tcPr>
            <w:tcW w:w="1084"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636 614</w:t>
            </w:r>
          </w:p>
        </w:tc>
      </w:tr>
      <w:tr w:rsidR="000B4A1E" w:rsidRPr="003E2DBE" w:rsidTr="00517E51">
        <w:tc>
          <w:tcPr>
            <w:tcW w:w="613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Amounts issued under the authority of the </w:t>
            </w:r>
            <w:r w:rsidRPr="003E2DBE">
              <w:rPr>
                <w:rFonts w:eastAsiaTheme="minorEastAsia"/>
                <w:b/>
                <w:bCs/>
                <w:i/>
                <w:lang w:eastAsia="en-AU"/>
              </w:rPr>
              <w:t>Financial</w:t>
            </w:r>
            <w:r w:rsidR="00FB4EAF">
              <w:rPr>
                <w:rFonts w:eastAsiaTheme="minorEastAsia"/>
                <w:b/>
                <w:bCs/>
                <w:i/>
                <w:lang w:eastAsia="en-AU"/>
              </w:rPr>
              <w:t xml:space="preserve"> Management Act, No. 18 of 1994</w:t>
            </w:r>
            <w:r w:rsidRPr="003E2DBE">
              <w:rPr>
                <w:rFonts w:eastAsiaTheme="minorEastAsia"/>
                <w:b/>
                <w:bCs/>
                <w:lang w:eastAsia="en-AU"/>
              </w:rPr>
              <w:t xml:space="preserve"> Section 33 (Special Appropriation) relating to prior year appropriations</w:t>
            </w:r>
          </w:p>
        </w:tc>
        <w:tc>
          <w:tcPr>
            <w:tcW w:w="1440" w:type="dxa"/>
            <w:gridSpan w:val="3"/>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26 200</w:t>
            </w:r>
          </w:p>
        </w:tc>
        <w:tc>
          <w:tcPr>
            <w:tcW w:w="990"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26 200</w:t>
            </w:r>
          </w:p>
        </w:tc>
        <w:tc>
          <w:tcPr>
            <w:tcW w:w="1084"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16 092</w:t>
            </w:r>
          </w:p>
        </w:tc>
      </w:tr>
      <w:tr w:rsidR="000B4A1E" w:rsidRPr="003E2DBE" w:rsidTr="00517E51">
        <w:trPr>
          <w:trHeight w:hRule="exact" w:val="120"/>
        </w:trPr>
        <w:tc>
          <w:tcPr>
            <w:tcW w:w="613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gridSpan w:val="3"/>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990"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084"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134" w:type="dxa"/>
            <w:gridSpan w:val="2"/>
            <w:tcBorders>
              <w:top w:val="nil"/>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Parliamentary authority</w:t>
            </w:r>
          </w:p>
        </w:tc>
        <w:tc>
          <w:tcPr>
            <w:tcW w:w="1440" w:type="dxa"/>
            <w:gridSpan w:val="3"/>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705 143</w:t>
            </w:r>
          </w:p>
        </w:tc>
        <w:tc>
          <w:tcPr>
            <w:tcW w:w="990"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618 088</w:t>
            </w:r>
          </w:p>
        </w:tc>
        <w:tc>
          <w:tcPr>
            <w:tcW w:w="1084"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652 706</w:t>
            </w:r>
          </w:p>
        </w:tc>
      </w:tr>
    </w:tbl>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rsidRPr="00D00665">
        <w:tab/>
        <w:t xml:space="preserve">The Regional Growth Fund Act was passed in November 2011, this replaces the </w:t>
      </w:r>
      <w:r w:rsidRPr="00D00665">
        <w:rPr>
          <w:i w:val="0"/>
        </w:rPr>
        <w:t>Regional Infrastructure Development Fund Act 1999</w:t>
      </w:r>
      <w:r w:rsidRPr="00D00665">
        <w:t>.</w:t>
      </w:r>
    </w:p>
    <w:p w:rsidR="000B4A1E" w:rsidRPr="00D00665" w:rsidRDefault="000B4A1E" w:rsidP="00517E51">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Tableheading"/>
      </w:pPr>
      <w:r w:rsidRPr="00D00665">
        <w:t>(v)</w:t>
      </w:r>
      <w:r w:rsidRPr="00D00665">
        <w:tab/>
        <w:t>Parliamentary authority – Premier and Cabinet</w:t>
      </w:r>
    </w:p>
    <w:p w:rsidR="000B4A1E" w:rsidRPr="003E2DBE" w:rsidRDefault="000B4A1E" w:rsidP="00517E51">
      <w:pPr>
        <w:pStyle w:val="million"/>
        <w:rPr>
          <w:b/>
          <w:bCs/>
          <w:lang w:val="en-US"/>
        </w:rPr>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6044"/>
        <w:gridCol w:w="1358"/>
        <w:gridCol w:w="1123"/>
        <w:gridCol w:w="1123"/>
      </w:tblGrid>
      <w:tr w:rsidR="000B4A1E" w:rsidRPr="003E2DBE" w:rsidTr="00517E51">
        <w:tc>
          <w:tcPr>
            <w:tcW w:w="6044" w:type="dxa"/>
            <w:tcBorders>
              <w:top w:val="single" w:sz="6" w:space="0" w:color="auto"/>
              <w:left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358" w:type="dxa"/>
            <w:tcBorders>
              <w:top w:val="single" w:sz="6" w:space="0" w:color="auto"/>
              <w:left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Parliamentary </w:t>
            </w:r>
          </w:p>
        </w:tc>
        <w:tc>
          <w:tcPr>
            <w:tcW w:w="1123" w:type="dxa"/>
            <w:tcBorders>
              <w:top w:val="single" w:sz="6" w:space="0" w:color="auto"/>
              <w:left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c>
          <w:tcPr>
            <w:tcW w:w="1123" w:type="dxa"/>
            <w:tcBorders>
              <w:top w:val="single" w:sz="6" w:space="0" w:color="auto"/>
              <w:left w:val="nil"/>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r>
      <w:tr w:rsidR="000B4A1E" w:rsidRPr="003E2DBE" w:rsidTr="00517E51">
        <w:tc>
          <w:tcPr>
            <w:tcW w:w="6044" w:type="dxa"/>
            <w:tcBorders>
              <w:top w:val="nil"/>
              <w:left w:val="single" w:sz="6" w:space="0" w:color="auto"/>
              <w:right w:val="nil"/>
            </w:tcBorders>
            <w:shd w:val="clear" w:color="auto" w:fill="000000"/>
          </w:tcPr>
          <w:p w:rsidR="000B4A1E" w:rsidRPr="003E2DBE" w:rsidRDefault="000B4A1E" w:rsidP="00517E51">
            <w:pPr>
              <w:pStyle w:val="Tabletext"/>
              <w:rPr>
                <w:rFonts w:eastAsiaTheme="minorEastAsia"/>
                <w:i/>
                <w:lang w:eastAsia="en-AU"/>
              </w:rPr>
            </w:pPr>
            <w:r w:rsidRPr="003E2DBE">
              <w:rPr>
                <w:rFonts w:eastAsiaTheme="minorEastAsia"/>
                <w:i/>
                <w:lang w:eastAsia="en-AU"/>
              </w:rPr>
              <w:t xml:space="preserve"> </w:t>
            </w:r>
          </w:p>
        </w:tc>
        <w:tc>
          <w:tcPr>
            <w:tcW w:w="1358" w:type="dxa"/>
            <w:tcBorders>
              <w:top w:val="nil"/>
              <w:left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authority</w:t>
            </w:r>
          </w:p>
        </w:tc>
        <w:tc>
          <w:tcPr>
            <w:tcW w:w="1123" w:type="dxa"/>
            <w:tcBorders>
              <w:top w:val="nil"/>
              <w:left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c>
          <w:tcPr>
            <w:tcW w:w="1123" w:type="dxa"/>
            <w:tcBorders>
              <w:top w:val="nil"/>
              <w:left w:val="nil"/>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r>
      <w:tr w:rsidR="000B4A1E" w:rsidRPr="0078154E" w:rsidTr="00517E51">
        <w:tc>
          <w:tcPr>
            <w:tcW w:w="6044" w:type="dxa"/>
            <w:tcBorders>
              <w:left w:val="single" w:sz="6" w:space="0" w:color="auto"/>
              <w:bottom w:val="single" w:sz="6" w:space="0" w:color="auto"/>
              <w:right w:val="nil"/>
            </w:tcBorders>
            <w:shd w:val="solid" w:color="000000" w:fill="auto"/>
          </w:tcPr>
          <w:p w:rsidR="000B4A1E" w:rsidRPr="0078154E" w:rsidRDefault="000B4A1E" w:rsidP="00517E51">
            <w:pPr>
              <w:pStyle w:val="Tabletext"/>
              <w:rPr>
                <w:rFonts w:eastAsiaTheme="minorEastAsia"/>
                <w:i/>
                <w:lang w:eastAsia="en-AU"/>
              </w:rPr>
            </w:pPr>
            <w:r w:rsidRPr="0078154E">
              <w:rPr>
                <w:rFonts w:eastAsiaTheme="minorEastAsia"/>
                <w:i/>
                <w:lang w:eastAsia="en-AU"/>
              </w:rPr>
              <w:t xml:space="preserve"> </w:t>
            </w:r>
          </w:p>
        </w:tc>
        <w:tc>
          <w:tcPr>
            <w:tcW w:w="1358" w:type="dxa"/>
            <w:tcBorders>
              <w:left w:val="nil"/>
              <w:bottom w:val="single" w:sz="6" w:space="0" w:color="auto"/>
              <w:right w:val="nil"/>
            </w:tcBorders>
            <w:shd w:val="solid" w:color="000000" w:fill="auto"/>
          </w:tcPr>
          <w:p w:rsidR="000B4A1E" w:rsidRPr="0078154E" w:rsidRDefault="000B4A1E" w:rsidP="00517E51">
            <w:pPr>
              <w:pStyle w:val="TableofFigures"/>
              <w:rPr>
                <w:rFonts w:eastAsiaTheme="minorEastAsia"/>
                <w:i/>
                <w:lang w:eastAsia="en-AU"/>
              </w:rPr>
            </w:pPr>
            <w:r w:rsidRPr="0078154E">
              <w:rPr>
                <w:rFonts w:eastAsiaTheme="minorEastAsia"/>
                <w:i/>
                <w:lang w:eastAsia="en-AU"/>
              </w:rPr>
              <w:t>2013</w:t>
            </w:r>
          </w:p>
        </w:tc>
        <w:tc>
          <w:tcPr>
            <w:tcW w:w="1123" w:type="dxa"/>
            <w:tcBorders>
              <w:left w:val="nil"/>
              <w:bottom w:val="single" w:sz="6" w:space="0" w:color="auto"/>
              <w:right w:val="nil"/>
            </w:tcBorders>
            <w:shd w:val="solid" w:color="000000" w:fill="auto"/>
          </w:tcPr>
          <w:p w:rsidR="000B4A1E" w:rsidRPr="0078154E" w:rsidRDefault="000B4A1E" w:rsidP="00517E51">
            <w:pPr>
              <w:pStyle w:val="TableofFigures"/>
              <w:rPr>
                <w:rFonts w:eastAsiaTheme="minorEastAsia"/>
                <w:i/>
                <w:lang w:eastAsia="en-AU"/>
              </w:rPr>
            </w:pPr>
            <w:r w:rsidRPr="0078154E">
              <w:rPr>
                <w:rFonts w:eastAsiaTheme="minorEastAsia"/>
                <w:i/>
                <w:lang w:eastAsia="en-AU"/>
              </w:rPr>
              <w:t>2013</w:t>
            </w:r>
          </w:p>
        </w:tc>
        <w:tc>
          <w:tcPr>
            <w:tcW w:w="1123" w:type="dxa"/>
            <w:tcBorders>
              <w:left w:val="nil"/>
              <w:bottom w:val="single" w:sz="6" w:space="0" w:color="auto"/>
              <w:right w:val="single" w:sz="6" w:space="0" w:color="auto"/>
            </w:tcBorders>
            <w:shd w:val="solid" w:color="000000" w:fill="auto"/>
          </w:tcPr>
          <w:p w:rsidR="000B4A1E" w:rsidRPr="0078154E" w:rsidRDefault="000B4A1E" w:rsidP="00517E51">
            <w:pPr>
              <w:pStyle w:val="TableofFigures"/>
              <w:rPr>
                <w:rFonts w:eastAsiaTheme="minorEastAsia"/>
                <w:i/>
                <w:lang w:eastAsia="en-AU"/>
              </w:rPr>
            </w:pPr>
            <w:r w:rsidRPr="0078154E">
              <w:rPr>
                <w:rFonts w:eastAsiaTheme="minorEastAsia"/>
                <w:i/>
                <w:lang w:eastAsia="en-AU"/>
              </w:rPr>
              <w:t>2012</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Special appropriations</w:t>
            </w:r>
          </w:p>
        </w:tc>
        <w:tc>
          <w:tcPr>
            <w:tcW w:w="1358"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i/>
                <w:lang w:eastAsia="en-AU"/>
              </w:rPr>
            </w:pPr>
            <w:r w:rsidRPr="003E2DBE">
              <w:rPr>
                <w:rFonts w:eastAsiaTheme="minorEastAsia"/>
                <w:i/>
                <w:lang w:eastAsia="en-AU"/>
              </w:rPr>
              <w:t>Constitution Act, No. 8750 of 1975 – Executive Council</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50</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i/>
                <w:lang w:eastAsia="en-AU"/>
              </w:rPr>
            </w:pPr>
            <w:r w:rsidRPr="003E2DBE">
              <w:rPr>
                <w:rFonts w:eastAsiaTheme="minorEastAsia"/>
                <w:i/>
                <w:lang w:eastAsia="en-AU"/>
              </w:rPr>
              <w:t>Constitution Act, No. 8750 of 1975 – Governor</w:t>
            </w:r>
            <w:r>
              <w:rPr>
                <w:rFonts w:eastAsiaTheme="minorEastAsia"/>
                <w:i/>
                <w:lang w:eastAsia="en-AU"/>
              </w:rPr>
              <w:t>’</w:t>
            </w:r>
            <w:r w:rsidRPr="003E2DBE">
              <w:rPr>
                <w:rFonts w:eastAsiaTheme="minorEastAsia"/>
                <w:i/>
                <w:lang w:eastAsia="en-AU"/>
              </w:rPr>
              <w:t>s Salary</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418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418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406</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i/>
                <w:lang w:eastAsia="en-AU"/>
              </w:rPr>
            </w:pPr>
            <w:r w:rsidRPr="003E2DBE">
              <w:rPr>
                <w:rFonts w:eastAsiaTheme="minorEastAsia"/>
                <w:i/>
                <w:lang w:eastAsia="en-AU"/>
              </w:rPr>
              <w:t>Ombudsman Act, No. 8414 of 1973</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493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493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460</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i/>
                <w:lang w:eastAsia="en-AU"/>
              </w:rPr>
            </w:pPr>
            <w:r w:rsidRPr="003E2DBE">
              <w:rPr>
                <w:rFonts w:eastAsiaTheme="minorEastAsia"/>
                <w:i/>
                <w:lang w:eastAsia="en-AU"/>
              </w:rPr>
              <w:t>Parliamentary Salaries and Superannuation Act, No. 7723 of 1968</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7 317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7 317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7 162</w:t>
            </w:r>
          </w:p>
        </w:tc>
      </w:tr>
      <w:tr w:rsidR="000B4A1E" w:rsidRPr="003E2DBE" w:rsidTr="00517E51">
        <w:tc>
          <w:tcPr>
            <w:tcW w:w="604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special appropriations (excluding </w:t>
            </w:r>
            <w:r w:rsidRPr="003E2DBE">
              <w:rPr>
                <w:rFonts w:eastAsiaTheme="minorEastAsia"/>
                <w:b/>
                <w:bCs/>
                <w:i/>
                <w:lang w:eastAsia="en-AU"/>
              </w:rPr>
              <w:t>Financial Management Act, No</w:t>
            </w:r>
            <w:r w:rsidRPr="003E2DBE">
              <w:rPr>
                <w:rFonts w:eastAsiaTheme="minorEastAsia" w:cs="Calibri"/>
                <w:b/>
                <w:bCs/>
                <w:i/>
                <w:iCs/>
                <w:szCs w:val="22"/>
                <w:lang w:eastAsia="en-AU"/>
              </w:rPr>
              <w:t>. 18 of 1994</w:t>
            </w:r>
            <w:r w:rsidRPr="003E2DBE">
              <w:rPr>
                <w:rFonts w:eastAsiaTheme="minorEastAsia" w:cs="Calibri"/>
                <w:b/>
                <w:bCs/>
                <w:szCs w:val="22"/>
                <w:lang w:eastAsia="en-AU"/>
              </w:rPr>
              <w:t xml:space="preserve"> Section 33)</w:t>
            </w:r>
          </w:p>
        </w:tc>
        <w:tc>
          <w:tcPr>
            <w:tcW w:w="135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8 278</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8 278</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8 078</w:t>
            </w:r>
          </w:p>
        </w:tc>
      </w:tr>
      <w:tr w:rsidR="000B4A1E" w:rsidRPr="003E2DBE" w:rsidTr="00517E51">
        <w:trPr>
          <w:trHeight w:hRule="exact" w:val="120"/>
        </w:trPr>
        <w:tc>
          <w:tcPr>
            <w:tcW w:w="60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Annual appropriations</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Provision of outputs</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Provision of outputs – net application</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544 513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528 613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541 333</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29 </w:t>
            </w:r>
            <w:r w:rsidRPr="003E2DBE">
              <w:rPr>
                <w:rFonts w:eastAsiaTheme="minorEastAsia"/>
                <w:i/>
                <w:lang w:eastAsia="en-AU"/>
              </w:rPr>
              <w:t>Financial Management Act, No. 18 of 1994</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867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867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485</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16 350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16 350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9 150</w:t>
            </w:r>
          </w:p>
        </w:tc>
      </w:tr>
      <w:tr w:rsidR="000B4A1E" w:rsidRPr="003E2DBE" w:rsidTr="00517E51">
        <w:tc>
          <w:tcPr>
            <w:tcW w:w="604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Advance to Treasurer </w:t>
            </w:r>
          </w:p>
        </w:tc>
        <w:tc>
          <w:tcPr>
            <w:tcW w:w="1358"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2 986</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2 986</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12 138</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provision of outputs – gross application</w:t>
            </w:r>
          </w:p>
        </w:tc>
        <w:tc>
          <w:tcPr>
            <w:tcW w:w="1358"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564 716</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548 816</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563 106</w:t>
            </w:r>
          </w:p>
        </w:tc>
      </w:tr>
      <w:tr w:rsidR="000B4A1E" w:rsidRPr="003E2DBE" w:rsidTr="00517E51">
        <w:trPr>
          <w:trHeight w:hRule="exact" w:val="120"/>
        </w:trPr>
        <w:tc>
          <w:tcPr>
            <w:tcW w:w="60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Additions to the net asset base</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Additions to the net asset base – net application</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16 624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13 292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57 222</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35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3 145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604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Advance to Treasurer </w:t>
            </w:r>
          </w:p>
        </w:tc>
        <w:tc>
          <w:tcPr>
            <w:tcW w:w="1358"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780</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780</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additions to the net asset base – gross application</w:t>
            </w:r>
          </w:p>
        </w:tc>
        <w:tc>
          <w:tcPr>
            <w:tcW w:w="1358"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20 549</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14 072</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57 222</w:t>
            </w:r>
          </w:p>
        </w:tc>
      </w:tr>
      <w:tr w:rsidR="000B4A1E" w:rsidRPr="003E2DBE" w:rsidTr="00517E51">
        <w:trPr>
          <w:trHeight w:hRule="exact" w:val="120"/>
        </w:trPr>
        <w:tc>
          <w:tcPr>
            <w:tcW w:w="6044" w:type="dxa"/>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358"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annual appropriations – gross application</w:t>
            </w:r>
          </w:p>
        </w:tc>
        <w:tc>
          <w:tcPr>
            <w:tcW w:w="1358"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585 265</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562 887</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620 328</w:t>
            </w:r>
          </w:p>
        </w:tc>
      </w:tr>
      <w:tr w:rsidR="000B4A1E" w:rsidRPr="003E2DBE" w:rsidTr="00517E51">
        <w:trPr>
          <w:trHeight w:hRule="exact" w:val="120"/>
        </w:trPr>
        <w:tc>
          <w:tcPr>
            <w:tcW w:w="6044" w:type="dxa"/>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358"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044" w:type="dxa"/>
            <w:tcBorders>
              <w:top w:val="single" w:sz="6" w:space="0" w:color="auto"/>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Parliamentary authority (excluding </w:t>
            </w:r>
            <w:r w:rsidRPr="003E2DBE">
              <w:rPr>
                <w:rFonts w:eastAsiaTheme="minorEastAsia"/>
                <w:b/>
                <w:bCs/>
                <w:i/>
                <w:lang w:eastAsia="en-AU"/>
              </w:rPr>
              <w:t>Financial Management Act, No</w:t>
            </w:r>
            <w:r w:rsidRPr="003E2DBE">
              <w:rPr>
                <w:rFonts w:eastAsiaTheme="minorEastAsia" w:cs="Calibri"/>
                <w:b/>
                <w:bCs/>
                <w:i/>
                <w:iCs/>
                <w:szCs w:val="22"/>
                <w:lang w:eastAsia="en-AU"/>
              </w:rPr>
              <w:t>. 18 of 1994</w:t>
            </w:r>
            <w:r w:rsidRPr="003E2DBE">
              <w:rPr>
                <w:rFonts w:eastAsiaTheme="minorEastAsia" w:cs="Calibri"/>
                <w:b/>
                <w:bCs/>
                <w:szCs w:val="22"/>
                <w:lang w:eastAsia="en-AU"/>
              </w:rPr>
              <w:t xml:space="preserve"> Section 33)</w:t>
            </w:r>
          </w:p>
        </w:tc>
        <w:tc>
          <w:tcPr>
            <w:tcW w:w="1358"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593 544</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571 166</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628 406</w:t>
            </w:r>
          </w:p>
        </w:tc>
      </w:tr>
      <w:tr w:rsidR="000B4A1E" w:rsidRPr="003E2DBE" w:rsidTr="00517E51">
        <w:tc>
          <w:tcPr>
            <w:tcW w:w="604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Amounts issued under the authority of the </w:t>
            </w:r>
            <w:r w:rsidRPr="003E2DBE">
              <w:rPr>
                <w:rFonts w:eastAsiaTheme="minorEastAsia"/>
                <w:b/>
                <w:bCs/>
                <w:i/>
                <w:lang w:eastAsia="en-AU"/>
              </w:rPr>
              <w:t>Financial</w:t>
            </w:r>
            <w:r w:rsidR="00FB4EAF">
              <w:rPr>
                <w:rFonts w:eastAsiaTheme="minorEastAsia"/>
                <w:b/>
                <w:bCs/>
                <w:i/>
                <w:lang w:eastAsia="en-AU"/>
              </w:rPr>
              <w:t xml:space="preserve"> Management Act, No. 18 of 1994</w:t>
            </w:r>
            <w:r w:rsidRPr="003E2DBE">
              <w:rPr>
                <w:rFonts w:eastAsiaTheme="minorEastAsia"/>
                <w:b/>
                <w:bCs/>
                <w:lang w:eastAsia="en-AU"/>
              </w:rPr>
              <w:t xml:space="preserve"> Section 33 (Special Appropriation) relating to prior year appropriations</w:t>
            </w:r>
          </w:p>
        </w:tc>
        <w:tc>
          <w:tcPr>
            <w:tcW w:w="1358"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6 485</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6 485</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13 310</w:t>
            </w:r>
          </w:p>
        </w:tc>
      </w:tr>
      <w:tr w:rsidR="000B4A1E" w:rsidRPr="003E2DBE" w:rsidTr="00517E51">
        <w:trPr>
          <w:trHeight w:hRule="exact" w:val="120"/>
        </w:trPr>
        <w:tc>
          <w:tcPr>
            <w:tcW w:w="6044" w:type="dxa"/>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358"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6044" w:type="dxa"/>
            <w:tcBorders>
              <w:top w:val="nil"/>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Parliamentary authority</w:t>
            </w:r>
          </w:p>
        </w:tc>
        <w:tc>
          <w:tcPr>
            <w:tcW w:w="1358"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600 029</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577 651</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641 716</w:t>
            </w:r>
          </w:p>
        </w:tc>
      </w:tr>
    </w:tbl>
    <w:p w:rsidR="000B4A1E" w:rsidRPr="00D00665" w:rsidRDefault="000B4A1E" w:rsidP="00517E51">
      <w:pPr>
        <w:pStyle w:val="million"/>
      </w:pPr>
    </w:p>
    <w:p w:rsidR="000B4A1E" w:rsidRPr="00D00665" w:rsidRDefault="000B4A1E" w:rsidP="00517E51">
      <w:pPr>
        <w:pStyle w:val="million"/>
      </w:pPr>
    </w:p>
    <w:p w:rsidR="000B4A1E" w:rsidRPr="00D00665" w:rsidRDefault="000B4A1E" w:rsidP="00517E51"/>
    <w:p w:rsidR="000B4A1E" w:rsidRPr="00D00665" w:rsidRDefault="000B4A1E" w:rsidP="00517E51">
      <w:pPr>
        <w:pStyle w:val="Heading2NotesContd"/>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Tableheading"/>
      </w:pPr>
      <w:r w:rsidRPr="00D00665">
        <w:t>(w)</w:t>
      </w:r>
      <w:r w:rsidRPr="00D00665">
        <w:tab/>
        <w:t>Parliamentary authority – Primary Industries</w:t>
      </w:r>
    </w:p>
    <w:p w:rsidR="000B4A1E" w:rsidRPr="003E2DBE" w:rsidRDefault="000B4A1E" w:rsidP="00517E51">
      <w:pPr>
        <w:pStyle w:val="million"/>
        <w:rPr>
          <w:b/>
          <w:bCs/>
          <w:lang w:val="en-US"/>
        </w:rPr>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5774"/>
        <w:gridCol w:w="1628"/>
        <w:gridCol w:w="1123"/>
        <w:gridCol w:w="1123"/>
      </w:tblGrid>
      <w:tr w:rsidR="000B4A1E" w:rsidRPr="003E2DBE" w:rsidTr="00517E51">
        <w:tc>
          <w:tcPr>
            <w:tcW w:w="5774" w:type="dxa"/>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628"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Parliamentary </w:t>
            </w:r>
          </w:p>
        </w:tc>
        <w:tc>
          <w:tcPr>
            <w:tcW w:w="1123"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c>
          <w:tcPr>
            <w:tcW w:w="1123"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r>
      <w:tr w:rsidR="000B4A1E" w:rsidRPr="003E2DBE" w:rsidTr="00517E51">
        <w:tc>
          <w:tcPr>
            <w:tcW w:w="5774" w:type="dxa"/>
            <w:tcBorders>
              <w:top w:val="nil"/>
              <w:left w:val="single" w:sz="4" w:space="0" w:color="auto"/>
              <w:bottom w:val="single" w:sz="6" w:space="0" w:color="auto"/>
              <w:right w:val="nil"/>
            </w:tcBorders>
            <w:shd w:val="clear" w:color="auto" w:fill="000000"/>
          </w:tcPr>
          <w:p w:rsidR="000B4A1E" w:rsidRPr="003E2DBE" w:rsidRDefault="000B4A1E" w:rsidP="00517E51">
            <w:pPr>
              <w:pStyle w:val="Tabletext"/>
              <w:rPr>
                <w:rFonts w:eastAsiaTheme="minorEastAsia"/>
                <w:i/>
                <w:lang w:eastAsia="en-AU"/>
              </w:rPr>
            </w:pPr>
            <w:r w:rsidRPr="003E2DBE">
              <w:rPr>
                <w:rFonts w:eastAsiaTheme="minorEastAsia"/>
                <w:i/>
                <w:lang w:eastAsia="en-AU"/>
              </w:rPr>
              <w:t xml:space="preserve"> </w:t>
            </w:r>
          </w:p>
        </w:tc>
        <w:tc>
          <w:tcPr>
            <w:tcW w:w="1628"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authority</w:t>
            </w:r>
          </w:p>
        </w:tc>
        <w:tc>
          <w:tcPr>
            <w:tcW w:w="1123"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c>
          <w:tcPr>
            <w:tcW w:w="1123" w:type="dxa"/>
            <w:tcBorders>
              <w:top w:val="nil"/>
              <w:left w:val="nil"/>
              <w:bottom w:val="single" w:sz="6"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r>
      <w:tr w:rsidR="000B4A1E" w:rsidRPr="0078154E" w:rsidTr="00517E51">
        <w:tc>
          <w:tcPr>
            <w:tcW w:w="5774" w:type="dxa"/>
            <w:tcBorders>
              <w:top w:val="single" w:sz="6" w:space="0" w:color="auto"/>
              <w:left w:val="single" w:sz="4" w:space="0" w:color="auto"/>
              <w:bottom w:val="single" w:sz="4" w:space="0" w:color="auto"/>
              <w:right w:val="nil"/>
            </w:tcBorders>
            <w:shd w:val="solid" w:color="000000" w:fill="auto"/>
          </w:tcPr>
          <w:p w:rsidR="000B4A1E" w:rsidRPr="0078154E" w:rsidRDefault="000B4A1E" w:rsidP="00517E51">
            <w:pPr>
              <w:pStyle w:val="Tabletext"/>
              <w:rPr>
                <w:rFonts w:eastAsiaTheme="minorEastAsia"/>
                <w:i/>
                <w:lang w:eastAsia="en-AU"/>
              </w:rPr>
            </w:pPr>
            <w:r w:rsidRPr="0078154E">
              <w:rPr>
                <w:rFonts w:eastAsiaTheme="minorEastAsia"/>
                <w:i/>
                <w:lang w:eastAsia="en-AU"/>
              </w:rPr>
              <w:t xml:space="preserve"> </w:t>
            </w:r>
          </w:p>
        </w:tc>
        <w:tc>
          <w:tcPr>
            <w:tcW w:w="1628" w:type="dxa"/>
            <w:tcBorders>
              <w:top w:val="single" w:sz="6" w:space="0" w:color="auto"/>
              <w:left w:val="nil"/>
              <w:bottom w:val="single" w:sz="4" w:space="0" w:color="auto"/>
              <w:right w:val="nil"/>
            </w:tcBorders>
            <w:shd w:val="solid" w:color="000000" w:fill="auto"/>
          </w:tcPr>
          <w:p w:rsidR="000B4A1E" w:rsidRPr="0078154E" w:rsidRDefault="000B4A1E" w:rsidP="00517E51">
            <w:pPr>
              <w:pStyle w:val="TableofFigures"/>
              <w:rPr>
                <w:rFonts w:eastAsiaTheme="minorEastAsia"/>
                <w:i/>
                <w:lang w:eastAsia="en-AU"/>
              </w:rPr>
            </w:pPr>
            <w:r w:rsidRPr="0078154E">
              <w:rPr>
                <w:rFonts w:eastAsiaTheme="minorEastAsia"/>
                <w:i/>
                <w:lang w:eastAsia="en-AU"/>
              </w:rPr>
              <w:t>2013</w:t>
            </w:r>
          </w:p>
        </w:tc>
        <w:tc>
          <w:tcPr>
            <w:tcW w:w="1123" w:type="dxa"/>
            <w:tcBorders>
              <w:top w:val="single" w:sz="6" w:space="0" w:color="auto"/>
              <w:left w:val="nil"/>
              <w:bottom w:val="single" w:sz="4" w:space="0" w:color="auto"/>
              <w:right w:val="nil"/>
            </w:tcBorders>
            <w:shd w:val="solid" w:color="000000" w:fill="auto"/>
          </w:tcPr>
          <w:p w:rsidR="000B4A1E" w:rsidRPr="0078154E" w:rsidRDefault="000B4A1E" w:rsidP="00517E51">
            <w:pPr>
              <w:pStyle w:val="TableofFigures"/>
              <w:rPr>
                <w:rFonts w:eastAsiaTheme="minorEastAsia"/>
                <w:i/>
                <w:lang w:eastAsia="en-AU"/>
              </w:rPr>
            </w:pPr>
            <w:r w:rsidRPr="0078154E">
              <w:rPr>
                <w:rFonts w:eastAsiaTheme="minorEastAsia"/>
                <w:i/>
                <w:lang w:eastAsia="en-AU"/>
              </w:rPr>
              <w:t>2013</w:t>
            </w:r>
          </w:p>
        </w:tc>
        <w:tc>
          <w:tcPr>
            <w:tcW w:w="1123" w:type="dxa"/>
            <w:tcBorders>
              <w:top w:val="single" w:sz="6" w:space="0" w:color="auto"/>
              <w:left w:val="nil"/>
              <w:bottom w:val="single" w:sz="4" w:space="0" w:color="auto"/>
              <w:right w:val="single" w:sz="4" w:space="0" w:color="auto"/>
            </w:tcBorders>
            <w:shd w:val="solid" w:color="000000" w:fill="auto"/>
          </w:tcPr>
          <w:p w:rsidR="000B4A1E" w:rsidRPr="0078154E" w:rsidRDefault="000B4A1E" w:rsidP="00517E51">
            <w:pPr>
              <w:pStyle w:val="TableofFigures"/>
              <w:rPr>
                <w:rFonts w:eastAsiaTheme="minorEastAsia"/>
                <w:i/>
                <w:lang w:eastAsia="en-AU"/>
              </w:rPr>
            </w:pPr>
            <w:r w:rsidRPr="0078154E">
              <w:rPr>
                <w:rFonts w:eastAsiaTheme="minorEastAsia"/>
                <w:i/>
                <w:lang w:eastAsia="en-AU"/>
              </w:rPr>
              <w:t>2012</w:t>
            </w:r>
          </w:p>
        </w:tc>
      </w:tr>
      <w:tr w:rsidR="000B4A1E" w:rsidRPr="003E2DBE" w:rsidTr="00517E51">
        <w:tc>
          <w:tcPr>
            <w:tcW w:w="5774" w:type="dxa"/>
            <w:tcBorders>
              <w:top w:val="single" w:sz="4"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Special appropriations</w:t>
            </w:r>
          </w:p>
        </w:tc>
        <w:tc>
          <w:tcPr>
            <w:tcW w:w="1628"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774" w:type="dxa"/>
            <w:tcBorders>
              <w:top w:val="nil"/>
              <w:left w:val="nil"/>
              <w:bottom w:val="nil"/>
              <w:right w:val="nil"/>
            </w:tcBorders>
          </w:tcPr>
          <w:p w:rsidR="000B4A1E" w:rsidRPr="003E2DBE" w:rsidRDefault="000B4A1E" w:rsidP="00517E51">
            <w:pPr>
              <w:pStyle w:val="Tabletext"/>
              <w:rPr>
                <w:rFonts w:eastAsiaTheme="minorEastAsia"/>
                <w:i/>
                <w:lang w:eastAsia="en-AU"/>
              </w:rPr>
            </w:pPr>
            <w:r w:rsidRPr="003E2DBE">
              <w:rPr>
                <w:rFonts w:eastAsiaTheme="minorEastAsia"/>
                <w:i/>
                <w:lang w:eastAsia="en-AU"/>
              </w:rPr>
              <w:t>Financial Management Act, No. 18 of 1994, Section 28</w:t>
            </w:r>
          </w:p>
        </w:tc>
        <w:tc>
          <w:tcPr>
            <w:tcW w:w="162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6 000</w:t>
            </w:r>
          </w:p>
        </w:tc>
      </w:tr>
      <w:tr w:rsidR="000B4A1E" w:rsidRPr="003E2DBE" w:rsidTr="00517E51">
        <w:tc>
          <w:tcPr>
            <w:tcW w:w="577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special appropriations (excluding </w:t>
            </w:r>
            <w:r w:rsidRPr="003E2DBE">
              <w:rPr>
                <w:rFonts w:eastAsiaTheme="minorEastAsia"/>
                <w:b/>
                <w:bCs/>
                <w:i/>
                <w:lang w:eastAsia="en-AU"/>
              </w:rPr>
              <w:t>Financial Management Act, No</w:t>
            </w:r>
            <w:r w:rsidRPr="003E2DBE">
              <w:rPr>
                <w:rFonts w:eastAsiaTheme="minorEastAsia" w:cs="Calibri"/>
                <w:b/>
                <w:bCs/>
                <w:i/>
                <w:iCs/>
                <w:szCs w:val="22"/>
                <w:lang w:eastAsia="en-AU"/>
              </w:rPr>
              <w:t>. 18 of 1994</w:t>
            </w:r>
            <w:r w:rsidRPr="003E2DBE">
              <w:rPr>
                <w:rFonts w:eastAsiaTheme="minorEastAsia" w:cs="Calibri"/>
                <w:b/>
                <w:bCs/>
                <w:szCs w:val="22"/>
                <w:lang w:eastAsia="en-AU"/>
              </w:rPr>
              <w:t xml:space="preserve"> Section 33)</w:t>
            </w:r>
          </w:p>
        </w:tc>
        <w:tc>
          <w:tcPr>
            <w:tcW w:w="162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6 000</w:t>
            </w:r>
          </w:p>
        </w:tc>
      </w:tr>
      <w:tr w:rsidR="000B4A1E" w:rsidRPr="003E2DBE" w:rsidTr="00517E51">
        <w:trPr>
          <w:trHeight w:hRule="exact" w:val="120"/>
        </w:trPr>
        <w:tc>
          <w:tcPr>
            <w:tcW w:w="577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628"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77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Annual appropriations</w:t>
            </w:r>
          </w:p>
        </w:tc>
        <w:tc>
          <w:tcPr>
            <w:tcW w:w="162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77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Provision of outputs</w:t>
            </w:r>
          </w:p>
        </w:tc>
        <w:tc>
          <w:tcPr>
            <w:tcW w:w="162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77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Provision of outputs – net application</w:t>
            </w:r>
          </w:p>
        </w:tc>
        <w:tc>
          <w:tcPr>
            <w:tcW w:w="162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396 883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316 542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334 506</w:t>
            </w:r>
          </w:p>
        </w:tc>
      </w:tr>
      <w:tr w:rsidR="000B4A1E" w:rsidRPr="003E2DBE" w:rsidTr="00517E51">
        <w:tc>
          <w:tcPr>
            <w:tcW w:w="577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29 </w:t>
            </w:r>
            <w:r w:rsidRPr="003E2DBE">
              <w:rPr>
                <w:rFonts w:eastAsiaTheme="minorEastAsia"/>
                <w:i/>
                <w:lang w:eastAsia="en-AU"/>
              </w:rPr>
              <w:t>Financial Management Act, No. 18 of 1994</w:t>
            </w:r>
          </w:p>
        </w:tc>
        <w:tc>
          <w:tcPr>
            <w:tcW w:w="162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88 213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65 396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63 599</w:t>
            </w:r>
          </w:p>
        </w:tc>
      </w:tr>
      <w:tr w:rsidR="000B4A1E" w:rsidRPr="003E2DBE" w:rsidTr="00517E51">
        <w:tc>
          <w:tcPr>
            <w:tcW w:w="577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62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57 649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57 649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27 022</w:t>
            </w:r>
          </w:p>
        </w:tc>
      </w:tr>
      <w:tr w:rsidR="000B4A1E" w:rsidRPr="003E2DBE" w:rsidTr="00517E51">
        <w:tc>
          <w:tcPr>
            <w:tcW w:w="577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Advance to Treasurer </w:t>
            </w:r>
          </w:p>
        </w:tc>
        <w:tc>
          <w:tcPr>
            <w:tcW w:w="1628"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12 269</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12 269</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11 408</w:t>
            </w:r>
          </w:p>
        </w:tc>
      </w:tr>
      <w:tr w:rsidR="000B4A1E" w:rsidRPr="003E2DBE" w:rsidTr="00517E51">
        <w:tc>
          <w:tcPr>
            <w:tcW w:w="577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provision of outputs – gross application</w:t>
            </w:r>
          </w:p>
        </w:tc>
        <w:tc>
          <w:tcPr>
            <w:tcW w:w="1628"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555 014</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451 856</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436 535</w:t>
            </w:r>
          </w:p>
        </w:tc>
      </w:tr>
      <w:tr w:rsidR="000B4A1E" w:rsidRPr="003E2DBE" w:rsidTr="00517E51">
        <w:trPr>
          <w:trHeight w:hRule="exact" w:val="120"/>
        </w:trPr>
        <w:tc>
          <w:tcPr>
            <w:tcW w:w="577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628"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77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Additions to the net asset base</w:t>
            </w:r>
          </w:p>
        </w:tc>
        <w:tc>
          <w:tcPr>
            <w:tcW w:w="1628"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77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Additions to the net asset base – net application</w:t>
            </w:r>
          </w:p>
        </w:tc>
        <w:tc>
          <w:tcPr>
            <w:tcW w:w="162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34 942</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3 897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506</w:t>
            </w:r>
          </w:p>
        </w:tc>
      </w:tr>
      <w:tr w:rsidR="000B4A1E" w:rsidRPr="003E2DBE" w:rsidTr="00517E51">
        <w:tc>
          <w:tcPr>
            <w:tcW w:w="577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29 </w:t>
            </w:r>
            <w:r w:rsidRPr="003E2DBE">
              <w:rPr>
                <w:rFonts w:eastAsiaTheme="minorEastAsia"/>
                <w:i/>
                <w:lang w:eastAsia="en-AU"/>
              </w:rPr>
              <w:t>Financial Management Act, No. 18 of 1994</w:t>
            </w:r>
          </w:p>
        </w:tc>
        <w:tc>
          <w:tcPr>
            <w:tcW w:w="162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134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77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62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24 700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24 700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11 785</w:t>
            </w:r>
          </w:p>
        </w:tc>
      </w:tr>
      <w:tr w:rsidR="000B4A1E" w:rsidRPr="003E2DBE" w:rsidTr="00517E51">
        <w:tc>
          <w:tcPr>
            <w:tcW w:w="577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Advance to Treasurer </w:t>
            </w:r>
          </w:p>
        </w:tc>
        <w:tc>
          <w:tcPr>
            <w:tcW w:w="1628"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77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additions to the net asset base – gross application</w:t>
            </w:r>
          </w:p>
        </w:tc>
        <w:tc>
          <w:tcPr>
            <w:tcW w:w="1628"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59 776</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28 601</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12 291</w:t>
            </w:r>
          </w:p>
        </w:tc>
      </w:tr>
      <w:tr w:rsidR="000B4A1E" w:rsidRPr="003E2DBE" w:rsidTr="00517E51">
        <w:trPr>
          <w:trHeight w:hRule="exact" w:val="120"/>
        </w:trPr>
        <w:tc>
          <w:tcPr>
            <w:tcW w:w="577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628"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77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annual appropriations – gross application</w:t>
            </w:r>
          </w:p>
        </w:tc>
        <w:tc>
          <w:tcPr>
            <w:tcW w:w="1628"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614 790</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480 456</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448 825</w:t>
            </w:r>
          </w:p>
        </w:tc>
      </w:tr>
      <w:tr w:rsidR="000B4A1E" w:rsidRPr="003E2DBE" w:rsidTr="00517E51">
        <w:trPr>
          <w:trHeight w:hRule="exact" w:val="120"/>
        </w:trPr>
        <w:tc>
          <w:tcPr>
            <w:tcW w:w="5774" w:type="dxa"/>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628"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774" w:type="dxa"/>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Parliamentary authority (excluding </w:t>
            </w:r>
            <w:r w:rsidRPr="003E2DBE">
              <w:rPr>
                <w:rFonts w:eastAsiaTheme="minorEastAsia"/>
                <w:b/>
                <w:bCs/>
                <w:i/>
                <w:lang w:eastAsia="en-AU"/>
              </w:rPr>
              <w:t>Financial Management Act, No</w:t>
            </w:r>
            <w:r w:rsidRPr="003E2DBE">
              <w:rPr>
                <w:rFonts w:eastAsiaTheme="minorEastAsia" w:cs="Calibri"/>
                <w:b/>
                <w:bCs/>
                <w:i/>
                <w:iCs/>
                <w:szCs w:val="22"/>
                <w:lang w:eastAsia="en-AU"/>
              </w:rPr>
              <w:t>. 18 of 1994</w:t>
            </w:r>
            <w:r w:rsidRPr="003E2DBE">
              <w:rPr>
                <w:rFonts w:eastAsiaTheme="minorEastAsia" w:cs="Calibri"/>
                <w:b/>
                <w:bCs/>
                <w:szCs w:val="22"/>
                <w:lang w:eastAsia="en-AU"/>
              </w:rPr>
              <w:t xml:space="preserve"> Section 33)</w:t>
            </w:r>
          </w:p>
        </w:tc>
        <w:tc>
          <w:tcPr>
            <w:tcW w:w="1628"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614 790</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480 456</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454 825</w:t>
            </w:r>
          </w:p>
        </w:tc>
      </w:tr>
      <w:tr w:rsidR="000B4A1E" w:rsidRPr="003E2DBE" w:rsidTr="00517E51">
        <w:tc>
          <w:tcPr>
            <w:tcW w:w="5774" w:type="dxa"/>
            <w:tcBorders>
              <w:top w:val="nil"/>
              <w:left w:val="nil"/>
              <w:bottom w:val="nil"/>
              <w:right w:val="nil"/>
            </w:tcBorders>
          </w:tcPr>
          <w:p w:rsidR="000B4A1E" w:rsidRPr="003E2DBE" w:rsidRDefault="000B4A1E" w:rsidP="00FB4EAF">
            <w:pPr>
              <w:pStyle w:val="Tabletext"/>
              <w:rPr>
                <w:rFonts w:eastAsiaTheme="minorEastAsia"/>
                <w:b/>
                <w:bCs/>
                <w:lang w:eastAsia="en-AU"/>
              </w:rPr>
            </w:pPr>
            <w:r w:rsidRPr="003E2DBE">
              <w:rPr>
                <w:rFonts w:eastAsiaTheme="minorEastAsia"/>
                <w:b/>
                <w:bCs/>
                <w:lang w:eastAsia="en-AU"/>
              </w:rPr>
              <w:t xml:space="preserve">Amounts issued under the authority of the </w:t>
            </w:r>
            <w:r w:rsidRPr="003E2DBE">
              <w:rPr>
                <w:rFonts w:eastAsiaTheme="minorEastAsia"/>
                <w:b/>
                <w:bCs/>
                <w:i/>
                <w:lang w:eastAsia="en-AU"/>
              </w:rPr>
              <w:t>Financial Management Act, No. 18 of 1994</w:t>
            </w:r>
            <w:r w:rsidRPr="003E2DBE">
              <w:rPr>
                <w:rFonts w:eastAsiaTheme="minorEastAsia"/>
                <w:b/>
                <w:bCs/>
                <w:lang w:eastAsia="en-AU"/>
              </w:rPr>
              <w:t xml:space="preserve"> Section 33 (Special Appropriation) relating to prior year appropriations</w:t>
            </w:r>
          </w:p>
        </w:tc>
        <w:tc>
          <w:tcPr>
            <w:tcW w:w="1628"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8 300</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8 300</w:t>
            </w:r>
          </w:p>
        </w:tc>
        <w:tc>
          <w:tcPr>
            <w:tcW w:w="1123" w:type="dxa"/>
            <w:tcBorders>
              <w:top w:val="single" w:sz="6" w:space="0" w:color="auto"/>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1 925</w:t>
            </w:r>
          </w:p>
        </w:tc>
      </w:tr>
      <w:tr w:rsidR="000B4A1E" w:rsidRPr="003E2DBE" w:rsidTr="00517E51">
        <w:trPr>
          <w:trHeight w:hRule="exact" w:val="120"/>
        </w:trPr>
        <w:tc>
          <w:tcPr>
            <w:tcW w:w="5774" w:type="dxa"/>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628"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774" w:type="dxa"/>
            <w:tcBorders>
              <w:top w:val="nil"/>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Parliamentary authority</w:t>
            </w:r>
          </w:p>
        </w:tc>
        <w:tc>
          <w:tcPr>
            <w:tcW w:w="1628"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623 090</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488 756</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456 751</w:t>
            </w:r>
          </w:p>
        </w:tc>
      </w:tr>
    </w:tbl>
    <w:p w:rsidR="000B4A1E" w:rsidRPr="00D00665" w:rsidRDefault="000B4A1E" w:rsidP="00517E51">
      <w:pPr>
        <w:pStyle w:val="million"/>
      </w:pPr>
    </w:p>
    <w:p w:rsidR="000B4A1E" w:rsidRPr="00D00665" w:rsidRDefault="000B4A1E" w:rsidP="00517E51"/>
    <w:p w:rsidR="000B4A1E" w:rsidRPr="00D00665" w:rsidRDefault="000B4A1E" w:rsidP="00517E51"/>
    <w:p w:rsidR="000B4A1E" w:rsidRPr="00D00665" w:rsidRDefault="000B4A1E" w:rsidP="00517E51"/>
    <w:p w:rsidR="000B4A1E" w:rsidRPr="00D00665" w:rsidRDefault="000B4A1E" w:rsidP="00517E51">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pPr>
      <w:r w:rsidRPr="00D00665">
        <w:t>(x)</w:t>
      </w:r>
      <w:r w:rsidRPr="00D00665">
        <w:tab/>
        <w:t>Parliamentary authority – State Deve</w:t>
      </w:r>
      <w:r>
        <w:t>lopment</w:t>
      </w:r>
      <w:r w:rsidR="00405D0E">
        <w:t>,</w:t>
      </w:r>
      <w:r>
        <w:t xml:space="preserve"> Business </w:t>
      </w:r>
      <w:r w:rsidR="00405D0E">
        <w:t xml:space="preserve">and </w:t>
      </w:r>
      <w:r>
        <w:t>Innovation</w:t>
      </w:r>
      <w:r w:rsidRPr="00D00665">
        <w:rPr>
          <w:vertAlign w:val="superscript"/>
        </w:rPr>
        <w:t>(a)</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5954"/>
        <w:gridCol w:w="270"/>
        <w:gridCol w:w="1170"/>
        <w:gridCol w:w="1131"/>
        <w:gridCol w:w="1123"/>
      </w:tblGrid>
      <w:tr w:rsidR="000B4A1E" w:rsidRPr="003E2DBE" w:rsidTr="00517E51">
        <w:tc>
          <w:tcPr>
            <w:tcW w:w="5954" w:type="dxa"/>
            <w:tcBorders>
              <w:top w:val="single" w:sz="6" w:space="0" w:color="auto"/>
              <w:left w:val="single" w:sz="6"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40" w:type="dxa"/>
            <w:gridSpan w:val="2"/>
            <w:tcBorders>
              <w:top w:val="single" w:sz="6"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Parliamentary </w:t>
            </w:r>
          </w:p>
        </w:tc>
        <w:tc>
          <w:tcPr>
            <w:tcW w:w="1131" w:type="dxa"/>
            <w:tcBorders>
              <w:top w:val="single" w:sz="6"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c>
          <w:tcPr>
            <w:tcW w:w="1123" w:type="dxa"/>
            <w:tcBorders>
              <w:top w:val="single" w:sz="6" w:space="0" w:color="auto"/>
              <w:left w:val="nil"/>
              <w:bottom w:val="nil"/>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r>
      <w:tr w:rsidR="000B4A1E" w:rsidRPr="003E2DBE" w:rsidTr="00517E51">
        <w:tc>
          <w:tcPr>
            <w:tcW w:w="5954" w:type="dxa"/>
            <w:tcBorders>
              <w:top w:val="nil"/>
              <w:left w:val="single" w:sz="6" w:space="0" w:color="auto"/>
              <w:bottom w:val="single" w:sz="6"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40" w:type="dxa"/>
            <w:gridSpan w:val="2"/>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t>authority</w:t>
            </w:r>
          </w:p>
        </w:tc>
        <w:tc>
          <w:tcPr>
            <w:tcW w:w="1131" w:type="dxa"/>
            <w:tcBorders>
              <w:top w:val="nil"/>
              <w:left w:val="nil"/>
              <w:bottom w:val="single" w:sz="6"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c>
          <w:tcPr>
            <w:tcW w:w="1123" w:type="dxa"/>
            <w:tcBorders>
              <w:top w:val="nil"/>
              <w:left w:val="nil"/>
              <w:bottom w:val="single" w:sz="6" w:space="0" w:color="auto"/>
              <w:right w:val="single" w:sz="6"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r>
      <w:tr w:rsidR="000B4A1E" w:rsidRPr="003E2DBE" w:rsidTr="00517E51">
        <w:tc>
          <w:tcPr>
            <w:tcW w:w="5954" w:type="dxa"/>
            <w:tcBorders>
              <w:top w:val="single" w:sz="6" w:space="0" w:color="auto"/>
              <w:left w:val="single" w:sz="6" w:space="0" w:color="auto"/>
              <w:bottom w:val="single" w:sz="6" w:space="0" w:color="auto"/>
              <w:right w:val="nil"/>
            </w:tcBorders>
            <w:shd w:val="solid" w:color="000000" w:fill="auto"/>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40" w:type="dxa"/>
            <w:gridSpan w:val="2"/>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31" w:type="dxa"/>
            <w:tcBorders>
              <w:top w:val="single" w:sz="6" w:space="0" w:color="auto"/>
              <w:left w:val="nil"/>
              <w:bottom w:val="single" w:sz="6"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single" w:sz="6" w:space="0" w:color="auto"/>
              <w:left w:val="nil"/>
              <w:bottom w:val="single" w:sz="6" w:space="0" w:color="auto"/>
              <w:right w:val="single" w:sz="6" w:space="0" w:color="auto"/>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Annual appropriations</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3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Provision of outputs</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3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Provision of outputs – net application</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481 963</w:t>
            </w:r>
          </w:p>
        </w:tc>
        <w:tc>
          <w:tcPr>
            <w:tcW w:w="113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386 324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390 877</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29 </w:t>
            </w:r>
            <w:r w:rsidRPr="003E2DBE">
              <w:rPr>
                <w:rFonts w:eastAsiaTheme="minorEastAsia"/>
                <w:i/>
                <w:lang w:eastAsia="en-AU"/>
              </w:rPr>
              <w:t>Financial Management Act, No. 18 of 1994</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1 078</w:t>
            </w:r>
          </w:p>
        </w:tc>
        <w:tc>
          <w:tcPr>
            <w:tcW w:w="113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1 078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42 126</w:t>
            </w:r>
          </w:p>
        </w:tc>
        <w:tc>
          <w:tcPr>
            <w:tcW w:w="113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42 126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43 038</w:t>
            </w:r>
          </w:p>
        </w:tc>
      </w:tr>
      <w:tr w:rsidR="000B4A1E" w:rsidRPr="003E2DBE" w:rsidTr="00517E51">
        <w:tc>
          <w:tcPr>
            <w:tcW w:w="595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Advance to Treasurer </w:t>
            </w:r>
          </w:p>
        </w:tc>
        <w:tc>
          <w:tcPr>
            <w:tcW w:w="1440"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9 250</w:t>
            </w:r>
          </w:p>
        </w:tc>
        <w:tc>
          <w:tcPr>
            <w:tcW w:w="1131"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8 604</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1 675</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provision of outputs – gross application</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534 417</w:t>
            </w:r>
          </w:p>
        </w:tc>
        <w:tc>
          <w:tcPr>
            <w:tcW w:w="1131"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438 131</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435 590</w:t>
            </w:r>
          </w:p>
        </w:tc>
      </w:tr>
      <w:tr w:rsidR="000B4A1E" w:rsidRPr="003E2DBE" w:rsidTr="00517E51">
        <w:trPr>
          <w:trHeight w:hRule="exact" w:val="120"/>
        </w:trPr>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31"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Additions to the net asset base</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31"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Additions to the net asset base – net application</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184 973</w:t>
            </w:r>
          </w:p>
        </w:tc>
        <w:tc>
          <w:tcPr>
            <w:tcW w:w="113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117 157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4 143</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29 </w:t>
            </w:r>
            <w:r w:rsidRPr="003E2DBE">
              <w:rPr>
                <w:rFonts w:eastAsiaTheme="minorEastAsia"/>
                <w:i/>
                <w:lang w:eastAsia="en-AU"/>
              </w:rPr>
              <w:t>Financial Management Act, No. 18 of 1994</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3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2 398</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6 961</w:t>
            </w:r>
          </w:p>
        </w:tc>
        <w:tc>
          <w:tcPr>
            <w:tcW w:w="113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3 354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9 055</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35 </w:t>
            </w:r>
            <w:r w:rsidRPr="003E2DBE">
              <w:rPr>
                <w:rFonts w:eastAsiaTheme="minorEastAsia"/>
                <w:i/>
                <w:lang w:eastAsia="en-AU"/>
              </w:rPr>
              <w:t>Financial Management Act, No. 18 of 1994</w:t>
            </w:r>
            <w:r w:rsidRPr="003E2DBE">
              <w:rPr>
                <w:rFonts w:eastAsiaTheme="minorEastAsia"/>
                <w:lang w:eastAsia="en-AU"/>
              </w:rPr>
              <w:t xml:space="preserve"> (temporary advances)</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3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131 000</w:t>
            </w:r>
          </w:p>
        </w:tc>
      </w:tr>
      <w:tr w:rsidR="000B4A1E" w:rsidRPr="003E2DBE" w:rsidTr="00517E51">
        <w:tc>
          <w:tcPr>
            <w:tcW w:w="5954" w:type="dxa"/>
            <w:tcBorders>
              <w:top w:val="nil"/>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Total additions to the</w:t>
            </w:r>
            <w:r w:rsidRPr="003E2DBE">
              <w:rPr>
                <w:rFonts w:eastAsiaTheme="minorEastAsia" w:cs="Calibri"/>
                <w:b/>
                <w:bCs/>
                <w:szCs w:val="22"/>
                <w:lang w:eastAsia="en-AU"/>
              </w:rPr>
              <w:t xml:space="preserve"> net asset base – gross application</w:t>
            </w:r>
          </w:p>
        </w:tc>
        <w:tc>
          <w:tcPr>
            <w:tcW w:w="1440"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 xml:space="preserve"> 191 </w:t>
            </w:r>
            <w:r w:rsidRPr="003E2DBE">
              <w:rPr>
                <w:rFonts w:eastAsiaTheme="minorEastAsia" w:cs="Calibri"/>
                <w:b/>
                <w:bCs/>
                <w:szCs w:val="22"/>
                <w:lang w:eastAsia="en-AU"/>
              </w:rPr>
              <w:t>934</w:t>
            </w:r>
          </w:p>
        </w:tc>
        <w:tc>
          <w:tcPr>
            <w:tcW w:w="1131"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 xml:space="preserve"> 120 </w:t>
            </w:r>
            <w:r w:rsidRPr="003E2DBE">
              <w:rPr>
                <w:rFonts w:eastAsiaTheme="minorEastAsia" w:cs="Calibri"/>
                <w:b/>
                <w:bCs/>
                <w:szCs w:val="22"/>
                <w:lang w:eastAsia="en-AU"/>
              </w:rPr>
              <w:t>511</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 xml:space="preserve"> 146 </w:t>
            </w:r>
            <w:r w:rsidRPr="003E2DBE">
              <w:rPr>
                <w:rFonts w:eastAsiaTheme="minorEastAsia" w:cs="Calibri"/>
                <w:b/>
                <w:bCs/>
                <w:szCs w:val="22"/>
                <w:lang w:eastAsia="en-AU"/>
              </w:rPr>
              <w:t>597</w:t>
            </w:r>
          </w:p>
        </w:tc>
      </w:tr>
      <w:tr w:rsidR="000B4A1E" w:rsidRPr="003E2DBE" w:rsidTr="00517E51">
        <w:trPr>
          <w:trHeight w:hRule="exact" w:val="120"/>
        </w:trPr>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31"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Payments </w:t>
            </w:r>
            <w:r w:rsidRPr="003E2DBE">
              <w:rPr>
                <w:rFonts w:eastAsiaTheme="minorEastAsia" w:cs="Calibri"/>
                <w:b/>
                <w:bCs/>
                <w:szCs w:val="22"/>
                <w:lang w:eastAsia="en-AU"/>
              </w:rPr>
              <w:t>made on behalf of the State</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31"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cs="Calibri"/>
                <w:szCs w:val="22"/>
                <w:lang w:eastAsia="en-AU"/>
              </w:rPr>
            </w:pPr>
            <w:r w:rsidRPr="003E2DBE">
              <w:rPr>
                <w:rFonts w:eastAsiaTheme="minorEastAsia"/>
                <w:bCs/>
                <w:lang w:eastAsia="en-AU"/>
              </w:rPr>
              <w:t xml:space="preserve">Payments made on behalf of the State – </w:t>
            </w:r>
            <w:r w:rsidRPr="003E2DBE">
              <w:rPr>
                <w:rFonts w:eastAsiaTheme="minorEastAsia" w:cs="Calibri"/>
                <w:szCs w:val="22"/>
                <w:lang w:eastAsia="en-AU"/>
              </w:rPr>
              <w:t>net application</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59</w:t>
            </w:r>
            <w:r w:rsidRPr="003E2DBE">
              <w:rPr>
                <w:rFonts w:eastAsiaTheme="minorEastAsia" w:cs="Calibri"/>
                <w:szCs w:val="22"/>
                <w:lang w:eastAsia="en-AU"/>
              </w:rPr>
              <w:t xml:space="preserve"> 000</w:t>
            </w:r>
          </w:p>
        </w:tc>
        <w:tc>
          <w:tcPr>
            <w:tcW w:w="1131"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r w:rsidRPr="003E2DBE">
              <w:rPr>
                <w:rFonts w:eastAsiaTheme="minorEastAsia" w:cs="Calibri"/>
                <w:szCs w:val="22"/>
                <w:lang w:eastAsia="en-AU"/>
              </w:rPr>
              <w:t>59 000</w:t>
            </w:r>
          </w:p>
        </w:tc>
        <w:tc>
          <w:tcPr>
            <w:tcW w:w="1123" w:type="dxa"/>
            <w:tcBorders>
              <w:top w:val="nil"/>
              <w:left w:val="nil"/>
              <w:bottom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r w:rsidRPr="003E2DBE">
              <w:rPr>
                <w:rFonts w:eastAsiaTheme="minorEastAsia" w:cs="Calibri"/>
                <w:szCs w:val="22"/>
                <w:lang w:eastAsia="en-AU"/>
              </w:rPr>
              <w:t>53 850</w:t>
            </w:r>
          </w:p>
        </w:tc>
      </w:tr>
      <w:tr w:rsidR="000B4A1E" w:rsidRPr="003E2DBE" w:rsidTr="00517E51">
        <w:tc>
          <w:tcPr>
            <w:tcW w:w="5954" w:type="dxa"/>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Advance to Treasurer </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31"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3 500</w:t>
            </w:r>
          </w:p>
        </w:tc>
      </w:tr>
      <w:tr w:rsidR="000B4A1E" w:rsidRPr="003E2DBE" w:rsidTr="00517E51">
        <w:tc>
          <w:tcPr>
            <w:tcW w:w="622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lang w:eastAsia="en-AU"/>
              </w:rPr>
              <w:t>Total for payments made</w:t>
            </w:r>
            <w:r w:rsidRPr="003E2DBE">
              <w:rPr>
                <w:rFonts w:eastAsiaTheme="minorEastAsia" w:cs="Calibri"/>
                <w:b/>
                <w:bCs/>
                <w:szCs w:val="22"/>
                <w:lang w:eastAsia="en-AU"/>
              </w:rPr>
              <w:t xml:space="preserve"> on behalf of the State – gross application</w:t>
            </w:r>
          </w:p>
        </w:tc>
        <w:tc>
          <w:tcPr>
            <w:tcW w:w="1170" w:type="dxa"/>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 xml:space="preserve"> 59 </w:t>
            </w:r>
            <w:r w:rsidRPr="003E2DBE">
              <w:rPr>
                <w:rFonts w:eastAsiaTheme="minorEastAsia" w:cs="Calibri"/>
                <w:b/>
                <w:bCs/>
                <w:szCs w:val="22"/>
                <w:lang w:eastAsia="en-AU"/>
              </w:rPr>
              <w:t>000</w:t>
            </w:r>
          </w:p>
        </w:tc>
        <w:tc>
          <w:tcPr>
            <w:tcW w:w="1131" w:type="dxa"/>
            <w:tcBorders>
              <w:top w:val="nil"/>
              <w:left w:val="nil"/>
              <w:bottom w:val="single" w:sz="6"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 xml:space="preserve"> 59 </w:t>
            </w:r>
            <w:r w:rsidRPr="003E2DBE">
              <w:rPr>
                <w:rFonts w:eastAsiaTheme="minorEastAsia" w:cs="Calibri"/>
                <w:b/>
                <w:bCs/>
                <w:szCs w:val="22"/>
                <w:lang w:eastAsia="en-AU"/>
              </w:rPr>
              <w:t>000</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lang w:eastAsia="en-AU"/>
              </w:rPr>
            </w:pPr>
            <w:r w:rsidRPr="003E2DBE">
              <w:rPr>
                <w:rFonts w:eastAsiaTheme="minorEastAsia"/>
                <w:b/>
                <w:lang w:eastAsia="en-AU"/>
              </w:rPr>
              <w:t xml:space="preserve"> 57 350</w:t>
            </w:r>
          </w:p>
        </w:tc>
      </w:tr>
      <w:tr w:rsidR="000B4A1E" w:rsidRPr="003E2DBE" w:rsidTr="00517E51">
        <w:trPr>
          <w:trHeight w:hRule="exact" w:val="120"/>
        </w:trPr>
        <w:tc>
          <w:tcPr>
            <w:tcW w:w="5954" w:type="dxa"/>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31"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954" w:type="dxa"/>
            <w:tcBorders>
              <w:top w:val="nil"/>
              <w:left w:val="nil"/>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w:t>
            </w:r>
            <w:r w:rsidRPr="003E2DBE">
              <w:rPr>
                <w:rFonts w:eastAsiaTheme="minorEastAsia" w:cs="Calibri"/>
                <w:b/>
                <w:bCs/>
                <w:szCs w:val="22"/>
                <w:lang w:eastAsia="en-AU"/>
              </w:rPr>
              <w:t>annual appropriations – gross application</w:t>
            </w:r>
          </w:p>
        </w:tc>
        <w:tc>
          <w:tcPr>
            <w:tcW w:w="1440" w:type="dxa"/>
            <w:gridSpan w:val="2"/>
            <w:tcBorders>
              <w:top w:val="nil"/>
              <w:left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785</w:t>
            </w:r>
            <w:r w:rsidRPr="003E2DBE">
              <w:rPr>
                <w:rFonts w:eastAsiaTheme="minorEastAsia" w:cs="Calibri"/>
                <w:szCs w:val="22"/>
                <w:lang w:eastAsia="en-AU"/>
              </w:rPr>
              <w:t xml:space="preserve"> 351</w:t>
            </w:r>
          </w:p>
        </w:tc>
        <w:tc>
          <w:tcPr>
            <w:tcW w:w="1131" w:type="dxa"/>
            <w:tcBorders>
              <w:top w:val="nil"/>
              <w:left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r w:rsidRPr="003E2DBE">
              <w:rPr>
                <w:rFonts w:eastAsiaTheme="minorEastAsia" w:cs="Calibri"/>
                <w:szCs w:val="22"/>
                <w:lang w:eastAsia="en-AU"/>
              </w:rPr>
              <w:t>617 642</w:t>
            </w:r>
          </w:p>
        </w:tc>
        <w:tc>
          <w:tcPr>
            <w:tcW w:w="1123" w:type="dxa"/>
            <w:tcBorders>
              <w:top w:val="nil"/>
              <w:left w:val="nil"/>
              <w:right w:val="nil"/>
            </w:tcBorders>
          </w:tcPr>
          <w:p w:rsidR="000B4A1E" w:rsidRPr="003E2DBE" w:rsidRDefault="000B4A1E" w:rsidP="00517E51">
            <w:pPr>
              <w:pStyle w:val="TableofFigures"/>
              <w:rPr>
                <w:rFonts w:eastAsiaTheme="minorEastAsia" w:cs="Calibri"/>
                <w:szCs w:val="22"/>
                <w:lang w:eastAsia="en-AU"/>
              </w:rPr>
            </w:pPr>
            <w:r w:rsidRPr="003E2DBE">
              <w:rPr>
                <w:rFonts w:eastAsiaTheme="minorEastAsia"/>
                <w:lang w:eastAsia="en-AU"/>
              </w:rPr>
              <w:t xml:space="preserve"> </w:t>
            </w:r>
            <w:r w:rsidRPr="003E2DBE">
              <w:rPr>
                <w:rFonts w:eastAsiaTheme="minorEastAsia" w:cs="Calibri"/>
                <w:szCs w:val="22"/>
                <w:lang w:eastAsia="en-AU"/>
              </w:rPr>
              <w:t>639 537</w:t>
            </w:r>
          </w:p>
        </w:tc>
      </w:tr>
      <w:tr w:rsidR="000B4A1E" w:rsidRPr="003E2DBE" w:rsidTr="00517E51">
        <w:tc>
          <w:tcPr>
            <w:tcW w:w="5954" w:type="dxa"/>
            <w:tcBorders>
              <w:top w:val="nil"/>
              <w:left w:val="nil"/>
              <w:bottom w:val="single" w:sz="4"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Parliamentary authority (excluding </w:t>
            </w:r>
            <w:r w:rsidRPr="003E2DBE">
              <w:rPr>
                <w:rFonts w:eastAsiaTheme="minorEastAsia"/>
                <w:b/>
                <w:bCs/>
                <w:i/>
                <w:lang w:eastAsia="en-AU"/>
              </w:rPr>
              <w:t>Financial Management Act, No</w:t>
            </w:r>
            <w:r w:rsidRPr="003E2DBE">
              <w:rPr>
                <w:rFonts w:eastAsiaTheme="minorEastAsia" w:cs="Calibri"/>
                <w:b/>
                <w:bCs/>
                <w:i/>
                <w:szCs w:val="22"/>
                <w:lang w:eastAsia="en-AU"/>
              </w:rPr>
              <w:t>. 18 of</w:t>
            </w:r>
            <w:r w:rsidRPr="003E2DBE">
              <w:rPr>
                <w:rFonts w:eastAsiaTheme="minorEastAsia" w:cs="Calibri"/>
                <w:b/>
                <w:bCs/>
                <w:i/>
                <w:iCs/>
                <w:szCs w:val="22"/>
                <w:lang w:eastAsia="en-AU"/>
              </w:rPr>
              <w:t xml:space="preserve"> 1994 </w:t>
            </w:r>
            <w:r w:rsidRPr="003E2DBE">
              <w:rPr>
                <w:rFonts w:eastAsiaTheme="minorEastAsia" w:cs="Calibri"/>
                <w:b/>
                <w:bCs/>
                <w:szCs w:val="22"/>
                <w:lang w:eastAsia="en-AU"/>
              </w:rPr>
              <w:t>Section 33)</w:t>
            </w:r>
          </w:p>
        </w:tc>
        <w:tc>
          <w:tcPr>
            <w:tcW w:w="1440" w:type="dxa"/>
            <w:gridSpan w:val="2"/>
            <w:tcBorders>
              <w:top w:val="nil"/>
              <w:left w:val="nil"/>
              <w:bottom w:val="single" w:sz="4"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785 351</w:t>
            </w:r>
          </w:p>
        </w:tc>
        <w:tc>
          <w:tcPr>
            <w:tcW w:w="1131" w:type="dxa"/>
            <w:tcBorders>
              <w:top w:val="nil"/>
              <w:left w:val="nil"/>
              <w:bottom w:val="single" w:sz="4"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617 642</w:t>
            </w:r>
          </w:p>
        </w:tc>
        <w:tc>
          <w:tcPr>
            <w:tcW w:w="1123" w:type="dxa"/>
            <w:tcBorders>
              <w:top w:val="nil"/>
              <w:left w:val="nil"/>
              <w:bottom w:val="single" w:sz="4"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639 537</w:t>
            </w:r>
          </w:p>
        </w:tc>
      </w:tr>
      <w:tr w:rsidR="000B4A1E" w:rsidRPr="003E2DBE" w:rsidTr="00517E51">
        <w:tc>
          <w:tcPr>
            <w:tcW w:w="5954" w:type="dxa"/>
            <w:tcBorders>
              <w:top w:val="single" w:sz="4" w:space="0" w:color="auto"/>
              <w:left w:val="nil"/>
              <w:bottom w:val="single" w:sz="4"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Amounts issued under the authority of the </w:t>
            </w:r>
            <w:r w:rsidRPr="003E2DBE">
              <w:rPr>
                <w:rFonts w:eastAsiaTheme="minorEastAsia"/>
                <w:b/>
                <w:bCs/>
                <w:i/>
                <w:lang w:eastAsia="en-AU"/>
              </w:rPr>
              <w:t>Financial Management</w:t>
            </w:r>
            <w:r w:rsidRPr="003E2DBE">
              <w:rPr>
                <w:rFonts w:eastAsiaTheme="minorEastAsia" w:cs="Calibri"/>
                <w:b/>
                <w:bCs/>
                <w:i/>
                <w:szCs w:val="22"/>
                <w:lang w:eastAsia="en-AU"/>
              </w:rPr>
              <w:t xml:space="preserve"> Act</w:t>
            </w:r>
            <w:r w:rsidRPr="003E2DBE">
              <w:rPr>
                <w:rFonts w:eastAsiaTheme="minorEastAsia" w:cs="Calibri"/>
                <w:b/>
                <w:bCs/>
                <w:szCs w:val="22"/>
                <w:lang w:eastAsia="en-AU"/>
              </w:rPr>
              <w:t xml:space="preserve">, </w:t>
            </w:r>
            <w:r w:rsidR="00FB4EAF">
              <w:rPr>
                <w:rFonts w:eastAsiaTheme="minorEastAsia" w:cs="Calibri"/>
                <w:b/>
                <w:bCs/>
                <w:i/>
                <w:szCs w:val="22"/>
                <w:lang w:eastAsia="en-AU"/>
              </w:rPr>
              <w:t>No. 18 of 1994</w:t>
            </w:r>
            <w:r w:rsidRPr="003E2DBE">
              <w:rPr>
                <w:rFonts w:eastAsiaTheme="minorEastAsia" w:cs="Calibri"/>
                <w:b/>
                <w:bCs/>
                <w:szCs w:val="22"/>
                <w:lang w:eastAsia="en-AU"/>
              </w:rPr>
              <w:t xml:space="preserve"> Section 33 (Special Appropriation) relating to prior year appropriations</w:t>
            </w:r>
          </w:p>
        </w:tc>
        <w:tc>
          <w:tcPr>
            <w:tcW w:w="1440" w:type="dxa"/>
            <w:gridSpan w:val="2"/>
            <w:tcBorders>
              <w:top w:val="single" w:sz="4" w:space="0" w:color="auto"/>
              <w:left w:val="nil"/>
              <w:bottom w:val="single" w:sz="4"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31" w:type="dxa"/>
            <w:tcBorders>
              <w:top w:val="single" w:sz="4" w:space="0" w:color="auto"/>
              <w:left w:val="nil"/>
              <w:bottom w:val="single" w:sz="4"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w:t>
            </w:r>
          </w:p>
        </w:tc>
        <w:tc>
          <w:tcPr>
            <w:tcW w:w="1123" w:type="dxa"/>
            <w:tcBorders>
              <w:top w:val="single" w:sz="4" w:space="0" w:color="auto"/>
              <w:left w:val="nil"/>
              <w:bottom w:val="single" w:sz="4"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13 100</w:t>
            </w:r>
          </w:p>
        </w:tc>
      </w:tr>
      <w:tr w:rsidR="000B4A1E" w:rsidRPr="003E2DBE" w:rsidTr="00517E51">
        <w:trPr>
          <w:trHeight w:hRule="exact" w:val="120"/>
        </w:trPr>
        <w:tc>
          <w:tcPr>
            <w:tcW w:w="5954" w:type="dxa"/>
            <w:tcBorders>
              <w:top w:val="single" w:sz="4" w:space="0" w:color="auto"/>
              <w:left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0" w:type="dxa"/>
            <w:gridSpan w:val="2"/>
            <w:tcBorders>
              <w:top w:val="single" w:sz="4" w:space="0" w:color="auto"/>
              <w:left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31" w:type="dxa"/>
            <w:tcBorders>
              <w:top w:val="single" w:sz="4" w:space="0" w:color="auto"/>
              <w:left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single" w:sz="4" w:space="0" w:color="auto"/>
              <w:left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954" w:type="dxa"/>
            <w:tcBorders>
              <w:left w:val="nil"/>
              <w:bottom w:val="single" w:sz="12"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w:t>
            </w:r>
            <w:r w:rsidRPr="003E2DBE">
              <w:rPr>
                <w:rFonts w:eastAsiaTheme="minorEastAsia" w:cs="Calibri"/>
                <w:b/>
                <w:bCs/>
                <w:szCs w:val="22"/>
                <w:lang w:eastAsia="en-AU"/>
              </w:rPr>
              <w:t>Parliamentary authority</w:t>
            </w:r>
          </w:p>
        </w:tc>
        <w:tc>
          <w:tcPr>
            <w:tcW w:w="1440" w:type="dxa"/>
            <w:gridSpan w:val="2"/>
            <w:tcBorders>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 xml:space="preserve"> 785</w:t>
            </w:r>
            <w:r w:rsidRPr="003E2DBE">
              <w:rPr>
                <w:rFonts w:eastAsiaTheme="minorEastAsia" w:cs="Calibri"/>
                <w:b/>
                <w:bCs/>
                <w:szCs w:val="22"/>
                <w:lang w:eastAsia="en-AU"/>
              </w:rPr>
              <w:t xml:space="preserve"> 351</w:t>
            </w:r>
          </w:p>
        </w:tc>
        <w:tc>
          <w:tcPr>
            <w:tcW w:w="1131" w:type="dxa"/>
            <w:tcBorders>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 xml:space="preserve"> </w:t>
            </w:r>
            <w:r w:rsidRPr="003E2DBE">
              <w:rPr>
                <w:rFonts w:eastAsiaTheme="minorEastAsia" w:cs="Calibri"/>
                <w:b/>
                <w:bCs/>
                <w:szCs w:val="22"/>
                <w:lang w:eastAsia="en-AU"/>
              </w:rPr>
              <w:t>617 642</w:t>
            </w:r>
          </w:p>
        </w:tc>
        <w:tc>
          <w:tcPr>
            <w:tcW w:w="1123" w:type="dxa"/>
            <w:tcBorders>
              <w:left w:val="nil"/>
              <w:bottom w:val="single" w:sz="12" w:space="0" w:color="auto"/>
              <w:right w:val="nil"/>
            </w:tcBorders>
          </w:tcPr>
          <w:p w:rsidR="000B4A1E" w:rsidRPr="003E2DBE" w:rsidRDefault="000B4A1E" w:rsidP="00517E51">
            <w:pPr>
              <w:pStyle w:val="TableofFigures"/>
              <w:rPr>
                <w:rFonts w:eastAsiaTheme="minorEastAsia" w:cs="Calibri"/>
                <w:b/>
                <w:bCs/>
                <w:szCs w:val="22"/>
                <w:lang w:eastAsia="en-AU"/>
              </w:rPr>
            </w:pPr>
            <w:r w:rsidRPr="003E2DBE">
              <w:rPr>
                <w:rFonts w:eastAsiaTheme="minorEastAsia"/>
                <w:b/>
                <w:lang w:eastAsia="en-AU"/>
              </w:rPr>
              <w:t xml:space="preserve"> </w:t>
            </w:r>
            <w:r w:rsidRPr="003E2DBE">
              <w:rPr>
                <w:rFonts w:eastAsiaTheme="minorEastAsia" w:cs="Calibri"/>
                <w:b/>
                <w:bCs/>
                <w:szCs w:val="22"/>
                <w:lang w:eastAsia="en-AU"/>
              </w:rPr>
              <w:t>652 637</w:t>
            </w:r>
          </w:p>
        </w:tc>
      </w:tr>
    </w:tbl>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rsidRPr="00D00665">
        <w:tab/>
        <w:t>Effective 9 April 2013, the Department of Business and Innovation became the Department of State Devel</w:t>
      </w:r>
      <w:r>
        <w:t xml:space="preserve">opment, Business and Innovation </w:t>
      </w:r>
      <w:r w:rsidRPr="00D00665">
        <w:t>due to machinery of government changes.</w:t>
      </w:r>
    </w:p>
    <w:p w:rsidR="000B4A1E" w:rsidRPr="00D00665" w:rsidRDefault="000B4A1E" w:rsidP="00517E51"/>
    <w:p w:rsidR="000B4A1E" w:rsidRPr="00D00665" w:rsidRDefault="000B4A1E" w:rsidP="00517E51">
      <w:pPr>
        <w:pStyle w:val="million"/>
      </w:pPr>
    </w:p>
    <w:p w:rsidR="000B4A1E" w:rsidRPr="00D00665" w:rsidRDefault="000B4A1E">
      <w:pPr>
        <w:spacing w:after="0"/>
        <w:rPr>
          <w:rFonts w:ascii="Calibri" w:hAnsi="Calibri"/>
          <w:b/>
        </w:rPr>
      </w:pPr>
      <w:r w:rsidRPr="00D00665">
        <w:br w:type="page"/>
      </w:r>
    </w:p>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pPr>
      <w:r w:rsidRPr="00D00665">
        <w:t>(y)</w:t>
      </w:r>
      <w:r w:rsidRPr="00D00665">
        <w:tab/>
        <w:t xml:space="preserve">Parliamentary authority – Transport, Planning and Local Infrastructure </w:t>
      </w:r>
      <w:r w:rsidRPr="00D00665">
        <w:rPr>
          <w:vertAlign w:val="superscript"/>
        </w:rPr>
        <w:t>(a)</w:t>
      </w:r>
    </w:p>
    <w:p w:rsidR="000B4A1E" w:rsidRPr="003E2DBE" w:rsidRDefault="000B4A1E" w:rsidP="00517E51">
      <w:pPr>
        <w:pStyle w:val="million"/>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5864"/>
        <w:gridCol w:w="90"/>
        <w:gridCol w:w="180"/>
        <w:gridCol w:w="1268"/>
        <w:gridCol w:w="1123"/>
        <w:gridCol w:w="1123"/>
      </w:tblGrid>
      <w:tr w:rsidR="000B4A1E" w:rsidRPr="003E2DBE" w:rsidTr="00517E51">
        <w:tc>
          <w:tcPr>
            <w:tcW w:w="5954" w:type="dxa"/>
            <w:gridSpan w:val="2"/>
            <w:tcBorders>
              <w:top w:val="single" w:sz="4" w:space="0" w:color="auto"/>
              <w:left w:val="single" w:sz="4" w:space="0" w:color="auto"/>
              <w:bottom w:val="nil"/>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48" w:type="dxa"/>
            <w:gridSpan w:val="2"/>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 xml:space="preserve">Parliamentary </w:t>
            </w:r>
          </w:p>
        </w:tc>
        <w:tc>
          <w:tcPr>
            <w:tcW w:w="1123" w:type="dxa"/>
            <w:tcBorders>
              <w:top w:val="single" w:sz="4" w:space="0" w:color="auto"/>
              <w:left w:val="nil"/>
              <w:bottom w:val="nil"/>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c>
          <w:tcPr>
            <w:tcW w:w="1123" w:type="dxa"/>
            <w:tcBorders>
              <w:top w:val="single" w:sz="4" w:space="0" w:color="auto"/>
              <w:left w:val="nil"/>
              <w:bottom w:val="nil"/>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Amounts</w:t>
            </w:r>
          </w:p>
        </w:tc>
      </w:tr>
      <w:tr w:rsidR="000B4A1E" w:rsidRPr="003E2DBE" w:rsidTr="00517E51">
        <w:tc>
          <w:tcPr>
            <w:tcW w:w="5954" w:type="dxa"/>
            <w:gridSpan w:val="2"/>
            <w:tcBorders>
              <w:top w:val="nil"/>
              <w:left w:val="single" w:sz="4" w:space="0" w:color="auto"/>
              <w:bottom w:val="single" w:sz="4" w:space="0" w:color="auto"/>
              <w:right w:val="nil"/>
            </w:tcBorders>
            <w:shd w:val="clear" w:color="auto" w:fill="000000"/>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48" w:type="dxa"/>
            <w:gridSpan w:val="2"/>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rPr>
              <w:t>authority</w:t>
            </w:r>
          </w:p>
        </w:tc>
        <w:tc>
          <w:tcPr>
            <w:tcW w:w="1123" w:type="dxa"/>
            <w:tcBorders>
              <w:top w:val="nil"/>
              <w:left w:val="nil"/>
              <w:bottom w:val="single" w:sz="4" w:space="0" w:color="auto"/>
              <w:right w:val="nil"/>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c>
          <w:tcPr>
            <w:tcW w:w="1123" w:type="dxa"/>
            <w:tcBorders>
              <w:top w:val="nil"/>
              <w:left w:val="nil"/>
              <w:bottom w:val="single" w:sz="4" w:space="0" w:color="auto"/>
              <w:right w:val="single" w:sz="4" w:space="0" w:color="auto"/>
            </w:tcBorders>
            <w:shd w:val="clear" w:color="auto" w:fill="000000"/>
          </w:tcPr>
          <w:p w:rsidR="000B4A1E" w:rsidRPr="003E2DBE" w:rsidRDefault="000B4A1E" w:rsidP="00517E51">
            <w:pPr>
              <w:pStyle w:val="Tabletextheading"/>
              <w:rPr>
                <w:rFonts w:eastAsiaTheme="minorEastAsia"/>
                <w:lang w:eastAsia="en-AU"/>
              </w:rPr>
            </w:pPr>
            <w:r w:rsidRPr="003E2DBE">
              <w:rPr>
                <w:rFonts w:eastAsiaTheme="minorEastAsia"/>
                <w:lang w:eastAsia="en-AU"/>
              </w:rPr>
              <w:t>applied</w:t>
            </w:r>
          </w:p>
        </w:tc>
      </w:tr>
      <w:tr w:rsidR="000B4A1E" w:rsidRPr="003E2DBE" w:rsidTr="00517E51">
        <w:tc>
          <w:tcPr>
            <w:tcW w:w="5954" w:type="dxa"/>
            <w:gridSpan w:val="2"/>
            <w:tcBorders>
              <w:top w:val="single" w:sz="4" w:space="0" w:color="auto"/>
              <w:left w:val="single" w:sz="4" w:space="0" w:color="auto"/>
              <w:bottom w:val="single" w:sz="4" w:space="0" w:color="auto"/>
              <w:right w:val="nil"/>
            </w:tcBorders>
            <w:shd w:val="solid" w:color="000000" w:fill="auto"/>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48" w:type="dxa"/>
            <w:gridSpan w:val="2"/>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single" w:sz="4" w:space="0" w:color="auto"/>
              <w:left w:val="nil"/>
              <w:bottom w:val="single" w:sz="4" w:space="0" w:color="auto"/>
              <w:right w:val="nil"/>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2013</w:t>
            </w:r>
          </w:p>
        </w:tc>
        <w:tc>
          <w:tcPr>
            <w:tcW w:w="1123" w:type="dxa"/>
            <w:tcBorders>
              <w:top w:val="single" w:sz="4" w:space="0" w:color="auto"/>
              <w:left w:val="nil"/>
              <w:bottom w:val="single" w:sz="4" w:space="0" w:color="auto"/>
              <w:right w:val="single" w:sz="4" w:space="0" w:color="auto"/>
            </w:tcBorders>
            <w:shd w:val="solid" w:color="000000" w:fill="auto"/>
          </w:tcPr>
          <w:p w:rsidR="000B4A1E" w:rsidRPr="003E2DBE" w:rsidRDefault="000B4A1E" w:rsidP="00517E51">
            <w:pPr>
              <w:pStyle w:val="Tabletextheading"/>
              <w:rPr>
                <w:rFonts w:eastAsiaTheme="minorEastAsia"/>
                <w:lang w:eastAsia="en-AU"/>
              </w:rPr>
            </w:pPr>
            <w:r w:rsidRPr="003E2DBE">
              <w:rPr>
                <w:rFonts w:eastAsiaTheme="minorEastAsia"/>
                <w:lang w:eastAsia="en-AU"/>
              </w:rPr>
              <w:t>2012</w:t>
            </w:r>
          </w:p>
        </w:tc>
      </w:tr>
      <w:tr w:rsidR="000B4A1E" w:rsidRPr="003E2DBE" w:rsidTr="00517E51">
        <w:tc>
          <w:tcPr>
            <w:tcW w:w="5954" w:type="dxa"/>
            <w:gridSpan w:val="2"/>
            <w:tcBorders>
              <w:top w:val="single" w:sz="4" w:space="0" w:color="auto"/>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Special appropriations</w:t>
            </w:r>
          </w:p>
        </w:tc>
        <w:tc>
          <w:tcPr>
            <w:tcW w:w="1448" w:type="dxa"/>
            <w:gridSpan w:val="2"/>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single" w:sz="4" w:space="0" w:color="auto"/>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i/>
                <w:lang w:eastAsia="en-AU"/>
              </w:rPr>
              <w:t>Financial Management Act, No. 18 of 1994,</w:t>
            </w:r>
            <w:r w:rsidRPr="003E2DBE">
              <w:rPr>
                <w:rFonts w:eastAsiaTheme="minorEastAsia"/>
                <w:lang w:eastAsia="en-AU"/>
              </w:rPr>
              <w:t xml:space="preserve"> Section 10</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95 067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95 067</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6134" w:type="dxa"/>
            <w:gridSpan w:val="3"/>
            <w:tcBorders>
              <w:top w:val="nil"/>
              <w:left w:val="nil"/>
              <w:bottom w:val="nil"/>
              <w:right w:val="nil"/>
            </w:tcBorders>
          </w:tcPr>
          <w:p w:rsidR="000B4A1E" w:rsidRPr="003E2DBE" w:rsidRDefault="000B4A1E" w:rsidP="00517E51">
            <w:pPr>
              <w:pStyle w:val="Tabletext"/>
              <w:rPr>
                <w:rFonts w:eastAsiaTheme="minorEastAsia" w:cs="Calibri"/>
                <w:i/>
                <w:iCs/>
                <w:color w:val="000000"/>
                <w:szCs w:val="22"/>
                <w:vertAlign w:val="superscript"/>
                <w:lang w:eastAsia="en-AU"/>
              </w:rPr>
            </w:pPr>
            <w:r w:rsidRPr="003E2DBE">
              <w:rPr>
                <w:rFonts w:eastAsiaTheme="minorEastAsia"/>
                <w:i/>
                <w:lang w:eastAsia="en-AU"/>
              </w:rPr>
              <w:t xml:space="preserve">Transport (Compliance and Miscellaneous) Act </w:t>
            </w:r>
            <w:r w:rsidRPr="003E2DBE">
              <w:rPr>
                <w:rFonts w:eastAsiaTheme="minorEastAsia"/>
                <w:lang w:eastAsia="en-AU"/>
              </w:rPr>
              <w:t>1983, Section 213</w:t>
            </w:r>
            <w:r w:rsidRPr="003E2DBE">
              <w:rPr>
                <w:rFonts w:eastAsiaTheme="minorEastAsia"/>
                <w:vertAlign w:val="superscript"/>
                <w:lang w:eastAsia="en-AU"/>
              </w:rPr>
              <w:t xml:space="preserve"> (a</w:t>
            </w:r>
            <w:r w:rsidRPr="0078154E">
              <w:rPr>
                <w:rFonts w:eastAsiaTheme="minorEastAsia"/>
                <w:vertAlign w:val="superscript"/>
                <w:lang w:eastAsia="en-AU"/>
              </w:rPr>
              <w:t>)</w:t>
            </w:r>
          </w:p>
        </w:tc>
        <w:tc>
          <w:tcPr>
            <w:tcW w:w="1268"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1 598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1 598</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1 570</w:t>
            </w:r>
          </w:p>
        </w:tc>
      </w:tr>
      <w:tr w:rsidR="000B4A1E" w:rsidRPr="003E2DBE" w:rsidTr="00517E51">
        <w:tc>
          <w:tcPr>
            <w:tcW w:w="5954" w:type="dxa"/>
            <w:gridSpan w:val="2"/>
            <w:tcBorders>
              <w:top w:val="single" w:sz="6" w:space="0" w:color="auto"/>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special appropriations (excluding </w:t>
            </w:r>
            <w:r w:rsidRPr="003E2DBE">
              <w:rPr>
                <w:rFonts w:eastAsiaTheme="minorEastAsia"/>
                <w:b/>
                <w:bCs/>
                <w:i/>
                <w:lang w:eastAsia="en-AU"/>
              </w:rPr>
              <w:t>Financial Management Act, No</w:t>
            </w:r>
            <w:r w:rsidRPr="003E2DBE">
              <w:rPr>
                <w:rFonts w:eastAsiaTheme="minorEastAsia" w:cs="Calibri"/>
                <w:b/>
                <w:bCs/>
                <w:i/>
                <w:iCs/>
                <w:szCs w:val="22"/>
                <w:lang w:eastAsia="en-AU"/>
              </w:rPr>
              <w:t>. 18 of 1994</w:t>
            </w:r>
            <w:r w:rsidRPr="003E2DBE">
              <w:rPr>
                <w:rFonts w:eastAsiaTheme="minorEastAsia" w:cs="Calibri"/>
                <w:b/>
                <w:bCs/>
                <w:szCs w:val="22"/>
                <w:lang w:eastAsia="en-AU"/>
              </w:rPr>
              <w:t xml:space="preserve"> Section 33)</w:t>
            </w:r>
          </w:p>
        </w:tc>
        <w:tc>
          <w:tcPr>
            <w:tcW w:w="1448" w:type="dxa"/>
            <w:gridSpan w:val="2"/>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96 665</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96 665</w:t>
            </w:r>
          </w:p>
        </w:tc>
        <w:tc>
          <w:tcPr>
            <w:tcW w:w="1123" w:type="dxa"/>
            <w:tcBorders>
              <w:top w:val="single" w:sz="6" w:space="0" w:color="auto"/>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1 570</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Annual appropriations</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Provision of outputs</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Provision of outputs – net application</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4 614 265</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4 567 773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4 385 188</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29 </w:t>
            </w:r>
            <w:r w:rsidRPr="003E2DBE">
              <w:rPr>
                <w:rFonts w:eastAsiaTheme="minorEastAsia"/>
                <w:i/>
                <w:lang w:eastAsia="en-AU"/>
              </w:rPr>
              <w:t>Financial Management Act, No. 18 of 1994</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222 944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222 944</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711 955</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185 076</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181 129</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56 695</w:t>
            </w:r>
          </w:p>
        </w:tc>
      </w:tr>
      <w:tr w:rsidR="000B4A1E" w:rsidRPr="003E2DBE" w:rsidTr="00517E51">
        <w:tc>
          <w:tcPr>
            <w:tcW w:w="595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Advance to Treasurer </w:t>
            </w:r>
          </w:p>
        </w:tc>
        <w:tc>
          <w:tcPr>
            <w:tcW w:w="1448" w:type="dxa"/>
            <w:gridSpan w:val="2"/>
            <w:tcBorders>
              <w:top w:val="nil"/>
              <w:left w:val="nil"/>
              <w:bottom w:val="single" w:sz="6" w:space="0" w:color="auto"/>
              <w:right w:val="nil"/>
            </w:tcBorders>
            <w:shd w:val="solid" w:color="FFFFFF" w:fill="auto"/>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87 678</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83 568</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21 209</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provision of outputs – gross application</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5 109 963</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5 055 414</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5 175 047</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 </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Additions to the net asset base</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Additions to the net asset base – net application</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2 225 480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1 013 471</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964 631</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29 </w:t>
            </w:r>
            <w:r w:rsidRPr="003E2DBE">
              <w:rPr>
                <w:rFonts w:eastAsiaTheme="minorEastAsia"/>
                <w:i/>
                <w:lang w:eastAsia="en-AU"/>
              </w:rPr>
              <w:t>Financial Management Act, No. 18 of 1994</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622 000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528 600</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459 639</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32 </w:t>
            </w:r>
            <w:r w:rsidRPr="003E2DBE">
              <w:rPr>
                <w:rFonts w:eastAsiaTheme="minorEastAsia"/>
                <w:i/>
                <w:lang w:eastAsia="en-AU"/>
              </w:rPr>
              <w:t>Financial Management Act, No. 18 of 1994</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410 343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410 343</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304 603</w:t>
            </w:r>
          </w:p>
        </w:tc>
      </w:tr>
      <w:tr w:rsidR="000B4A1E" w:rsidRPr="003E2DBE" w:rsidTr="00517E51">
        <w:tc>
          <w:tcPr>
            <w:tcW w:w="5864" w:type="dxa"/>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Section 35 </w:t>
            </w:r>
            <w:r w:rsidRPr="003E2DBE">
              <w:rPr>
                <w:rFonts w:eastAsiaTheme="minorEastAsia"/>
                <w:i/>
                <w:lang w:eastAsia="en-AU"/>
              </w:rPr>
              <w:t>Financial Management Act, No. 18 of 1994</w:t>
            </w:r>
            <w:r w:rsidRPr="003E2DBE">
              <w:rPr>
                <w:rFonts w:eastAsiaTheme="minorEastAsia"/>
                <w:lang w:eastAsia="en-AU"/>
              </w:rPr>
              <w:t xml:space="preserve"> (temporary advances)</w:t>
            </w:r>
          </w:p>
        </w:tc>
        <w:tc>
          <w:tcPr>
            <w:tcW w:w="1538" w:type="dxa"/>
            <w:gridSpan w:val="3"/>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additions to the net asset base – gross application</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3 257 823</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1 952 414</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1 728 873</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nil"/>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95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annual appropriations – gross application</w:t>
            </w:r>
          </w:p>
        </w:tc>
        <w:tc>
          <w:tcPr>
            <w:tcW w:w="144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8 367 786</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7 007 828</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6 903 920</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Total Parliamentary authority (excluding </w:t>
            </w:r>
            <w:r w:rsidRPr="003E2DBE">
              <w:rPr>
                <w:rFonts w:eastAsiaTheme="minorEastAsia"/>
                <w:b/>
                <w:bCs/>
                <w:i/>
                <w:lang w:eastAsia="en-AU"/>
              </w:rPr>
              <w:t>Financial Management Act, No</w:t>
            </w:r>
            <w:r w:rsidRPr="003E2DBE">
              <w:rPr>
                <w:rFonts w:eastAsiaTheme="minorEastAsia" w:cs="Calibri"/>
                <w:b/>
                <w:bCs/>
                <w:i/>
                <w:iCs/>
                <w:szCs w:val="22"/>
                <w:lang w:eastAsia="en-AU"/>
              </w:rPr>
              <w:t>. 18 of 1994</w:t>
            </w:r>
            <w:r w:rsidRPr="003E2DBE">
              <w:rPr>
                <w:rFonts w:eastAsiaTheme="minorEastAsia" w:cs="Calibri"/>
                <w:b/>
                <w:bCs/>
                <w:szCs w:val="22"/>
                <w:lang w:eastAsia="en-AU"/>
              </w:rPr>
              <w:t xml:space="preserve"> Section 33)</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8 464 451</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7 104 493</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6 905 490</w:t>
            </w:r>
          </w:p>
        </w:tc>
      </w:tr>
      <w:tr w:rsidR="000B4A1E" w:rsidRPr="003E2DBE" w:rsidTr="00517E51">
        <w:tc>
          <w:tcPr>
            <w:tcW w:w="595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lang w:eastAsia="en-AU"/>
              </w:rPr>
            </w:pPr>
            <w:r w:rsidRPr="003E2DBE">
              <w:rPr>
                <w:rFonts w:eastAsiaTheme="minorEastAsia"/>
                <w:lang w:eastAsia="en-AU"/>
              </w:rPr>
              <w:t xml:space="preserve"> </w:t>
            </w:r>
          </w:p>
        </w:tc>
        <w:tc>
          <w:tcPr>
            <w:tcW w:w="144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lang w:eastAsia="en-AU"/>
              </w:rPr>
            </w:pPr>
            <w:r w:rsidRPr="003E2DBE">
              <w:rPr>
                <w:rFonts w:eastAsiaTheme="minorEastAsia"/>
                <w:lang w:eastAsia="en-AU"/>
              </w:rPr>
              <w:t xml:space="preserve">  </w:t>
            </w:r>
          </w:p>
        </w:tc>
      </w:tr>
      <w:tr w:rsidR="000B4A1E" w:rsidRPr="003E2DBE" w:rsidTr="00517E51">
        <w:tc>
          <w:tcPr>
            <w:tcW w:w="5954" w:type="dxa"/>
            <w:gridSpan w:val="2"/>
            <w:tcBorders>
              <w:top w:val="nil"/>
              <w:left w:val="nil"/>
              <w:bottom w:val="nil"/>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 xml:space="preserve">Amounts issued under the authority of the </w:t>
            </w:r>
            <w:r w:rsidRPr="003E2DBE">
              <w:rPr>
                <w:rFonts w:eastAsiaTheme="minorEastAsia"/>
                <w:b/>
                <w:bCs/>
                <w:i/>
                <w:lang w:eastAsia="en-AU"/>
              </w:rPr>
              <w:t>Financial</w:t>
            </w:r>
            <w:r w:rsidR="00FB4EAF">
              <w:rPr>
                <w:rFonts w:eastAsiaTheme="minorEastAsia"/>
                <w:b/>
                <w:bCs/>
                <w:i/>
                <w:lang w:eastAsia="en-AU"/>
              </w:rPr>
              <w:t xml:space="preserve"> Management Act, No. 18 of 1994</w:t>
            </w:r>
            <w:r w:rsidRPr="003E2DBE">
              <w:rPr>
                <w:rFonts w:eastAsiaTheme="minorEastAsia"/>
                <w:b/>
                <w:bCs/>
                <w:lang w:eastAsia="en-AU"/>
              </w:rPr>
              <w:t xml:space="preserve"> Section 33 (Special Appropriation) relating to prior year appropriations</w:t>
            </w:r>
          </w:p>
        </w:tc>
        <w:tc>
          <w:tcPr>
            <w:tcW w:w="1448" w:type="dxa"/>
            <w:gridSpan w:val="2"/>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6 293</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6 293</w:t>
            </w:r>
          </w:p>
        </w:tc>
        <w:tc>
          <w:tcPr>
            <w:tcW w:w="1123" w:type="dxa"/>
            <w:tcBorders>
              <w:top w:val="nil"/>
              <w:left w:val="nil"/>
              <w:bottom w:val="nil"/>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10 406</w:t>
            </w:r>
          </w:p>
        </w:tc>
      </w:tr>
      <w:tr w:rsidR="000B4A1E" w:rsidRPr="003E2DBE" w:rsidTr="00517E51">
        <w:trPr>
          <w:trHeight w:hRule="exact" w:val="120"/>
        </w:trPr>
        <w:tc>
          <w:tcPr>
            <w:tcW w:w="5954" w:type="dxa"/>
            <w:gridSpan w:val="2"/>
            <w:tcBorders>
              <w:top w:val="nil"/>
              <w:left w:val="nil"/>
              <w:bottom w:val="single" w:sz="6" w:space="0" w:color="auto"/>
              <w:right w:val="nil"/>
            </w:tcBorders>
          </w:tcPr>
          <w:p w:rsidR="000B4A1E" w:rsidRPr="003E2DBE" w:rsidRDefault="000B4A1E" w:rsidP="00517E51">
            <w:pPr>
              <w:pStyle w:val="Tabletext"/>
              <w:rPr>
                <w:rFonts w:eastAsiaTheme="minorEastAsia" w:cs="Calibri"/>
                <w:b/>
                <w:bCs/>
                <w:szCs w:val="22"/>
                <w:lang w:eastAsia="en-AU"/>
              </w:rPr>
            </w:pPr>
            <w:r w:rsidRPr="003E2DBE">
              <w:rPr>
                <w:rFonts w:eastAsiaTheme="minorEastAsia"/>
                <w:b/>
                <w:bCs/>
                <w:lang w:eastAsia="en-AU"/>
              </w:rPr>
              <w:t xml:space="preserve"> </w:t>
            </w:r>
          </w:p>
        </w:tc>
        <w:tc>
          <w:tcPr>
            <w:tcW w:w="1448" w:type="dxa"/>
            <w:gridSpan w:val="2"/>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c>
          <w:tcPr>
            <w:tcW w:w="1123" w:type="dxa"/>
            <w:tcBorders>
              <w:top w:val="nil"/>
              <w:left w:val="nil"/>
              <w:bottom w:val="single" w:sz="6"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 xml:space="preserve"> </w:t>
            </w:r>
          </w:p>
        </w:tc>
      </w:tr>
      <w:tr w:rsidR="000B4A1E" w:rsidRPr="003E2DBE" w:rsidTr="00517E51">
        <w:tc>
          <w:tcPr>
            <w:tcW w:w="5954" w:type="dxa"/>
            <w:gridSpan w:val="2"/>
            <w:tcBorders>
              <w:top w:val="nil"/>
              <w:left w:val="nil"/>
              <w:bottom w:val="single" w:sz="12" w:space="0" w:color="auto"/>
              <w:right w:val="nil"/>
            </w:tcBorders>
          </w:tcPr>
          <w:p w:rsidR="000B4A1E" w:rsidRPr="003E2DBE" w:rsidRDefault="000B4A1E" w:rsidP="00517E51">
            <w:pPr>
              <w:pStyle w:val="Tabletext"/>
              <w:rPr>
                <w:rFonts w:eastAsiaTheme="minorEastAsia"/>
                <w:b/>
                <w:bCs/>
                <w:lang w:eastAsia="en-AU"/>
              </w:rPr>
            </w:pPr>
            <w:r w:rsidRPr="003E2DBE">
              <w:rPr>
                <w:rFonts w:eastAsiaTheme="minorEastAsia"/>
                <w:b/>
                <w:bCs/>
                <w:lang w:eastAsia="en-AU"/>
              </w:rPr>
              <w:t>Total Parliamentary authority</w:t>
            </w:r>
          </w:p>
        </w:tc>
        <w:tc>
          <w:tcPr>
            <w:tcW w:w="1448" w:type="dxa"/>
            <w:gridSpan w:val="2"/>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8 470 744</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7 110 786</w:t>
            </w:r>
          </w:p>
        </w:tc>
        <w:tc>
          <w:tcPr>
            <w:tcW w:w="1123" w:type="dxa"/>
            <w:tcBorders>
              <w:top w:val="nil"/>
              <w:left w:val="nil"/>
              <w:bottom w:val="single" w:sz="12" w:space="0" w:color="auto"/>
              <w:right w:val="nil"/>
            </w:tcBorders>
          </w:tcPr>
          <w:p w:rsidR="000B4A1E" w:rsidRPr="003E2DBE" w:rsidRDefault="000B4A1E" w:rsidP="00517E51">
            <w:pPr>
              <w:pStyle w:val="TableofFigures"/>
              <w:rPr>
                <w:rFonts w:eastAsiaTheme="minorEastAsia"/>
                <w:b/>
                <w:bCs/>
                <w:lang w:eastAsia="en-AU"/>
              </w:rPr>
            </w:pPr>
            <w:r w:rsidRPr="003E2DBE">
              <w:rPr>
                <w:rFonts w:eastAsiaTheme="minorEastAsia"/>
                <w:b/>
                <w:bCs/>
                <w:lang w:eastAsia="en-AU"/>
              </w:rPr>
              <w:t>6 915 896</w:t>
            </w:r>
          </w:p>
        </w:tc>
      </w:tr>
    </w:tbl>
    <w:p w:rsidR="000B4A1E" w:rsidRPr="00D00665" w:rsidRDefault="000B4A1E" w:rsidP="00517E51">
      <w:pPr>
        <w:pStyle w:val="Notes"/>
      </w:pPr>
      <w:r w:rsidRPr="00D00665">
        <w:t>Note:</w:t>
      </w:r>
    </w:p>
    <w:p w:rsidR="000B4A1E" w:rsidRPr="00D00665" w:rsidRDefault="000B4A1E" w:rsidP="00517E51">
      <w:pPr>
        <w:pStyle w:val="Notes"/>
      </w:pPr>
      <w:r w:rsidRPr="00D00665">
        <w:t xml:space="preserve">(a) </w:t>
      </w:r>
      <w:r w:rsidRPr="00D00665">
        <w:tab/>
        <w:t>Effective 9 April 2013, the Department of Transport became the Department of Transport, Planning and Local Infrastructure due to machinery of government changes.</w:t>
      </w:r>
    </w:p>
    <w:p w:rsidR="000B4A1E" w:rsidRPr="00D00665" w:rsidRDefault="000B4A1E" w:rsidP="00517E51"/>
    <w:p w:rsidR="000B4A1E" w:rsidRPr="00D00665" w:rsidRDefault="000B4A1E" w:rsidP="00517E51">
      <w:pPr>
        <w:pStyle w:val="Heading2NotesContd"/>
      </w:pPr>
      <w:r w:rsidRPr="00D00665">
        <w:br w:type="page"/>
      </w:r>
    </w:p>
    <w:p w:rsidR="000B4A1E" w:rsidRDefault="000B4A1E" w:rsidP="00517E51">
      <w:pPr>
        <w:pStyle w:val="Heading2NotesContd"/>
        <w:spacing w:before="0" w:after="0"/>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Heading5"/>
        <w:spacing w:before="0" w:after="0"/>
      </w:pPr>
      <w:r w:rsidRPr="00D00665">
        <w:t>(z)</w:t>
      </w:r>
      <w:r w:rsidRPr="00D00665">
        <w:tab/>
        <w:t>Parliamentary authority – Treasury and Finance</w:t>
      </w:r>
    </w:p>
    <w:p w:rsidR="000B4A1E" w:rsidRPr="003E2DBE" w:rsidRDefault="000B4A1E" w:rsidP="00517E51">
      <w:pPr>
        <w:pStyle w:val="million"/>
        <w:rPr>
          <w:b/>
          <w:bCs/>
          <w:lang w:val="en-US"/>
        </w:rPr>
      </w:pPr>
      <w:r w:rsidRPr="00D00665">
        <w:t>($ thousand)</w:t>
      </w:r>
    </w:p>
    <w:tbl>
      <w:tblPr>
        <w:tblW w:w="9648" w:type="dxa"/>
        <w:tblInd w:w="29" w:type="dxa"/>
        <w:tblLayout w:type="fixed"/>
        <w:tblCellMar>
          <w:left w:w="43" w:type="dxa"/>
          <w:right w:w="43" w:type="dxa"/>
        </w:tblCellMar>
        <w:tblLook w:val="0000" w:firstRow="0" w:lastRow="0" w:firstColumn="0" w:lastColumn="0" w:noHBand="0" w:noVBand="0"/>
      </w:tblPr>
      <w:tblGrid>
        <w:gridCol w:w="5504"/>
        <w:gridCol w:w="360"/>
        <w:gridCol w:w="450"/>
        <w:gridCol w:w="990"/>
        <w:gridCol w:w="1080"/>
        <w:gridCol w:w="1264"/>
      </w:tblGrid>
      <w:tr w:rsidR="000B4A1E" w:rsidRPr="000B4A1E" w:rsidTr="00517E51">
        <w:tc>
          <w:tcPr>
            <w:tcW w:w="5864" w:type="dxa"/>
            <w:gridSpan w:val="2"/>
            <w:tcBorders>
              <w:top w:val="single" w:sz="6" w:space="0" w:color="auto"/>
              <w:left w:val="single" w:sz="6" w:space="0" w:color="auto"/>
              <w:bottom w:val="nil"/>
              <w:right w:val="nil"/>
            </w:tcBorders>
            <w:shd w:val="clear" w:color="auto" w:fill="000000"/>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 xml:space="preserve"> </w:t>
            </w:r>
          </w:p>
        </w:tc>
        <w:tc>
          <w:tcPr>
            <w:tcW w:w="1440" w:type="dxa"/>
            <w:gridSpan w:val="2"/>
            <w:tcBorders>
              <w:top w:val="single" w:sz="6" w:space="0" w:color="auto"/>
              <w:left w:val="nil"/>
              <w:bottom w:val="nil"/>
              <w:right w:val="nil"/>
            </w:tcBorders>
            <w:shd w:val="clear" w:color="auto" w:fill="000000"/>
          </w:tcPr>
          <w:p w:rsidR="000B4A1E" w:rsidRPr="000B4A1E" w:rsidRDefault="000B4A1E" w:rsidP="00517E51">
            <w:pPr>
              <w:pStyle w:val="Tabletextheading"/>
              <w:rPr>
                <w:rFonts w:eastAsiaTheme="minorEastAsia"/>
                <w:sz w:val="20"/>
                <w:lang w:eastAsia="en-AU"/>
              </w:rPr>
            </w:pPr>
            <w:r w:rsidRPr="000B4A1E">
              <w:rPr>
                <w:rFonts w:eastAsiaTheme="minorEastAsia"/>
                <w:sz w:val="20"/>
                <w:lang w:eastAsia="en-AU"/>
              </w:rPr>
              <w:t xml:space="preserve">Parliamentary </w:t>
            </w:r>
          </w:p>
        </w:tc>
        <w:tc>
          <w:tcPr>
            <w:tcW w:w="1080" w:type="dxa"/>
            <w:tcBorders>
              <w:top w:val="single" w:sz="6" w:space="0" w:color="auto"/>
              <w:left w:val="nil"/>
              <w:bottom w:val="nil"/>
              <w:right w:val="nil"/>
            </w:tcBorders>
            <w:shd w:val="clear" w:color="auto" w:fill="000000"/>
          </w:tcPr>
          <w:p w:rsidR="000B4A1E" w:rsidRPr="000B4A1E" w:rsidRDefault="000B4A1E" w:rsidP="00517E51">
            <w:pPr>
              <w:pStyle w:val="Tabletextheading"/>
              <w:rPr>
                <w:rFonts w:eastAsiaTheme="minorEastAsia"/>
                <w:sz w:val="20"/>
                <w:lang w:eastAsia="en-AU"/>
              </w:rPr>
            </w:pPr>
            <w:r w:rsidRPr="000B4A1E">
              <w:rPr>
                <w:rFonts w:eastAsiaTheme="minorEastAsia"/>
                <w:sz w:val="20"/>
                <w:lang w:eastAsia="en-AU"/>
              </w:rPr>
              <w:t>Amounts</w:t>
            </w:r>
          </w:p>
        </w:tc>
        <w:tc>
          <w:tcPr>
            <w:tcW w:w="1264" w:type="dxa"/>
            <w:tcBorders>
              <w:top w:val="single" w:sz="6" w:space="0" w:color="auto"/>
              <w:left w:val="nil"/>
              <w:bottom w:val="nil"/>
              <w:right w:val="single" w:sz="6" w:space="0" w:color="auto"/>
            </w:tcBorders>
            <w:shd w:val="clear" w:color="auto" w:fill="000000"/>
          </w:tcPr>
          <w:p w:rsidR="000B4A1E" w:rsidRPr="000B4A1E" w:rsidRDefault="000B4A1E" w:rsidP="00517E51">
            <w:pPr>
              <w:pStyle w:val="Tabletextheading"/>
              <w:rPr>
                <w:rFonts w:eastAsiaTheme="minorEastAsia"/>
                <w:sz w:val="20"/>
                <w:lang w:eastAsia="en-AU"/>
              </w:rPr>
            </w:pPr>
            <w:r w:rsidRPr="000B4A1E">
              <w:rPr>
                <w:rFonts w:eastAsiaTheme="minorEastAsia"/>
                <w:sz w:val="20"/>
                <w:lang w:eastAsia="en-AU"/>
              </w:rPr>
              <w:t>Amounts</w:t>
            </w:r>
          </w:p>
        </w:tc>
      </w:tr>
      <w:tr w:rsidR="000B4A1E" w:rsidRPr="000B4A1E" w:rsidTr="00517E51">
        <w:tc>
          <w:tcPr>
            <w:tcW w:w="5864" w:type="dxa"/>
            <w:gridSpan w:val="2"/>
            <w:tcBorders>
              <w:top w:val="nil"/>
              <w:left w:val="single" w:sz="6" w:space="0" w:color="auto"/>
              <w:bottom w:val="single" w:sz="6" w:space="0" w:color="auto"/>
              <w:right w:val="nil"/>
            </w:tcBorders>
            <w:shd w:val="clear" w:color="auto" w:fill="000000"/>
          </w:tcPr>
          <w:p w:rsidR="000B4A1E" w:rsidRPr="000B4A1E" w:rsidRDefault="000B4A1E" w:rsidP="00517E51">
            <w:pPr>
              <w:pStyle w:val="Tabletext"/>
              <w:rPr>
                <w:rFonts w:eastAsiaTheme="minorEastAsia"/>
                <w:i/>
                <w:sz w:val="20"/>
                <w:lang w:eastAsia="en-AU"/>
              </w:rPr>
            </w:pPr>
            <w:r w:rsidRPr="000B4A1E">
              <w:rPr>
                <w:rFonts w:eastAsiaTheme="minorEastAsia"/>
                <w:i/>
                <w:sz w:val="20"/>
                <w:lang w:eastAsia="en-AU"/>
              </w:rPr>
              <w:t xml:space="preserve"> </w:t>
            </w:r>
          </w:p>
        </w:tc>
        <w:tc>
          <w:tcPr>
            <w:tcW w:w="1440" w:type="dxa"/>
            <w:gridSpan w:val="2"/>
            <w:tcBorders>
              <w:top w:val="nil"/>
              <w:left w:val="nil"/>
              <w:bottom w:val="single" w:sz="6" w:space="0" w:color="auto"/>
              <w:right w:val="nil"/>
            </w:tcBorders>
            <w:shd w:val="clear" w:color="auto" w:fill="000000"/>
          </w:tcPr>
          <w:p w:rsidR="000B4A1E" w:rsidRPr="000B4A1E" w:rsidRDefault="000B4A1E" w:rsidP="00517E51">
            <w:pPr>
              <w:pStyle w:val="Tabletextheading"/>
              <w:rPr>
                <w:rFonts w:eastAsiaTheme="minorEastAsia"/>
                <w:sz w:val="20"/>
                <w:lang w:eastAsia="en-AU"/>
              </w:rPr>
            </w:pPr>
            <w:r w:rsidRPr="000B4A1E">
              <w:rPr>
                <w:rFonts w:eastAsiaTheme="minorEastAsia"/>
                <w:sz w:val="20"/>
                <w:lang w:eastAsia="en-AU"/>
              </w:rPr>
              <w:t>authority</w:t>
            </w:r>
          </w:p>
        </w:tc>
        <w:tc>
          <w:tcPr>
            <w:tcW w:w="1080" w:type="dxa"/>
            <w:tcBorders>
              <w:top w:val="nil"/>
              <w:left w:val="nil"/>
              <w:bottom w:val="single" w:sz="6" w:space="0" w:color="auto"/>
              <w:right w:val="nil"/>
            </w:tcBorders>
            <w:shd w:val="clear" w:color="auto" w:fill="000000"/>
          </w:tcPr>
          <w:p w:rsidR="000B4A1E" w:rsidRPr="000B4A1E" w:rsidRDefault="000B4A1E" w:rsidP="00517E51">
            <w:pPr>
              <w:pStyle w:val="Tabletextheading"/>
              <w:rPr>
                <w:rFonts w:eastAsiaTheme="minorEastAsia"/>
                <w:sz w:val="20"/>
                <w:lang w:eastAsia="en-AU"/>
              </w:rPr>
            </w:pPr>
            <w:r w:rsidRPr="000B4A1E">
              <w:rPr>
                <w:rFonts w:eastAsiaTheme="minorEastAsia"/>
                <w:sz w:val="20"/>
                <w:lang w:eastAsia="en-AU"/>
              </w:rPr>
              <w:t>applied</w:t>
            </w:r>
          </w:p>
        </w:tc>
        <w:tc>
          <w:tcPr>
            <w:tcW w:w="1264" w:type="dxa"/>
            <w:tcBorders>
              <w:top w:val="nil"/>
              <w:left w:val="nil"/>
              <w:bottom w:val="single" w:sz="6" w:space="0" w:color="auto"/>
              <w:right w:val="single" w:sz="6" w:space="0" w:color="auto"/>
            </w:tcBorders>
            <w:shd w:val="clear" w:color="auto" w:fill="000000"/>
          </w:tcPr>
          <w:p w:rsidR="000B4A1E" w:rsidRPr="000B4A1E" w:rsidRDefault="000B4A1E" w:rsidP="00517E51">
            <w:pPr>
              <w:pStyle w:val="Tabletextheading"/>
              <w:rPr>
                <w:rFonts w:eastAsiaTheme="minorEastAsia"/>
                <w:sz w:val="20"/>
                <w:lang w:eastAsia="en-AU"/>
              </w:rPr>
            </w:pPr>
            <w:r w:rsidRPr="000B4A1E">
              <w:rPr>
                <w:rFonts w:eastAsiaTheme="minorEastAsia"/>
                <w:sz w:val="20"/>
                <w:lang w:eastAsia="en-AU"/>
              </w:rPr>
              <w:t>applied</w:t>
            </w:r>
          </w:p>
        </w:tc>
      </w:tr>
      <w:tr w:rsidR="000B4A1E" w:rsidRPr="000B4A1E" w:rsidTr="00517E51">
        <w:tc>
          <w:tcPr>
            <w:tcW w:w="5864" w:type="dxa"/>
            <w:gridSpan w:val="2"/>
            <w:tcBorders>
              <w:top w:val="single" w:sz="6" w:space="0" w:color="auto"/>
              <w:left w:val="single" w:sz="6" w:space="0" w:color="auto"/>
              <w:bottom w:val="single" w:sz="6" w:space="0" w:color="auto"/>
              <w:right w:val="nil"/>
            </w:tcBorders>
            <w:shd w:val="solid" w:color="000000" w:fill="auto"/>
          </w:tcPr>
          <w:p w:rsidR="000B4A1E" w:rsidRPr="000B4A1E" w:rsidRDefault="000B4A1E" w:rsidP="00517E51">
            <w:pPr>
              <w:pStyle w:val="Tabletext"/>
              <w:rPr>
                <w:rFonts w:eastAsiaTheme="minorEastAsia"/>
                <w:i/>
                <w:sz w:val="20"/>
                <w:lang w:eastAsia="en-AU"/>
              </w:rPr>
            </w:pPr>
            <w:r w:rsidRPr="000B4A1E">
              <w:rPr>
                <w:rFonts w:eastAsiaTheme="minorEastAsia"/>
                <w:i/>
                <w:sz w:val="20"/>
                <w:lang w:eastAsia="en-AU"/>
              </w:rPr>
              <w:t xml:space="preserve"> </w:t>
            </w:r>
          </w:p>
        </w:tc>
        <w:tc>
          <w:tcPr>
            <w:tcW w:w="1440" w:type="dxa"/>
            <w:gridSpan w:val="2"/>
            <w:tcBorders>
              <w:top w:val="single" w:sz="6" w:space="0" w:color="auto"/>
              <w:left w:val="nil"/>
              <w:bottom w:val="single" w:sz="6" w:space="0" w:color="auto"/>
              <w:right w:val="nil"/>
            </w:tcBorders>
            <w:shd w:val="solid" w:color="000000" w:fill="auto"/>
          </w:tcPr>
          <w:p w:rsidR="000B4A1E" w:rsidRPr="000B4A1E" w:rsidRDefault="000B4A1E" w:rsidP="00517E51">
            <w:pPr>
              <w:pStyle w:val="Tabletextheading"/>
              <w:rPr>
                <w:rFonts w:eastAsiaTheme="minorEastAsia"/>
                <w:sz w:val="20"/>
                <w:lang w:eastAsia="en-AU"/>
              </w:rPr>
            </w:pPr>
            <w:r w:rsidRPr="000B4A1E">
              <w:rPr>
                <w:rFonts w:eastAsiaTheme="minorEastAsia"/>
                <w:sz w:val="20"/>
                <w:lang w:eastAsia="en-AU"/>
              </w:rPr>
              <w:t>2013</w:t>
            </w:r>
          </w:p>
        </w:tc>
        <w:tc>
          <w:tcPr>
            <w:tcW w:w="1080" w:type="dxa"/>
            <w:tcBorders>
              <w:top w:val="single" w:sz="6" w:space="0" w:color="auto"/>
              <w:left w:val="nil"/>
              <w:bottom w:val="single" w:sz="6" w:space="0" w:color="auto"/>
              <w:right w:val="nil"/>
            </w:tcBorders>
            <w:shd w:val="solid" w:color="000000" w:fill="auto"/>
          </w:tcPr>
          <w:p w:rsidR="000B4A1E" w:rsidRPr="000B4A1E" w:rsidRDefault="000B4A1E" w:rsidP="00517E51">
            <w:pPr>
              <w:pStyle w:val="Tabletextheading"/>
              <w:rPr>
                <w:rFonts w:eastAsiaTheme="minorEastAsia"/>
                <w:sz w:val="20"/>
                <w:lang w:eastAsia="en-AU"/>
              </w:rPr>
            </w:pPr>
            <w:r w:rsidRPr="000B4A1E">
              <w:rPr>
                <w:rFonts w:eastAsiaTheme="minorEastAsia"/>
                <w:sz w:val="20"/>
                <w:lang w:eastAsia="en-AU"/>
              </w:rPr>
              <w:t>2013</w:t>
            </w:r>
          </w:p>
        </w:tc>
        <w:tc>
          <w:tcPr>
            <w:tcW w:w="1264" w:type="dxa"/>
            <w:tcBorders>
              <w:top w:val="single" w:sz="6" w:space="0" w:color="auto"/>
              <w:left w:val="nil"/>
              <w:bottom w:val="single" w:sz="6" w:space="0" w:color="auto"/>
              <w:right w:val="single" w:sz="6" w:space="0" w:color="auto"/>
            </w:tcBorders>
            <w:shd w:val="solid" w:color="000000" w:fill="auto"/>
          </w:tcPr>
          <w:p w:rsidR="000B4A1E" w:rsidRPr="000B4A1E" w:rsidRDefault="000B4A1E" w:rsidP="00517E51">
            <w:pPr>
              <w:pStyle w:val="Tabletextheading"/>
              <w:rPr>
                <w:rFonts w:eastAsiaTheme="minorEastAsia"/>
                <w:sz w:val="20"/>
                <w:lang w:eastAsia="en-AU"/>
              </w:rPr>
            </w:pPr>
            <w:r w:rsidRPr="000B4A1E">
              <w:rPr>
                <w:rFonts w:eastAsiaTheme="minorEastAsia"/>
                <w:sz w:val="20"/>
                <w:lang w:eastAsia="en-AU"/>
              </w:rPr>
              <w:t>2012</w:t>
            </w:r>
          </w:p>
        </w:tc>
      </w:tr>
      <w:tr w:rsidR="000B4A1E" w:rsidRPr="000B4A1E" w:rsidTr="00517E51">
        <w:tc>
          <w:tcPr>
            <w:tcW w:w="5864" w:type="dxa"/>
            <w:gridSpan w:val="2"/>
            <w:tcBorders>
              <w:top w:val="single" w:sz="6" w:space="0" w:color="auto"/>
              <w:left w:val="nil"/>
              <w:bottom w:val="nil"/>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Special appropriations</w:t>
            </w:r>
          </w:p>
        </w:tc>
        <w:tc>
          <w:tcPr>
            <w:tcW w:w="1440" w:type="dxa"/>
            <w:gridSpan w:val="2"/>
            <w:tcBorders>
              <w:top w:val="single" w:sz="6" w:space="0" w:color="auto"/>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 xml:space="preserve"> </w:t>
            </w:r>
          </w:p>
        </w:tc>
        <w:tc>
          <w:tcPr>
            <w:tcW w:w="1080" w:type="dxa"/>
            <w:tcBorders>
              <w:top w:val="single" w:sz="6" w:space="0" w:color="auto"/>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 xml:space="preserve"> </w:t>
            </w:r>
          </w:p>
        </w:tc>
        <w:tc>
          <w:tcPr>
            <w:tcW w:w="1264" w:type="dxa"/>
            <w:tcBorders>
              <w:top w:val="single" w:sz="6" w:space="0" w:color="auto"/>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 xml:space="preserve"> </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i/>
                <w:sz w:val="20"/>
                <w:lang w:eastAsia="en-AU"/>
              </w:rPr>
            </w:pPr>
            <w:r w:rsidRPr="000B4A1E">
              <w:rPr>
                <w:rFonts w:eastAsiaTheme="minorEastAsia"/>
                <w:i/>
                <w:sz w:val="20"/>
                <w:lang w:eastAsia="en-AU"/>
              </w:rPr>
              <w:t>Constitution Act, No. 8750 of 1975</w:t>
            </w:r>
            <w:r w:rsidRPr="000B4A1E">
              <w:rPr>
                <w:rFonts w:eastAsiaTheme="minorEastAsia"/>
                <w:sz w:val="20"/>
                <w:lang w:eastAsia="en-AU"/>
              </w:rPr>
              <w:t xml:space="preserve"> – Governor’s Pension</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946</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946</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1 020</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i/>
                <w:sz w:val="20"/>
                <w:lang w:eastAsia="en-AU"/>
              </w:rPr>
            </w:pPr>
            <w:r w:rsidRPr="000B4A1E">
              <w:rPr>
                <w:rFonts w:eastAsiaTheme="minorEastAsia"/>
                <w:i/>
                <w:sz w:val="20"/>
                <w:lang w:eastAsia="en-AU"/>
              </w:rPr>
              <w:t xml:space="preserve">Constitution Act, No. 8750 of 1975 </w:t>
            </w:r>
            <w:r w:rsidRPr="000B4A1E">
              <w:rPr>
                <w:rFonts w:eastAsiaTheme="minorEastAsia"/>
                <w:sz w:val="20"/>
                <w:lang w:eastAsia="en-AU"/>
              </w:rPr>
              <w:t>– Supreme Court Judges</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9 328</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9 328</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9 159</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i/>
                <w:sz w:val="20"/>
                <w:lang w:eastAsia="en-AU"/>
              </w:rPr>
            </w:pPr>
            <w:r w:rsidRPr="000B4A1E">
              <w:rPr>
                <w:rFonts w:eastAsiaTheme="minorEastAsia"/>
                <w:i/>
                <w:sz w:val="20"/>
                <w:lang w:eastAsia="en-AU"/>
              </w:rPr>
              <w:t xml:space="preserve">County Court Act, No. 6230 of 1958 </w:t>
            </w:r>
            <w:r w:rsidRPr="000B4A1E">
              <w:rPr>
                <w:rFonts w:eastAsiaTheme="minorEastAsia"/>
                <w:sz w:val="20"/>
                <w:lang w:eastAsia="en-AU"/>
              </w:rPr>
              <w:t>– Judges</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12 915</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12 915</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12 600</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i/>
                <w:sz w:val="20"/>
                <w:lang w:eastAsia="en-AU"/>
              </w:rPr>
            </w:pPr>
            <w:r w:rsidRPr="000B4A1E">
              <w:rPr>
                <w:rFonts w:eastAsiaTheme="minorEastAsia"/>
                <w:i/>
                <w:sz w:val="20"/>
                <w:lang w:eastAsia="en-AU"/>
              </w:rPr>
              <w:t>Financial Management Act, No. 18 of 1994,</w:t>
            </w:r>
            <w:r w:rsidRPr="000B4A1E">
              <w:rPr>
                <w:rFonts w:eastAsiaTheme="minorEastAsia"/>
                <w:sz w:val="20"/>
                <w:lang w:eastAsia="en-AU"/>
              </w:rPr>
              <w:t xml:space="preserve"> Section 10</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1 588</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1 588</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w:t>
            </w:r>
          </w:p>
        </w:tc>
      </w:tr>
      <w:tr w:rsidR="000B4A1E" w:rsidRPr="000B4A1E" w:rsidTr="00517E51">
        <w:tc>
          <w:tcPr>
            <w:tcW w:w="5504" w:type="dxa"/>
            <w:tcBorders>
              <w:top w:val="nil"/>
              <w:left w:val="nil"/>
              <w:bottom w:val="nil"/>
              <w:right w:val="nil"/>
            </w:tcBorders>
          </w:tcPr>
          <w:p w:rsidR="000B4A1E" w:rsidRPr="000B4A1E" w:rsidRDefault="000B4A1E" w:rsidP="00517E51">
            <w:pPr>
              <w:pStyle w:val="Tabletext"/>
              <w:rPr>
                <w:rFonts w:eastAsiaTheme="minorEastAsia"/>
                <w:i/>
                <w:sz w:val="20"/>
                <w:lang w:eastAsia="en-AU"/>
              </w:rPr>
            </w:pPr>
            <w:r w:rsidRPr="000B4A1E">
              <w:rPr>
                <w:rFonts w:eastAsiaTheme="minorEastAsia"/>
                <w:i/>
                <w:sz w:val="20"/>
                <w:lang w:eastAsia="en-AU"/>
              </w:rPr>
              <w:t>Financial Management Act, No. 18 of 1994,</w:t>
            </w:r>
            <w:r w:rsidRPr="000B4A1E">
              <w:rPr>
                <w:rFonts w:eastAsiaTheme="minorEastAsia"/>
                <w:sz w:val="20"/>
                <w:lang w:eastAsia="en-AU"/>
              </w:rPr>
              <w:t xml:space="preserve"> Section 39 – Interest on Advances</w:t>
            </w:r>
          </w:p>
        </w:tc>
        <w:tc>
          <w:tcPr>
            <w:tcW w:w="1800" w:type="dxa"/>
            <w:gridSpan w:val="3"/>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1 152</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1 152</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5 849</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i/>
                <w:sz w:val="20"/>
                <w:lang w:eastAsia="en-AU"/>
              </w:rPr>
            </w:pPr>
            <w:r w:rsidRPr="000B4A1E">
              <w:rPr>
                <w:rFonts w:eastAsiaTheme="minorEastAsia"/>
                <w:i/>
                <w:sz w:val="20"/>
                <w:lang w:eastAsia="en-AU"/>
              </w:rPr>
              <w:t>Gambling Regulation Act No.114 of 2003, Section 3.6.12 – Community Support Fund</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84 973</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84 973</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104 125</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i/>
                <w:sz w:val="20"/>
                <w:lang w:eastAsia="en-AU"/>
              </w:rPr>
            </w:pPr>
            <w:r w:rsidRPr="000B4A1E">
              <w:rPr>
                <w:rFonts w:eastAsiaTheme="minorEastAsia"/>
                <w:i/>
                <w:sz w:val="20"/>
                <w:lang w:eastAsia="en-AU"/>
              </w:rPr>
              <w:t xml:space="preserve">Liquor Control Reform Act, No. 94 of 1988, </w:t>
            </w:r>
            <w:r w:rsidRPr="000B4A1E">
              <w:rPr>
                <w:rFonts w:eastAsiaTheme="minorEastAsia"/>
                <w:sz w:val="20"/>
                <w:lang w:eastAsia="en-AU"/>
              </w:rPr>
              <w:t>Section 177 (2)</w:t>
            </w:r>
            <w:r w:rsidRPr="000B4A1E">
              <w:rPr>
                <w:rFonts w:eastAsiaTheme="minorEastAsia"/>
                <w:i/>
                <w:sz w:val="20"/>
                <w:lang w:eastAsia="en-AU"/>
              </w:rPr>
              <w:t xml:space="preserve"> </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3 023</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3 023</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2 325</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sz w:val="20"/>
                <w:lang w:eastAsia="en-AU"/>
              </w:rPr>
            </w:pPr>
            <w:r w:rsidRPr="000B4A1E">
              <w:rPr>
                <w:rFonts w:eastAsiaTheme="minorEastAsia"/>
                <w:i/>
                <w:sz w:val="20"/>
                <w:lang w:eastAsia="en-AU"/>
              </w:rPr>
              <w:t>State Electricity Commission Act 1958,</w:t>
            </w:r>
            <w:r w:rsidRPr="000B4A1E">
              <w:rPr>
                <w:rFonts w:eastAsiaTheme="minorEastAsia"/>
                <w:sz w:val="20"/>
                <w:lang w:eastAsia="en-AU"/>
              </w:rPr>
              <w:t xml:space="preserve"> Section 85B(2) – Indemnity</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126 004</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126 004</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13 225</w:t>
            </w:r>
          </w:p>
        </w:tc>
      </w:tr>
      <w:tr w:rsidR="000B4A1E" w:rsidRPr="000B4A1E" w:rsidTr="000B4A1E">
        <w:tc>
          <w:tcPr>
            <w:tcW w:w="6314" w:type="dxa"/>
            <w:gridSpan w:val="3"/>
            <w:tcBorders>
              <w:top w:val="nil"/>
              <w:left w:val="nil"/>
              <w:bottom w:val="nil"/>
              <w:right w:val="nil"/>
            </w:tcBorders>
          </w:tcPr>
          <w:p w:rsidR="000B4A1E" w:rsidRPr="000B4A1E" w:rsidRDefault="000B4A1E" w:rsidP="00517E51">
            <w:pPr>
              <w:pStyle w:val="Tabletext"/>
              <w:rPr>
                <w:rFonts w:eastAsiaTheme="minorEastAsia" w:cs="Calibri"/>
                <w:i/>
                <w:iCs/>
                <w:color w:val="000000"/>
                <w:sz w:val="20"/>
                <w:szCs w:val="22"/>
                <w:lang w:eastAsia="en-AU"/>
              </w:rPr>
            </w:pPr>
            <w:r w:rsidRPr="000B4A1E">
              <w:rPr>
                <w:rFonts w:eastAsiaTheme="minorEastAsia"/>
                <w:i/>
                <w:sz w:val="20"/>
                <w:lang w:eastAsia="en-AU"/>
              </w:rPr>
              <w:t xml:space="preserve">State Superannuation Act, No. 50 of 1988, </w:t>
            </w:r>
            <w:r w:rsidRPr="000B4A1E">
              <w:rPr>
                <w:rFonts w:eastAsiaTheme="minorEastAsia"/>
                <w:sz w:val="20"/>
                <w:lang w:eastAsia="en-AU"/>
              </w:rPr>
              <w:t xml:space="preserve">Section 90 (2) – Contributions </w:t>
            </w:r>
            <w:r w:rsidRPr="000B4A1E">
              <w:rPr>
                <w:rFonts w:eastAsiaTheme="minorEastAsia"/>
                <w:sz w:val="20"/>
                <w:vertAlign w:val="superscript"/>
                <w:lang w:eastAsia="en-AU"/>
              </w:rPr>
              <w:t>(</w:t>
            </w:r>
            <w:r w:rsidRPr="000B4A1E">
              <w:rPr>
                <w:rFonts w:eastAsiaTheme="minorEastAsia" w:cs="Calibri"/>
                <w:iCs/>
                <w:color w:val="000000"/>
                <w:sz w:val="20"/>
                <w:szCs w:val="22"/>
                <w:vertAlign w:val="superscript"/>
                <w:lang w:eastAsia="en-AU"/>
              </w:rPr>
              <w:t>b)</w:t>
            </w:r>
          </w:p>
        </w:tc>
        <w:tc>
          <w:tcPr>
            <w:tcW w:w="99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934 881</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934 881</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594 080</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i/>
                <w:sz w:val="20"/>
                <w:lang w:eastAsia="en-AU"/>
              </w:rPr>
            </w:pPr>
            <w:r w:rsidRPr="000B4A1E">
              <w:rPr>
                <w:rFonts w:eastAsiaTheme="minorEastAsia"/>
                <w:i/>
                <w:sz w:val="20"/>
                <w:lang w:eastAsia="en-AU"/>
              </w:rPr>
              <w:t xml:space="preserve">State Owned Enterprises Act, No. 92 of 1992, </w:t>
            </w:r>
            <w:r w:rsidRPr="000B4A1E">
              <w:rPr>
                <w:rFonts w:eastAsiaTheme="minorEastAsia"/>
                <w:sz w:val="20"/>
                <w:lang w:eastAsia="en-AU"/>
              </w:rPr>
              <w:t>Section 88 – State equivalent taxation payments</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835</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835</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179</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i/>
                <w:sz w:val="20"/>
                <w:lang w:eastAsia="en-AU"/>
              </w:rPr>
            </w:pPr>
            <w:r w:rsidRPr="000B4A1E">
              <w:rPr>
                <w:rFonts w:eastAsiaTheme="minorEastAsia"/>
                <w:i/>
                <w:sz w:val="20"/>
                <w:lang w:eastAsia="en-AU"/>
              </w:rPr>
              <w:t xml:space="preserve">Taxation (Interest on Overpayments) Act, No. 35 of 1986, </w:t>
            </w:r>
            <w:r w:rsidRPr="000B4A1E">
              <w:rPr>
                <w:rFonts w:eastAsiaTheme="minorEastAsia"/>
                <w:sz w:val="20"/>
                <w:lang w:eastAsia="en-AU"/>
              </w:rPr>
              <w:t>Section 11</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829</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829</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1 528</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cs="Calibri"/>
                <w:i/>
                <w:iCs/>
                <w:color w:val="000000"/>
                <w:sz w:val="20"/>
                <w:szCs w:val="22"/>
                <w:lang w:eastAsia="en-AU"/>
              </w:rPr>
            </w:pPr>
            <w:r w:rsidRPr="000B4A1E">
              <w:rPr>
                <w:rFonts w:eastAsiaTheme="minorEastAsia"/>
                <w:i/>
                <w:sz w:val="20"/>
                <w:lang w:eastAsia="en-AU"/>
              </w:rPr>
              <w:t xml:space="preserve">Treasury Corporation of Victoria Act No. 80 of 1992, </w:t>
            </w:r>
            <w:r w:rsidRPr="000B4A1E">
              <w:rPr>
                <w:rFonts w:eastAsiaTheme="minorEastAsia"/>
                <w:sz w:val="20"/>
                <w:lang w:eastAsia="en-AU"/>
              </w:rPr>
              <w:t xml:space="preserve">Section 38 – Debt Retirement </w:t>
            </w:r>
            <w:r w:rsidRPr="000B4A1E">
              <w:rPr>
                <w:rFonts w:eastAsiaTheme="minorEastAsia"/>
                <w:sz w:val="20"/>
                <w:vertAlign w:val="superscript"/>
                <w:lang w:eastAsia="en-AU"/>
              </w:rPr>
              <w:t>(</w:t>
            </w:r>
            <w:r w:rsidRPr="000B4A1E">
              <w:rPr>
                <w:rFonts w:eastAsiaTheme="minorEastAsia" w:cs="Calibri"/>
                <w:iCs/>
                <w:color w:val="000000"/>
                <w:sz w:val="20"/>
                <w:szCs w:val="22"/>
                <w:vertAlign w:val="superscript"/>
                <w:lang w:eastAsia="en-AU"/>
              </w:rPr>
              <w:t>c)</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6 870</w:t>
            </w:r>
          </w:p>
        </w:tc>
        <w:tc>
          <w:tcPr>
            <w:tcW w:w="1080" w:type="dxa"/>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6 870</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86 429</w:t>
            </w:r>
          </w:p>
        </w:tc>
      </w:tr>
      <w:tr w:rsidR="000B4A1E" w:rsidRPr="000B4A1E" w:rsidTr="00517E51">
        <w:tc>
          <w:tcPr>
            <w:tcW w:w="5864" w:type="dxa"/>
            <w:gridSpan w:val="2"/>
            <w:tcBorders>
              <w:top w:val="single" w:sz="6" w:space="0" w:color="auto"/>
              <w:left w:val="nil"/>
              <w:bottom w:val="single" w:sz="6" w:space="0" w:color="auto"/>
              <w:right w:val="nil"/>
            </w:tcBorders>
          </w:tcPr>
          <w:p w:rsidR="000B4A1E" w:rsidRPr="000B4A1E" w:rsidRDefault="000B4A1E" w:rsidP="00517E51">
            <w:pPr>
              <w:pStyle w:val="Tabletext"/>
              <w:rPr>
                <w:rFonts w:eastAsiaTheme="minorEastAsia" w:cs="Calibri"/>
                <w:b/>
                <w:bCs/>
                <w:sz w:val="20"/>
                <w:szCs w:val="22"/>
                <w:lang w:eastAsia="en-AU"/>
              </w:rPr>
            </w:pPr>
            <w:r w:rsidRPr="000B4A1E">
              <w:rPr>
                <w:rFonts w:eastAsiaTheme="minorEastAsia"/>
                <w:b/>
                <w:bCs/>
                <w:sz w:val="20"/>
                <w:lang w:eastAsia="en-AU"/>
              </w:rPr>
              <w:t xml:space="preserve">Total special appropriations (excluding </w:t>
            </w:r>
            <w:r w:rsidRPr="000B4A1E">
              <w:rPr>
                <w:rFonts w:eastAsiaTheme="minorEastAsia"/>
                <w:b/>
                <w:bCs/>
                <w:i/>
                <w:sz w:val="20"/>
                <w:lang w:eastAsia="en-AU"/>
              </w:rPr>
              <w:t>Financial Management Act, No</w:t>
            </w:r>
            <w:r w:rsidRPr="000B4A1E">
              <w:rPr>
                <w:rFonts w:eastAsiaTheme="minorEastAsia" w:cs="Calibri"/>
                <w:b/>
                <w:bCs/>
                <w:i/>
                <w:iCs/>
                <w:sz w:val="20"/>
                <w:szCs w:val="22"/>
                <w:lang w:eastAsia="en-AU"/>
              </w:rPr>
              <w:t>. 18 of 1994</w:t>
            </w:r>
            <w:r w:rsidRPr="000B4A1E">
              <w:rPr>
                <w:rFonts w:eastAsiaTheme="minorEastAsia" w:cs="Calibri"/>
                <w:b/>
                <w:bCs/>
                <w:sz w:val="20"/>
                <w:szCs w:val="22"/>
                <w:lang w:eastAsia="en-AU"/>
              </w:rPr>
              <w:t xml:space="preserve"> Section 33)</w:t>
            </w:r>
          </w:p>
        </w:tc>
        <w:tc>
          <w:tcPr>
            <w:tcW w:w="1440" w:type="dxa"/>
            <w:gridSpan w:val="2"/>
            <w:tcBorders>
              <w:top w:val="single" w:sz="6" w:space="0" w:color="auto"/>
              <w:left w:val="nil"/>
              <w:bottom w:val="single" w:sz="6" w:space="0" w:color="auto"/>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1 183 343</w:t>
            </w:r>
          </w:p>
        </w:tc>
        <w:tc>
          <w:tcPr>
            <w:tcW w:w="1080" w:type="dxa"/>
            <w:tcBorders>
              <w:top w:val="single" w:sz="6" w:space="0" w:color="auto"/>
              <w:left w:val="nil"/>
              <w:bottom w:val="single" w:sz="6" w:space="0" w:color="auto"/>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1 183 343</w:t>
            </w:r>
          </w:p>
        </w:tc>
        <w:tc>
          <w:tcPr>
            <w:tcW w:w="1264" w:type="dxa"/>
            <w:tcBorders>
              <w:top w:val="single" w:sz="6" w:space="0" w:color="auto"/>
              <w:left w:val="nil"/>
              <w:bottom w:val="single" w:sz="6" w:space="0" w:color="auto"/>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 xml:space="preserve"> 830 519</w:t>
            </w:r>
          </w:p>
        </w:tc>
      </w:tr>
      <w:tr w:rsidR="000B4A1E" w:rsidRPr="000B4A1E" w:rsidTr="00517E51">
        <w:trPr>
          <w:trHeight w:hRule="exact" w:val="58"/>
        </w:trPr>
        <w:tc>
          <w:tcPr>
            <w:tcW w:w="5864" w:type="dxa"/>
            <w:gridSpan w:val="2"/>
            <w:tcBorders>
              <w:top w:val="nil"/>
              <w:left w:val="nil"/>
              <w:bottom w:val="nil"/>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 xml:space="preserve"> </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Annual appropriations</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Provision of outputs</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Provision of outputs – net application</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237 161</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229 404</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229 506</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 xml:space="preserve">Section 29 </w:t>
            </w:r>
            <w:r w:rsidRPr="000B4A1E">
              <w:rPr>
                <w:rFonts w:eastAsiaTheme="minorEastAsia"/>
                <w:i/>
                <w:sz w:val="20"/>
                <w:lang w:eastAsia="en-AU"/>
              </w:rPr>
              <w:t>Financial Management Act, No. 18 of 1994</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cs="Calibri"/>
                <w:sz w:val="20"/>
                <w:szCs w:val="22"/>
                <w:lang w:eastAsia="en-AU"/>
              </w:rPr>
            </w:pPr>
            <w:r w:rsidRPr="000B4A1E">
              <w:rPr>
                <w:rFonts w:eastAsiaTheme="minorEastAsia"/>
                <w:sz w:val="20"/>
                <w:lang w:eastAsia="en-AU"/>
              </w:rPr>
              <w:t xml:space="preserve"> 6 </w:t>
            </w:r>
            <w:r w:rsidRPr="000B4A1E">
              <w:rPr>
                <w:rFonts w:eastAsiaTheme="minorEastAsia" w:cs="Calibri"/>
                <w:sz w:val="20"/>
                <w:szCs w:val="22"/>
                <w:lang w:eastAsia="en-AU"/>
              </w:rPr>
              <w:t>678</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6 678</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4 740</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 xml:space="preserve">Section 32 </w:t>
            </w:r>
            <w:r w:rsidRPr="000B4A1E">
              <w:rPr>
                <w:rFonts w:eastAsiaTheme="minorEastAsia"/>
                <w:i/>
                <w:sz w:val="20"/>
                <w:lang w:eastAsia="en-AU"/>
              </w:rPr>
              <w:t>Financial Management Act, No. 18 of 1994</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5 956</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1 235</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2 931</w:t>
            </w:r>
          </w:p>
        </w:tc>
      </w:tr>
      <w:tr w:rsidR="000B4A1E" w:rsidRPr="000B4A1E" w:rsidTr="00517E51">
        <w:tc>
          <w:tcPr>
            <w:tcW w:w="5864" w:type="dxa"/>
            <w:gridSpan w:val="2"/>
            <w:tcBorders>
              <w:top w:val="nil"/>
              <w:left w:val="nil"/>
              <w:bottom w:val="single" w:sz="6" w:space="0" w:color="auto"/>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 xml:space="preserve">Advance to Treasurer </w:t>
            </w:r>
          </w:p>
        </w:tc>
        <w:tc>
          <w:tcPr>
            <w:tcW w:w="1440" w:type="dxa"/>
            <w:gridSpan w:val="2"/>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10 119</w:t>
            </w:r>
          </w:p>
        </w:tc>
        <w:tc>
          <w:tcPr>
            <w:tcW w:w="1080" w:type="dxa"/>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8 881</w:t>
            </w:r>
          </w:p>
        </w:tc>
        <w:tc>
          <w:tcPr>
            <w:tcW w:w="1264" w:type="dxa"/>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1 510</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Total provision of outputs – gross application</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 xml:space="preserve"> 259 914</w:t>
            </w:r>
          </w:p>
        </w:tc>
        <w:tc>
          <w:tcPr>
            <w:tcW w:w="1080" w:type="dxa"/>
            <w:tcBorders>
              <w:top w:val="nil"/>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 xml:space="preserve"> 246 198</w:t>
            </w:r>
          </w:p>
        </w:tc>
        <w:tc>
          <w:tcPr>
            <w:tcW w:w="1264" w:type="dxa"/>
            <w:tcBorders>
              <w:top w:val="nil"/>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 xml:space="preserve"> 238 687</w:t>
            </w:r>
          </w:p>
        </w:tc>
      </w:tr>
      <w:tr w:rsidR="000B4A1E" w:rsidRPr="000B4A1E" w:rsidTr="00517E51">
        <w:trPr>
          <w:trHeight w:hRule="exact" w:val="58"/>
        </w:trPr>
        <w:tc>
          <w:tcPr>
            <w:tcW w:w="5864" w:type="dxa"/>
            <w:gridSpan w:val="2"/>
            <w:tcBorders>
              <w:top w:val="nil"/>
              <w:left w:val="nil"/>
              <w:bottom w:val="nil"/>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 xml:space="preserve"> </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Additions to the net asset base</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Additions to the net asset base – net application</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24 934</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17 504</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21 967</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 xml:space="preserve">Section 35 </w:t>
            </w:r>
            <w:r w:rsidRPr="000B4A1E">
              <w:rPr>
                <w:rFonts w:eastAsiaTheme="minorEastAsia"/>
                <w:i/>
                <w:sz w:val="20"/>
                <w:lang w:eastAsia="en-AU"/>
              </w:rPr>
              <w:t>Financial Management Act, No. 18 of 1994</w:t>
            </w:r>
            <w:r w:rsidRPr="000B4A1E">
              <w:rPr>
                <w:rFonts w:eastAsiaTheme="minorEastAsia"/>
                <w:sz w:val="20"/>
                <w:lang w:eastAsia="en-AU"/>
              </w:rPr>
              <w:t xml:space="preserve"> (temporary advances)</w:t>
            </w:r>
          </w:p>
        </w:tc>
        <w:tc>
          <w:tcPr>
            <w:tcW w:w="1440" w:type="dxa"/>
            <w:gridSpan w:val="2"/>
            <w:tcBorders>
              <w:top w:val="nil"/>
              <w:left w:val="nil"/>
              <w:bottom w:val="nil"/>
              <w:right w:val="nil"/>
            </w:tcBorders>
            <w:shd w:val="solid" w:color="FFFFFF" w:fill="auto"/>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33 871</w:t>
            </w:r>
          </w:p>
        </w:tc>
      </w:tr>
      <w:tr w:rsidR="000B4A1E" w:rsidRPr="000B4A1E" w:rsidTr="00517E51">
        <w:tc>
          <w:tcPr>
            <w:tcW w:w="5864" w:type="dxa"/>
            <w:gridSpan w:val="2"/>
            <w:tcBorders>
              <w:top w:val="single" w:sz="6" w:space="0" w:color="auto"/>
              <w:left w:val="nil"/>
              <w:bottom w:val="nil"/>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Total additions to the net asset base – gross application</w:t>
            </w:r>
          </w:p>
        </w:tc>
        <w:tc>
          <w:tcPr>
            <w:tcW w:w="1440" w:type="dxa"/>
            <w:gridSpan w:val="2"/>
            <w:tcBorders>
              <w:top w:val="single" w:sz="6" w:space="0" w:color="auto"/>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 xml:space="preserve"> 24 934</w:t>
            </w:r>
          </w:p>
        </w:tc>
        <w:tc>
          <w:tcPr>
            <w:tcW w:w="1080" w:type="dxa"/>
            <w:tcBorders>
              <w:top w:val="single" w:sz="6" w:space="0" w:color="auto"/>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 xml:space="preserve"> 17 504</w:t>
            </w:r>
          </w:p>
        </w:tc>
        <w:tc>
          <w:tcPr>
            <w:tcW w:w="1264" w:type="dxa"/>
            <w:tcBorders>
              <w:top w:val="single" w:sz="6" w:space="0" w:color="auto"/>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 xml:space="preserve"> 55 838</w:t>
            </w:r>
          </w:p>
        </w:tc>
      </w:tr>
      <w:tr w:rsidR="000B4A1E" w:rsidRPr="000B4A1E" w:rsidTr="00517E51">
        <w:trPr>
          <w:trHeight w:hRule="exact" w:val="58"/>
        </w:trPr>
        <w:tc>
          <w:tcPr>
            <w:tcW w:w="5864" w:type="dxa"/>
            <w:gridSpan w:val="2"/>
            <w:tcBorders>
              <w:top w:val="nil"/>
              <w:left w:val="nil"/>
              <w:bottom w:val="nil"/>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 xml:space="preserve"> </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Payments made on behalf of the State</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Payments made on behalf of the State – net application</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2 219 927</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2 218 418</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1 998 098</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 xml:space="preserve">Section 32 </w:t>
            </w:r>
            <w:r w:rsidRPr="000B4A1E">
              <w:rPr>
                <w:rFonts w:eastAsiaTheme="minorEastAsia"/>
                <w:i/>
                <w:sz w:val="20"/>
                <w:lang w:eastAsia="en-AU"/>
              </w:rPr>
              <w:t>Financial Management Act, No. 18 of 1994</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6 764</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6 764</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813</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 xml:space="preserve">Section 35 </w:t>
            </w:r>
            <w:r w:rsidRPr="000B4A1E">
              <w:rPr>
                <w:rFonts w:eastAsiaTheme="minorEastAsia"/>
                <w:i/>
                <w:sz w:val="20"/>
                <w:lang w:eastAsia="en-AU"/>
              </w:rPr>
              <w:t>Financial Management Act, No. 18 of 1994</w:t>
            </w:r>
            <w:r w:rsidRPr="000B4A1E">
              <w:rPr>
                <w:rFonts w:eastAsiaTheme="minorEastAsia"/>
                <w:sz w:val="20"/>
                <w:lang w:eastAsia="en-AU"/>
              </w:rPr>
              <w:t xml:space="preserve"> (temporary advances)</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30 000</w:t>
            </w:r>
          </w:p>
        </w:tc>
      </w:tr>
      <w:tr w:rsidR="000B4A1E" w:rsidRPr="000B4A1E" w:rsidTr="00517E51">
        <w:tc>
          <w:tcPr>
            <w:tcW w:w="5864" w:type="dxa"/>
            <w:gridSpan w:val="2"/>
            <w:tcBorders>
              <w:top w:val="nil"/>
              <w:left w:val="nil"/>
              <w:bottom w:val="single" w:sz="6" w:space="0" w:color="auto"/>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Advance to the Treasurer</w:t>
            </w:r>
          </w:p>
        </w:tc>
        <w:tc>
          <w:tcPr>
            <w:tcW w:w="1440" w:type="dxa"/>
            <w:gridSpan w:val="2"/>
            <w:tcBorders>
              <w:top w:val="nil"/>
              <w:left w:val="nil"/>
              <w:bottom w:val="single" w:sz="6" w:space="0" w:color="auto"/>
              <w:right w:val="nil"/>
            </w:tcBorders>
          </w:tcPr>
          <w:p w:rsidR="000B4A1E" w:rsidRPr="000B4A1E" w:rsidRDefault="000B4A1E" w:rsidP="00517E51">
            <w:pPr>
              <w:pStyle w:val="TableofFigures"/>
              <w:rPr>
                <w:rFonts w:eastAsiaTheme="minorEastAsia" w:cs="Calibri"/>
                <w:sz w:val="20"/>
                <w:szCs w:val="22"/>
                <w:lang w:eastAsia="en-AU"/>
              </w:rPr>
            </w:pPr>
            <w:r w:rsidRPr="000B4A1E">
              <w:rPr>
                <w:rFonts w:eastAsiaTheme="minorEastAsia"/>
                <w:sz w:val="20"/>
                <w:lang w:eastAsia="en-AU"/>
              </w:rPr>
              <w:t xml:space="preserve"> 6 </w:t>
            </w:r>
            <w:r w:rsidRPr="000B4A1E">
              <w:rPr>
                <w:rFonts w:eastAsiaTheme="minorEastAsia" w:cs="Calibri"/>
                <w:sz w:val="20"/>
                <w:szCs w:val="22"/>
                <w:lang w:eastAsia="en-AU"/>
              </w:rPr>
              <w:t>695</w:t>
            </w:r>
          </w:p>
        </w:tc>
        <w:tc>
          <w:tcPr>
            <w:tcW w:w="1080" w:type="dxa"/>
            <w:tcBorders>
              <w:top w:val="nil"/>
              <w:left w:val="nil"/>
              <w:bottom w:val="single" w:sz="6" w:space="0" w:color="auto"/>
              <w:right w:val="nil"/>
            </w:tcBorders>
          </w:tcPr>
          <w:p w:rsidR="000B4A1E" w:rsidRPr="000B4A1E" w:rsidRDefault="000B4A1E" w:rsidP="00517E51">
            <w:pPr>
              <w:pStyle w:val="TableofFigures"/>
              <w:rPr>
                <w:rFonts w:eastAsiaTheme="minorEastAsia" w:cs="Calibri"/>
                <w:sz w:val="20"/>
                <w:szCs w:val="22"/>
                <w:lang w:eastAsia="en-AU"/>
              </w:rPr>
            </w:pPr>
            <w:r w:rsidRPr="000B4A1E">
              <w:rPr>
                <w:rFonts w:eastAsiaTheme="minorEastAsia"/>
                <w:sz w:val="20"/>
                <w:lang w:eastAsia="en-AU"/>
              </w:rPr>
              <w:t xml:space="preserve"> 3 </w:t>
            </w:r>
            <w:r w:rsidRPr="000B4A1E">
              <w:rPr>
                <w:rFonts w:eastAsiaTheme="minorEastAsia" w:cs="Calibri"/>
                <w:sz w:val="20"/>
                <w:szCs w:val="22"/>
                <w:lang w:eastAsia="en-AU"/>
              </w:rPr>
              <w:t>952</w:t>
            </w:r>
          </w:p>
        </w:tc>
        <w:tc>
          <w:tcPr>
            <w:tcW w:w="1264" w:type="dxa"/>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751</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Total for payments made on behalf of the State – gross application</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2 233 386</w:t>
            </w:r>
          </w:p>
        </w:tc>
        <w:tc>
          <w:tcPr>
            <w:tcW w:w="1080" w:type="dxa"/>
            <w:tcBorders>
              <w:top w:val="nil"/>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2 229 134</w:t>
            </w:r>
          </w:p>
        </w:tc>
        <w:tc>
          <w:tcPr>
            <w:tcW w:w="1264" w:type="dxa"/>
            <w:tcBorders>
              <w:top w:val="nil"/>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2 029 662</w:t>
            </w:r>
          </w:p>
        </w:tc>
      </w:tr>
      <w:tr w:rsidR="000B4A1E" w:rsidRPr="000B4A1E" w:rsidTr="00517E51">
        <w:trPr>
          <w:trHeight w:hRule="exact" w:val="58"/>
        </w:trPr>
        <w:tc>
          <w:tcPr>
            <w:tcW w:w="5864" w:type="dxa"/>
            <w:gridSpan w:val="2"/>
            <w:tcBorders>
              <w:top w:val="nil"/>
              <w:left w:val="nil"/>
              <w:bottom w:val="nil"/>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 xml:space="preserve"> </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Advance to Treasurer to meet urgent claims that may arise before Parliamentary sanction is obtained, which will afterwards be submitted for Parliamentary authority</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524 133</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503 331</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776 134</w:t>
            </w:r>
          </w:p>
        </w:tc>
      </w:tr>
      <w:tr w:rsidR="000B4A1E" w:rsidRPr="000B4A1E" w:rsidTr="00517E51">
        <w:trPr>
          <w:trHeight w:hRule="exact" w:val="58"/>
        </w:trPr>
        <w:tc>
          <w:tcPr>
            <w:tcW w:w="5864" w:type="dxa"/>
            <w:gridSpan w:val="2"/>
            <w:tcBorders>
              <w:top w:val="nil"/>
              <w:left w:val="nil"/>
              <w:bottom w:val="nil"/>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 xml:space="preserve"> </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sz w:val="20"/>
                <w:lang w:eastAsia="en-AU"/>
              </w:rPr>
            </w:pPr>
            <w:r w:rsidRPr="000B4A1E">
              <w:rPr>
                <w:rFonts w:eastAsiaTheme="minorEastAsia"/>
                <w:sz w:val="20"/>
                <w:lang w:eastAsia="en-AU"/>
              </w:rPr>
              <w:t xml:space="preserve">Payments approved under Advance to Treasurer and brought to account under the relevant departments </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(524 133)</w:t>
            </w:r>
          </w:p>
        </w:tc>
        <w:tc>
          <w:tcPr>
            <w:tcW w:w="1080"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(503 331)</w:t>
            </w:r>
          </w:p>
        </w:tc>
        <w:tc>
          <w:tcPr>
            <w:tcW w:w="1264" w:type="dxa"/>
            <w:tcBorders>
              <w:top w:val="nil"/>
              <w:left w:val="nil"/>
              <w:bottom w:val="nil"/>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(776 134)</w:t>
            </w:r>
          </w:p>
        </w:tc>
      </w:tr>
      <w:tr w:rsidR="000B4A1E" w:rsidRPr="000B4A1E" w:rsidTr="00517E51">
        <w:trPr>
          <w:trHeight w:hRule="exact" w:val="58"/>
        </w:trPr>
        <w:tc>
          <w:tcPr>
            <w:tcW w:w="5864" w:type="dxa"/>
            <w:gridSpan w:val="2"/>
            <w:tcBorders>
              <w:top w:val="nil"/>
              <w:left w:val="nil"/>
              <w:bottom w:val="single" w:sz="6" w:space="0" w:color="auto"/>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 xml:space="preserve"> </w:t>
            </w:r>
          </w:p>
        </w:tc>
        <w:tc>
          <w:tcPr>
            <w:tcW w:w="1440" w:type="dxa"/>
            <w:gridSpan w:val="2"/>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080" w:type="dxa"/>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264" w:type="dxa"/>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r>
      <w:tr w:rsidR="000B4A1E" w:rsidRPr="000B4A1E" w:rsidTr="00517E51">
        <w:tc>
          <w:tcPr>
            <w:tcW w:w="5864" w:type="dxa"/>
            <w:gridSpan w:val="2"/>
            <w:tcBorders>
              <w:top w:val="nil"/>
              <w:left w:val="nil"/>
              <w:bottom w:val="nil"/>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Total annual appropriations gross application</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2 518 234</w:t>
            </w:r>
          </w:p>
        </w:tc>
        <w:tc>
          <w:tcPr>
            <w:tcW w:w="1080" w:type="dxa"/>
            <w:tcBorders>
              <w:top w:val="nil"/>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2 492 836</w:t>
            </w:r>
          </w:p>
        </w:tc>
        <w:tc>
          <w:tcPr>
            <w:tcW w:w="1264" w:type="dxa"/>
            <w:tcBorders>
              <w:top w:val="nil"/>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2 324 187</w:t>
            </w:r>
          </w:p>
        </w:tc>
      </w:tr>
      <w:tr w:rsidR="000B4A1E" w:rsidRPr="000B4A1E" w:rsidTr="00517E51">
        <w:trPr>
          <w:trHeight w:hRule="exact" w:val="58"/>
        </w:trPr>
        <w:tc>
          <w:tcPr>
            <w:tcW w:w="5864" w:type="dxa"/>
            <w:gridSpan w:val="2"/>
            <w:tcBorders>
              <w:top w:val="nil"/>
              <w:left w:val="nil"/>
              <w:bottom w:val="single" w:sz="6" w:space="0" w:color="auto"/>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 xml:space="preserve"> </w:t>
            </w:r>
          </w:p>
        </w:tc>
        <w:tc>
          <w:tcPr>
            <w:tcW w:w="1440" w:type="dxa"/>
            <w:gridSpan w:val="2"/>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080" w:type="dxa"/>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264" w:type="dxa"/>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r>
      <w:tr w:rsidR="000B4A1E" w:rsidRPr="000B4A1E" w:rsidTr="00517E51">
        <w:tc>
          <w:tcPr>
            <w:tcW w:w="5864" w:type="dxa"/>
            <w:gridSpan w:val="2"/>
            <w:tcBorders>
              <w:top w:val="single" w:sz="6" w:space="0" w:color="auto"/>
              <w:left w:val="nil"/>
              <w:bottom w:val="single" w:sz="6" w:space="0" w:color="auto"/>
              <w:right w:val="nil"/>
            </w:tcBorders>
          </w:tcPr>
          <w:p w:rsidR="000B4A1E" w:rsidRPr="000B4A1E" w:rsidRDefault="000B4A1E" w:rsidP="00517E51">
            <w:pPr>
              <w:pStyle w:val="Tabletext"/>
              <w:rPr>
                <w:rFonts w:eastAsiaTheme="minorEastAsia" w:cs="Calibri"/>
                <w:b/>
                <w:bCs/>
                <w:sz w:val="20"/>
                <w:szCs w:val="22"/>
                <w:lang w:eastAsia="en-AU"/>
              </w:rPr>
            </w:pPr>
            <w:r w:rsidRPr="000B4A1E">
              <w:rPr>
                <w:rFonts w:eastAsiaTheme="minorEastAsia"/>
                <w:b/>
                <w:bCs/>
                <w:sz w:val="20"/>
                <w:lang w:eastAsia="en-AU"/>
              </w:rPr>
              <w:t xml:space="preserve">Total Parliamentary authority (excluding </w:t>
            </w:r>
            <w:r w:rsidRPr="000B4A1E">
              <w:rPr>
                <w:rFonts w:eastAsiaTheme="minorEastAsia"/>
                <w:b/>
                <w:bCs/>
                <w:i/>
                <w:sz w:val="20"/>
                <w:lang w:eastAsia="en-AU"/>
              </w:rPr>
              <w:t>Financial Management Act, No</w:t>
            </w:r>
            <w:r w:rsidRPr="000B4A1E">
              <w:rPr>
                <w:rFonts w:eastAsiaTheme="minorEastAsia" w:cs="Calibri"/>
                <w:b/>
                <w:bCs/>
                <w:i/>
                <w:iCs/>
                <w:sz w:val="20"/>
                <w:szCs w:val="22"/>
                <w:lang w:eastAsia="en-AU"/>
              </w:rPr>
              <w:t>. 18 of 1994</w:t>
            </w:r>
            <w:r w:rsidRPr="000B4A1E">
              <w:rPr>
                <w:rFonts w:eastAsiaTheme="minorEastAsia" w:cs="Calibri"/>
                <w:b/>
                <w:bCs/>
                <w:sz w:val="20"/>
                <w:szCs w:val="22"/>
                <w:lang w:eastAsia="en-AU"/>
              </w:rPr>
              <w:t xml:space="preserve"> Section 33)</w:t>
            </w:r>
          </w:p>
        </w:tc>
        <w:tc>
          <w:tcPr>
            <w:tcW w:w="1440" w:type="dxa"/>
            <w:gridSpan w:val="2"/>
            <w:tcBorders>
              <w:top w:val="single" w:sz="6" w:space="0" w:color="auto"/>
              <w:left w:val="nil"/>
              <w:bottom w:val="single" w:sz="6" w:space="0" w:color="auto"/>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3 701 577</w:t>
            </w:r>
          </w:p>
        </w:tc>
        <w:tc>
          <w:tcPr>
            <w:tcW w:w="1080" w:type="dxa"/>
            <w:tcBorders>
              <w:top w:val="single" w:sz="6" w:space="0" w:color="auto"/>
              <w:left w:val="nil"/>
              <w:bottom w:val="single" w:sz="6" w:space="0" w:color="auto"/>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3 676 179</w:t>
            </w:r>
          </w:p>
        </w:tc>
        <w:tc>
          <w:tcPr>
            <w:tcW w:w="1264" w:type="dxa"/>
            <w:tcBorders>
              <w:top w:val="single" w:sz="6" w:space="0" w:color="auto"/>
              <w:left w:val="nil"/>
              <w:bottom w:val="single" w:sz="6" w:space="0" w:color="auto"/>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3 154 706</w:t>
            </w:r>
          </w:p>
        </w:tc>
      </w:tr>
      <w:tr w:rsidR="000B4A1E" w:rsidRPr="000B4A1E" w:rsidTr="00517E51">
        <w:tc>
          <w:tcPr>
            <w:tcW w:w="5864" w:type="dxa"/>
            <w:gridSpan w:val="2"/>
            <w:tcBorders>
              <w:top w:val="nil"/>
              <w:left w:val="nil"/>
              <w:bottom w:val="nil"/>
              <w:right w:val="nil"/>
            </w:tcBorders>
          </w:tcPr>
          <w:p w:rsidR="000B4A1E" w:rsidRPr="000B4A1E" w:rsidRDefault="000B4A1E" w:rsidP="00FB4EAF">
            <w:pPr>
              <w:pStyle w:val="Tabletext"/>
              <w:rPr>
                <w:rFonts w:eastAsiaTheme="minorEastAsia"/>
                <w:b/>
                <w:bCs/>
                <w:sz w:val="20"/>
                <w:lang w:eastAsia="en-AU"/>
              </w:rPr>
            </w:pPr>
            <w:r w:rsidRPr="000B4A1E">
              <w:rPr>
                <w:rFonts w:eastAsiaTheme="minorEastAsia"/>
                <w:b/>
                <w:bCs/>
                <w:sz w:val="20"/>
                <w:lang w:eastAsia="en-AU"/>
              </w:rPr>
              <w:t xml:space="preserve">Amounts issued under the authority of the </w:t>
            </w:r>
            <w:r w:rsidRPr="000B4A1E">
              <w:rPr>
                <w:rFonts w:eastAsiaTheme="minorEastAsia"/>
                <w:b/>
                <w:bCs/>
                <w:i/>
                <w:sz w:val="20"/>
                <w:lang w:eastAsia="en-AU"/>
              </w:rPr>
              <w:t>Financial Management Act, No. 18 of 1994</w:t>
            </w:r>
            <w:r w:rsidRPr="000B4A1E">
              <w:rPr>
                <w:rFonts w:eastAsiaTheme="minorEastAsia"/>
                <w:b/>
                <w:bCs/>
                <w:sz w:val="20"/>
                <w:lang w:eastAsia="en-AU"/>
              </w:rPr>
              <w:t xml:space="preserve"> Section 33 (Special Appropriation) relating to prior year appropriations</w:t>
            </w:r>
          </w:p>
        </w:tc>
        <w:tc>
          <w:tcPr>
            <w:tcW w:w="1440" w:type="dxa"/>
            <w:gridSpan w:val="2"/>
            <w:tcBorders>
              <w:top w:val="nil"/>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 xml:space="preserve"> 1 680</w:t>
            </w:r>
          </w:p>
        </w:tc>
        <w:tc>
          <w:tcPr>
            <w:tcW w:w="1080" w:type="dxa"/>
            <w:tcBorders>
              <w:top w:val="nil"/>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 xml:space="preserve"> 1 680</w:t>
            </w:r>
          </w:p>
        </w:tc>
        <w:tc>
          <w:tcPr>
            <w:tcW w:w="1264" w:type="dxa"/>
            <w:tcBorders>
              <w:top w:val="nil"/>
              <w:left w:val="nil"/>
              <w:bottom w:val="nil"/>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 xml:space="preserve"> 1 695</w:t>
            </w:r>
          </w:p>
        </w:tc>
      </w:tr>
      <w:tr w:rsidR="000B4A1E" w:rsidRPr="000B4A1E" w:rsidTr="00517E51">
        <w:trPr>
          <w:trHeight w:hRule="exact" w:val="58"/>
        </w:trPr>
        <w:tc>
          <w:tcPr>
            <w:tcW w:w="5864" w:type="dxa"/>
            <w:gridSpan w:val="2"/>
            <w:tcBorders>
              <w:top w:val="nil"/>
              <w:left w:val="nil"/>
              <w:bottom w:val="single" w:sz="6" w:space="0" w:color="auto"/>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 xml:space="preserve"> </w:t>
            </w:r>
          </w:p>
        </w:tc>
        <w:tc>
          <w:tcPr>
            <w:tcW w:w="1440" w:type="dxa"/>
            <w:gridSpan w:val="2"/>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080" w:type="dxa"/>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c>
          <w:tcPr>
            <w:tcW w:w="1264" w:type="dxa"/>
            <w:tcBorders>
              <w:top w:val="nil"/>
              <w:left w:val="nil"/>
              <w:bottom w:val="single" w:sz="6" w:space="0" w:color="auto"/>
              <w:right w:val="nil"/>
            </w:tcBorders>
          </w:tcPr>
          <w:p w:rsidR="000B4A1E" w:rsidRPr="000B4A1E" w:rsidRDefault="000B4A1E" w:rsidP="00517E51">
            <w:pPr>
              <w:pStyle w:val="TableofFigures"/>
              <w:rPr>
                <w:rFonts w:eastAsiaTheme="minorEastAsia"/>
                <w:sz w:val="20"/>
                <w:lang w:eastAsia="en-AU"/>
              </w:rPr>
            </w:pPr>
            <w:r w:rsidRPr="000B4A1E">
              <w:rPr>
                <w:rFonts w:eastAsiaTheme="minorEastAsia"/>
                <w:sz w:val="20"/>
                <w:lang w:eastAsia="en-AU"/>
              </w:rPr>
              <w:t xml:space="preserve"> </w:t>
            </w:r>
          </w:p>
        </w:tc>
      </w:tr>
      <w:tr w:rsidR="000B4A1E" w:rsidRPr="000B4A1E" w:rsidTr="00517E51">
        <w:tc>
          <w:tcPr>
            <w:tcW w:w="5864" w:type="dxa"/>
            <w:gridSpan w:val="2"/>
            <w:tcBorders>
              <w:top w:val="nil"/>
              <w:left w:val="nil"/>
              <w:bottom w:val="single" w:sz="12" w:space="0" w:color="auto"/>
              <w:right w:val="nil"/>
            </w:tcBorders>
          </w:tcPr>
          <w:p w:rsidR="000B4A1E" w:rsidRPr="000B4A1E" w:rsidRDefault="000B4A1E" w:rsidP="00517E51">
            <w:pPr>
              <w:pStyle w:val="Tabletext"/>
              <w:rPr>
                <w:rFonts w:eastAsiaTheme="minorEastAsia"/>
                <w:b/>
                <w:bCs/>
                <w:sz w:val="20"/>
                <w:lang w:eastAsia="en-AU"/>
              </w:rPr>
            </w:pPr>
            <w:r w:rsidRPr="000B4A1E">
              <w:rPr>
                <w:rFonts w:eastAsiaTheme="minorEastAsia"/>
                <w:b/>
                <w:bCs/>
                <w:sz w:val="20"/>
                <w:lang w:eastAsia="en-AU"/>
              </w:rPr>
              <w:t>Total Parliamentary authority</w:t>
            </w:r>
          </w:p>
        </w:tc>
        <w:tc>
          <w:tcPr>
            <w:tcW w:w="1440" w:type="dxa"/>
            <w:gridSpan w:val="2"/>
            <w:tcBorders>
              <w:top w:val="nil"/>
              <w:left w:val="nil"/>
              <w:bottom w:val="single" w:sz="12" w:space="0" w:color="auto"/>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3 703 257</w:t>
            </w:r>
          </w:p>
        </w:tc>
        <w:tc>
          <w:tcPr>
            <w:tcW w:w="1080" w:type="dxa"/>
            <w:tcBorders>
              <w:top w:val="nil"/>
              <w:left w:val="nil"/>
              <w:bottom w:val="single" w:sz="12" w:space="0" w:color="auto"/>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3 677 859</w:t>
            </w:r>
          </w:p>
        </w:tc>
        <w:tc>
          <w:tcPr>
            <w:tcW w:w="1264" w:type="dxa"/>
            <w:tcBorders>
              <w:top w:val="nil"/>
              <w:left w:val="nil"/>
              <w:bottom w:val="single" w:sz="12" w:space="0" w:color="auto"/>
              <w:right w:val="nil"/>
            </w:tcBorders>
          </w:tcPr>
          <w:p w:rsidR="000B4A1E" w:rsidRPr="000B4A1E" w:rsidRDefault="000B4A1E" w:rsidP="00517E51">
            <w:pPr>
              <w:pStyle w:val="TableofFigures"/>
              <w:rPr>
                <w:rFonts w:eastAsiaTheme="minorEastAsia"/>
                <w:b/>
                <w:bCs/>
                <w:sz w:val="20"/>
                <w:lang w:eastAsia="en-AU"/>
              </w:rPr>
            </w:pPr>
            <w:r w:rsidRPr="000B4A1E">
              <w:rPr>
                <w:rFonts w:eastAsiaTheme="minorEastAsia"/>
                <w:b/>
                <w:bCs/>
                <w:sz w:val="20"/>
                <w:lang w:eastAsia="en-AU"/>
              </w:rPr>
              <w:t>3 156 401</w:t>
            </w:r>
          </w:p>
        </w:tc>
      </w:tr>
    </w:tbl>
    <w:p w:rsidR="000B4A1E" w:rsidRDefault="000B4A1E" w:rsidP="00517E51">
      <w:pPr>
        <w:pStyle w:val="Heading2NotesContd"/>
        <w:rPr>
          <w:i/>
        </w:rPr>
      </w:pPr>
      <w:r w:rsidRPr="00D00665">
        <w:lastRenderedPageBreak/>
        <w:t>Note 38:</w:t>
      </w:r>
      <w:r w:rsidRPr="00D00665">
        <w:tab/>
        <w:t>Public account disclosure</w:t>
      </w:r>
      <w:r>
        <w:t xml:space="preserve"> </w:t>
      </w:r>
      <w:r>
        <w:rPr>
          <w:i/>
        </w:rPr>
        <w:t>(continued)</w:t>
      </w:r>
    </w:p>
    <w:p w:rsidR="000B4A1E" w:rsidRPr="00D00665" w:rsidRDefault="000B4A1E" w:rsidP="00517E51">
      <w:pPr>
        <w:pStyle w:val="Tableheading"/>
      </w:pPr>
      <w:r w:rsidRPr="00D00665">
        <w:t>(aa)</w:t>
      </w:r>
      <w:r w:rsidRPr="00D00665">
        <w:tab/>
        <w:t>Government guarantee</w:t>
      </w:r>
    </w:p>
    <w:p w:rsidR="000B4A1E" w:rsidRPr="00D00665" w:rsidRDefault="000B4A1E" w:rsidP="00517E51">
      <w:pPr>
        <w:pStyle w:val="Heading5a"/>
      </w:pPr>
      <w:r w:rsidRPr="00D00665">
        <w:t>Details of payments made in fulfilment of any guarantee by the Government</w:t>
      </w:r>
    </w:p>
    <w:p w:rsidR="000B4A1E" w:rsidRPr="00D00665" w:rsidRDefault="000B4A1E" w:rsidP="00517E51">
      <w:r w:rsidRPr="00D00665">
        <w:t>There have been no payments made during 2012</w:t>
      </w:r>
      <w:r w:rsidRPr="00D00665">
        <w:noBreakHyphen/>
        <w:t>13 in fulfilment of any guarantee by the Government.</w:t>
      </w:r>
    </w:p>
    <w:p w:rsidR="000B4A1E" w:rsidRPr="00D00665" w:rsidRDefault="000B4A1E" w:rsidP="00517E51">
      <w:pPr>
        <w:pStyle w:val="Heading5a"/>
      </w:pPr>
      <w:r w:rsidRPr="00D00665">
        <w:t>Money received or recovered in respect of any guarantee payments</w:t>
      </w:r>
    </w:p>
    <w:p w:rsidR="000B4A1E" w:rsidRPr="00D00665" w:rsidRDefault="000B4A1E" w:rsidP="00517E51">
      <w:r w:rsidRPr="00D00665">
        <w:t>There has been no money recovered during 2012</w:t>
      </w:r>
      <w:r w:rsidRPr="00D00665">
        <w:noBreakHyphen/>
        <w:t>13 in respect of any guarantee payment.</w:t>
      </w:r>
    </w:p>
    <w:p w:rsidR="000B4A1E" w:rsidRPr="00D00665" w:rsidRDefault="000B4A1E" w:rsidP="00517E51"/>
    <w:p w:rsidR="000B4A1E" w:rsidRPr="00D00665" w:rsidRDefault="000B4A1E" w:rsidP="00517E51">
      <w:pPr>
        <w:pStyle w:val="Heading2Notes"/>
        <w:spacing w:before="120"/>
      </w:pPr>
      <w:r w:rsidRPr="00D00665">
        <w:br w:type="page"/>
      </w:r>
      <w:bookmarkStart w:id="201" w:name="_Toc367947898"/>
      <w:r w:rsidRPr="00D00665">
        <w:lastRenderedPageBreak/>
        <w:t>Note 39:</w:t>
      </w:r>
      <w:r w:rsidRPr="00D00665">
        <w:tab/>
        <w:t>Glossary of technical terms</w:t>
      </w:r>
      <w:bookmarkEnd w:id="201"/>
    </w:p>
    <w:p w:rsidR="000B4A1E" w:rsidRPr="00D00665" w:rsidRDefault="000B4A1E" w:rsidP="00517E51">
      <w:r w:rsidRPr="00D00665">
        <w:t>The following is a summary of the major technical terms used in this report.</w:t>
      </w:r>
    </w:p>
    <w:p w:rsidR="000B4A1E" w:rsidRPr="00D00665" w:rsidRDefault="000B4A1E" w:rsidP="00517E51">
      <w:pPr>
        <w:pStyle w:val="Heading3"/>
      </w:pPr>
      <w:r w:rsidRPr="00D00665">
        <w:t>ABS GFS manual</w:t>
      </w:r>
    </w:p>
    <w:p w:rsidR="000B4A1E" w:rsidRPr="00D00665" w:rsidRDefault="000B4A1E" w:rsidP="00517E51">
      <w:r w:rsidRPr="00D00665">
        <w:t xml:space="preserve">The ABS publication </w:t>
      </w:r>
      <w:r w:rsidRPr="00D00665">
        <w:rPr>
          <w:i/>
        </w:rPr>
        <w:t>Australian System of Government Finance Statistics: Concepts, Sources and Methods</w:t>
      </w:r>
      <w:r w:rsidRPr="00D00665">
        <w:t xml:space="preserve"> as updated from time to time.</w:t>
      </w:r>
    </w:p>
    <w:p w:rsidR="000B4A1E" w:rsidRPr="00D00665" w:rsidRDefault="000B4A1E" w:rsidP="00517E51">
      <w:pPr>
        <w:pStyle w:val="Heading3"/>
      </w:pPr>
      <w:r w:rsidRPr="00D00665">
        <w:t>Advances paid</w:t>
      </w:r>
    </w:p>
    <w:p w:rsidR="000B4A1E" w:rsidRPr="00D00665" w:rsidRDefault="000B4A1E" w:rsidP="00517E51">
      <w:r w:rsidRPr="00D00665">
        <w:t>Loans acquired for policy rather than liquidity management purposes. These include long and short term loans, non marketable debentures and long and short term promissory agreements (bonds and bills) issued to public sector units for achieving government policy objectives.</w:t>
      </w:r>
    </w:p>
    <w:p w:rsidR="000B4A1E" w:rsidRPr="00D00665" w:rsidRDefault="000B4A1E" w:rsidP="00517E51">
      <w:pPr>
        <w:pStyle w:val="Heading3"/>
      </w:pPr>
      <w:r w:rsidRPr="00D00665">
        <w:t>Borrowings</w:t>
      </w:r>
    </w:p>
    <w:p w:rsidR="000B4A1E" w:rsidRPr="00D00665" w:rsidRDefault="000B4A1E" w:rsidP="00517E51">
      <w:r w:rsidRPr="00D00665">
        <w:t>Borrowings refer to interest bearing liabilities mainly raised from public borrowings raised through the Treasury Corporation of Victoria and finance leases and other interest bearing arrangements. Borrowings exclude liabilities raised from other government entities (including finance lease arrangements), which are classified as advances received.</w:t>
      </w:r>
    </w:p>
    <w:p w:rsidR="000B4A1E" w:rsidRPr="00D00665" w:rsidRDefault="000B4A1E" w:rsidP="00517E51">
      <w:pPr>
        <w:pStyle w:val="Heading3"/>
      </w:pPr>
      <w:r w:rsidRPr="00D00665">
        <w:t>Biological assets</w:t>
      </w:r>
    </w:p>
    <w:p w:rsidR="000B4A1E" w:rsidRPr="00D00665" w:rsidRDefault="000B4A1E" w:rsidP="00517E51">
      <w:r w:rsidRPr="00D00665">
        <w:t>Biological assets may comprise of commercial forests and also any living animal, plant or agricultural produce that is the harvested product of biological assets.</w:t>
      </w:r>
    </w:p>
    <w:p w:rsidR="000B4A1E" w:rsidRPr="00D00665" w:rsidRDefault="000B4A1E" w:rsidP="00517E51">
      <w:pPr>
        <w:pStyle w:val="Heading3"/>
      </w:pPr>
      <w:r w:rsidRPr="00D00665">
        <w:t>Capital grants</w:t>
      </w:r>
    </w:p>
    <w:p w:rsidR="000B4A1E" w:rsidRPr="00D00665" w:rsidRDefault="000B4A1E" w:rsidP="00517E51">
      <w:r w:rsidRPr="00D00665">
        <w:t>Transactions in which the ownership of an asset (other than cash and inventories) is transferred from one institutional unit to another, in which cash is transferred to enable the recipient to acquire another asset or in which the funds realised by the disposal of another asset are transferred, for which no economic benefits of equal value are receivable or payable in return.</w:t>
      </w:r>
    </w:p>
    <w:p w:rsidR="000B4A1E" w:rsidRPr="00D00665" w:rsidRDefault="000B4A1E" w:rsidP="00517E51">
      <w:pPr>
        <w:pStyle w:val="Heading3"/>
      </w:pPr>
      <w:r w:rsidRPr="00D00665">
        <w:t>Cash surplus/deficit</w:t>
      </w:r>
    </w:p>
    <w:p w:rsidR="000B4A1E" w:rsidRPr="00D00665" w:rsidRDefault="000B4A1E" w:rsidP="00517E51">
      <w:r w:rsidRPr="00D00665">
        <w:t>Net cash flows from operating activities plus net cash flows from investments in non financial assets (less dividends paid for the PNFC and PFC sectors).</w:t>
      </w:r>
    </w:p>
    <w:p w:rsidR="000B4A1E" w:rsidRPr="00D00665" w:rsidRDefault="000B4A1E" w:rsidP="00517E51">
      <w:pPr>
        <w:pStyle w:val="Heading3"/>
      </w:pPr>
      <w:r w:rsidRPr="00D00665">
        <w:t>Cash surplus/deficit – ABS GFS version</w:t>
      </w:r>
    </w:p>
    <w:p w:rsidR="000B4A1E" w:rsidRPr="00D00665" w:rsidRDefault="000B4A1E" w:rsidP="00517E51">
      <w:r w:rsidRPr="00D00665">
        <w:t>Equal to the cash surplus deficit (above) less the value of assets acquired under finance leases and similar arrangements.</w:t>
      </w:r>
    </w:p>
    <w:p w:rsidR="000B4A1E" w:rsidRPr="00D00665" w:rsidRDefault="000B4A1E" w:rsidP="00517E51">
      <w:pPr>
        <w:pStyle w:val="Heading3"/>
      </w:pPr>
      <w:r w:rsidRPr="00D00665">
        <w:t>Change in net worth</w:t>
      </w:r>
    </w:p>
    <w:p w:rsidR="000B4A1E" w:rsidRPr="00D00665" w:rsidRDefault="000B4A1E" w:rsidP="00517E51">
      <w:r w:rsidRPr="00D00665">
        <w:t>Change in net worth (comprehensive result) is revenue from transactions less expenses from transactions plus other economic flows and measures the variation in a government</w:t>
      </w:r>
      <w:r>
        <w:t>’</w:t>
      </w:r>
      <w:r w:rsidRPr="00D00665">
        <w:t>s accumulated assets and liabilities.</w:t>
      </w:r>
    </w:p>
    <w:p w:rsidR="000B4A1E" w:rsidRPr="00D00665" w:rsidRDefault="000B4A1E" w:rsidP="00517E51">
      <w:pPr>
        <w:pStyle w:val="Heading3"/>
      </w:pPr>
      <w:r w:rsidRPr="00D00665">
        <w:t>Comprehensive result</w:t>
      </w:r>
    </w:p>
    <w:p w:rsidR="000B4A1E" w:rsidRPr="00D00665" w:rsidRDefault="000B4A1E" w:rsidP="00517E51">
      <w:r w:rsidRPr="00D00665">
        <w:t>Comprehensive result is the amount included in the operating statement representing total change in net worth other than transactions with owners as owners.</w:t>
      </w:r>
    </w:p>
    <w:p w:rsidR="000B4A1E" w:rsidRPr="00D00665" w:rsidRDefault="000B4A1E">
      <w:pPr>
        <w:spacing w:after="0"/>
        <w:rPr>
          <w:rFonts w:ascii="Calibri" w:hAnsi="Calibri"/>
          <w:b/>
          <w:i/>
          <w:kern w:val="28"/>
          <w:sz w:val="26"/>
          <w:szCs w:val="22"/>
        </w:rPr>
      </w:pPr>
      <w:r w:rsidRPr="00D00665">
        <w:br w:type="page"/>
      </w:r>
    </w:p>
    <w:p w:rsidR="000B4A1E" w:rsidRPr="00FB7B81" w:rsidRDefault="000B4A1E" w:rsidP="00517E51">
      <w:pPr>
        <w:pStyle w:val="Heading2NotesContd"/>
        <w:rPr>
          <w:i/>
        </w:rPr>
      </w:pPr>
      <w:r w:rsidRPr="00D00665">
        <w:lastRenderedPageBreak/>
        <w:t>Note 39:</w:t>
      </w:r>
      <w:r w:rsidRPr="00D00665">
        <w:tab/>
        <w:t>Glossary of technical terms</w:t>
      </w:r>
      <w:r>
        <w:t xml:space="preserve"> </w:t>
      </w:r>
      <w:r>
        <w:rPr>
          <w:i/>
        </w:rPr>
        <w:t>(continued)</w:t>
      </w:r>
    </w:p>
    <w:p w:rsidR="000B4A1E" w:rsidRPr="00D00665" w:rsidRDefault="000B4A1E" w:rsidP="00517E51">
      <w:pPr>
        <w:pStyle w:val="Heading3"/>
      </w:pPr>
      <w:r w:rsidRPr="00D00665">
        <w:t>Effective interest method</w:t>
      </w:r>
    </w:p>
    <w:p w:rsidR="000B4A1E" w:rsidRPr="00D00665" w:rsidRDefault="000B4A1E" w:rsidP="00517E51">
      <w:r w:rsidRPr="00D00665">
        <w:t>The effective interest method is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rsidR="000B4A1E" w:rsidRPr="00D00665" w:rsidRDefault="000B4A1E" w:rsidP="00517E51">
      <w:pPr>
        <w:pStyle w:val="Heading3"/>
      </w:pPr>
      <w:r w:rsidRPr="00D00665">
        <w:t>Current grants</w:t>
      </w:r>
    </w:p>
    <w:p w:rsidR="000B4A1E" w:rsidRPr="00D00665" w:rsidRDefault="000B4A1E" w:rsidP="00517E51">
      <w:r w:rsidRPr="00D00665">
        <w:t>Amounts payable or receivable for current purposes for which no economic benefits of equal value are receivable or payable in return.</w:t>
      </w:r>
    </w:p>
    <w:p w:rsidR="000B4A1E" w:rsidRPr="00D00665" w:rsidRDefault="000B4A1E" w:rsidP="00517E51">
      <w:pPr>
        <w:pStyle w:val="Heading3"/>
      </w:pPr>
      <w:r w:rsidRPr="00D00665">
        <w:t>Employee expenses</w:t>
      </w:r>
    </w:p>
    <w:p w:rsidR="000B4A1E" w:rsidRPr="00D00665" w:rsidRDefault="000B4A1E" w:rsidP="00517E51">
      <w:r w:rsidRPr="00D00665">
        <w:t>These expenses include all costs related to employment including wages and salaries, fringe benefits tax, leave entitlements, redundancy payments, defined benefits superannuation plans and defined contribution superannuation plans.</w:t>
      </w:r>
    </w:p>
    <w:p w:rsidR="000B4A1E" w:rsidRPr="00D00665" w:rsidRDefault="000B4A1E" w:rsidP="00517E51">
      <w:pPr>
        <w:pStyle w:val="Heading3"/>
      </w:pPr>
      <w:r w:rsidRPr="00D00665">
        <w:t>Financial asset</w:t>
      </w:r>
    </w:p>
    <w:p w:rsidR="000B4A1E" w:rsidRPr="00D00665" w:rsidRDefault="000B4A1E" w:rsidP="00517E51">
      <w:r w:rsidRPr="00D00665">
        <w:t>A financial asset is any asset that is:</w:t>
      </w:r>
    </w:p>
    <w:p w:rsidR="000B4A1E" w:rsidRPr="00D00665" w:rsidRDefault="000B4A1E" w:rsidP="00517E51">
      <w:pPr>
        <w:ind w:left="360" w:hanging="360"/>
      </w:pPr>
      <w:r w:rsidRPr="00D00665">
        <w:t>(a)</w:t>
      </w:r>
      <w:r w:rsidRPr="00D00665">
        <w:tab/>
        <w:t>cash;</w:t>
      </w:r>
    </w:p>
    <w:p w:rsidR="000B4A1E" w:rsidRPr="00D00665" w:rsidRDefault="000B4A1E" w:rsidP="00517E51">
      <w:pPr>
        <w:ind w:left="360" w:hanging="360"/>
      </w:pPr>
      <w:r w:rsidRPr="00D00665">
        <w:t>(b)</w:t>
      </w:r>
      <w:r w:rsidRPr="00D00665">
        <w:tab/>
        <w:t>an equity instrument of another entity;</w:t>
      </w:r>
    </w:p>
    <w:p w:rsidR="000B4A1E" w:rsidRPr="00D00665" w:rsidRDefault="000B4A1E" w:rsidP="00517E51">
      <w:pPr>
        <w:ind w:left="360" w:hanging="360"/>
      </w:pPr>
      <w:r w:rsidRPr="00D00665">
        <w:t>(c)</w:t>
      </w:r>
      <w:r w:rsidRPr="00D00665">
        <w:tab/>
        <w:t>a contractual right:</w:t>
      </w:r>
    </w:p>
    <w:p w:rsidR="000B4A1E" w:rsidRPr="00D00665" w:rsidRDefault="000B4A1E" w:rsidP="00517E51">
      <w:pPr>
        <w:pStyle w:val="DashText"/>
      </w:pPr>
      <w:r w:rsidRPr="00D00665">
        <w:t>to receive cash or another financial asset from another entity; or</w:t>
      </w:r>
    </w:p>
    <w:p w:rsidR="000B4A1E" w:rsidRPr="00D00665" w:rsidRDefault="000B4A1E" w:rsidP="00517E51">
      <w:pPr>
        <w:pStyle w:val="DashText"/>
      </w:pPr>
      <w:r w:rsidRPr="00D00665">
        <w:t>to exchange financial assets or financial liabilities with another entity under conditions that are potentially favourable to the entity; or</w:t>
      </w:r>
    </w:p>
    <w:p w:rsidR="000B4A1E" w:rsidRPr="00D00665" w:rsidRDefault="000B4A1E" w:rsidP="00517E51">
      <w:pPr>
        <w:ind w:left="360" w:hanging="360"/>
      </w:pPr>
      <w:r w:rsidRPr="00D00665">
        <w:t>(d)</w:t>
      </w:r>
      <w:r w:rsidRPr="00D00665">
        <w:tab/>
        <w:t>a contract that will or may be settled in the entity</w:t>
      </w:r>
      <w:r>
        <w:t>’</w:t>
      </w:r>
      <w:r w:rsidRPr="00D00665">
        <w:t>s own equity instruments and is:</w:t>
      </w:r>
    </w:p>
    <w:p w:rsidR="000B4A1E" w:rsidRPr="00D00665" w:rsidRDefault="000B4A1E" w:rsidP="00517E51">
      <w:pPr>
        <w:pStyle w:val="DashText"/>
      </w:pPr>
      <w:r w:rsidRPr="00D00665">
        <w:t>a non derivative for which the entity is or may be obliged to receive a variable number of the entity</w:t>
      </w:r>
      <w:r>
        <w:t>’</w:t>
      </w:r>
      <w:r w:rsidRPr="00D00665">
        <w:t>s own equity instruments; or</w:t>
      </w:r>
    </w:p>
    <w:p w:rsidR="000B4A1E" w:rsidRPr="00D00665" w:rsidRDefault="000B4A1E" w:rsidP="00517E51">
      <w:pPr>
        <w:pStyle w:val="DashText"/>
      </w:pPr>
      <w:r w:rsidRPr="00D00665">
        <w:t>a derivative that will or may be settled other than by the exchange of a fixed amount of cash or another financial asset for a fixed number of the entity</w:t>
      </w:r>
      <w:r>
        <w:t>’</w:t>
      </w:r>
      <w:r w:rsidRPr="00D00665">
        <w:t>s own equity instruments.</w:t>
      </w:r>
    </w:p>
    <w:p w:rsidR="000B4A1E" w:rsidRPr="00D00665" w:rsidRDefault="000B4A1E" w:rsidP="00517E51">
      <w:pPr>
        <w:pStyle w:val="Heading3"/>
      </w:pPr>
      <w:r w:rsidRPr="00D00665">
        <w:t>Fiscal aggregates</w:t>
      </w:r>
    </w:p>
    <w:p w:rsidR="000B4A1E" w:rsidRPr="00D00665" w:rsidRDefault="000B4A1E" w:rsidP="00517E51">
      <w:r w:rsidRPr="00D00665">
        <w:t xml:space="preserve">Analytical balances that are useful for macroeconomic analysis purposes, including assessing the impact of a government and its sectors on the economy. Key fiscal aggregates defined under ABS </w:t>
      </w:r>
      <w:r w:rsidR="00FC7ED5">
        <w:t>GFS manual</w:t>
      </w:r>
      <w:r w:rsidRPr="00D00665">
        <w:t xml:space="preserve"> are required to be disclosed under AASB 1049 </w:t>
      </w:r>
      <w:r w:rsidRPr="00D00665">
        <w:rPr>
          <w:i/>
        </w:rPr>
        <w:t>Whole of Government and General Government Sector Financial Reporting</w:t>
      </w:r>
      <w:r w:rsidRPr="00D00665">
        <w:t>. They are opening net worth, net operating balance, net lending/(borrowing), change in net worth due to revaluations, change in net worth due to other changes in the volume of assets, total change in net worth, closing net worth, and cash surplus/(deficit). AASB 1049 also allows additional fiscal aggregates to be included such as net financial worth, net financial liabilities and net debt.</w:t>
      </w:r>
    </w:p>
    <w:p w:rsidR="000B4A1E" w:rsidRPr="00D00665" w:rsidRDefault="000B4A1E" w:rsidP="00517E51">
      <w:pPr>
        <w:pStyle w:val="Heading3"/>
      </w:pPr>
      <w:r w:rsidRPr="00D00665">
        <w:t>Government Finance Statistics</w:t>
      </w:r>
    </w:p>
    <w:p w:rsidR="000B4A1E" w:rsidRPr="00D00665" w:rsidRDefault="000B4A1E" w:rsidP="00517E51">
      <w:r w:rsidRPr="00D00665">
        <w:t xml:space="preserve">Government Finance Statistics (GFS) enables policymakers and analysts to study developments in the financial operations, financial position and liquidity situation of the Government. More details about the GFS can be found in the Australian Bureau of Statistics (ABS) </w:t>
      </w:r>
      <w:r w:rsidR="00FC7ED5">
        <w:t>GFS manual</w:t>
      </w:r>
      <w:r w:rsidRPr="00D00665">
        <w:rPr>
          <w:i/>
        </w:rPr>
        <w:t xml:space="preserve"> Australian System of Government Finance Statistics: Concepts, Sources and Methods 2005</w:t>
      </w:r>
      <w:r w:rsidRPr="00D00665">
        <w:t>.</w:t>
      </w:r>
    </w:p>
    <w:p w:rsidR="000B4A1E" w:rsidRPr="00FB7B81" w:rsidRDefault="000B4A1E" w:rsidP="00517E51">
      <w:pPr>
        <w:pStyle w:val="Heading2NotesContd"/>
        <w:rPr>
          <w:i/>
        </w:rPr>
      </w:pPr>
      <w:r w:rsidRPr="00D00665">
        <w:lastRenderedPageBreak/>
        <w:t>Note 39:</w:t>
      </w:r>
      <w:r w:rsidRPr="00D00665">
        <w:tab/>
        <w:t>Glossary of technical terms</w:t>
      </w:r>
      <w:r>
        <w:t xml:space="preserve"> </w:t>
      </w:r>
      <w:r>
        <w:rPr>
          <w:i/>
        </w:rPr>
        <w:t>(continued)</w:t>
      </w:r>
    </w:p>
    <w:p w:rsidR="000B4A1E" w:rsidRPr="00D00665" w:rsidRDefault="000B4A1E" w:rsidP="00517E51">
      <w:pPr>
        <w:pStyle w:val="Heading3"/>
      </w:pPr>
      <w:r w:rsidRPr="00D00665">
        <w:t>General government sector</w:t>
      </w:r>
    </w:p>
    <w:p w:rsidR="000B4A1E" w:rsidRPr="00D00665" w:rsidRDefault="000B4A1E" w:rsidP="00517E51">
      <w:r w:rsidRPr="00D00665">
        <w:t>The general government sector includes all government departments, offices and other bodies engaged in providing services free of charge or at prices significantly below their cost of production. General government services include those which are mainly non market in nature, those which are largely for collective consumption by the community and those which involve the transfer or redistribution of income. These services are financed mainly through taxes, other compul</w:t>
      </w:r>
      <w:r>
        <w:t>sory levies and user charges. A </w:t>
      </w:r>
      <w:r w:rsidRPr="00D00665">
        <w:t>listing of all entities comprising the general government sector is included in Note 40.</w:t>
      </w:r>
    </w:p>
    <w:p w:rsidR="000B4A1E" w:rsidRPr="00D00665" w:rsidRDefault="000B4A1E" w:rsidP="00517E51">
      <w:pPr>
        <w:pStyle w:val="Heading3"/>
      </w:pPr>
      <w:r w:rsidRPr="00D00665">
        <w:t>Grants</w:t>
      </w:r>
    </w:p>
    <w:p w:rsidR="000B4A1E" w:rsidRPr="00D00665" w:rsidRDefault="000B4A1E" w:rsidP="00517E51">
      <w:r w:rsidRPr="00D00665">
        <w:t xml:space="preserve">Transactions in which one unit provides goods, services, assets (or extinguishes a liability) or labour to another unit without receiving approximately equal value in return. Grants can either be of a current or capital nature (see current grants and capital grants). </w:t>
      </w:r>
    </w:p>
    <w:p w:rsidR="000B4A1E" w:rsidRPr="00D00665" w:rsidRDefault="000B4A1E" w:rsidP="00517E51">
      <w:r w:rsidRPr="00D00665">
        <w:t>While grants to governments may result in the provision of some goods or services to the transferor, they do not give the transferor a claim to receive benefits directly of approximately equal value. Receipt and sacrifice of approximately equal value may occur, but only by coincidence. For example, governments are not obliged to provide commensurate benefits, in the form of goods or services, to particular taxpayers in return for their taxes. For this reason, grants are referred to by the AASB as involuntary transfers and are termed non reciprocal transfers.</w:t>
      </w:r>
    </w:p>
    <w:p w:rsidR="000B4A1E" w:rsidRPr="00D00665" w:rsidRDefault="000B4A1E" w:rsidP="00517E51">
      <w:r w:rsidRPr="00D00665">
        <w:t xml:space="preserve">Grants can be paid as general purpose grants which refers to grants which are not subject to conditions regarding their use. Alternatively, they may be paid as specific purpose grants which are paid for a particular purpose and/or have conditions attached regarding their use. </w:t>
      </w:r>
    </w:p>
    <w:p w:rsidR="000B4A1E" w:rsidRPr="00D00665" w:rsidRDefault="000B4A1E" w:rsidP="00517E51">
      <w:pPr>
        <w:pStyle w:val="Heading3"/>
      </w:pPr>
      <w:r w:rsidRPr="00D00665">
        <w:t>Grants for on passing</w:t>
      </w:r>
    </w:p>
    <w:p w:rsidR="000B4A1E" w:rsidRPr="00D00665" w:rsidRDefault="000B4A1E" w:rsidP="00517E51">
      <w:r w:rsidRPr="00D00665">
        <w:t>All grants paid to one institutional sector (e.g. a state based general government entity) to be passed on to another institutional sector (e.g. local government or a private non profit institution).</w:t>
      </w:r>
    </w:p>
    <w:p w:rsidR="000B4A1E" w:rsidRPr="00D00665" w:rsidRDefault="000B4A1E" w:rsidP="00517E51">
      <w:pPr>
        <w:pStyle w:val="Heading3"/>
      </w:pPr>
      <w:r w:rsidRPr="00D00665">
        <w:t>Infrastructure systems</w:t>
      </w:r>
    </w:p>
    <w:p w:rsidR="000B4A1E" w:rsidRPr="00D00665" w:rsidRDefault="000B4A1E" w:rsidP="00517E51">
      <w:r w:rsidRPr="00D00665">
        <w:t>Infrastructure systems provide essential services used in the delivery of final services or products. They are generally a complex interconnected network of individual assets and mainly include sewerage systems, water storage and supply systems, and public transport assets owned by the State.</w:t>
      </w:r>
    </w:p>
    <w:p w:rsidR="000B4A1E" w:rsidRPr="00D00665" w:rsidRDefault="000B4A1E" w:rsidP="00517E51">
      <w:pPr>
        <w:pStyle w:val="Heading3"/>
      </w:pPr>
      <w:r w:rsidRPr="00D00665">
        <w:t>Intangible produced assets</w:t>
      </w:r>
    </w:p>
    <w:p w:rsidR="000B4A1E" w:rsidRPr="00D00665" w:rsidRDefault="000B4A1E" w:rsidP="00517E51">
      <w:r w:rsidRPr="00D00665">
        <w:t>Refer to produced assets in this glossary.</w:t>
      </w:r>
    </w:p>
    <w:p w:rsidR="000B4A1E" w:rsidRPr="00D00665" w:rsidRDefault="000B4A1E" w:rsidP="00517E51">
      <w:pPr>
        <w:pStyle w:val="Heading3"/>
      </w:pPr>
      <w:r w:rsidRPr="00D00665">
        <w:t>Intangible non</w:t>
      </w:r>
      <w:r w:rsidRPr="00D00665">
        <w:noBreakHyphen/>
        <w:t>produced assets</w:t>
      </w:r>
    </w:p>
    <w:p w:rsidR="000B4A1E" w:rsidRPr="00D00665" w:rsidRDefault="000B4A1E" w:rsidP="00517E51">
      <w:r w:rsidRPr="00D00665">
        <w:t>Refer to non</w:t>
      </w:r>
      <w:r w:rsidRPr="00D00665">
        <w:noBreakHyphen/>
        <w:t>produced assets in this glossary.</w:t>
      </w:r>
    </w:p>
    <w:p w:rsidR="000B4A1E" w:rsidRPr="00D00665" w:rsidRDefault="000B4A1E" w:rsidP="00517E51">
      <w:pPr>
        <w:pStyle w:val="Heading3"/>
      </w:pPr>
      <w:r w:rsidRPr="00D00665">
        <w:t>Interest expense</w:t>
      </w:r>
    </w:p>
    <w:p w:rsidR="000B4A1E" w:rsidRPr="00D00665" w:rsidRDefault="000B4A1E" w:rsidP="00517E51">
      <w:pPr>
        <w:rPr>
          <w:rFonts w:ascii="Calibri" w:hAnsi="Calibri"/>
          <w:b/>
          <w:kern w:val="28"/>
          <w:sz w:val="28"/>
          <w:szCs w:val="22"/>
        </w:rPr>
      </w:pPr>
      <w:r w:rsidRPr="00D00665">
        <w:t>Costs incurred in connection with the borrowing of funds. It includes interest on advances, loans, overdrafts, bonds and bills, deposits, interest components of finance lease repayments, and amortisation of discounts or premiums in relation to borrowings.</w:t>
      </w:r>
    </w:p>
    <w:p w:rsidR="000B4A1E" w:rsidRPr="00D00665" w:rsidRDefault="000B4A1E">
      <w:pPr>
        <w:spacing w:after="0"/>
        <w:rPr>
          <w:rFonts w:ascii="Calibri" w:hAnsi="Calibri"/>
          <w:b/>
          <w:i/>
          <w:sz w:val="26"/>
          <w:szCs w:val="22"/>
        </w:rPr>
      </w:pPr>
      <w:r w:rsidRPr="00D00665">
        <w:br w:type="page"/>
      </w:r>
    </w:p>
    <w:p w:rsidR="000B4A1E" w:rsidRPr="00FB7B81" w:rsidRDefault="000B4A1E" w:rsidP="00517E51">
      <w:pPr>
        <w:pStyle w:val="Heading2NotesContd"/>
        <w:rPr>
          <w:i/>
        </w:rPr>
      </w:pPr>
      <w:r w:rsidRPr="00D00665">
        <w:lastRenderedPageBreak/>
        <w:t>Note 39:</w:t>
      </w:r>
      <w:r w:rsidRPr="00D00665">
        <w:tab/>
        <w:t>Glossary of technical terms</w:t>
      </w:r>
      <w:r>
        <w:t xml:space="preserve"> </w:t>
      </w:r>
      <w:r>
        <w:rPr>
          <w:i/>
        </w:rPr>
        <w:t>(continued)</w:t>
      </w:r>
    </w:p>
    <w:p w:rsidR="000B4A1E" w:rsidRPr="00D00665" w:rsidRDefault="000B4A1E" w:rsidP="00517E51">
      <w:pPr>
        <w:pStyle w:val="Heading3"/>
      </w:pPr>
      <w:r w:rsidRPr="00D00665">
        <w:t>Key fiscal aggregates</w:t>
      </w:r>
    </w:p>
    <w:p w:rsidR="000B4A1E" w:rsidRPr="00D00665" w:rsidRDefault="000B4A1E" w:rsidP="00517E51">
      <w:r w:rsidRPr="00D00665">
        <w:t xml:space="preserve">Referred to as analytical balances in the ABS </w:t>
      </w:r>
      <w:r w:rsidR="00FC7ED5">
        <w:t>GFS manual</w:t>
      </w:r>
      <w:r w:rsidRPr="00D00665">
        <w:t>, key fiscal aggregates are data identified as useful for macroeconomic analysis purposes, including assessing the impact of a government and its sectors on the economy. They are:</w:t>
      </w:r>
    </w:p>
    <w:p w:rsidR="000B4A1E" w:rsidRPr="00D00665" w:rsidRDefault="000B4A1E" w:rsidP="00517E51">
      <w:pPr>
        <w:pStyle w:val="BulletText"/>
      </w:pPr>
      <w:r w:rsidRPr="00D00665">
        <w:t>opening net worth;</w:t>
      </w:r>
    </w:p>
    <w:p w:rsidR="000B4A1E" w:rsidRPr="00D00665" w:rsidRDefault="000B4A1E" w:rsidP="00517E51">
      <w:pPr>
        <w:pStyle w:val="BulletText"/>
      </w:pPr>
      <w:r w:rsidRPr="00D00665">
        <w:t>net operating balance;</w:t>
      </w:r>
    </w:p>
    <w:p w:rsidR="000B4A1E" w:rsidRPr="00D00665" w:rsidRDefault="000B4A1E" w:rsidP="00517E51">
      <w:pPr>
        <w:pStyle w:val="BulletText"/>
      </w:pPr>
      <w:r w:rsidRPr="00D00665">
        <w:t>net lending/(borrowing);</w:t>
      </w:r>
    </w:p>
    <w:p w:rsidR="000B4A1E" w:rsidRPr="00D00665" w:rsidRDefault="000B4A1E" w:rsidP="00517E51">
      <w:pPr>
        <w:pStyle w:val="BulletText"/>
      </w:pPr>
      <w:r w:rsidRPr="00D00665">
        <w:t>change in net worth due to revaluations;</w:t>
      </w:r>
    </w:p>
    <w:p w:rsidR="000B4A1E" w:rsidRPr="00D00665" w:rsidRDefault="000B4A1E" w:rsidP="00517E51">
      <w:pPr>
        <w:pStyle w:val="BulletText"/>
      </w:pPr>
      <w:r w:rsidRPr="00D00665">
        <w:t>change in net worth due to other changes in the volume of assets;</w:t>
      </w:r>
    </w:p>
    <w:p w:rsidR="000B4A1E" w:rsidRPr="00D00665" w:rsidRDefault="000B4A1E" w:rsidP="00517E51">
      <w:pPr>
        <w:pStyle w:val="BulletText"/>
      </w:pPr>
      <w:r w:rsidRPr="00D00665">
        <w:t xml:space="preserve">total change in net worth; </w:t>
      </w:r>
    </w:p>
    <w:p w:rsidR="000B4A1E" w:rsidRPr="00D00665" w:rsidRDefault="000B4A1E" w:rsidP="00517E51">
      <w:pPr>
        <w:pStyle w:val="BulletText"/>
      </w:pPr>
      <w:r w:rsidRPr="00D00665">
        <w:t>closing net worth; and</w:t>
      </w:r>
    </w:p>
    <w:p w:rsidR="000B4A1E" w:rsidRPr="00D00665" w:rsidRDefault="000B4A1E" w:rsidP="00517E51">
      <w:pPr>
        <w:pStyle w:val="BulletText"/>
      </w:pPr>
      <w:r w:rsidRPr="00D00665">
        <w:t>cash surplus/(deficit).</w:t>
      </w:r>
    </w:p>
    <w:p w:rsidR="000B4A1E" w:rsidRPr="00D00665" w:rsidRDefault="000B4A1E" w:rsidP="00517E51">
      <w:pPr>
        <w:pStyle w:val="Heading3"/>
      </w:pPr>
      <w:r w:rsidRPr="00D00665">
        <w:t>Net acquisition of non financial assets (from transactions)</w:t>
      </w:r>
    </w:p>
    <w:p w:rsidR="000B4A1E" w:rsidRPr="00D00665" w:rsidRDefault="000B4A1E" w:rsidP="00517E51">
      <w:r w:rsidRPr="00D00665">
        <w:t>Purchases (and other acquisitions) of non financial assets less sales (or disposals) of non financial assets less depreciation plus changes in inventories and other movements in non financial assets. Includes only those increases or decreases in non financial assets resulting from transactions and therefore excludes write offs, impairment write downs and revaluations.</w:t>
      </w:r>
    </w:p>
    <w:p w:rsidR="000B4A1E" w:rsidRPr="00D00665" w:rsidRDefault="000B4A1E" w:rsidP="00517E51">
      <w:pPr>
        <w:pStyle w:val="Heading3"/>
      </w:pPr>
      <w:r w:rsidRPr="00D00665">
        <w:t>Net cash flows from investments in financial assets (liquidity management purposes)</w:t>
      </w:r>
    </w:p>
    <w:p w:rsidR="000B4A1E" w:rsidRPr="00D00665" w:rsidRDefault="000B4A1E" w:rsidP="00517E51">
      <w:r w:rsidRPr="00D00665">
        <w:t xml:space="preserve">Net cash flows from investments in financial assets (liquidity management purposes) are 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 </w:t>
      </w:r>
    </w:p>
    <w:p w:rsidR="000B4A1E" w:rsidRPr="00D00665" w:rsidRDefault="000B4A1E" w:rsidP="00517E51">
      <w:pPr>
        <w:pStyle w:val="Heading3"/>
      </w:pPr>
      <w:r w:rsidRPr="00D00665">
        <w:t>Net cash flows from investments in financial assets (policy purposes)</w:t>
      </w:r>
    </w:p>
    <w:p w:rsidR="000B4A1E" w:rsidRPr="00D00665" w:rsidRDefault="000B4A1E" w:rsidP="00517E51">
      <w:r w:rsidRPr="00D00665">
        <w:t>Net cash flows from investments in financial assets (policy purposes) represents cash payments made for acquiring financial assets for policy purposes, less cash receipts from the repayment and liquidation of such investments in financial assets.</w:t>
      </w:r>
    </w:p>
    <w:p w:rsidR="000B4A1E" w:rsidRPr="00D00665" w:rsidRDefault="000B4A1E" w:rsidP="00517E51">
      <w:r w:rsidRPr="00D00665">
        <w:t xml:space="preserve">Acquisition of financial assets for policy purposes is distinguished from investments in financial assets (liquidity management purposes) by the underlying government motivation for acquiring the assets. Acquisition of financial assets for policy purposes includes loans made by government that are motivated by Government policies, such as encouraging the development of certain industries or assisting people affected by natural disaster. </w:t>
      </w:r>
    </w:p>
    <w:p w:rsidR="000B4A1E" w:rsidRPr="00D00665" w:rsidRDefault="000B4A1E" w:rsidP="00517E51">
      <w:r w:rsidRPr="00D00665">
        <w:t>For the general government sector, this item also includes cash flows arising from the acquisition and disposal by government of its investments (contributed capital) in entities in the public non financial corporations and public financial corporations sectors.</w:t>
      </w:r>
    </w:p>
    <w:p w:rsidR="000B4A1E" w:rsidRPr="00D00665" w:rsidRDefault="000B4A1E" w:rsidP="00517E51">
      <w:pPr>
        <w:pStyle w:val="Heading3"/>
      </w:pPr>
      <w:r w:rsidRPr="00D00665">
        <w:t>Net debt</w:t>
      </w:r>
    </w:p>
    <w:p w:rsidR="000B4A1E" w:rsidRPr="00D00665" w:rsidRDefault="000B4A1E" w:rsidP="00517E51">
      <w:r w:rsidRPr="00D00665">
        <w:t>Net debt equals sum of deposits held, advances received, government securities, loans and other borrowing less the sum of cash and deposits, advances paid and investments, loans and placements. For the PFC sector, this also includes loans receivable from other sector entities.</w:t>
      </w:r>
    </w:p>
    <w:p w:rsidR="000B4A1E" w:rsidRPr="00D00665" w:rsidRDefault="000B4A1E">
      <w:pPr>
        <w:spacing w:after="0"/>
        <w:rPr>
          <w:rFonts w:ascii="Calibri" w:hAnsi="Calibri"/>
          <w:b/>
          <w:i/>
          <w:sz w:val="26"/>
          <w:szCs w:val="22"/>
        </w:rPr>
      </w:pPr>
      <w:r w:rsidRPr="00D00665">
        <w:br w:type="page"/>
      </w:r>
    </w:p>
    <w:p w:rsidR="000B4A1E" w:rsidRPr="00FB7B81" w:rsidRDefault="000B4A1E" w:rsidP="00517E51">
      <w:pPr>
        <w:pStyle w:val="Heading2NotesContd"/>
        <w:rPr>
          <w:i/>
        </w:rPr>
      </w:pPr>
      <w:r w:rsidRPr="00D00665">
        <w:lastRenderedPageBreak/>
        <w:t>Note 39:</w:t>
      </w:r>
      <w:r w:rsidRPr="00D00665">
        <w:tab/>
        <w:t>Glossary of technical terms</w:t>
      </w:r>
      <w:r>
        <w:t xml:space="preserve"> </w:t>
      </w:r>
      <w:r>
        <w:rPr>
          <w:i/>
        </w:rPr>
        <w:t>(continued)</w:t>
      </w:r>
    </w:p>
    <w:p w:rsidR="000B4A1E" w:rsidRPr="00D00665" w:rsidRDefault="000B4A1E" w:rsidP="00517E51">
      <w:pPr>
        <w:pStyle w:val="Heading3"/>
      </w:pPr>
      <w:r w:rsidRPr="00D00665">
        <w:t>Net financial liabilities</w:t>
      </w:r>
    </w:p>
    <w:p w:rsidR="000B4A1E" w:rsidRPr="00D00665" w:rsidRDefault="000B4A1E" w:rsidP="00517E51">
      <w:r w:rsidRPr="00D00665">
        <w:t>Total liabilities less financial assets, other than equity in PNFCs and PFCs. This measure is broader than net debt as it includes significant liabilities, other than borrowings (e.g. accrued employee liabilities such as superannuation and long service leave entitlements). For the PNFC and PFC sectors, it is equal to negative net financial worth.</w:t>
      </w:r>
    </w:p>
    <w:p w:rsidR="000B4A1E" w:rsidRPr="00D00665" w:rsidRDefault="000B4A1E" w:rsidP="00517E51">
      <w:pPr>
        <w:pStyle w:val="Heading3"/>
      </w:pPr>
      <w:r w:rsidRPr="00D00665">
        <w:t>Net financial worth</w:t>
      </w:r>
    </w:p>
    <w:p w:rsidR="000B4A1E" w:rsidRPr="00D00665" w:rsidRDefault="000B4A1E" w:rsidP="00517E51">
      <w:r w:rsidRPr="00D00665">
        <w:t>Net financial worth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rsidR="000B4A1E" w:rsidRPr="00D00665" w:rsidRDefault="000B4A1E" w:rsidP="00517E51">
      <w:pPr>
        <w:pStyle w:val="Heading3"/>
      </w:pPr>
      <w:r w:rsidRPr="00D00665">
        <w:t xml:space="preserve">Net gain on equity investments in other sector entities </w:t>
      </w:r>
    </w:p>
    <w:p w:rsidR="000B4A1E" w:rsidRPr="00D00665" w:rsidRDefault="000B4A1E" w:rsidP="00517E51">
      <w:r w:rsidRPr="00D00665">
        <w:t>Net gain on equity investments in other sector entities measured at proportional share of the carrying amount of net assets/(liabilities) represents the net gains relating to the equity held by the general government sector in other sector entities. It arises from a change in the carrying amount of net assets of the subsidiaries. The net gains are measured based on the proportional share of the subsidiary</w:t>
      </w:r>
      <w:r>
        <w:t>’</w:t>
      </w:r>
      <w:r w:rsidRPr="00D00665">
        <w:t>s carrying amount of net assets/(liabilities) before elimination of inter sector balances.</w:t>
      </w:r>
    </w:p>
    <w:p w:rsidR="000B4A1E" w:rsidRPr="00D00665" w:rsidRDefault="000B4A1E" w:rsidP="00517E51">
      <w:pPr>
        <w:pStyle w:val="Heading3"/>
      </w:pPr>
      <w:r w:rsidRPr="00D00665">
        <w:t>Net lending/borrowing</w:t>
      </w:r>
    </w:p>
    <w:p w:rsidR="000B4A1E" w:rsidRPr="00D00665" w:rsidRDefault="000B4A1E" w:rsidP="00517E51">
      <w:r w:rsidRPr="00D00665">
        <w:t>The financing requirement of government, calculated as the net operating balance less the net acquisition of non financial assets. It also equals transactions in financial assets less transactions in liabilities. A positive result reflects a net lending position and a negative result reflects a net borrowing position.</w:t>
      </w:r>
    </w:p>
    <w:p w:rsidR="000B4A1E" w:rsidRPr="00D00665" w:rsidRDefault="000B4A1E" w:rsidP="00517E51">
      <w:pPr>
        <w:pStyle w:val="Heading3"/>
      </w:pPr>
      <w:r w:rsidRPr="00D00665">
        <w:t>Net operating balance – Net result from transactions</w:t>
      </w:r>
    </w:p>
    <w:p w:rsidR="000B4A1E" w:rsidRPr="00D00665" w:rsidRDefault="000B4A1E" w:rsidP="00517E51">
      <w:r w:rsidRPr="00D00665">
        <w:t>Net result from transactions or net operating balance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rsidR="000B4A1E" w:rsidRPr="00D00665" w:rsidRDefault="000B4A1E" w:rsidP="00517E51">
      <w:pPr>
        <w:pStyle w:val="Heading3"/>
      </w:pPr>
      <w:r w:rsidRPr="00D00665">
        <w:t>Net result</w:t>
      </w:r>
    </w:p>
    <w:p w:rsidR="000B4A1E" w:rsidRPr="00D00665" w:rsidRDefault="000B4A1E" w:rsidP="00517E51">
      <w:r w:rsidRPr="00D00665">
        <w:t xml:space="preserve">Net result is a measure of financial performance of the operations for the period. It is the net result of items of revenue, gains and expenses (including losses) recognised for the period, excluding those that are classified as </w:t>
      </w:r>
      <w:r>
        <w:t>‘</w:t>
      </w:r>
      <w:r w:rsidRPr="00D00665">
        <w:t>other non owner movements in equity</w:t>
      </w:r>
      <w:r>
        <w:t>’</w:t>
      </w:r>
      <w:r w:rsidRPr="00D00665">
        <w:t>.</w:t>
      </w:r>
    </w:p>
    <w:p w:rsidR="000B4A1E" w:rsidRPr="00D00665" w:rsidRDefault="000B4A1E" w:rsidP="00517E51">
      <w:pPr>
        <w:pStyle w:val="Heading3"/>
      </w:pPr>
      <w:r w:rsidRPr="00D00665">
        <w:t>Net worth</w:t>
      </w:r>
    </w:p>
    <w:p w:rsidR="000B4A1E" w:rsidRPr="00D00665" w:rsidRDefault="000B4A1E" w:rsidP="00517E51">
      <w:r w:rsidRPr="00D00665">
        <w:t>Assets less liabilities, which is an economic measure of wealth.</w:t>
      </w:r>
    </w:p>
    <w:p w:rsidR="000B4A1E" w:rsidRPr="00D00665" w:rsidRDefault="000B4A1E" w:rsidP="00517E51">
      <w:pPr>
        <w:pStyle w:val="Heading3"/>
      </w:pPr>
      <w:r w:rsidRPr="00D00665">
        <w:t>Non</w:t>
      </w:r>
      <w:r w:rsidRPr="00D00665">
        <w:noBreakHyphen/>
        <w:t>financial assets</w:t>
      </w:r>
    </w:p>
    <w:p w:rsidR="000B4A1E" w:rsidRPr="00D00665" w:rsidRDefault="000B4A1E" w:rsidP="00517E51">
      <w:r w:rsidRPr="00D00665">
        <w:t>Non</w:t>
      </w:r>
      <w:r w:rsidRPr="00D00665">
        <w:noBreakHyphen/>
        <w:t>financial assets are all assets that are not financial assets. It includes inventories, land, buildings, infrastructure, road networks, land under roads, plant and equipment, cultural and heritage assets, intangibles and biological assets such as commercial forests.</w:t>
      </w:r>
    </w:p>
    <w:p w:rsidR="000B4A1E" w:rsidRPr="00D00665" w:rsidRDefault="000B4A1E">
      <w:pPr>
        <w:spacing w:after="0"/>
        <w:rPr>
          <w:rFonts w:ascii="Calibri" w:hAnsi="Calibri"/>
          <w:b/>
          <w:i/>
          <w:sz w:val="26"/>
          <w:szCs w:val="22"/>
        </w:rPr>
      </w:pPr>
      <w:r w:rsidRPr="00D00665">
        <w:br w:type="page"/>
      </w:r>
    </w:p>
    <w:p w:rsidR="000B4A1E" w:rsidRPr="00FB7B81" w:rsidRDefault="000B4A1E" w:rsidP="00517E51">
      <w:pPr>
        <w:pStyle w:val="Heading2NotesContd"/>
        <w:rPr>
          <w:i/>
        </w:rPr>
      </w:pPr>
      <w:r w:rsidRPr="00D00665">
        <w:lastRenderedPageBreak/>
        <w:t>Note 39:</w:t>
      </w:r>
      <w:r w:rsidRPr="00D00665">
        <w:tab/>
        <w:t>Glossary of technical terms</w:t>
      </w:r>
      <w:r>
        <w:t xml:space="preserve"> </w:t>
      </w:r>
      <w:r>
        <w:rPr>
          <w:i/>
        </w:rPr>
        <w:t>(continued)</w:t>
      </w:r>
    </w:p>
    <w:p w:rsidR="000B4A1E" w:rsidRPr="00D00665" w:rsidRDefault="000B4A1E" w:rsidP="00517E51">
      <w:pPr>
        <w:pStyle w:val="Heading3"/>
      </w:pPr>
      <w:r w:rsidRPr="00D00665">
        <w:t>Non</w:t>
      </w:r>
      <w:r w:rsidRPr="00D00665">
        <w:noBreakHyphen/>
        <w:t>financial public sector</w:t>
      </w:r>
    </w:p>
    <w:p w:rsidR="000B4A1E" w:rsidRPr="00D00665" w:rsidRDefault="000B4A1E" w:rsidP="00517E51">
      <w:r w:rsidRPr="00D00665">
        <w:t>The non</w:t>
      </w:r>
      <w:r w:rsidRPr="00D00665">
        <w:noBreakHyphen/>
        <w:t>financial public sector (NFPS) represents the consolidated transactions and assets and liabilities of the general government and PNFC sectors. In compiling statistics for the non</w:t>
      </w:r>
      <w:r w:rsidRPr="00D00665">
        <w:noBreakHyphen/>
        <w:t>financial public sector, transactions and debtor creditor relationships between sub sectors are eliminated to avoid double counting.</w:t>
      </w:r>
    </w:p>
    <w:p w:rsidR="000B4A1E" w:rsidRPr="00D00665" w:rsidRDefault="000B4A1E" w:rsidP="00517E51">
      <w:pPr>
        <w:pStyle w:val="Heading3"/>
      </w:pPr>
      <w:r w:rsidRPr="00D00665">
        <w:t>Non</w:t>
      </w:r>
      <w:r w:rsidRPr="00D00665">
        <w:noBreakHyphen/>
        <w:t>produced assets</w:t>
      </w:r>
    </w:p>
    <w:p w:rsidR="000B4A1E" w:rsidRPr="00D00665" w:rsidRDefault="000B4A1E" w:rsidP="00517E51">
      <w:r w:rsidRPr="00D00665">
        <w:t>Non</w:t>
      </w:r>
      <w:r w:rsidRPr="00D00665">
        <w:noBreakHyphen/>
        <w:t>produced assets are assets needed for production that have not themselves been produced. They include land, subsoil assets, and certain intangible assets. Non</w:t>
      </w:r>
      <w:r w:rsidRPr="00D00665">
        <w:noBreakHyphen/>
        <w:t xml:space="preserve">produced intangibles are intangible assets needed for production that have not themselves been produced. They include constructs of society such as patents. </w:t>
      </w:r>
    </w:p>
    <w:p w:rsidR="000B4A1E" w:rsidRPr="00D00665" w:rsidRDefault="000B4A1E" w:rsidP="00517E51">
      <w:pPr>
        <w:pStyle w:val="Heading3"/>
      </w:pPr>
      <w:r w:rsidRPr="00D00665">
        <w:t>Operating result</w:t>
      </w:r>
    </w:p>
    <w:p w:rsidR="000B4A1E" w:rsidRPr="00D00665" w:rsidRDefault="000B4A1E" w:rsidP="00517E51">
      <w:r w:rsidRPr="00D00665">
        <w:t xml:space="preserve">Operating result is a measure of financial performance of the operations for the period. It is the net result of items of revenue, gains and expenses (including losses) recognised for the period, excluding those that are classified as </w:t>
      </w:r>
      <w:r>
        <w:t>‘</w:t>
      </w:r>
      <w:r w:rsidRPr="00D00665">
        <w:t>other non owner movements in equity</w:t>
      </w:r>
      <w:r>
        <w:t>’</w:t>
      </w:r>
      <w:r w:rsidRPr="00D00665">
        <w:t xml:space="preserve">. Refer also </w:t>
      </w:r>
      <w:r>
        <w:t>‘</w:t>
      </w:r>
      <w:r w:rsidRPr="00D00665">
        <w:t>Net result</w:t>
      </w:r>
      <w:r>
        <w:t>’</w:t>
      </w:r>
      <w:r w:rsidRPr="00D00665">
        <w:t xml:space="preserve">. </w:t>
      </w:r>
    </w:p>
    <w:p w:rsidR="000B4A1E" w:rsidRPr="00D00665" w:rsidRDefault="000B4A1E" w:rsidP="00517E51">
      <w:pPr>
        <w:pStyle w:val="Heading3"/>
      </w:pPr>
      <w:r w:rsidRPr="00D00665">
        <w:t>Other economic flows</w:t>
      </w:r>
    </w:p>
    <w:p w:rsidR="000B4A1E" w:rsidRPr="00D00665" w:rsidRDefault="000B4A1E" w:rsidP="00517E51">
      <w:r w:rsidRPr="00D00665">
        <w:t>Other economic flows are changes in the volume or value of an asset or liability that do not result from transactions. In simple terms, other economic flows are changes arising from market remeasurements. They include gains and losses from disposals, revaluations and impairments of non current physical and intangible assets; actuarial gains and losses arising from defined benefit superannuation plans; fair value changes of financial instruments and agricultural assets; and d</w:t>
      </w:r>
      <w:r>
        <w:t>epletion of natural assets (non</w:t>
      </w:r>
      <w:r>
        <w:noBreakHyphen/>
      </w:r>
      <w:r w:rsidRPr="00D00665">
        <w:t>produced) from their use or removal.</w:t>
      </w:r>
    </w:p>
    <w:p w:rsidR="000B4A1E" w:rsidRPr="00D00665" w:rsidRDefault="000B4A1E" w:rsidP="00517E51">
      <w:pPr>
        <w:pStyle w:val="Heading3"/>
      </w:pPr>
      <w:r w:rsidRPr="00D00665">
        <w:t>Other superannuation expense</w:t>
      </w:r>
    </w:p>
    <w:p w:rsidR="000B4A1E" w:rsidRPr="00D00665" w:rsidRDefault="000B4A1E" w:rsidP="00517E51">
      <w:r w:rsidRPr="00D00665">
        <w:t>Includes all superannuation expenses from transactions except superannuation interest cost. Generally includes current service cost, which is the increase in entitlements associated with the employment services provided by employees in the current period. Superannuation actuarial gains/(losses) are excluded as they are considered other economic flows.</w:t>
      </w:r>
    </w:p>
    <w:p w:rsidR="000B4A1E" w:rsidRPr="00D00665" w:rsidRDefault="000B4A1E" w:rsidP="00517E51">
      <w:pPr>
        <w:pStyle w:val="Heading3"/>
      </w:pPr>
      <w:r w:rsidRPr="00D00665">
        <w:t>Payables</w:t>
      </w:r>
    </w:p>
    <w:p w:rsidR="000B4A1E" w:rsidRPr="00D00665" w:rsidRDefault="000B4A1E" w:rsidP="00517E51">
      <w:r w:rsidRPr="00D00665">
        <w:t>Includes short and long term trade debt and accounts payable, grants and interest payable.</w:t>
      </w:r>
    </w:p>
    <w:p w:rsidR="000B4A1E" w:rsidRPr="00D00665" w:rsidRDefault="000B4A1E" w:rsidP="00517E51">
      <w:pPr>
        <w:pStyle w:val="Heading3"/>
      </w:pPr>
      <w:r w:rsidRPr="00D00665">
        <w:t>Produced assets</w:t>
      </w:r>
    </w:p>
    <w:p w:rsidR="000B4A1E" w:rsidRPr="00D00665" w:rsidRDefault="000B4A1E" w:rsidP="00517E51">
      <w:r w:rsidRPr="00D00665">
        <w:t>Produced assets include buildings, plant and equipment, inventories, cultivated assets and certain intangible assets. Intangible produced assets may include computer software, motion picture films and research and development costs (which does not include the start up costs associated with capital projects).</w:t>
      </w:r>
    </w:p>
    <w:p w:rsidR="000B4A1E" w:rsidRPr="00D00665" w:rsidRDefault="000B4A1E" w:rsidP="00517E51">
      <w:pPr>
        <w:pStyle w:val="Heading3"/>
      </w:pPr>
      <w:r w:rsidRPr="00D00665">
        <w:t>Public financial corporations sector</w:t>
      </w:r>
    </w:p>
    <w:p w:rsidR="000B4A1E" w:rsidRPr="00D00665" w:rsidRDefault="000B4A1E" w:rsidP="00517E51">
      <w:r w:rsidRPr="00D00665">
        <w:t>The public financial corporations are bodies primarily engaged in the provision of financial intermediation services or auxiliary financial services. They are able to incur financial liabilities on their own account (e.g. taking deposits, issuing securities or providing insurance services). The public financial corporation sector includes the Treasury Corporation of Victoria and the Transport Accident Commission. Estimates are not published for the public financial corporation sector. A listing of all PFCs controlled by the Victorian Government is included in Note 41.</w:t>
      </w:r>
    </w:p>
    <w:p w:rsidR="000B4A1E" w:rsidRPr="00FB7B81" w:rsidRDefault="000B4A1E" w:rsidP="00517E51">
      <w:pPr>
        <w:pStyle w:val="Heading2NotesContd"/>
        <w:rPr>
          <w:i/>
        </w:rPr>
      </w:pPr>
      <w:r w:rsidRPr="00D00665">
        <w:lastRenderedPageBreak/>
        <w:t>Note 39:</w:t>
      </w:r>
      <w:r w:rsidRPr="00D00665">
        <w:tab/>
        <w:t>Glossary of technical terms</w:t>
      </w:r>
      <w:r>
        <w:t xml:space="preserve"> </w:t>
      </w:r>
      <w:r>
        <w:rPr>
          <w:i/>
        </w:rPr>
        <w:t>(continued)</w:t>
      </w:r>
    </w:p>
    <w:p w:rsidR="000B4A1E" w:rsidRPr="00D00665" w:rsidRDefault="000B4A1E" w:rsidP="00517E51">
      <w:pPr>
        <w:pStyle w:val="Heading3"/>
      </w:pPr>
      <w:r w:rsidRPr="00D00665">
        <w:t>Public non</w:t>
      </w:r>
      <w:r w:rsidRPr="00D00665">
        <w:noBreakHyphen/>
        <w:t>financial corporations sector</w:t>
      </w:r>
    </w:p>
    <w:p w:rsidR="000B4A1E" w:rsidRPr="00D00665" w:rsidRDefault="000B4A1E" w:rsidP="00517E51">
      <w:r w:rsidRPr="00D00665">
        <w:t>The public non</w:t>
      </w:r>
      <w:r w:rsidRPr="00D00665">
        <w:noBreakHyphen/>
        <w:t>financial corporations (PNFC) sector comprises bodies mainly engaged in the production of goods and services (of a non financial nature) for sale in the market place at prices that aim to recover most of the costs involved (e.g. water and port authorities). In general, PNFCs are legally distinguishable from the governments which own them. A listing of all PNFCs controlled by the Victorian Government is included in Note 41.</w:t>
      </w:r>
    </w:p>
    <w:p w:rsidR="000B4A1E" w:rsidRPr="00D00665" w:rsidRDefault="000B4A1E" w:rsidP="00517E51">
      <w:pPr>
        <w:pStyle w:val="Heading3"/>
      </w:pPr>
      <w:r w:rsidRPr="00D00665">
        <w:t>Quasi corporation</w:t>
      </w:r>
    </w:p>
    <w:p w:rsidR="000B4A1E" w:rsidRPr="00D00665" w:rsidRDefault="000B4A1E" w:rsidP="00517E51">
      <w:r w:rsidRPr="00D00665">
        <w:t>An unincorporated enterprise that functions as if it were a corporation, has the same relationship with its owner as a corporation, and keeps a separate set of accounts.</w:t>
      </w:r>
    </w:p>
    <w:p w:rsidR="000B4A1E" w:rsidRPr="00D00665" w:rsidRDefault="000B4A1E" w:rsidP="00517E51">
      <w:pPr>
        <w:pStyle w:val="Heading3"/>
      </w:pPr>
      <w:r w:rsidRPr="00D00665">
        <w:t>Receivables</w:t>
      </w:r>
    </w:p>
    <w:p w:rsidR="000B4A1E" w:rsidRPr="00D00665" w:rsidRDefault="000B4A1E" w:rsidP="00517E51">
      <w:r w:rsidRPr="00D00665">
        <w:t>Includes short and long term trade credit and accounts receivable, grants, taxes and interest receivable.</w:t>
      </w:r>
    </w:p>
    <w:p w:rsidR="000B4A1E" w:rsidRPr="00D00665" w:rsidRDefault="000B4A1E" w:rsidP="00517E51">
      <w:pPr>
        <w:pStyle w:val="Heading3"/>
      </w:pPr>
      <w:r w:rsidRPr="00D00665">
        <w:t>Roads</w:t>
      </w:r>
    </w:p>
    <w:p w:rsidR="000B4A1E" w:rsidRPr="00D00665" w:rsidRDefault="000B4A1E" w:rsidP="00517E51">
      <w:r w:rsidRPr="00D00665">
        <w:t xml:space="preserve">Roads include road pavement and road works in progress. All land under roads is included under the category of </w:t>
      </w:r>
      <w:r>
        <w:t>‘</w:t>
      </w:r>
      <w:r w:rsidRPr="00D00665">
        <w:t>Land</w:t>
      </w:r>
      <w:r>
        <w:t>’</w:t>
      </w:r>
      <w:r w:rsidRPr="00D00665">
        <w:t>.</w:t>
      </w:r>
    </w:p>
    <w:p w:rsidR="000B4A1E" w:rsidRPr="00D00665" w:rsidRDefault="000B4A1E" w:rsidP="00517E51">
      <w:pPr>
        <w:pStyle w:val="Heading3"/>
      </w:pPr>
      <w:r w:rsidRPr="00D00665">
        <w:t>Road infrastructure</w:t>
      </w:r>
    </w:p>
    <w:p w:rsidR="000B4A1E" w:rsidRPr="00D00665" w:rsidRDefault="000B4A1E" w:rsidP="00517E51">
      <w:r w:rsidRPr="00D00665">
        <w:t>Road infrastructure mainly includes sound barriers, bridges and traffic signal control systems.</w:t>
      </w:r>
    </w:p>
    <w:p w:rsidR="000B4A1E" w:rsidRPr="00D00665" w:rsidRDefault="000B4A1E" w:rsidP="00517E51">
      <w:pPr>
        <w:pStyle w:val="Heading3"/>
      </w:pPr>
      <w:r w:rsidRPr="00D00665">
        <w:t>Sale of goods and services</w:t>
      </w:r>
    </w:p>
    <w:p w:rsidR="000B4A1E" w:rsidRPr="00D00665" w:rsidRDefault="000B4A1E" w:rsidP="00517E51">
      <w:r w:rsidRPr="00D00665">
        <w:t>Refers to revenue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 produced assets such as land. User charges includes sale of goods and services revenue.</w:t>
      </w:r>
    </w:p>
    <w:p w:rsidR="000B4A1E" w:rsidRPr="00D00665" w:rsidRDefault="000B4A1E" w:rsidP="00517E51">
      <w:pPr>
        <w:pStyle w:val="Heading3"/>
      </w:pPr>
      <w:r w:rsidRPr="00D00665">
        <w:t>Superannuation interest expense</w:t>
      </w:r>
    </w:p>
    <w:p w:rsidR="000B4A1E" w:rsidRPr="00D00665" w:rsidRDefault="000B4A1E" w:rsidP="00517E51">
      <w:r w:rsidRPr="00D00665">
        <w:t>The expense resulting from the increase in the liability due to the fact that, for all participants in the scheme, retirement (and death) is one year nearer, and so one fewer discount factors must be used to calculate the present value of the benefits for each future year. Interest cost is the increase during a period in the present value of a defined benefit obligation which arises because the benefits are one period closer to settlement. The cost is measured net of the actuarial return on plan assets of defined benefit schemes calculated using an actuarially determined long term rate of return.</w:t>
      </w:r>
    </w:p>
    <w:p w:rsidR="000B4A1E" w:rsidRPr="00D00665" w:rsidRDefault="000B4A1E" w:rsidP="00517E51">
      <w:pPr>
        <w:pStyle w:val="Heading3"/>
      </w:pPr>
      <w:r w:rsidRPr="00D00665">
        <w:t>Superannuation – Other</w:t>
      </w:r>
    </w:p>
    <w:p w:rsidR="000B4A1E" w:rsidRPr="00D00665" w:rsidRDefault="000B4A1E" w:rsidP="00517E51">
      <w:r w:rsidRPr="00D00665">
        <w:t>Includes all superannuation expenses from transactions except superannuation interest cost. It generally includes current service cost, which is the increase in entitlements associated with the employment services provided by employees in the current period. Superannuation actuarial gains/losses are excluded as they are considered other economic flows.</w:t>
      </w:r>
    </w:p>
    <w:p w:rsidR="000B4A1E" w:rsidRPr="00D00665" w:rsidRDefault="000B4A1E">
      <w:pPr>
        <w:spacing w:after="0"/>
        <w:rPr>
          <w:rFonts w:ascii="Calibri" w:hAnsi="Calibri"/>
          <w:b/>
          <w:i/>
          <w:sz w:val="26"/>
          <w:szCs w:val="22"/>
        </w:rPr>
      </w:pPr>
      <w:r w:rsidRPr="00D00665">
        <w:br w:type="page"/>
      </w:r>
    </w:p>
    <w:p w:rsidR="000B4A1E" w:rsidRPr="00FB7B81" w:rsidRDefault="000B4A1E" w:rsidP="00517E51">
      <w:pPr>
        <w:pStyle w:val="Heading2NotesContd"/>
        <w:rPr>
          <w:i/>
        </w:rPr>
      </w:pPr>
      <w:r w:rsidRPr="00D00665">
        <w:lastRenderedPageBreak/>
        <w:t>Note 39:</w:t>
      </w:r>
      <w:r w:rsidRPr="00D00665">
        <w:tab/>
        <w:t>Glossary of technical terms</w:t>
      </w:r>
      <w:r>
        <w:t xml:space="preserve"> </w:t>
      </w:r>
      <w:r>
        <w:rPr>
          <w:i/>
        </w:rPr>
        <w:t>(continued)</w:t>
      </w:r>
    </w:p>
    <w:p w:rsidR="000B4A1E" w:rsidRPr="00D00665" w:rsidRDefault="000B4A1E" w:rsidP="00517E51">
      <w:pPr>
        <w:pStyle w:val="Heading3"/>
      </w:pPr>
      <w:r w:rsidRPr="00D00665">
        <w:t>Taxation revenue</w:t>
      </w:r>
    </w:p>
    <w:p w:rsidR="000B4A1E" w:rsidRPr="00D00665" w:rsidRDefault="000B4A1E" w:rsidP="00517E51">
      <w:r w:rsidRPr="00D00665">
        <w:t>Taxation revenue represents revenue received from the State</w:t>
      </w:r>
      <w:r>
        <w:t>’</w:t>
      </w:r>
      <w:r w:rsidRPr="00D00665">
        <w:t>s taxpayers and includes: payroll tax; land tax; duties levied principally on conveyances and land transfers; gambling taxes levied mainly on private lotteries, electronic gaming machines, casino operations and racing; insurance duty relating to compulsory third party, life and non life policies; insurance company contributions to fire brigades; motor vehicle taxes, including registration fees and duty on registrations and transfers, levies (including the environmental levy) on statutory corporations in other sectors of government; and other taxes, including landfill levies, licence and concession fees.</w:t>
      </w:r>
    </w:p>
    <w:p w:rsidR="000B4A1E" w:rsidRPr="00D00665" w:rsidRDefault="000B4A1E" w:rsidP="00517E51">
      <w:pPr>
        <w:pStyle w:val="Heading3"/>
      </w:pPr>
      <w:r w:rsidRPr="00D00665">
        <w:t>Transactions</w:t>
      </w:r>
    </w:p>
    <w:p w:rsidR="000B4A1E" w:rsidRPr="00D00665" w:rsidRDefault="000B4A1E" w:rsidP="00517E51">
      <w:r w:rsidRPr="00D00665">
        <w:t xml:space="preserve">Transactions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w:t>
      </w:r>
    </w:p>
    <w:p w:rsidR="000B4A1E" w:rsidRPr="00D00665" w:rsidRDefault="000B4A1E" w:rsidP="00517E51">
      <w:r w:rsidRPr="00D00665">
        <w:t>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rsidR="000B4A1E" w:rsidRPr="00D00665" w:rsidRDefault="000B4A1E">
      <w:pPr>
        <w:spacing w:after="0"/>
        <w:rPr>
          <w:rFonts w:ascii="Calibri" w:hAnsi="Calibri"/>
          <w:b/>
          <w:kern w:val="28"/>
          <w:sz w:val="28"/>
          <w:szCs w:val="22"/>
        </w:rPr>
      </w:pPr>
      <w:r w:rsidRPr="00D00665">
        <w:br w:type="page"/>
      </w:r>
    </w:p>
    <w:p w:rsidR="000B4A1E" w:rsidRPr="00D00665" w:rsidRDefault="000B4A1E" w:rsidP="00517E51">
      <w:pPr>
        <w:pStyle w:val="Heading2Notes"/>
      </w:pPr>
      <w:bookmarkStart w:id="202" w:name="_Toc367947899"/>
      <w:r w:rsidRPr="00D00665">
        <w:lastRenderedPageBreak/>
        <w:t>Note 40:</w:t>
      </w:r>
      <w:r w:rsidRPr="00D00665">
        <w:tab/>
        <w:t>Government purpose classification</w:t>
      </w:r>
      <w:bookmarkEnd w:id="202"/>
    </w:p>
    <w:p w:rsidR="000B4A1E" w:rsidRPr="00D00665" w:rsidRDefault="000B4A1E" w:rsidP="00517E51">
      <w:r w:rsidRPr="00D00665">
        <w:t>The Government Purpose Classification (GPC) classifies expenses and acquisition of non financial assets of the public sector and general government sector in terms of the purposes for which the transactions are made. As required under AASB 1049, total assets of the State and general government sector are also required to be allocated to purpose classification where possible to do so. The major groups reflect the broad objectives of government and the groups and subgroups detail the means by which these broad objectives are achieved.</w:t>
      </w:r>
    </w:p>
    <w:p w:rsidR="000B4A1E" w:rsidRPr="00D00665" w:rsidRDefault="000B4A1E" w:rsidP="00517E51">
      <w:pPr>
        <w:pStyle w:val="Heading3"/>
      </w:pPr>
      <w:r w:rsidRPr="00D00665">
        <w:t>General public services</w:t>
      </w:r>
    </w:p>
    <w:p w:rsidR="000B4A1E" w:rsidRPr="00D00665" w:rsidRDefault="000B4A1E" w:rsidP="00517E51">
      <w:r w:rsidRPr="00D00665">
        <w:t>Include legislative and executive affairs, financial and fiscal affairs, external affairs, foreign economic aid, general research, general economic and social services, general statistical services and government superannuation benefits.</w:t>
      </w:r>
    </w:p>
    <w:p w:rsidR="000B4A1E" w:rsidRPr="00D00665" w:rsidRDefault="000B4A1E" w:rsidP="00517E51">
      <w:pPr>
        <w:pStyle w:val="Heading3"/>
      </w:pPr>
      <w:r w:rsidRPr="00D00665">
        <w:t>Public order and safety</w:t>
      </w:r>
    </w:p>
    <w:p w:rsidR="000B4A1E" w:rsidRPr="00D00665" w:rsidRDefault="000B4A1E" w:rsidP="00517E51">
      <w:r w:rsidRPr="00D00665">
        <w:t>Includes police and fire protection services, law courts and legal services, prisons and corrective services, and control of domestic animals and livestock.</w:t>
      </w:r>
    </w:p>
    <w:p w:rsidR="000B4A1E" w:rsidRPr="00D00665" w:rsidRDefault="000B4A1E" w:rsidP="00517E51">
      <w:pPr>
        <w:pStyle w:val="Heading3"/>
      </w:pPr>
      <w:r w:rsidRPr="00D00665">
        <w:t>Education</w:t>
      </w:r>
    </w:p>
    <w:p w:rsidR="000B4A1E" w:rsidRPr="00D00665" w:rsidRDefault="000B4A1E" w:rsidP="00517E51">
      <w:r w:rsidRPr="00D00665">
        <w:t>Includes primary and secondary education, university and other higher education, technical and further education, preschool and special education and transportation of students.</w:t>
      </w:r>
    </w:p>
    <w:p w:rsidR="000B4A1E" w:rsidRPr="00D00665" w:rsidRDefault="000B4A1E" w:rsidP="00517E51">
      <w:pPr>
        <w:pStyle w:val="Heading3"/>
      </w:pPr>
      <w:r w:rsidRPr="00D00665">
        <w:t>Health</w:t>
      </w:r>
    </w:p>
    <w:p w:rsidR="000B4A1E" w:rsidRPr="00D00665" w:rsidRDefault="000B4A1E" w:rsidP="00517E51">
      <w:r w:rsidRPr="00D00665">
        <w:t>Includes general hospitals, repatriation hospitals, mental health institutions, nursing homes, special hospitals, hospital benefits, medical clinics and practitioners, dental clinics and practitioners, maternal and infant health, ambulance services, medical benefits, school and other public health services, pharmaceuticals, medical aids and appliances and health research.</w:t>
      </w:r>
    </w:p>
    <w:p w:rsidR="000B4A1E" w:rsidRPr="00D00665" w:rsidRDefault="000B4A1E" w:rsidP="00517E51">
      <w:pPr>
        <w:pStyle w:val="Heading3"/>
      </w:pPr>
      <w:r w:rsidRPr="00D00665">
        <w:t>Social security and welfare</w:t>
      </w:r>
    </w:p>
    <w:p w:rsidR="000B4A1E" w:rsidRPr="00D00665" w:rsidRDefault="000B4A1E" w:rsidP="00517E51">
      <w:r w:rsidRPr="00D00665">
        <w:t>Includes sickness benefits; benefits to ex servicemen and their dependants; invalid and other permanent disablement benefits; old age benefits; widows; deserted wives; divorcee and orphan benefits; unemployment benefits; family and child benefits; sole parent benefits; family and child welfare; and aged and handicapped welfare.</w:t>
      </w:r>
    </w:p>
    <w:p w:rsidR="000B4A1E" w:rsidRPr="00D00665" w:rsidRDefault="000B4A1E" w:rsidP="00517E51">
      <w:pPr>
        <w:pStyle w:val="Heading3"/>
      </w:pPr>
      <w:r w:rsidRPr="00D00665">
        <w:t>Housing and community amenities</w:t>
      </w:r>
    </w:p>
    <w:p w:rsidR="000B4A1E" w:rsidRPr="00D00665" w:rsidRDefault="000B4A1E" w:rsidP="00517E51">
      <w:r w:rsidRPr="00D00665">
        <w:t>Includes housing and community development, water supply, household garbage and other sanitation, sewerage, urban stormwater drainage, protection of the environment and street lighting.</w:t>
      </w:r>
    </w:p>
    <w:p w:rsidR="000B4A1E" w:rsidRPr="00D00665" w:rsidRDefault="000B4A1E" w:rsidP="00517E51">
      <w:pPr>
        <w:pStyle w:val="Heading3"/>
      </w:pPr>
      <w:r w:rsidRPr="00D00665">
        <w:t>Recreation and culture</w:t>
      </w:r>
    </w:p>
    <w:p w:rsidR="000B4A1E" w:rsidRPr="00D00665" w:rsidRDefault="000B4A1E" w:rsidP="00517E51">
      <w:r w:rsidRPr="00D00665">
        <w:t>Includes public halls and civic centres, swimming pools and beaches, national parks and wildlife, libraries, creative and performing arts, museums, art galleries, broadcasting and film production.</w:t>
      </w:r>
    </w:p>
    <w:p w:rsidR="000B4A1E" w:rsidRPr="00D00665" w:rsidRDefault="000B4A1E" w:rsidP="00517E51">
      <w:pPr>
        <w:pStyle w:val="Heading3"/>
      </w:pPr>
      <w:r w:rsidRPr="00D00665">
        <w:t>Fuel and energy</w:t>
      </w:r>
    </w:p>
    <w:p w:rsidR="000B4A1E" w:rsidRPr="00D00665" w:rsidRDefault="000B4A1E" w:rsidP="00517E51">
      <w:r w:rsidRPr="00D00665">
        <w:t>Includes coal, petroleum, gas, nuclear affairs and electricity.</w:t>
      </w:r>
    </w:p>
    <w:p w:rsidR="000B4A1E" w:rsidRPr="00D00665" w:rsidRDefault="000B4A1E" w:rsidP="00517E51">
      <w:pPr>
        <w:pStyle w:val="Heading3"/>
      </w:pPr>
      <w:r w:rsidRPr="00D00665">
        <w:t>Agriculture, forestry, fishing and hunting</w:t>
      </w:r>
    </w:p>
    <w:p w:rsidR="000B4A1E" w:rsidRPr="00D00665" w:rsidRDefault="000B4A1E" w:rsidP="00517E51">
      <w:r w:rsidRPr="00D00665">
        <w:t>Includes agricultural land management, agricultural water resources management, agricultural support schemes, agricultural research and extension services, forestry, fishing and hunting.</w:t>
      </w:r>
    </w:p>
    <w:p w:rsidR="000B4A1E" w:rsidRPr="00FB7B81" w:rsidRDefault="000B4A1E" w:rsidP="00517E51">
      <w:pPr>
        <w:pStyle w:val="Heading2NotesContd"/>
        <w:spacing w:before="120"/>
        <w:rPr>
          <w:i/>
        </w:rPr>
      </w:pPr>
      <w:r w:rsidRPr="00D00665">
        <w:lastRenderedPageBreak/>
        <w:t>Note 40:</w:t>
      </w:r>
      <w:r w:rsidRPr="00D00665">
        <w:tab/>
        <w:t>Government purpose classification</w:t>
      </w:r>
      <w:r>
        <w:t xml:space="preserve"> </w:t>
      </w:r>
      <w:r>
        <w:rPr>
          <w:i/>
        </w:rPr>
        <w:t>(continued)</w:t>
      </w:r>
    </w:p>
    <w:p w:rsidR="000B4A1E" w:rsidRPr="00D00665" w:rsidRDefault="000B4A1E" w:rsidP="00517E51">
      <w:pPr>
        <w:pStyle w:val="Heading3"/>
      </w:pPr>
      <w:r w:rsidRPr="00D00665">
        <w:t>Mining, manufacturing and construction</w:t>
      </w:r>
    </w:p>
    <w:p w:rsidR="000B4A1E" w:rsidRPr="00D00665" w:rsidRDefault="000B4A1E" w:rsidP="00517E51">
      <w:r w:rsidRPr="00D00665">
        <w:t>Includes activities relating to prospecting, mining and mineral resources development; manufacturing activities and research into manufacturing methods, materials and industrial management; and activities associated with the building and construction industry.</w:t>
      </w:r>
    </w:p>
    <w:p w:rsidR="000B4A1E" w:rsidRPr="00D00665" w:rsidRDefault="000B4A1E" w:rsidP="00517E51">
      <w:pPr>
        <w:pStyle w:val="Heading3"/>
      </w:pPr>
      <w:r w:rsidRPr="00D00665">
        <w:t>Transport and communications</w:t>
      </w:r>
    </w:p>
    <w:p w:rsidR="000B4A1E" w:rsidRPr="00D00665" w:rsidRDefault="000B4A1E" w:rsidP="00517E51">
      <w:r w:rsidRPr="00D00665">
        <w:t>Includes road construction, road maintenance, parking, water transport, rail transport, air transport, pipelines, multi mode urban transit systems and communications.</w:t>
      </w:r>
    </w:p>
    <w:p w:rsidR="000B4A1E" w:rsidRPr="00D00665" w:rsidRDefault="000B4A1E" w:rsidP="00517E51">
      <w:pPr>
        <w:pStyle w:val="Heading3"/>
      </w:pPr>
      <w:r w:rsidRPr="00D00665">
        <w:t>Other economic affairs</w:t>
      </w:r>
    </w:p>
    <w:p w:rsidR="000B4A1E" w:rsidRPr="00D00665" w:rsidRDefault="000B4A1E" w:rsidP="00517E51">
      <w:r w:rsidRPr="00D00665">
        <w:t>Includes storage, saleyards, markets, tourism and area promotion and labour and employment affairs.</w:t>
      </w:r>
    </w:p>
    <w:p w:rsidR="000B4A1E" w:rsidRPr="00D00665" w:rsidRDefault="000B4A1E" w:rsidP="00517E51">
      <w:pPr>
        <w:pStyle w:val="Heading3"/>
      </w:pPr>
      <w:r w:rsidRPr="00D00665">
        <w:t>Other purposes</w:t>
      </w:r>
    </w:p>
    <w:p w:rsidR="000B4A1E" w:rsidRPr="00D00665" w:rsidRDefault="000B4A1E" w:rsidP="00517E51">
      <w:r w:rsidRPr="00D00665">
        <w:t>Includes public debt transactions, general purpose inter government transactions and natural disaster relief.</w:t>
      </w:r>
    </w:p>
    <w:p w:rsidR="000B4A1E" w:rsidRPr="00D00665" w:rsidRDefault="000B4A1E" w:rsidP="00517E51">
      <w:pPr>
        <w:pStyle w:val="Heading2Notes"/>
        <w:spacing w:before="120"/>
      </w:pPr>
      <w:r w:rsidRPr="00D00665">
        <w:br w:type="page"/>
      </w:r>
      <w:bookmarkStart w:id="203" w:name="_Toc367947900"/>
      <w:r w:rsidRPr="00D00665">
        <w:lastRenderedPageBreak/>
        <w:t>Note 41:</w:t>
      </w:r>
      <w:r w:rsidRPr="00D00665">
        <w:tab/>
        <w:t>Controlled entities</w:t>
      </w:r>
      <w:bookmarkEnd w:id="203"/>
    </w:p>
    <w:p w:rsidR="000B4A1E" w:rsidRPr="00D00665" w:rsidRDefault="000B4A1E" w:rsidP="00517E51">
      <w:pPr>
        <w:spacing w:after="60"/>
      </w:pPr>
      <w:r w:rsidRPr="00D00665">
        <w:t>The following is a list of significant controlled entities which have been consolidated for the purposes of the financial report. Minor wholly owned subsidiaries of these controlled entities are not separately disclosed in the listing below.</w:t>
      </w:r>
    </w:p>
    <w:p w:rsidR="000B4A1E" w:rsidRPr="00D00665" w:rsidRDefault="000B4A1E" w:rsidP="00517E51">
      <w:pPr>
        <w:spacing w:after="60"/>
      </w:pPr>
      <w:r w:rsidRPr="00D00665">
        <w:t>For further details on consolidation policy, refer to Note 1(D) Basis of consolidation in the summary of significant accounting policies. The list provides the names of significant controlled entities in the PNFC and PFC sectors which have been accounted for as equity investments, measured at the proportionate share of the carrying amount of their net assets, refer also Note 1(D). Unless otherwise noted below, all such entities are wholly owned.</w:t>
      </w:r>
    </w:p>
    <w:tbl>
      <w:tblPr>
        <w:tblW w:w="9644" w:type="dxa"/>
        <w:tblInd w:w="29" w:type="dxa"/>
        <w:tblLayout w:type="fixed"/>
        <w:tblCellMar>
          <w:left w:w="43" w:type="dxa"/>
          <w:right w:w="43" w:type="dxa"/>
        </w:tblCellMar>
        <w:tblLook w:val="0000" w:firstRow="0" w:lastRow="0" w:firstColumn="0" w:lastColumn="0" w:noHBand="0" w:noVBand="0"/>
      </w:tblPr>
      <w:tblGrid>
        <w:gridCol w:w="5684"/>
        <w:gridCol w:w="90"/>
        <w:gridCol w:w="583"/>
        <w:gridCol w:w="497"/>
        <w:gridCol w:w="1440"/>
        <w:gridCol w:w="1350"/>
      </w:tblGrid>
      <w:tr w:rsidR="000B4A1E" w:rsidRPr="004534BB" w:rsidTr="00517E51">
        <w:trPr>
          <w:cantSplit/>
          <w:tblHeader/>
        </w:trPr>
        <w:tc>
          <w:tcPr>
            <w:tcW w:w="568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p>
        </w:tc>
        <w:tc>
          <w:tcPr>
            <w:tcW w:w="1170" w:type="dxa"/>
            <w:gridSpan w:val="3"/>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p>
        </w:tc>
        <w:tc>
          <w:tcPr>
            <w:tcW w:w="2790" w:type="dxa"/>
            <w:gridSpan w:val="2"/>
            <w:tcBorders>
              <w:top w:val="nil"/>
              <w:left w:val="nil"/>
              <w:bottom w:val="single" w:sz="6" w:space="0" w:color="auto"/>
              <w:right w:val="single" w:sz="6" w:space="0" w:color="auto"/>
            </w:tcBorders>
            <w:shd w:val="clear" w:color="auto" w:fill="000000"/>
          </w:tcPr>
          <w:p w:rsidR="000B4A1E" w:rsidRPr="004534BB" w:rsidRDefault="000B4A1E" w:rsidP="00517E51">
            <w:pPr>
              <w:pStyle w:val="TabletextheadingCentred"/>
              <w:numPr>
                <w:ilvl w:val="1"/>
                <w:numId w:val="0"/>
              </w:numPr>
              <w:rPr>
                <w:sz w:val="21"/>
                <w:szCs w:val="24"/>
                <w:lang w:eastAsia="en-AU"/>
              </w:rPr>
            </w:pPr>
            <w:r w:rsidRPr="004534BB">
              <w:rPr>
                <w:sz w:val="21"/>
                <w:szCs w:val="24"/>
                <w:lang w:eastAsia="en-AU"/>
              </w:rPr>
              <w:t>Entities included as investments in other sectors</w:t>
            </w:r>
          </w:p>
        </w:tc>
      </w:tr>
      <w:tr w:rsidR="000B4A1E" w:rsidRPr="004534BB" w:rsidTr="00517E51">
        <w:trPr>
          <w:cantSplit/>
          <w:tblHeader/>
        </w:trPr>
        <w:tc>
          <w:tcPr>
            <w:tcW w:w="568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r w:rsidRPr="00FB7B81">
              <w:rPr>
                <w:sz w:val="21"/>
                <w:szCs w:val="24"/>
                <w:lang w:eastAsia="en-AU"/>
              </w:rPr>
              <w:t>Controlled entities</w:t>
            </w:r>
          </w:p>
        </w:tc>
        <w:tc>
          <w:tcPr>
            <w:tcW w:w="1170" w:type="dxa"/>
            <w:gridSpan w:val="3"/>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General government</w:t>
            </w:r>
          </w:p>
        </w:tc>
        <w:tc>
          <w:tcPr>
            <w:tcW w:w="1440" w:type="dxa"/>
            <w:tcBorders>
              <w:top w:val="nil"/>
              <w:left w:val="nil"/>
              <w:bottom w:val="single" w:sz="6" w:space="0" w:color="auto"/>
              <w:right w:val="nil"/>
            </w:tcBorders>
            <w:shd w:val="clear" w:color="auto" w:fill="000000"/>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Public non</w:t>
            </w:r>
            <w:r w:rsidRPr="00FB7B81">
              <w:rPr>
                <w:i w:val="0"/>
                <w:sz w:val="21"/>
                <w:szCs w:val="24"/>
                <w:lang w:eastAsia="en-AU"/>
              </w:rPr>
              <w:noBreakHyphen/>
            </w:r>
            <w:r w:rsidRPr="00FB7B81">
              <w:rPr>
                <w:sz w:val="21"/>
                <w:szCs w:val="24"/>
                <w:lang w:eastAsia="en-AU"/>
              </w:rPr>
              <w:t>financial corporation</w:t>
            </w:r>
          </w:p>
        </w:tc>
        <w:tc>
          <w:tcPr>
            <w:tcW w:w="1350" w:type="dxa"/>
            <w:tcBorders>
              <w:top w:val="nil"/>
              <w:left w:val="nil"/>
              <w:bottom w:val="single" w:sz="6" w:space="0" w:color="auto"/>
              <w:right w:val="single" w:sz="6" w:space="0" w:color="auto"/>
            </w:tcBorders>
            <w:shd w:val="clear" w:color="auto" w:fill="000000"/>
            <w:vAlign w:val="bottom"/>
          </w:tcPr>
          <w:p w:rsidR="000B4A1E" w:rsidRPr="004534BB" w:rsidRDefault="000B4A1E" w:rsidP="00517E51">
            <w:pPr>
              <w:pStyle w:val="TabletextheadingCentred"/>
              <w:numPr>
                <w:ilvl w:val="1"/>
                <w:numId w:val="0"/>
              </w:numPr>
              <w:rPr>
                <w:sz w:val="21"/>
                <w:szCs w:val="24"/>
                <w:lang w:eastAsia="en-AU"/>
              </w:rPr>
            </w:pPr>
            <w:r w:rsidRPr="004534BB">
              <w:rPr>
                <w:sz w:val="21"/>
                <w:szCs w:val="24"/>
                <w:lang w:eastAsia="en-AU"/>
              </w:rPr>
              <w:t>Public financial corporation</w:t>
            </w:r>
          </w:p>
        </w:tc>
      </w:tr>
      <w:tr w:rsidR="000B4A1E" w:rsidRPr="004534BB" w:rsidTr="00517E51">
        <w:trPr>
          <w:cantSplit/>
        </w:trPr>
        <w:tc>
          <w:tcPr>
            <w:tcW w:w="6357" w:type="dxa"/>
            <w:gridSpan w:val="3"/>
            <w:tcBorders>
              <w:top w:val="nil"/>
              <w:bottom w:val="nil"/>
              <w:right w:val="nil"/>
            </w:tcBorders>
          </w:tcPr>
          <w:p w:rsidR="000B4A1E" w:rsidRPr="00FB7B81" w:rsidRDefault="000B4A1E" w:rsidP="00517E51">
            <w:pPr>
              <w:spacing w:after="0"/>
              <w:rPr>
                <w:rFonts w:ascii="Calibri" w:hAnsi="Calibri"/>
                <w:bCs/>
                <w:sz w:val="21"/>
                <w:szCs w:val="18"/>
                <w:lang w:eastAsia="en-AU"/>
              </w:rPr>
            </w:pPr>
            <w:r w:rsidRPr="00FB7B81">
              <w:rPr>
                <w:rFonts w:ascii="Calibri" w:hAnsi="Calibri"/>
                <w:b/>
                <w:bCs/>
                <w:sz w:val="21"/>
                <w:szCs w:val="18"/>
                <w:lang w:eastAsia="en-AU"/>
              </w:rPr>
              <w:t xml:space="preserve">Department of Education and Early Childhood Development </w:t>
            </w:r>
            <w:r w:rsidRPr="00FB7B81">
              <w:rPr>
                <w:rFonts w:ascii="Calibri" w:hAnsi="Calibri"/>
                <w:b/>
                <w:bCs/>
                <w:sz w:val="21"/>
                <w:szCs w:val="18"/>
                <w:vertAlign w:val="superscript"/>
                <w:lang w:eastAsia="en-AU"/>
              </w:rPr>
              <w:t>(a)</w:t>
            </w:r>
          </w:p>
        </w:tc>
        <w:tc>
          <w:tcPr>
            <w:tcW w:w="497" w:type="dxa"/>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p>
        </w:tc>
        <w:tc>
          <w:tcPr>
            <w:tcW w:w="1440" w:type="dxa"/>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tcBorders>
          </w:tcPr>
          <w:p w:rsidR="000B4A1E" w:rsidRPr="004534BB" w:rsidRDefault="000B4A1E" w:rsidP="00517E51">
            <w:pPr>
              <w:spacing w:after="0"/>
              <w:jc w:val="center"/>
              <w:rPr>
                <w:rFonts w:ascii="Calibri" w:hAnsi="Calibri"/>
                <w:sz w:val="21"/>
                <w:szCs w:val="18"/>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 xml:space="preserve">Adult Community and Further Education Board </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tcPr>
          <w:p w:rsidR="000B4A1E" w:rsidRPr="004534BB" w:rsidRDefault="000B4A1E" w:rsidP="00517E51">
            <w:pPr>
              <w:spacing w:after="0"/>
              <w:jc w:val="center"/>
              <w:rPr>
                <w:rFonts w:ascii="Calibri" w:hAnsi="Calibri"/>
                <w:sz w:val="21"/>
                <w:szCs w:val="18"/>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 xml:space="preserve">Adult Multicultural Education Services </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 xml:space="preserve">TAFEs including: </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ab/>
              <w:t>Bendigo Regional Institute of TAFE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ab/>
              <w:t xml:space="preserve">Box Hill Institute of TAFE </w:t>
            </w:r>
            <w:r w:rsidRPr="00FB7B81">
              <w:rPr>
                <w:rFonts w:ascii="Calibri" w:hAnsi="Calibri"/>
                <w:sz w:val="21"/>
                <w:szCs w:val="18"/>
                <w:vertAlign w:val="superscript"/>
                <w:lang w:eastAsia="en-AU"/>
              </w:rPr>
              <w:t>(b)</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ab/>
              <w:t>Central Gippsland Institute of TAFE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ab/>
              <w:t>Chisholm Institute of TAFE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ab/>
              <w:t>East Gippsland Institute of TAFE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ab/>
              <w:t>Gordon Institute of TAFE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ab/>
              <w:t>Goulburn Ovens Institute of TAFE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ab/>
              <w:t>Holmesglen Institute of TAFE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ab/>
              <w:t>International Fibre Centre Limited</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ab/>
              <w:t>Kangan Batman Institute of TAFE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ab/>
              <w:t>Northern Melbourne Institute of TAFE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18"/>
                <w:lang w:eastAsia="en-AU"/>
              </w:rPr>
              <w:tab/>
              <w:t>Royal Melbourne Institute of Technology (TAFE Division)</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18"/>
                <w:lang w:eastAsia="en-AU"/>
              </w:rPr>
            </w:pPr>
            <w:r w:rsidRPr="00FB7B81">
              <w:rPr>
                <w:rFonts w:ascii="Calibri" w:hAnsi="Calibri"/>
                <w:sz w:val="21"/>
                <w:szCs w:val="18"/>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18"/>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18"/>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South West Institute of TAFE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sz w:val="21"/>
              </w:rPr>
              <w:br w:type="page"/>
            </w:r>
            <w:r w:rsidRPr="00FB7B81">
              <w:rPr>
                <w:rFonts w:ascii="Calibri" w:hAnsi="Calibri"/>
                <w:sz w:val="21"/>
                <w:szCs w:val="24"/>
                <w:lang w:eastAsia="en-AU"/>
              </w:rPr>
              <w:tab/>
              <w:t>Sunraysia Institute of TAFE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Swinburne University of Technology (TAFE Division)</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cs="Garamond"/>
                <w:sz w:val="21"/>
                <w:szCs w:val="24"/>
              </w:rPr>
              <w:br w:type="page"/>
            </w:r>
            <w:r w:rsidRPr="00FB7B81">
              <w:rPr>
                <w:rFonts w:ascii="Calibri" w:hAnsi="Calibri"/>
                <w:sz w:val="21"/>
                <w:szCs w:val="24"/>
                <w:lang w:eastAsia="en-AU"/>
              </w:rPr>
              <w:tab/>
              <w:t>University of Ballarat (TAFE Division)</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sz w:val="21"/>
                <w:szCs w:val="24"/>
                <w:lang w:eastAsia="en-AU"/>
              </w:rPr>
              <w:tab/>
              <w:t>Victoria University (TAFE Division)</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William Angliss Institute of TAFE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 xml:space="preserve">Wodonga Institute of TAFE </w:t>
            </w:r>
            <w:r w:rsidRPr="00FB7B81">
              <w:rPr>
                <w:rFonts w:ascii="Calibri" w:hAnsi="Calibri"/>
                <w:sz w:val="21"/>
                <w:szCs w:val="24"/>
                <w:vertAlign w:val="superscript"/>
                <w:lang w:eastAsia="en-AU"/>
              </w:rPr>
              <w:t>(c)</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b/>
                <w:kern w:val="28"/>
                <w:sz w:val="21"/>
              </w:rPr>
              <w:br w:type="page"/>
            </w:r>
            <w:r w:rsidRPr="00FB7B81">
              <w:rPr>
                <w:rFonts w:ascii="Calibri" w:hAnsi="Calibri"/>
                <w:sz w:val="21"/>
                <w:szCs w:val="24"/>
                <w:lang w:eastAsia="en-AU"/>
              </w:rPr>
              <w:t>Victorian Curriculum and Assessment Authority</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Institute of Teaching</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Registration and Qualifications Authority</w:t>
            </w:r>
          </w:p>
        </w:tc>
        <w:tc>
          <w:tcPr>
            <w:tcW w:w="1080" w:type="dxa"/>
            <w:gridSpan w:val="2"/>
            <w:tcBorders>
              <w:top w:val="nil"/>
              <w:left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trHeight w:hRule="exact" w:val="86"/>
        </w:trPr>
        <w:tc>
          <w:tcPr>
            <w:tcW w:w="5774" w:type="dxa"/>
            <w:gridSpan w:val="2"/>
            <w:tcBorders>
              <w:top w:val="nil"/>
              <w:left w:val="nil"/>
              <w:bottom w:val="single" w:sz="6" w:space="0" w:color="auto"/>
              <w:right w:val="nil"/>
            </w:tcBorders>
          </w:tcPr>
          <w:p w:rsidR="000B4A1E" w:rsidRPr="00FB7B81" w:rsidRDefault="000B4A1E" w:rsidP="00517E51">
            <w:pPr>
              <w:spacing w:after="0"/>
              <w:ind w:left="180" w:hanging="180"/>
              <w:rPr>
                <w:rFonts w:ascii="Calibri" w:hAnsi="Calibri"/>
                <w:sz w:val="21"/>
                <w:szCs w:val="24"/>
                <w:lang w:eastAsia="en-AU"/>
              </w:rPr>
            </w:pPr>
          </w:p>
        </w:tc>
        <w:tc>
          <w:tcPr>
            <w:tcW w:w="1080" w:type="dxa"/>
            <w:gridSpan w:val="2"/>
            <w:tcBorders>
              <w:top w:val="nil"/>
              <w:left w:val="nil"/>
              <w:bottom w:val="single" w:sz="6" w:space="0" w:color="auto"/>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single" w:sz="6"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6" w:space="0" w:color="auto"/>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single" w:sz="6" w:space="0" w:color="auto"/>
              <w:left w:val="nil"/>
              <w:bottom w:val="nil"/>
              <w:right w:val="nil"/>
            </w:tcBorders>
          </w:tcPr>
          <w:p w:rsidR="000B4A1E" w:rsidRPr="00FB7B81" w:rsidRDefault="000B4A1E" w:rsidP="00517E51">
            <w:pPr>
              <w:spacing w:after="0"/>
              <w:ind w:left="187" w:hanging="187"/>
              <w:rPr>
                <w:rFonts w:ascii="Calibri" w:hAnsi="Calibri"/>
                <w:b/>
                <w:bCs/>
                <w:sz w:val="21"/>
                <w:szCs w:val="24"/>
                <w:lang w:eastAsia="en-AU"/>
              </w:rPr>
            </w:pPr>
            <w:r w:rsidRPr="00FB7B81">
              <w:rPr>
                <w:rFonts w:ascii="Calibri" w:hAnsi="Calibri"/>
                <w:b/>
                <w:bCs/>
                <w:sz w:val="21"/>
                <w:szCs w:val="24"/>
                <w:lang w:eastAsia="en-AU"/>
              </w:rPr>
              <w:t xml:space="preserve">Department of Environment and Primary Industries </w:t>
            </w:r>
            <w:r w:rsidRPr="00FB7B81">
              <w:rPr>
                <w:rFonts w:ascii="Calibri" w:hAnsi="Calibri"/>
                <w:b/>
                <w:bCs/>
                <w:sz w:val="21"/>
                <w:szCs w:val="24"/>
                <w:vertAlign w:val="superscript"/>
                <w:lang w:eastAsia="en-AU"/>
              </w:rPr>
              <w:t>(d)</w:t>
            </w:r>
          </w:p>
        </w:tc>
        <w:tc>
          <w:tcPr>
            <w:tcW w:w="1080" w:type="dxa"/>
            <w:gridSpan w:val="2"/>
            <w:tcBorders>
              <w:top w:val="single" w:sz="6" w:space="0" w:color="auto"/>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 </w:t>
            </w:r>
          </w:p>
        </w:tc>
        <w:tc>
          <w:tcPr>
            <w:tcW w:w="1350" w:type="dxa"/>
            <w:tcBorders>
              <w:top w:val="single" w:sz="6" w:space="0" w:color="auto"/>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Catchment Management Authorities including:</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Corangamite Catchment Management Authority</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East Gippsland Catchment Management Authority</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Glenelg Hopkins Catchment Management Authority</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Goulburn Broken Catchment Management Authority</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Mallee Catchment Management Authority</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North Central Catchment Management Authority</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North East Catchment Management Authority</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Port Phillip and W</w:t>
            </w:r>
            <w:r>
              <w:rPr>
                <w:rFonts w:ascii="Calibri" w:hAnsi="Calibri"/>
                <w:sz w:val="21"/>
                <w:szCs w:val="24"/>
                <w:lang w:eastAsia="en-AU"/>
              </w:rPr>
              <w:t xml:space="preserve">esternport Catchment Management </w:t>
            </w:r>
            <w:r w:rsidRPr="00FB7B81">
              <w:rPr>
                <w:rFonts w:ascii="Calibri" w:hAnsi="Calibri"/>
                <w:sz w:val="21"/>
                <w:szCs w:val="24"/>
                <w:lang w:eastAsia="en-AU"/>
              </w:rPr>
              <w:t>Authority</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sz w:val="21"/>
              </w:rPr>
              <w:br w:type="page"/>
            </w:r>
            <w:r w:rsidRPr="00FB7B81">
              <w:rPr>
                <w:rFonts w:ascii="Calibri" w:hAnsi="Calibri"/>
                <w:sz w:val="21"/>
                <w:szCs w:val="24"/>
                <w:lang w:eastAsia="en-AU"/>
              </w:rPr>
              <w:tab/>
              <w:t>West Gippsland Catchment Management Authority</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Wimmera Catchment Management Authority</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4534BB" w:rsidTr="001C7CDE">
        <w:trPr>
          <w:cantSplit/>
        </w:trPr>
        <w:tc>
          <w:tcPr>
            <w:tcW w:w="5774" w:type="dxa"/>
            <w:gridSpan w:val="2"/>
            <w:tcBorders>
              <w:top w:val="nil"/>
              <w:left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Environment Protection Authority</w:t>
            </w:r>
          </w:p>
        </w:tc>
        <w:tc>
          <w:tcPr>
            <w:tcW w:w="1080" w:type="dxa"/>
            <w:gridSpan w:val="2"/>
            <w:tcBorders>
              <w:top w:val="nil"/>
              <w:left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right w:val="nil"/>
            </w:tcBorders>
            <w:noWrap/>
            <w:vAlign w:val="bottom"/>
          </w:tcPr>
          <w:p w:rsidR="000B4A1E" w:rsidRPr="004534BB" w:rsidRDefault="000B4A1E" w:rsidP="00517E51">
            <w:pPr>
              <w:spacing w:after="0"/>
              <w:jc w:val="center"/>
              <w:rPr>
                <w:rFonts w:ascii="Calibri" w:hAnsi="Calibri"/>
                <w:sz w:val="21"/>
                <w:szCs w:val="24"/>
                <w:lang w:eastAsia="en-AU"/>
              </w:rPr>
            </w:pPr>
          </w:p>
        </w:tc>
      </w:tr>
      <w:tr w:rsidR="000B4A1E" w:rsidRPr="00FB7B81" w:rsidTr="001C7CDE">
        <w:trPr>
          <w:cantSplit/>
        </w:trPr>
        <w:tc>
          <w:tcPr>
            <w:tcW w:w="5774" w:type="dxa"/>
            <w:gridSpan w:val="2"/>
            <w:tcBorders>
              <w:top w:val="nil"/>
              <w:left w:val="nil"/>
              <w:bottom w:val="single" w:sz="12" w:space="0" w:color="auto"/>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Office of the Commissioner for Environmental Sustainability</w:t>
            </w:r>
          </w:p>
        </w:tc>
        <w:tc>
          <w:tcPr>
            <w:tcW w:w="1080" w:type="dxa"/>
            <w:gridSpan w:val="2"/>
            <w:tcBorders>
              <w:top w:val="nil"/>
              <w:left w:val="nil"/>
              <w:bottom w:val="single" w:sz="12" w:space="0" w:color="auto"/>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single" w:sz="12"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12"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bl>
    <w:p w:rsidR="000B4A1E" w:rsidRPr="00FB7B81" w:rsidRDefault="000B4A1E" w:rsidP="00517E51">
      <w:pPr>
        <w:pStyle w:val="Heading2Notes"/>
        <w:rPr>
          <w:i/>
        </w:rPr>
      </w:pPr>
      <w:r w:rsidRPr="00D00665">
        <w:lastRenderedPageBreak/>
        <w:t>Note 41:</w:t>
      </w:r>
      <w:r w:rsidRPr="00D00665">
        <w:tab/>
        <w:t>Controlled entities</w:t>
      </w:r>
      <w:r>
        <w:t xml:space="preserve"> </w:t>
      </w:r>
      <w:r>
        <w:rPr>
          <w:i/>
        </w:rPr>
        <w:t>(continued)</w:t>
      </w:r>
    </w:p>
    <w:tbl>
      <w:tblPr>
        <w:tblW w:w="9644" w:type="dxa"/>
        <w:tblInd w:w="29" w:type="dxa"/>
        <w:tblLayout w:type="fixed"/>
        <w:tblCellMar>
          <w:left w:w="43" w:type="dxa"/>
          <w:right w:w="43" w:type="dxa"/>
        </w:tblCellMar>
        <w:tblLook w:val="0000" w:firstRow="0" w:lastRow="0" w:firstColumn="0" w:lastColumn="0" w:noHBand="0" w:noVBand="0"/>
      </w:tblPr>
      <w:tblGrid>
        <w:gridCol w:w="5684"/>
        <w:gridCol w:w="90"/>
        <w:gridCol w:w="1080"/>
        <w:gridCol w:w="1440"/>
        <w:gridCol w:w="1350"/>
      </w:tblGrid>
      <w:tr w:rsidR="000B4A1E" w:rsidRPr="00FB7B81" w:rsidTr="00517E51">
        <w:trPr>
          <w:cantSplit/>
          <w:tblHeader/>
        </w:trPr>
        <w:tc>
          <w:tcPr>
            <w:tcW w:w="568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p>
        </w:tc>
        <w:tc>
          <w:tcPr>
            <w:tcW w:w="1170" w:type="dxa"/>
            <w:gridSpan w:val="2"/>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p>
        </w:tc>
        <w:tc>
          <w:tcPr>
            <w:tcW w:w="2790" w:type="dxa"/>
            <w:gridSpan w:val="2"/>
            <w:tcBorders>
              <w:top w:val="nil"/>
              <w:left w:val="nil"/>
              <w:bottom w:val="single" w:sz="6" w:space="0" w:color="auto"/>
              <w:right w:val="single" w:sz="6" w:space="0" w:color="auto"/>
            </w:tcBorders>
            <w:shd w:val="clear" w:color="auto" w:fill="000000"/>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Entities included as investments in other sectors</w:t>
            </w:r>
          </w:p>
        </w:tc>
      </w:tr>
      <w:tr w:rsidR="000B4A1E" w:rsidRPr="00FB7B81" w:rsidTr="00517E51">
        <w:trPr>
          <w:cantSplit/>
          <w:tblHeader/>
        </w:trPr>
        <w:tc>
          <w:tcPr>
            <w:tcW w:w="568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r w:rsidRPr="00FB7B81">
              <w:rPr>
                <w:sz w:val="21"/>
                <w:szCs w:val="24"/>
                <w:lang w:eastAsia="en-AU"/>
              </w:rPr>
              <w:t>Controlled entities</w:t>
            </w:r>
          </w:p>
        </w:tc>
        <w:tc>
          <w:tcPr>
            <w:tcW w:w="1170" w:type="dxa"/>
            <w:gridSpan w:val="2"/>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General government</w:t>
            </w:r>
          </w:p>
        </w:tc>
        <w:tc>
          <w:tcPr>
            <w:tcW w:w="1440" w:type="dxa"/>
            <w:tcBorders>
              <w:top w:val="nil"/>
              <w:left w:val="nil"/>
              <w:bottom w:val="single" w:sz="6" w:space="0" w:color="auto"/>
              <w:right w:val="nil"/>
            </w:tcBorders>
            <w:shd w:val="clear" w:color="auto" w:fill="000000"/>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Public non</w:t>
            </w:r>
            <w:r w:rsidRPr="00FB7B81">
              <w:rPr>
                <w:i w:val="0"/>
                <w:sz w:val="21"/>
                <w:szCs w:val="24"/>
                <w:lang w:eastAsia="en-AU"/>
              </w:rPr>
              <w:noBreakHyphen/>
            </w:r>
            <w:r w:rsidRPr="00FB7B81">
              <w:rPr>
                <w:sz w:val="21"/>
                <w:szCs w:val="24"/>
                <w:lang w:eastAsia="en-AU"/>
              </w:rPr>
              <w:t>financial corporation</w:t>
            </w:r>
          </w:p>
        </w:tc>
        <w:tc>
          <w:tcPr>
            <w:tcW w:w="1350" w:type="dxa"/>
            <w:tcBorders>
              <w:top w:val="nil"/>
              <w:left w:val="nil"/>
              <w:bottom w:val="single" w:sz="6" w:space="0" w:color="auto"/>
              <w:right w:val="single" w:sz="6" w:space="0" w:color="auto"/>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Public financial corporation</w:t>
            </w: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sz w:val="21"/>
                <w:szCs w:val="24"/>
                <w:lang w:eastAsia="en-AU"/>
              </w:rPr>
              <w:t>Parks Victoria</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Royal Botanic Gardens Board</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Surveyors Registration Board of Victoria</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Sustainability Victoria</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Trust for Nature (Victoria)</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Alpine Resorts Management Board including:</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Alpine Resorts Co</w:t>
            </w:r>
            <w:r w:rsidRPr="00FB7B81">
              <w:rPr>
                <w:rFonts w:ascii="Calibri" w:hAnsi="Calibri"/>
                <w:sz w:val="21"/>
                <w:szCs w:val="24"/>
                <w:lang w:eastAsia="en-AU"/>
              </w:rPr>
              <w:noBreakHyphen/>
              <w:t>ordinating Council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Falls Creek Alpine Resort Management Board</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Lake Mountain Alpine Resort Management Board</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cs="Garamond"/>
                <w:sz w:val="21"/>
                <w:szCs w:val="24"/>
              </w:rPr>
              <w:br w:type="page"/>
            </w:r>
            <w:r w:rsidRPr="00FB7B81">
              <w:rPr>
                <w:rFonts w:ascii="Calibri" w:hAnsi="Calibri"/>
                <w:sz w:val="21"/>
                <w:szCs w:val="24"/>
                <w:lang w:eastAsia="en-AU"/>
              </w:rPr>
              <w:tab/>
              <w:t>Mount Baw Baw Alpine Resort Management Board</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Mount Buller and Mount St</w:t>
            </w:r>
            <w:r>
              <w:rPr>
                <w:rFonts w:ascii="Calibri" w:hAnsi="Calibri"/>
                <w:sz w:val="21"/>
                <w:szCs w:val="24"/>
                <w:lang w:eastAsia="en-AU"/>
              </w:rPr>
              <w:t xml:space="preserve">irling Alpine Resort </w:t>
            </w:r>
            <w:r>
              <w:rPr>
                <w:rFonts w:ascii="Calibri" w:hAnsi="Calibri"/>
                <w:sz w:val="21"/>
                <w:szCs w:val="24"/>
                <w:lang w:eastAsia="en-AU"/>
              </w:rPr>
              <w:br/>
              <w:t xml:space="preserve">   Management </w:t>
            </w:r>
            <w:r w:rsidRPr="00FB7B81">
              <w:rPr>
                <w:rFonts w:ascii="Calibri" w:hAnsi="Calibri"/>
                <w:sz w:val="21"/>
                <w:szCs w:val="24"/>
                <w:lang w:eastAsia="en-AU"/>
              </w:rPr>
              <w:t>Board</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Mount Hotham Alpine Resort Management Board</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Phillip Island Nature Park Board of Management Inc.</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sz w:val="21"/>
                <w:szCs w:val="24"/>
                <w:lang w:eastAsia="en-AU"/>
              </w:rPr>
              <w:t>Waste Management Groups including:</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Barwon Regional Waste Management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Calder Regional Waste Management Group </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Central Murray Regional Waste Management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Desert Fringe Regional Waste Management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Gippsland Regional Waste Management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Goulburn Valley Regional Waste Management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sz w:val="21"/>
                <w:szCs w:val="24"/>
                <w:lang w:eastAsia="en-AU"/>
              </w:rPr>
              <w:tab/>
              <w:t>Grampians Regional Waste Management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keepNext/>
              <w:spacing w:after="0"/>
              <w:ind w:left="187" w:hanging="187"/>
              <w:rPr>
                <w:rFonts w:ascii="Calibri" w:hAnsi="Calibri"/>
                <w:sz w:val="21"/>
                <w:szCs w:val="24"/>
                <w:lang w:eastAsia="en-AU"/>
              </w:rPr>
            </w:pPr>
            <w:r w:rsidRPr="00FB7B81">
              <w:rPr>
                <w:rFonts w:ascii="Calibri" w:hAnsi="Calibri"/>
                <w:sz w:val="21"/>
                <w:szCs w:val="24"/>
                <w:lang w:eastAsia="en-AU"/>
              </w:rPr>
              <w:tab/>
              <w:t>Highlands Regional Waste Management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Metropolitan Waste Management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Mildura Regional Waste Management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Mornington Peninsula Regional Waste Management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68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Northern East Victorian Regional Waste Management Group</w:t>
            </w:r>
          </w:p>
        </w:tc>
        <w:tc>
          <w:tcPr>
            <w:tcW w:w="117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South Western Regional Waste Management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keepNext/>
              <w:spacing w:after="0"/>
              <w:ind w:left="187" w:hanging="187"/>
              <w:rPr>
                <w:rFonts w:ascii="Calibri" w:hAnsi="Calibri"/>
                <w:sz w:val="21"/>
                <w:szCs w:val="24"/>
                <w:lang w:eastAsia="en-AU"/>
              </w:rPr>
            </w:pPr>
            <w:r w:rsidRPr="00FB7B81">
              <w:rPr>
                <w:rFonts w:ascii="Calibri" w:hAnsi="Calibri"/>
                <w:sz w:val="21"/>
                <w:szCs w:val="24"/>
              </w:rPr>
              <w:br w:type="page"/>
            </w:r>
            <w:r w:rsidRPr="00FB7B81">
              <w:rPr>
                <w:rFonts w:ascii="Calibri" w:hAnsi="Calibri"/>
                <w:sz w:val="21"/>
                <w:szCs w:val="24"/>
                <w:lang w:eastAsia="en-AU"/>
              </w:rPr>
              <w:t>Water Authorities including:</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Barwon Region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Central Gippsland Region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Central Highlands Region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 xml:space="preserve">City West Water Corporation </w:t>
            </w:r>
            <w:r>
              <w:rPr>
                <w:rFonts w:ascii="Calibri" w:hAnsi="Calibri"/>
                <w:sz w:val="21"/>
                <w:szCs w:val="24"/>
                <w:vertAlign w:val="superscript"/>
                <w:lang w:eastAsia="en-AU"/>
              </w:rPr>
              <w:t>(e</w:t>
            </w:r>
            <w:r w:rsidRPr="00FB7B81">
              <w:rPr>
                <w:rFonts w:ascii="Calibri" w:hAnsi="Calibri"/>
                <w:sz w:val="21"/>
                <w:szCs w:val="24"/>
                <w:vertAlign w:val="superscript"/>
                <w:lang w:eastAsia="en-AU"/>
              </w:rPr>
              <w:t>)</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Coliban Region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East Gippsland Region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Gippsland and Southern Rural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cs="Garamond"/>
                <w:sz w:val="21"/>
                <w:szCs w:val="24"/>
              </w:rPr>
              <w:br w:type="page"/>
            </w:r>
            <w:r w:rsidRPr="00FB7B81">
              <w:rPr>
                <w:rFonts w:ascii="Calibri" w:hAnsi="Calibri"/>
                <w:sz w:val="21"/>
                <w:szCs w:val="24"/>
                <w:lang w:eastAsia="en-AU"/>
              </w:rPr>
              <w:tab/>
              <w:t>Goulburn Valley Region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Goulburn</w:t>
            </w:r>
            <w:r w:rsidRPr="00FB7B81">
              <w:rPr>
                <w:rFonts w:ascii="Calibri" w:hAnsi="Calibri"/>
                <w:sz w:val="21"/>
                <w:szCs w:val="24"/>
                <w:lang w:eastAsia="en-AU"/>
              </w:rPr>
              <w:noBreakHyphen/>
              <w:t xml:space="preserve">Murray Rural Water Corporation </w:t>
            </w:r>
            <w:r w:rsidRPr="00FB7B81">
              <w:rPr>
                <w:rFonts w:ascii="Calibri" w:hAnsi="Calibri"/>
                <w:sz w:val="21"/>
                <w:szCs w:val="24"/>
                <w:vertAlign w:val="superscript"/>
                <w:lang w:eastAsia="en-AU"/>
              </w:rPr>
              <w:t>(f)</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Grampians Wimmera</w:t>
            </w:r>
            <w:r w:rsidRPr="00FB7B81">
              <w:rPr>
                <w:rFonts w:ascii="Calibri" w:hAnsi="Calibri"/>
                <w:sz w:val="21"/>
                <w:szCs w:val="24"/>
                <w:lang w:eastAsia="en-AU"/>
              </w:rPr>
              <w:noBreakHyphen/>
              <w:t>Mallee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Lower Murray Urban and Rural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 xml:space="preserve">Melbourne Water Corporation </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North East Region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 xml:space="preserve">South East Water Corporation </w:t>
            </w:r>
            <w:r w:rsidRPr="00FB7B81">
              <w:rPr>
                <w:rFonts w:ascii="Calibri" w:hAnsi="Calibri"/>
                <w:sz w:val="21"/>
                <w:szCs w:val="24"/>
                <w:vertAlign w:val="superscript"/>
                <w:lang w:eastAsia="en-AU"/>
              </w:rPr>
              <w:t>(</w:t>
            </w:r>
            <w:r>
              <w:rPr>
                <w:rFonts w:ascii="Calibri" w:hAnsi="Calibri"/>
                <w:sz w:val="21"/>
                <w:szCs w:val="24"/>
                <w:vertAlign w:val="superscript"/>
                <w:lang w:eastAsia="en-AU"/>
              </w:rPr>
              <w:t>e</w:t>
            </w:r>
            <w:r w:rsidRPr="00FB7B81">
              <w:rPr>
                <w:rFonts w:ascii="Calibri" w:hAnsi="Calibri"/>
                <w:sz w:val="21"/>
                <w:szCs w:val="24"/>
                <w:vertAlign w:val="superscript"/>
                <w:lang w:eastAsia="en-AU"/>
              </w:rPr>
              <w:t>)</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South Gippsland Region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Wannon Region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Western Region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sz w:val="21"/>
                <w:szCs w:val="24"/>
                <w:lang w:eastAsia="en-AU"/>
              </w:rPr>
              <w:tab/>
              <w:t>Westernport Region Water Corporation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1C7CDE">
        <w:trPr>
          <w:cantSplit/>
        </w:trPr>
        <w:tc>
          <w:tcPr>
            <w:tcW w:w="5774" w:type="dxa"/>
            <w:gridSpan w:val="2"/>
            <w:tcBorders>
              <w:top w:val="nil"/>
              <w:left w:val="nil"/>
              <w:right w:val="nil"/>
            </w:tcBorders>
          </w:tcPr>
          <w:p w:rsidR="000B4A1E" w:rsidRPr="00FB7B81" w:rsidRDefault="000B4A1E" w:rsidP="00517E51">
            <w:pPr>
              <w:spacing w:after="0"/>
              <w:ind w:left="187" w:hanging="187"/>
              <w:rPr>
                <w:rFonts w:ascii="Calibri" w:hAnsi="Calibri"/>
                <w:b/>
                <w:sz w:val="21"/>
                <w:szCs w:val="24"/>
                <w:lang w:eastAsia="en-AU"/>
              </w:rPr>
            </w:pPr>
            <w:r w:rsidRPr="00FB7B81">
              <w:rPr>
                <w:rFonts w:ascii="Calibri" w:hAnsi="Calibri"/>
                <w:sz w:val="21"/>
                <w:szCs w:val="24"/>
                <w:lang w:eastAsia="en-AU"/>
              </w:rPr>
              <w:tab/>
              <w:t xml:space="preserve">Yarra Valley Water Corporation </w:t>
            </w:r>
            <w:r w:rsidRPr="00FB7B81">
              <w:rPr>
                <w:rFonts w:ascii="Calibri" w:hAnsi="Calibri"/>
                <w:sz w:val="21"/>
                <w:szCs w:val="24"/>
                <w:vertAlign w:val="superscript"/>
                <w:lang w:eastAsia="en-AU"/>
              </w:rPr>
              <w:t>(</w:t>
            </w:r>
            <w:r>
              <w:rPr>
                <w:rFonts w:ascii="Calibri" w:hAnsi="Calibri"/>
                <w:sz w:val="21"/>
                <w:szCs w:val="24"/>
                <w:vertAlign w:val="superscript"/>
                <w:lang w:eastAsia="en-AU"/>
              </w:rPr>
              <w:t>e</w:t>
            </w:r>
            <w:r w:rsidRPr="00FB7B81">
              <w:rPr>
                <w:rFonts w:ascii="Calibri" w:hAnsi="Calibri"/>
                <w:sz w:val="21"/>
                <w:szCs w:val="24"/>
                <w:vertAlign w:val="superscript"/>
                <w:lang w:eastAsia="en-AU"/>
              </w:rPr>
              <w:t>)</w:t>
            </w:r>
          </w:p>
        </w:tc>
        <w:tc>
          <w:tcPr>
            <w:tcW w:w="1080" w:type="dxa"/>
            <w:tcBorders>
              <w:top w:val="nil"/>
              <w:left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1C7CDE">
        <w:trPr>
          <w:cantSplit/>
        </w:trPr>
        <w:tc>
          <w:tcPr>
            <w:tcW w:w="5774" w:type="dxa"/>
            <w:gridSpan w:val="2"/>
            <w:tcBorders>
              <w:top w:val="nil"/>
              <w:left w:val="nil"/>
              <w:bottom w:val="single" w:sz="12" w:space="0" w:color="auto"/>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Zoological Parks and Gardens Board of Victoria</w:t>
            </w:r>
          </w:p>
        </w:tc>
        <w:tc>
          <w:tcPr>
            <w:tcW w:w="1080" w:type="dxa"/>
            <w:tcBorders>
              <w:top w:val="nil"/>
              <w:left w:val="nil"/>
              <w:bottom w:val="single" w:sz="12" w:space="0" w:color="auto"/>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single" w:sz="12" w:space="0" w:color="auto"/>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single" w:sz="12"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bl>
    <w:p w:rsidR="000B4A1E" w:rsidRPr="00FB7B81" w:rsidRDefault="000B4A1E" w:rsidP="00517E51">
      <w:pPr>
        <w:pStyle w:val="Heading2Notes"/>
        <w:rPr>
          <w:i/>
        </w:rPr>
      </w:pPr>
      <w:r w:rsidRPr="00D00665">
        <w:lastRenderedPageBreak/>
        <w:t>Note 41:</w:t>
      </w:r>
      <w:r w:rsidRPr="00D00665">
        <w:tab/>
        <w:t>Controlled entities</w:t>
      </w:r>
      <w:r>
        <w:t xml:space="preserve"> </w:t>
      </w:r>
      <w:r>
        <w:rPr>
          <w:i/>
        </w:rPr>
        <w:t>(continued)</w:t>
      </w:r>
    </w:p>
    <w:tbl>
      <w:tblPr>
        <w:tblW w:w="9644" w:type="dxa"/>
        <w:tblInd w:w="29" w:type="dxa"/>
        <w:tblLayout w:type="fixed"/>
        <w:tblCellMar>
          <w:left w:w="43" w:type="dxa"/>
          <w:right w:w="43" w:type="dxa"/>
        </w:tblCellMar>
        <w:tblLook w:val="0000" w:firstRow="0" w:lastRow="0" w:firstColumn="0" w:lastColumn="0" w:noHBand="0" w:noVBand="0"/>
      </w:tblPr>
      <w:tblGrid>
        <w:gridCol w:w="5684"/>
        <w:gridCol w:w="90"/>
        <w:gridCol w:w="1080"/>
        <w:gridCol w:w="1440"/>
        <w:gridCol w:w="1350"/>
      </w:tblGrid>
      <w:tr w:rsidR="000B4A1E" w:rsidRPr="00FB7B81" w:rsidTr="00517E51">
        <w:trPr>
          <w:cantSplit/>
          <w:tblHeader/>
        </w:trPr>
        <w:tc>
          <w:tcPr>
            <w:tcW w:w="568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p>
        </w:tc>
        <w:tc>
          <w:tcPr>
            <w:tcW w:w="1170" w:type="dxa"/>
            <w:gridSpan w:val="2"/>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p>
        </w:tc>
        <w:tc>
          <w:tcPr>
            <w:tcW w:w="2790" w:type="dxa"/>
            <w:gridSpan w:val="2"/>
            <w:tcBorders>
              <w:top w:val="nil"/>
              <w:left w:val="nil"/>
              <w:bottom w:val="single" w:sz="6" w:space="0" w:color="auto"/>
              <w:right w:val="single" w:sz="6" w:space="0" w:color="auto"/>
            </w:tcBorders>
            <w:shd w:val="clear" w:color="auto" w:fill="000000"/>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Entities included as investments in other sectors</w:t>
            </w:r>
          </w:p>
        </w:tc>
      </w:tr>
      <w:tr w:rsidR="000B4A1E" w:rsidRPr="00FB7B81" w:rsidTr="00517E51">
        <w:trPr>
          <w:cantSplit/>
          <w:tblHeader/>
        </w:trPr>
        <w:tc>
          <w:tcPr>
            <w:tcW w:w="568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r w:rsidRPr="00FB7B81">
              <w:rPr>
                <w:sz w:val="21"/>
                <w:szCs w:val="24"/>
                <w:lang w:eastAsia="en-AU"/>
              </w:rPr>
              <w:t>Controlled entities</w:t>
            </w:r>
          </w:p>
        </w:tc>
        <w:tc>
          <w:tcPr>
            <w:tcW w:w="1170" w:type="dxa"/>
            <w:gridSpan w:val="2"/>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General government</w:t>
            </w:r>
          </w:p>
        </w:tc>
        <w:tc>
          <w:tcPr>
            <w:tcW w:w="1440" w:type="dxa"/>
            <w:tcBorders>
              <w:top w:val="nil"/>
              <w:left w:val="nil"/>
              <w:bottom w:val="single" w:sz="6" w:space="0" w:color="auto"/>
              <w:right w:val="nil"/>
            </w:tcBorders>
            <w:shd w:val="clear" w:color="auto" w:fill="000000"/>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Public non</w:t>
            </w:r>
            <w:r w:rsidRPr="00FB7B81">
              <w:rPr>
                <w:i w:val="0"/>
                <w:sz w:val="21"/>
                <w:szCs w:val="24"/>
                <w:lang w:eastAsia="en-AU"/>
              </w:rPr>
              <w:noBreakHyphen/>
            </w:r>
            <w:r w:rsidRPr="00FB7B81">
              <w:rPr>
                <w:sz w:val="21"/>
                <w:szCs w:val="24"/>
                <w:lang w:eastAsia="en-AU"/>
              </w:rPr>
              <w:t>financial corporation</w:t>
            </w:r>
          </w:p>
        </w:tc>
        <w:tc>
          <w:tcPr>
            <w:tcW w:w="1350" w:type="dxa"/>
            <w:tcBorders>
              <w:top w:val="nil"/>
              <w:left w:val="nil"/>
              <w:bottom w:val="single" w:sz="6" w:space="0" w:color="auto"/>
              <w:right w:val="single" w:sz="6" w:space="0" w:color="auto"/>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Public financial corporation</w:t>
            </w:r>
          </w:p>
        </w:tc>
      </w:tr>
      <w:tr w:rsidR="000B4A1E" w:rsidRPr="00FB7B81" w:rsidTr="00517E51">
        <w:trPr>
          <w:cantSplit/>
        </w:trPr>
        <w:tc>
          <w:tcPr>
            <w:tcW w:w="5774" w:type="dxa"/>
            <w:gridSpan w:val="2"/>
            <w:tcBorders>
              <w:top w:val="single" w:sz="4" w:space="0" w:color="auto"/>
              <w:left w:val="nil"/>
              <w:bottom w:val="nil"/>
              <w:right w:val="nil"/>
            </w:tcBorders>
          </w:tcPr>
          <w:p w:rsidR="000B4A1E" w:rsidRPr="00FB7B81" w:rsidRDefault="000B4A1E" w:rsidP="00517E51">
            <w:pPr>
              <w:spacing w:after="0"/>
              <w:ind w:left="180" w:hanging="180"/>
              <w:rPr>
                <w:rFonts w:ascii="Calibri" w:hAnsi="Calibri"/>
                <w:bCs/>
                <w:sz w:val="21"/>
                <w:szCs w:val="24"/>
                <w:lang w:eastAsia="en-AU"/>
              </w:rPr>
            </w:pPr>
            <w:r w:rsidRPr="00FB7B81">
              <w:rPr>
                <w:rFonts w:ascii="Calibri" w:hAnsi="Calibri"/>
                <w:b/>
                <w:bCs/>
                <w:sz w:val="21"/>
                <w:szCs w:val="24"/>
                <w:lang w:eastAsia="en-AU"/>
              </w:rPr>
              <w:t xml:space="preserve">Department of Health </w:t>
            </w:r>
            <w:r>
              <w:rPr>
                <w:rFonts w:ascii="Calibri" w:hAnsi="Calibri"/>
                <w:b/>
                <w:bCs/>
                <w:sz w:val="21"/>
                <w:szCs w:val="24"/>
                <w:vertAlign w:val="superscript"/>
                <w:lang w:eastAsia="en-AU"/>
              </w:rPr>
              <w:t>(g</w:t>
            </w:r>
            <w:r w:rsidRPr="00FB7B81">
              <w:rPr>
                <w:rFonts w:ascii="Calibri" w:hAnsi="Calibri"/>
                <w:b/>
                <w:bCs/>
                <w:sz w:val="21"/>
                <w:szCs w:val="24"/>
                <w:vertAlign w:val="superscript"/>
                <w:lang w:eastAsia="en-AU"/>
              </w:rPr>
              <w:t>)</w:t>
            </w:r>
          </w:p>
        </w:tc>
        <w:tc>
          <w:tcPr>
            <w:tcW w:w="1080" w:type="dxa"/>
            <w:tcBorders>
              <w:top w:val="single" w:sz="4" w:space="0" w:color="auto"/>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b/>
                <w:bCs/>
                <w:sz w:val="21"/>
                <w:szCs w:val="24"/>
                <w:lang w:eastAsia="en-AU"/>
              </w:rPr>
            </w:pPr>
            <w:r w:rsidRPr="00FB7B81">
              <w:rPr>
                <w:rFonts w:ascii="Calibri" w:hAnsi="Calibri"/>
                <w:b/>
                <w:bCs/>
                <w:sz w:val="21"/>
                <w:szCs w:val="24"/>
                <w:lang w:eastAsia="en-AU"/>
              </w:rPr>
              <w:t> </w:t>
            </w:r>
          </w:p>
        </w:tc>
        <w:tc>
          <w:tcPr>
            <w:tcW w:w="135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b/>
                <w:bCs/>
                <w:sz w:val="21"/>
                <w:szCs w:val="24"/>
                <w:lang w:eastAsia="en-AU"/>
              </w:rPr>
            </w:pPr>
            <w:r w:rsidRPr="00FB7B81">
              <w:rPr>
                <w:rFonts w:ascii="Calibri" w:hAnsi="Calibri"/>
                <w:b/>
                <w:bCs/>
                <w:sz w:val="21"/>
                <w:szCs w:val="24"/>
                <w:lang w:eastAsia="en-AU"/>
              </w:rPr>
              <w:t> </w:t>
            </w: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Health Purchasing Victoria</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Hospitals, Health and Ambulance Services including:</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b/>
                <w:bCs/>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b/>
                <w:bCs/>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 xml:space="preserve">Albury Wodonga Health </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Alexandra District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Alfred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Alpine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Ambulance Victoria</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Austin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Bairnsdale Regional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Ballarat Health Services</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Barwon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Bass Coast Regional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Beaufort and Skipton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Beechworth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Benalla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Bendigo Health Care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Boort District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Casterton Memorial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 xml:space="preserve">Castlemaine Health </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Central Gippsland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Cobram District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Cohuna District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Colac Area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Dental Health Services Victoria</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Djerriwarrh Health Services</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Dunmunkle Health Services</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cs="Garamond"/>
                <w:i/>
                <w:iCs/>
                <w:sz w:val="21"/>
                <w:szCs w:val="24"/>
              </w:rPr>
              <w:br w:type="page"/>
            </w:r>
            <w:r w:rsidRPr="00FB7B81">
              <w:rPr>
                <w:rFonts w:ascii="Calibri" w:hAnsi="Calibri"/>
                <w:sz w:val="21"/>
                <w:szCs w:val="24"/>
                <w:lang w:eastAsia="en-AU"/>
              </w:rPr>
              <w:tab/>
              <w:t>East Grampians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sz w:val="21"/>
              </w:rPr>
              <w:br w:type="page"/>
            </w:r>
            <w:r w:rsidRPr="00FB7B81">
              <w:rPr>
                <w:rFonts w:ascii="Calibri" w:hAnsi="Calibri"/>
                <w:sz w:val="21"/>
                <w:szCs w:val="24"/>
                <w:lang w:eastAsia="en-AU"/>
              </w:rPr>
              <w:tab/>
              <w:t>East Wimmera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Eastern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sz w:val="21"/>
                <w:szCs w:val="24"/>
                <w:lang w:eastAsia="en-AU"/>
              </w:rPr>
              <w:tab/>
              <w:t>Echuca Regional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Edenhope and District Memorial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Gippsland Southern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Goulburn Valley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 xml:space="preserve">Heathcote Health </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Hepburn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Hesse Rural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Heywood Rural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Inglewood and Districts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rPr>
              <w:br w:type="page"/>
            </w:r>
            <w:r w:rsidRPr="00FB7B81">
              <w:rPr>
                <w:rFonts w:ascii="Calibri" w:hAnsi="Calibri"/>
                <w:sz w:val="21"/>
                <w:szCs w:val="24"/>
                <w:lang w:eastAsia="en-AU"/>
              </w:rPr>
              <w:tab/>
              <w:t xml:space="preserve">Kerang District Health </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Kooweerup Regional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Kyabram and District Health Services</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Kyneton District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Latrobe Regional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Lorne Community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Maldon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1C7CDE">
        <w:trPr>
          <w:cantSplit/>
        </w:trPr>
        <w:tc>
          <w:tcPr>
            <w:tcW w:w="5774" w:type="dxa"/>
            <w:gridSpan w:val="2"/>
            <w:tcBorders>
              <w:top w:val="nil"/>
              <w:left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Mallee Track Health and Community Services</w:t>
            </w:r>
          </w:p>
        </w:tc>
        <w:tc>
          <w:tcPr>
            <w:tcW w:w="1080" w:type="dxa"/>
            <w:tcBorders>
              <w:top w:val="nil"/>
              <w:left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1C7CDE">
        <w:trPr>
          <w:cantSplit/>
        </w:trPr>
        <w:tc>
          <w:tcPr>
            <w:tcW w:w="5774" w:type="dxa"/>
            <w:gridSpan w:val="2"/>
            <w:tcBorders>
              <w:top w:val="nil"/>
              <w:left w:val="nil"/>
              <w:bottom w:val="single" w:sz="12" w:space="0" w:color="auto"/>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 xml:space="preserve">Mansfield District Hospital </w:t>
            </w:r>
          </w:p>
        </w:tc>
        <w:tc>
          <w:tcPr>
            <w:tcW w:w="1080" w:type="dxa"/>
            <w:tcBorders>
              <w:top w:val="nil"/>
              <w:left w:val="nil"/>
              <w:bottom w:val="single" w:sz="12" w:space="0" w:color="auto"/>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single" w:sz="12"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12"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bl>
    <w:p w:rsidR="000B4A1E" w:rsidRPr="00FB7B81" w:rsidRDefault="000B4A1E" w:rsidP="00517E51">
      <w:pPr>
        <w:pStyle w:val="Heading2Notes"/>
        <w:rPr>
          <w:i/>
        </w:rPr>
      </w:pPr>
      <w:r w:rsidRPr="00D00665">
        <w:lastRenderedPageBreak/>
        <w:t>Note 41:</w:t>
      </w:r>
      <w:r w:rsidRPr="00D00665">
        <w:tab/>
        <w:t>Controlled entities</w:t>
      </w:r>
      <w:r>
        <w:t xml:space="preserve"> </w:t>
      </w:r>
      <w:r>
        <w:rPr>
          <w:i/>
        </w:rPr>
        <w:t>(continued)</w:t>
      </w:r>
    </w:p>
    <w:tbl>
      <w:tblPr>
        <w:tblW w:w="9644" w:type="dxa"/>
        <w:tblInd w:w="29" w:type="dxa"/>
        <w:tblLayout w:type="fixed"/>
        <w:tblCellMar>
          <w:left w:w="43" w:type="dxa"/>
          <w:right w:w="43" w:type="dxa"/>
        </w:tblCellMar>
        <w:tblLook w:val="0000" w:firstRow="0" w:lastRow="0" w:firstColumn="0" w:lastColumn="0" w:noHBand="0" w:noVBand="0"/>
      </w:tblPr>
      <w:tblGrid>
        <w:gridCol w:w="5684"/>
        <w:gridCol w:w="90"/>
        <w:gridCol w:w="1080"/>
        <w:gridCol w:w="1440"/>
        <w:gridCol w:w="1350"/>
      </w:tblGrid>
      <w:tr w:rsidR="000B4A1E" w:rsidRPr="00FB7B81" w:rsidTr="00517E51">
        <w:trPr>
          <w:cantSplit/>
          <w:tblHeader/>
        </w:trPr>
        <w:tc>
          <w:tcPr>
            <w:tcW w:w="568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p>
        </w:tc>
        <w:tc>
          <w:tcPr>
            <w:tcW w:w="1170" w:type="dxa"/>
            <w:gridSpan w:val="2"/>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p>
        </w:tc>
        <w:tc>
          <w:tcPr>
            <w:tcW w:w="2790" w:type="dxa"/>
            <w:gridSpan w:val="2"/>
            <w:tcBorders>
              <w:top w:val="nil"/>
              <w:left w:val="nil"/>
              <w:bottom w:val="single" w:sz="6" w:space="0" w:color="auto"/>
              <w:right w:val="single" w:sz="6" w:space="0" w:color="auto"/>
            </w:tcBorders>
            <w:shd w:val="clear" w:color="auto" w:fill="000000"/>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Entities included as investments in other sectors</w:t>
            </w:r>
          </w:p>
        </w:tc>
      </w:tr>
      <w:tr w:rsidR="000B4A1E" w:rsidRPr="00FB7B81" w:rsidTr="00517E51">
        <w:trPr>
          <w:cantSplit/>
          <w:tblHeader/>
        </w:trPr>
        <w:tc>
          <w:tcPr>
            <w:tcW w:w="568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r w:rsidRPr="00FB7B81">
              <w:rPr>
                <w:sz w:val="21"/>
                <w:szCs w:val="24"/>
                <w:lang w:eastAsia="en-AU"/>
              </w:rPr>
              <w:t>Controlled entities</w:t>
            </w:r>
          </w:p>
        </w:tc>
        <w:tc>
          <w:tcPr>
            <w:tcW w:w="1170" w:type="dxa"/>
            <w:gridSpan w:val="2"/>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General government</w:t>
            </w:r>
          </w:p>
        </w:tc>
        <w:tc>
          <w:tcPr>
            <w:tcW w:w="1440" w:type="dxa"/>
            <w:tcBorders>
              <w:top w:val="nil"/>
              <w:left w:val="nil"/>
              <w:bottom w:val="single" w:sz="6" w:space="0" w:color="auto"/>
              <w:right w:val="nil"/>
            </w:tcBorders>
            <w:shd w:val="clear" w:color="auto" w:fill="000000"/>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Public non</w:t>
            </w:r>
            <w:r w:rsidRPr="00FB7B81">
              <w:rPr>
                <w:i w:val="0"/>
                <w:sz w:val="21"/>
                <w:szCs w:val="24"/>
                <w:lang w:eastAsia="en-AU"/>
              </w:rPr>
              <w:noBreakHyphen/>
            </w:r>
            <w:r w:rsidRPr="00FB7B81">
              <w:rPr>
                <w:sz w:val="21"/>
                <w:szCs w:val="24"/>
                <w:lang w:eastAsia="en-AU"/>
              </w:rPr>
              <w:t>financial corporation</w:t>
            </w:r>
          </w:p>
        </w:tc>
        <w:tc>
          <w:tcPr>
            <w:tcW w:w="1350" w:type="dxa"/>
            <w:tcBorders>
              <w:top w:val="nil"/>
              <w:left w:val="nil"/>
              <w:bottom w:val="single" w:sz="6" w:space="0" w:color="auto"/>
              <w:right w:val="single" w:sz="6" w:space="0" w:color="auto"/>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Public financial corporation</w:t>
            </w: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Maryborough District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Melbourne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Moyne Health Services</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 xml:space="preserve">Monash Health </w:t>
            </w:r>
            <w:r w:rsidRPr="00FB7B81">
              <w:rPr>
                <w:rFonts w:ascii="Calibri" w:hAnsi="Calibri"/>
                <w:sz w:val="21"/>
                <w:szCs w:val="24"/>
                <w:vertAlign w:val="superscript"/>
                <w:lang w:eastAsia="en-AU"/>
              </w:rPr>
              <w:t>(</w:t>
            </w:r>
            <w:r>
              <w:rPr>
                <w:rFonts w:ascii="Calibri" w:hAnsi="Calibri"/>
                <w:sz w:val="21"/>
                <w:szCs w:val="24"/>
                <w:vertAlign w:val="superscript"/>
                <w:lang w:eastAsia="en-AU"/>
              </w:rPr>
              <w:t>h</w:t>
            </w:r>
            <w:r w:rsidRPr="00FB7B81">
              <w:rPr>
                <w:rFonts w:ascii="Calibri" w:hAnsi="Calibri"/>
                <w:sz w:val="21"/>
                <w:szCs w:val="24"/>
                <w:vertAlign w:val="superscript"/>
                <w:lang w:eastAsia="en-AU"/>
              </w:rPr>
              <w:t>)</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Nathalia District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Northeast Health Wangaratta</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Northern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Numurkah District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 xml:space="preserve">Omeo District Health </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Orbost Regional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Otway Health and Community Services</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Peninsula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Peter MacCallum Cancer Institute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Portland District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Robinvale District Health Services</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Rochester and Elmore District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Rural Northwest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Seymour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South Gippsland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South West Healthcare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Stawell Regional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sz w:val="21"/>
              </w:rPr>
              <w:br w:type="page"/>
            </w:r>
            <w:r w:rsidRPr="00FB7B81">
              <w:rPr>
                <w:rFonts w:ascii="Calibri" w:hAnsi="Calibri"/>
                <w:sz w:val="21"/>
                <w:szCs w:val="24"/>
                <w:lang w:eastAsia="en-AU"/>
              </w:rPr>
              <w:tab/>
              <w:t>Swan Hill District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sz w:val="21"/>
                <w:szCs w:val="24"/>
                <w:lang w:eastAsia="en-AU"/>
              </w:rPr>
              <w:tab/>
              <w:t>Tallangatta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Terang and Mortlake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The Kilmore and District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The Royal Children’s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The Royal Victorian Eye and Ear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The Royal Women’s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Timboon and District Healthcare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Upper Murray Health and Community Services</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 xml:space="preserve">Victorian Assisted Reproductive Treatment Authority </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Victorian Institute of Forensic Mental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West Gippsland Healthcare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West Wimmera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Western District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Western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Wimmera Health Care Group</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Yarram and District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Yarrawonga Health</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Yea and District Memorial Hospital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Health Promotion Foundation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sz w:val="21"/>
                <w:szCs w:val="24"/>
                <w:lang w:eastAsia="en-AU"/>
              </w:rPr>
              <w:t>Cemeteries including:</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Ballarat General Cemeteries Trust</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Bendigo Cemeteries Trust</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vertAlign w:val="superscript"/>
                <w:lang w:eastAsia="en-AU"/>
              </w:rPr>
            </w:pPr>
            <w:r w:rsidRPr="00FB7B81">
              <w:rPr>
                <w:rFonts w:ascii="Calibri" w:hAnsi="Calibri"/>
                <w:sz w:val="21"/>
                <w:szCs w:val="24"/>
                <w:lang w:eastAsia="en-AU"/>
              </w:rPr>
              <w:tab/>
              <w:t>Greater Metropolitan Cemeteries Trust</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Southern Metropolitan Cemeteries Trust</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b/>
              <w:t>Geelong Cemeteries Trust</w:t>
            </w:r>
          </w:p>
        </w:tc>
        <w:tc>
          <w:tcPr>
            <w:tcW w:w="1080" w:type="dxa"/>
            <w:tcBorders>
              <w:top w:val="nil"/>
              <w:left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trHeight w:hRule="exact" w:val="120"/>
        </w:trPr>
        <w:tc>
          <w:tcPr>
            <w:tcW w:w="5774" w:type="dxa"/>
            <w:gridSpan w:val="2"/>
            <w:tcBorders>
              <w:top w:val="nil"/>
              <w:left w:val="nil"/>
              <w:bottom w:val="single" w:sz="6" w:space="0" w:color="auto"/>
              <w:right w:val="nil"/>
            </w:tcBorders>
          </w:tcPr>
          <w:p w:rsidR="000B4A1E" w:rsidRPr="00FB7B81" w:rsidRDefault="000B4A1E" w:rsidP="00517E51">
            <w:pPr>
              <w:spacing w:after="0"/>
              <w:ind w:left="180" w:hanging="180"/>
              <w:rPr>
                <w:rFonts w:ascii="Calibri" w:hAnsi="Calibri"/>
                <w:sz w:val="21"/>
                <w:szCs w:val="24"/>
                <w:lang w:eastAsia="en-AU"/>
              </w:rPr>
            </w:pPr>
          </w:p>
        </w:tc>
        <w:tc>
          <w:tcPr>
            <w:tcW w:w="1080" w:type="dxa"/>
            <w:tcBorders>
              <w:top w:val="nil"/>
              <w:left w:val="nil"/>
              <w:bottom w:val="single" w:sz="6" w:space="0" w:color="auto"/>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single" w:sz="6" w:space="0" w:color="auto"/>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6"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bl>
    <w:p w:rsidR="000B4A1E" w:rsidRDefault="000B4A1E"/>
    <w:p w:rsidR="000B4A1E" w:rsidRPr="00FB7B81" w:rsidRDefault="000B4A1E" w:rsidP="00517E51">
      <w:pPr>
        <w:pStyle w:val="Heading2Notes"/>
        <w:rPr>
          <w:i/>
        </w:rPr>
      </w:pPr>
      <w:r w:rsidRPr="00D00665">
        <w:lastRenderedPageBreak/>
        <w:t>Note 41:</w:t>
      </w:r>
      <w:r w:rsidRPr="00D00665">
        <w:tab/>
        <w:t>Controlled entities</w:t>
      </w:r>
      <w:r>
        <w:t xml:space="preserve"> </w:t>
      </w:r>
      <w:r>
        <w:rPr>
          <w:i/>
        </w:rPr>
        <w:t>(continued)</w:t>
      </w:r>
    </w:p>
    <w:tbl>
      <w:tblPr>
        <w:tblW w:w="9644" w:type="dxa"/>
        <w:tblInd w:w="29" w:type="dxa"/>
        <w:tblLayout w:type="fixed"/>
        <w:tblCellMar>
          <w:left w:w="43" w:type="dxa"/>
          <w:right w:w="43" w:type="dxa"/>
        </w:tblCellMar>
        <w:tblLook w:val="0000" w:firstRow="0" w:lastRow="0" w:firstColumn="0" w:lastColumn="0" w:noHBand="0" w:noVBand="0"/>
      </w:tblPr>
      <w:tblGrid>
        <w:gridCol w:w="5684"/>
        <w:gridCol w:w="90"/>
        <w:gridCol w:w="1080"/>
        <w:gridCol w:w="1440"/>
        <w:gridCol w:w="1350"/>
      </w:tblGrid>
      <w:tr w:rsidR="000B4A1E" w:rsidRPr="00FB7B81" w:rsidTr="00517E51">
        <w:trPr>
          <w:cantSplit/>
          <w:tblHeader/>
        </w:trPr>
        <w:tc>
          <w:tcPr>
            <w:tcW w:w="568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p>
        </w:tc>
        <w:tc>
          <w:tcPr>
            <w:tcW w:w="1170" w:type="dxa"/>
            <w:gridSpan w:val="2"/>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p>
        </w:tc>
        <w:tc>
          <w:tcPr>
            <w:tcW w:w="2790" w:type="dxa"/>
            <w:gridSpan w:val="2"/>
            <w:tcBorders>
              <w:top w:val="nil"/>
              <w:left w:val="nil"/>
              <w:bottom w:val="single" w:sz="6" w:space="0" w:color="auto"/>
              <w:right w:val="single" w:sz="6" w:space="0" w:color="auto"/>
            </w:tcBorders>
            <w:shd w:val="clear" w:color="auto" w:fill="000000"/>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Entities included as investments in other sectors</w:t>
            </w:r>
          </w:p>
        </w:tc>
      </w:tr>
      <w:tr w:rsidR="000B4A1E" w:rsidRPr="00FB7B81" w:rsidTr="00517E51">
        <w:trPr>
          <w:cantSplit/>
          <w:tblHeader/>
        </w:trPr>
        <w:tc>
          <w:tcPr>
            <w:tcW w:w="568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r w:rsidRPr="00FB7B81">
              <w:rPr>
                <w:sz w:val="21"/>
                <w:szCs w:val="24"/>
                <w:lang w:eastAsia="en-AU"/>
              </w:rPr>
              <w:t>Controlled entities</w:t>
            </w:r>
          </w:p>
        </w:tc>
        <w:tc>
          <w:tcPr>
            <w:tcW w:w="1170" w:type="dxa"/>
            <w:gridSpan w:val="2"/>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General government</w:t>
            </w:r>
          </w:p>
        </w:tc>
        <w:tc>
          <w:tcPr>
            <w:tcW w:w="1440" w:type="dxa"/>
            <w:tcBorders>
              <w:top w:val="nil"/>
              <w:left w:val="nil"/>
              <w:bottom w:val="single" w:sz="6" w:space="0" w:color="auto"/>
              <w:right w:val="nil"/>
            </w:tcBorders>
            <w:shd w:val="clear" w:color="auto" w:fill="000000"/>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Public non</w:t>
            </w:r>
            <w:r w:rsidRPr="00FB7B81">
              <w:rPr>
                <w:i w:val="0"/>
                <w:sz w:val="21"/>
                <w:szCs w:val="24"/>
                <w:lang w:eastAsia="en-AU"/>
              </w:rPr>
              <w:noBreakHyphen/>
            </w:r>
            <w:r w:rsidRPr="00FB7B81">
              <w:rPr>
                <w:sz w:val="21"/>
                <w:szCs w:val="24"/>
                <w:lang w:eastAsia="en-AU"/>
              </w:rPr>
              <w:t>financial corporation</w:t>
            </w:r>
          </w:p>
        </w:tc>
        <w:tc>
          <w:tcPr>
            <w:tcW w:w="1350" w:type="dxa"/>
            <w:tcBorders>
              <w:top w:val="nil"/>
              <w:left w:val="nil"/>
              <w:bottom w:val="single" w:sz="6" w:space="0" w:color="auto"/>
              <w:right w:val="single" w:sz="6" w:space="0" w:color="auto"/>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Public financial corporation</w:t>
            </w:r>
          </w:p>
        </w:tc>
      </w:tr>
      <w:tr w:rsidR="000B4A1E" w:rsidRPr="00FB7B81" w:rsidTr="00517E51">
        <w:trPr>
          <w:cantSplit/>
        </w:trPr>
        <w:tc>
          <w:tcPr>
            <w:tcW w:w="5774" w:type="dxa"/>
            <w:gridSpan w:val="2"/>
            <w:tcBorders>
              <w:top w:val="single" w:sz="2" w:space="0" w:color="auto"/>
              <w:left w:val="nil"/>
              <w:bottom w:val="nil"/>
              <w:right w:val="nil"/>
            </w:tcBorders>
          </w:tcPr>
          <w:p w:rsidR="000B4A1E" w:rsidRPr="00FB7B81" w:rsidRDefault="000B4A1E" w:rsidP="00517E51">
            <w:pPr>
              <w:spacing w:after="0"/>
              <w:ind w:left="180" w:hanging="180"/>
              <w:rPr>
                <w:rFonts w:ascii="Calibri" w:hAnsi="Calibri"/>
                <w:b/>
                <w:bCs/>
                <w:sz w:val="21"/>
                <w:szCs w:val="24"/>
                <w:lang w:eastAsia="en-AU"/>
              </w:rPr>
            </w:pPr>
            <w:r w:rsidRPr="00FB7B81">
              <w:rPr>
                <w:rFonts w:ascii="Calibri" w:hAnsi="Calibri"/>
                <w:b/>
                <w:bCs/>
                <w:sz w:val="21"/>
                <w:szCs w:val="24"/>
                <w:lang w:eastAsia="en-AU"/>
              </w:rPr>
              <w:t xml:space="preserve">Department of Human Services </w:t>
            </w:r>
          </w:p>
        </w:tc>
        <w:tc>
          <w:tcPr>
            <w:tcW w:w="1080" w:type="dxa"/>
            <w:tcBorders>
              <w:top w:val="single" w:sz="2" w:space="0" w:color="auto"/>
              <w:left w:val="nil"/>
              <w:bottom w:val="nil"/>
              <w:right w:val="nil"/>
            </w:tcBorders>
          </w:tcPr>
          <w:p w:rsidR="000B4A1E" w:rsidRPr="00FB7B81" w:rsidRDefault="000B4A1E" w:rsidP="00517E51">
            <w:pPr>
              <w:spacing w:after="0"/>
              <w:jc w:val="center"/>
              <w:rPr>
                <w:rFonts w:ascii="Calibri" w:hAnsi="Calibri"/>
                <w:bCs/>
                <w:sz w:val="21"/>
                <w:szCs w:val="24"/>
                <w:lang w:eastAsia="en-AU"/>
              </w:rPr>
            </w:pPr>
          </w:p>
        </w:tc>
        <w:tc>
          <w:tcPr>
            <w:tcW w:w="1440" w:type="dxa"/>
            <w:tcBorders>
              <w:top w:val="single" w:sz="2" w:space="0" w:color="auto"/>
              <w:left w:val="nil"/>
              <w:bottom w:val="nil"/>
              <w:right w:val="nil"/>
            </w:tcBorders>
            <w:noWrap/>
          </w:tcPr>
          <w:p w:rsidR="000B4A1E" w:rsidRPr="00FB7B81" w:rsidRDefault="000B4A1E" w:rsidP="00517E51">
            <w:pPr>
              <w:spacing w:after="0"/>
              <w:jc w:val="center"/>
              <w:rPr>
                <w:rFonts w:ascii="Calibri" w:hAnsi="Calibri"/>
                <w:b/>
                <w:bCs/>
                <w:sz w:val="21"/>
                <w:szCs w:val="24"/>
                <w:lang w:eastAsia="en-AU"/>
              </w:rPr>
            </w:pPr>
            <w:r w:rsidRPr="00FB7B81">
              <w:rPr>
                <w:rFonts w:ascii="Calibri" w:hAnsi="Calibri"/>
                <w:b/>
                <w:bCs/>
                <w:sz w:val="21"/>
                <w:szCs w:val="24"/>
                <w:lang w:eastAsia="en-AU"/>
              </w:rPr>
              <w:t> </w:t>
            </w:r>
          </w:p>
        </w:tc>
        <w:tc>
          <w:tcPr>
            <w:tcW w:w="1350" w:type="dxa"/>
            <w:tcBorders>
              <w:top w:val="single" w:sz="2"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Commission for Children and Young People</w:t>
            </w:r>
            <w:r>
              <w:rPr>
                <w:rFonts w:ascii="Calibri" w:hAnsi="Calibri"/>
                <w:sz w:val="21"/>
                <w:szCs w:val="24"/>
                <w:lang w:eastAsia="en-AU"/>
              </w:rPr>
              <w:t xml:space="preserve"> </w:t>
            </w:r>
            <w:r w:rsidRPr="00FB7B81">
              <w:rPr>
                <w:rFonts w:ascii="Calibri" w:hAnsi="Calibri"/>
                <w:sz w:val="21"/>
                <w:szCs w:val="24"/>
                <w:vertAlign w:val="superscript"/>
                <w:lang w:eastAsia="en-AU"/>
              </w:rPr>
              <w:t>(</w:t>
            </w:r>
            <w:r>
              <w:rPr>
                <w:rFonts w:ascii="Calibri" w:hAnsi="Calibri"/>
                <w:sz w:val="21"/>
                <w:szCs w:val="24"/>
                <w:vertAlign w:val="superscript"/>
                <w:lang w:eastAsia="en-AU"/>
              </w:rPr>
              <w:t>i</w:t>
            </w:r>
            <w:r w:rsidRPr="00FB7B81">
              <w:rPr>
                <w:rFonts w:ascii="Calibri" w:hAnsi="Calibri"/>
                <w:sz w:val="21"/>
                <w:szCs w:val="24"/>
                <w:vertAlign w:val="superscript"/>
                <w:lang w:eastAsia="en-AU"/>
              </w:rPr>
              <w:t>)</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The Queen Elizabeth Centre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Tweddle Child and Family Health Service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Director of Housing (PNFC)</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Queen Victoria Women’s Centre Trust </w:t>
            </w:r>
          </w:p>
        </w:tc>
        <w:tc>
          <w:tcPr>
            <w:tcW w:w="1080" w:type="dxa"/>
            <w:tcBorders>
              <w:top w:val="nil"/>
              <w:left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Height w:hRule="exact" w:val="159"/>
        </w:trPr>
        <w:tc>
          <w:tcPr>
            <w:tcW w:w="5774" w:type="dxa"/>
            <w:gridSpan w:val="2"/>
            <w:tcBorders>
              <w:top w:val="nil"/>
              <w:left w:val="nil"/>
              <w:bottom w:val="single" w:sz="6" w:space="0" w:color="auto"/>
              <w:right w:val="nil"/>
            </w:tcBorders>
          </w:tcPr>
          <w:p w:rsidR="000B4A1E" w:rsidRPr="00FB7B81" w:rsidRDefault="000B4A1E" w:rsidP="00517E51">
            <w:pPr>
              <w:spacing w:after="0"/>
              <w:ind w:left="180" w:hanging="180"/>
              <w:rPr>
                <w:rFonts w:ascii="Calibri" w:hAnsi="Calibri"/>
                <w:sz w:val="21"/>
                <w:szCs w:val="24"/>
              </w:rPr>
            </w:pPr>
          </w:p>
        </w:tc>
        <w:tc>
          <w:tcPr>
            <w:tcW w:w="1080" w:type="dxa"/>
            <w:tcBorders>
              <w:top w:val="nil"/>
              <w:left w:val="nil"/>
              <w:bottom w:val="single" w:sz="6" w:space="0" w:color="auto"/>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single" w:sz="6"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6"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single" w:sz="6" w:space="0" w:color="auto"/>
              <w:left w:val="nil"/>
              <w:bottom w:val="nil"/>
              <w:right w:val="nil"/>
            </w:tcBorders>
          </w:tcPr>
          <w:p w:rsidR="000B4A1E" w:rsidRPr="00FB7B81" w:rsidRDefault="000B4A1E" w:rsidP="00517E51">
            <w:pPr>
              <w:spacing w:after="0"/>
              <w:ind w:left="180" w:hanging="180"/>
              <w:rPr>
                <w:rFonts w:ascii="Calibri" w:hAnsi="Calibri"/>
                <w:b/>
                <w:bCs/>
                <w:sz w:val="21"/>
                <w:szCs w:val="24"/>
                <w:lang w:eastAsia="en-AU"/>
              </w:rPr>
            </w:pPr>
            <w:r w:rsidRPr="00FB7B81">
              <w:rPr>
                <w:rFonts w:ascii="Calibri" w:hAnsi="Calibri"/>
                <w:sz w:val="21"/>
                <w:szCs w:val="24"/>
              </w:rPr>
              <w:br w:type="page"/>
            </w:r>
            <w:r w:rsidRPr="00FB7B81">
              <w:rPr>
                <w:rFonts w:ascii="Calibri" w:hAnsi="Calibri"/>
                <w:b/>
                <w:bCs/>
                <w:sz w:val="21"/>
                <w:szCs w:val="24"/>
                <w:lang w:eastAsia="en-AU"/>
              </w:rPr>
              <w:t xml:space="preserve">Department of Justice </w:t>
            </w:r>
          </w:p>
        </w:tc>
        <w:tc>
          <w:tcPr>
            <w:tcW w:w="1080" w:type="dxa"/>
            <w:tcBorders>
              <w:top w:val="single" w:sz="6" w:space="0" w:color="auto"/>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 </w:t>
            </w:r>
          </w:p>
        </w:tc>
        <w:tc>
          <w:tcPr>
            <w:tcW w:w="135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Country Fire Authority</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Emergency Services Telecommunications Authority</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Fire Services Levy Monitor </w:t>
            </w:r>
            <w:r w:rsidRPr="00FB7B81">
              <w:rPr>
                <w:rFonts w:ascii="Calibri" w:hAnsi="Calibri"/>
                <w:sz w:val="21"/>
                <w:szCs w:val="24"/>
                <w:vertAlign w:val="superscript"/>
                <w:lang w:eastAsia="en-AU"/>
              </w:rPr>
              <w:t>(i)</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Freedom of Information Commissioner </w:t>
            </w:r>
            <w:r w:rsidRPr="00FB7B81">
              <w:rPr>
                <w:rFonts w:ascii="Calibri" w:hAnsi="Calibri"/>
                <w:sz w:val="21"/>
                <w:szCs w:val="24"/>
                <w:vertAlign w:val="superscript"/>
                <w:lang w:eastAsia="en-AU"/>
              </w:rPr>
              <w:t>(i)</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Independent Broad</w:t>
            </w:r>
            <w:r w:rsidRPr="00FB7B81">
              <w:rPr>
                <w:rFonts w:ascii="Calibri" w:hAnsi="Calibri"/>
                <w:sz w:val="21"/>
                <w:szCs w:val="24"/>
                <w:lang w:eastAsia="en-AU"/>
              </w:rPr>
              <w:noBreakHyphen/>
              <w:t>Based Anti</w:t>
            </w:r>
            <w:r w:rsidRPr="00FB7B81">
              <w:rPr>
                <w:rFonts w:ascii="Calibri" w:hAnsi="Calibri"/>
                <w:sz w:val="21"/>
                <w:szCs w:val="24"/>
                <w:lang w:eastAsia="en-AU"/>
              </w:rPr>
              <w:noBreakHyphen/>
              <w:t xml:space="preserve">Corruption Commission (IBAC) </w:t>
            </w:r>
            <w:r w:rsidRPr="00FB7B81">
              <w:rPr>
                <w:rFonts w:ascii="Calibri" w:hAnsi="Calibri"/>
                <w:sz w:val="21"/>
                <w:szCs w:val="24"/>
                <w:vertAlign w:val="superscript"/>
                <w:lang w:eastAsia="en-AU"/>
              </w:rPr>
              <w:t>(i)</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Judicial College of Victoria</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Legal Services Board</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sz w:val="21"/>
              </w:rPr>
              <w:br w:type="page"/>
            </w:r>
            <w:r w:rsidRPr="00FB7B81">
              <w:rPr>
                <w:rFonts w:ascii="Calibri" w:hAnsi="Calibri"/>
                <w:sz w:val="21"/>
                <w:szCs w:val="24"/>
                <w:lang w:eastAsia="en-AU"/>
              </w:rPr>
              <w:t>Legal Services Commissioner</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Metropolitan Fire and Emergency Services Board</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Office of Police Integrity</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Office of Public Prosecutions</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Office of the Victorian Privacy Commissioner</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Sentencing Advisory Council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 Legal Aid</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51" w:hanging="151"/>
              <w:rPr>
                <w:rFonts w:ascii="Calibri" w:hAnsi="Calibri"/>
                <w:sz w:val="21"/>
                <w:szCs w:val="24"/>
                <w:lang w:eastAsia="en-AU"/>
              </w:rPr>
            </w:pPr>
            <w:r w:rsidRPr="00FB7B81">
              <w:rPr>
                <w:rFonts w:ascii="Calibri" w:hAnsi="Calibri"/>
                <w:sz w:val="21"/>
                <w:szCs w:val="24"/>
                <w:lang w:eastAsia="en-AU"/>
              </w:rPr>
              <w:t>Victoria Police (Office of the Chief Commissioner of Police)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 State Emergency Service Authority</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Commission for Gambling and Liquor Regulation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Electoral Commission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Equal Opportunity and Human Rights Commission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Victorian Inspectorate </w:t>
            </w:r>
            <w:r w:rsidRPr="00FB7B81">
              <w:rPr>
                <w:rFonts w:ascii="Calibri" w:hAnsi="Calibri"/>
                <w:sz w:val="21"/>
                <w:szCs w:val="24"/>
                <w:vertAlign w:val="superscript"/>
                <w:lang w:eastAsia="en-AU"/>
              </w:rPr>
              <w:t>(i)</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Institute of Forensic Medicine</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Law Reform Commission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Professional Standards Council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Victorian Responsible Gambling Foundation </w:t>
            </w:r>
            <w:r w:rsidRPr="00FB7B81">
              <w:rPr>
                <w:rFonts w:ascii="Calibri" w:hAnsi="Calibri"/>
                <w:sz w:val="21"/>
                <w:szCs w:val="24"/>
                <w:vertAlign w:val="superscript"/>
                <w:lang w:eastAsia="en-AU"/>
              </w:rPr>
              <w:t>(i)</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Greyhound Racing Victoria</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Harness Racing Victoria</w:t>
            </w:r>
          </w:p>
        </w:tc>
        <w:tc>
          <w:tcPr>
            <w:tcW w:w="1080" w:type="dxa"/>
            <w:tcBorders>
              <w:top w:val="nil"/>
              <w:left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Height w:hRule="exact" w:val="159"/>
        </w:trPr>
        <w:tc>
          <w:tcPr>
            <w:tcW w:w="5774" w:type="dxa"/>
            <w:gridSpan w:val="2"/>
            <w:tcBorders>
              <w:top w:val="nil"/>
              <w:left w:val="nil"/>
              <w:bottom w:val="single" w:sz="6" w:space="0" w:color="auto"/>
              <w:right w:val="nil"/>
            </w:tcBorders>
          </w:tcPr>
          <w:p w:rsidR="000B4A1E" w:rsidRPr="00FB7B81" w:rsidRDefault="000B4A1E" w:rsidP="00517E51">
            <w:pPr>
              <w:spacing w:after="0"/>
              <w:ind w:left="180" w:hanging="180"/>
              <w:rPr>
                <w:rFonts w:ascii="Calibri" w:hAnsi="Calibri"/>
                <w:sz w:val="21"/>
                <w:szCs w:val="24"/>
                <w:lang w:eastAsia="en-AU"/>
              </w:rPr>
            </w:pPr>
          </w:p>
        </w:tc>
        <w:tc>
          <w:tcPr>
            <w:tcW w:w="1080" w:type="dxa"/>
            <w:tcBorders>
              <w:top w:val="nil"/>
              <w:left w:val="nil"/>
              <w:bottom w:val="single" w:sz="6" w:space="0" w:color="auto"/>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single" w:sz="6" w:space="0" w:color="auto"/>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6"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single" w:sz="6" w:space="0" w:color="auto"/>
              <w:left w:val="nil"/>
              <w:bottom w:val="nil"/>
              <w:right w:val="nil"/>
            </w:tcBorders>
          </w:tcPr>
          <w:p w:rsidR="000B4A1E" w:rsidRPr="00FB7B81" w:rsidRDefault="000B4A1E" w:rsidP="00517E51">
            <w:pPr>
              <w:spacing w:after="0"/>
              <w:ind w:left="187" w:hanging="187"/>
              <w:rPr>
                <w:rFonts w:ascii="Calibri" w:hAnsi="Calibri"/>
                <w:b/>
                <w:bCs/>
                <w:sz w:val="21"/>
                <w:szCs w:val="24"/>
                <w:lang w:eastAsia="en-AU"/>
              </w:rPr>
            </w:pPr>
            <w:r w:rsidRPr="00FB7B81">
              <w:rPr>
                <w:rFonts w:ascii="Calibri" w:hAnsi="Calibri"/>
                <w:b/>
                <w:bCs/>
                <w:sz w:val="21"/>
                <w:szCs w:val="24"/>
                <w:lang w:eastAsia="en-AU"/>
              </w:rPr>
              <w:t>Department of Planning and Community Development</w:t>
            </w:r>
          </w:p>
        </w:tc>
        <w:tc>
          <w:tcPr>
            <w:tcW w:w="1080" w:type="dxa"/>
            <w:tcBorders>
              <w:top w:val="single" w:sz="6" w:space="0" w:color="auto"/>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 </w:t>
            </w:r>
          </w:p>
        </w:tc>
        <w:tc>
          <w:tcPr>
            <w:tcW w:w="135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cs="Garamond"/>
                <w:sz w:val="21"/>
                <w:szCs w:val="24"/>
              </w:rPr>
              <w:br w:type="page"/>
            </w:r>
            <w:r w:rsidRPr="00FB7B81">
              <w:rPr>
                <w:rFonts w:ascii="Calibri" w:hAnsi="Calibri"/>
                <w:sz w:val="21"/>
                <w:szCs w:val="24"/>
                <w:lang w:eastAsia="en-AU"/>
              </w:rPr>
              <w:t>Architects Registration Board of Victoria</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Building Commission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Growth Areas Authority</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Heritage Council</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Melbourne Cricket Ground Trust</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Plumbing Industry Commission</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Regional Development Victoria  </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Shrine of Remembrance Trustees</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sz w:val="21"/>
                <w:szCs w:val="24"/>
                <w:lang w:eastAsia="en-AU"/>
              </w:rPr>
              <w:t xml:space="preserve">Victorian Building Authority </w:t>
            </w:r>
            <w:r w:rsidRPr="00FB7B81">
              <w:rPr>
                <w:rFonts w:ascii="Calibri" w:hAnsi="Calibri"/>
                <w:sz w:val="21"/>
                <w:szCs w:val="24"/>
                <w:vertAlign w:val="superscript"/>
                <w:lang w:eastAsia="en-AU"/>
              </w:rPr>
              <w:t>(i)</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Victorian Aboriginal Heritage Council </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sz w:val="21"/>
                <w:szCs w:val="24"/>
                <w:lang w:eastAsia="en-AU"/>
              </w:rPr>
              <w:t>Victorian Institute of Sport Limited</w:t>
            </w:r>
          </w:p>
        </w:tc>
        <w:tc>
          <w:tcPr>
            <w:tcW w:w="108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1C7CDE">
        <w:trPr>
          <w:cantSplit/>
        </w:trPr>
        <w:tc>
          <w:tcPr>
            <w:tcW w:w="5774" w:type="dxa"/>
            <w:gridSpan w:val="2"/>
            <w:tcBorders>
              <w:top w:val="nil"/>
              <w:left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Institute of Sport Trust</w:t>
            </w:r>
          </w:p>
        </w:tc>
        <w:tc>
          <w:tcPr>
            <w:tcW w:w="1080" w:type="dxa"/>
            <w:tcBorders>
              <w:top w:val="nil"/>
              <w:left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1C7CDE">
        <w:trPr>
          <w:cantSplit/>
        </w:trPr>
        <w:tc>
          <w:tcPr>
            <w:tcW w:w="5774" w:type="dxa"/>
            <w:gridSpan w:val="2"/>
            <w:tcBorders>
              <w:top w:val="nil"/>
              <w:left w:val="nil"/>
              <w:bottom w:val="single" w:sz="12" w:space="0" w:color="auto"/>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Veterans Council</w:t>
            </w:r>
          </w:p>
        </w:tc>
        <w:tc>
          <w:tcPr>
            <w:tcW w:w="1080" w:type="dxa"/>
            <w:tcBorders>
              <w:top w:val="nil"/>
              <w:left w:val="nil"/>
              <w:bottom w:val="single" w:sz="12" w:space="0" w:color="auto"/>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single" w:sz="12"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12"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bl>
    <w:p w:rsidR="000B4A1E" w:rsidRDefault="000B4A1E"/>
    <w:p w:rsidR="000B4A1E" w:rsidRPr="00FB7B81" w:rsidRDefault="000B4A1E" w:rsidP="00517E51">
      <w:pPr>
        <w:pStyle w:val="Heading2Notes"/>
        <w:rPr>
          <w:i/>
        </w:rPr>
      </w:pPr>
      <w:r w:rsidRPr="00D00665">
        <w:lastRenderedPageBreak/>
        <w:t>Note 41:</w:t>
      </w:r>
      <w:r w:rsidRPr="00D00665">
        <w:tab/>
        <w:t>Controlled entities</w:t>
      </w:r>
      <w:r>
        <w:t xml:space="preserve"> </w:t>
      </w:r>
      <w:r>
        <w:rPr>
          <w:i/>
        </w:rPr>
        <w:t>(continued)</w:t>
      </w:r>
    </w:p>
    <w:tbl>
      <w:tblPr>
        <w:tblW w:w="9644" w:type="dxa"/>
        <w:tblInd w:w="29" w:type="dxa"/>
        <w:tblLayout w:type="fixed"/>
        <w:tblCellMar>
          <w:left w:w="43" w:type="dxa"/>
          <w:right w:w="43" w:type="dxa"/>
        </w:tblCellMar>
        <w:tblLook w:val="0000" w:firstRow="0" w:lastRow="0" w:firstColumn="0" w:lastColumn="0" w:noHBand="0" w:noVBand="0"/>
      </w:tblPr>
      <w:tblGrid>
        <w:gridCol w:w="5684"/>
        <w:gridCol w:w="90"/>
        <w:gridCol w:w="90"/>
        <w:gridCol w:w="990"/>
        <w:gridCol w:w="1440"/>
        <w:gridCol w:w="1350"/>
      </w:tblGrid>
      <w:tr w:rsidR="000B4A1E" w:rsidRPr="00FB7B81" w:rsidTr="00517E51">
        <w:trPr>
          <w:cantSplit/>
          <w:tblHeader/>
        </w:trPr>
        <w:tc>
          <w:tcPr>
            <w:tcW w:w="568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p>
        </w:tc>
        <w:tc>
          <w:tcPr>
            <w:tcW w:w="1170" w:type="dxa"/>
            <w:gridSpan w:val="3"/>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p>
        </w:tc>
        <w:tc>
          <w:tcPr>
            <w:tcW w:w="2790" w:type="dxa"/>
            <w:gridSpan w:val="2"/>
            <w:tcBorders>
              <w:top w:val="nil"/>
              <w:left w:val="nil"/>
              <w:bottom w:val="single" w:sz="6" w:space="0" w:color="auto"/>
              <w:right w:val="single" w:sz="6" w:space="0" w:color="auto"/>
            </w:tcBorders>
            <w:shd w:val="clear" w:color="auto" w:fill="000000"/>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Entities included as investments in other sectors</w:t>
            </w:r>
          </w:p>
        </w:tc>
      </w:tr>
      <w:tr w:rsidR="000B4A1E" w:rsidRPr="00FB7B81" w:rsidTr="00517E51">
        <w:trPr>
          <w:cantSplit/>
          <w:tblHeader/>
        </w:trPr>
        <w:tc>
          <w:tcPr>
            <w:tcW w:w="568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r w:rsidRPr="00FB7B81">
              <w:rPr>
                <w:sz w:val="21"/>
                <w:szCs w:val="24"/>
                <w:lang w:eastAsia="en-AU"/>
              </w:rPr>
              <w:t>Controlled entities</w:t>
            </w:r>
          </w:p>
        </w:tc>
        <w:tc>
          <w:tcPr>
            <w:tcW w:w="1170" w:type="dxa"/>
            <w:gridSpan w:val="3"/>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General government</w:t>
            </w:r>
          </w:p>
        </w:tc>
        <w:tc>
          <w:tcPr>
            <w:tcW w:w="1440" w:type="dxa"/>
            <w:tcBorders>
              <w:top w:val="nil"/>
              <w:left w:val="nil"/>
              <w:bottom w:val="single" w:sz="6" w:space="0" w:color="auto"/>
              <w:right w:val="nil"/>
            </w:tcBorders>
            <w:shd w:val="clear" w:color="auto" w:fill="000000"/>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Public non</w:t>
            </w:r>
            <w:r w:rsidRPr="00FB7B81">
              <w:rPr>
                <w:i w:val="0"/>
                <w:sz w:val="21"/>
                <w:szCs w:val="24"/>
                <w:lang w:eastAsia="en-AU"/>
              </w:rPr>
              <w:noBreakHyphen/>
            </w:r>
            <w:r w:rsidRPr="00FB7B81">
              <w:rPr>
                <w:sz w:val="21"/>
                <w:szCs w:val="24"/>
                <w:lang w:eastAsia="en-AU"/>
              </w:rPr>
              <w:t>financial corporation</w:t>
            </w:r>
          </w:p>
        </w:tc>
        <w:tc>
          <w:tcPr>
            <w:tcW w:w="1350" w:type="dxa"/>
            <w:tcBorders>
              <w:top w:val="nil"/>
              <w:left w:val="nil"/>
              <w:bottom w:val="single" w:sz="6" w:space="0" w:color="auto"/>
              <w:right w:val="single" w:sz="6" w:space="0" w:color="auto"/>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Public financial corporation</w:t>
            </w: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Melbourne and Olympic Parks Trust</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State Sport Centres Trust</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sz w:val="21"/>
                <w:szCs w:val="24"/>
                <w:lang w:eastAsia="en-AU"/>
              </w:rPr>
              <w:t>Urban Renewal Authority Victoria (Places Victoria)</w:t>
            </w:r>
          </w:p>
        </w:tc>
        <w:tc>
          <w:tcPr>
            <w:tcW w:w="1080" w:type="dxa"/>
            <w:gridSpan w:val="2"/>
            <w:tcBorders>
              <w:top w:val="nil"/>
              <w:left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trHeight w:hRule="exact" w:val="120"/>
        </w:trPr>
        <w:tc>
          <w:tcPr>
            <w:tcW w:w="5774" w:type="dxa"/>
            <w:gridSpan w:val="2"/>
            <w:tcBorders>
              <w:top w:val="nil"/>
              <w:left w:val="nil"/>
              <w:bottom w:val="single" w:sz="6" w:space="0" w:color="auto"/>
              <w:right w:val="nil"/>
            </w:tcBorders>
          </w:tcPr>
          <w:p w:rsidR="000B4A1E" w:rsidRPr="00FB7B81" w:rsidRDefault="000B4A1E" w:rsidP="00517E51">
            <w:pPr>
              <w:spacing w:after="0"/>
              <w:ind w:left="187" w:hanging="187"/>
              <w:rPr>
                <w:rFonts w:ascii="Calibri" w:hAnsi="Calibri"/>
                <w:sz w:val="21"/>
                <w:szCs w:val="24"/>
                <w:lang w:eastAsia="en-AU"/>
              </w:rPr>
            </w:pPr>
          </w:p>
        </w:tc>
        <w:tc>
          <w:tcPr>
            <w:tcW w:w="1080" w:type="dxa"/>
            <w:gridSpan w:val="2"/>
            <w:tcBorders>
              <w:top w:val="nil"/>
              <w:left w:val="nil"/>
              <w:bottom w:val="single" w:sz="6" w:space="0" w:color="auto"/>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single" w:sz="6" w:space="0" w:color="auto"/>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6"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single" w:sz="6" w:space="0" w:color="auto"/>
              <w:left w:val="nil"/>
              <w:bottom w:val="nil"/>
              <w:right w:val="nil"/>
            </w:tcBorders>
          </w:tcPr>
          <w:p w:rsidR="000B4A1E" w:rsidRPr="00FB7B81" w:rsidRDefault="000B4A1E" w:rsidP="00517E51">
            <w:pPr>
              <w:spacing w:after="0"/>
              <w:ind w:left="180" w:hanging="180"/>
              <w:rPr>
                <w:rFonts w:ascii="Calibri" w:hAnsi="Calibri"/>
                <w:b/>
                <w:bCs/>
                <w:sz w:val="21"/>
                <w:szCs w:val="24"/>
                <w:lang w:eastAsia="en-AU"/>
              </w:rPr>
            </w:pPr>
            <w:r w:rsidRPr="00FB7B81">
              <w:rPr>
                <w:rFonts w:ascii="Calibri" w:hAnsi="Calibri"/>
                <w:b/>
                <w:bCs/>
                <w:sz w:val="21"/>
                <w:szCs w:val="24"/>
                <w:lang w:eastAsia="en-AU"/>
              </w:rPr>
              <w:t>Department of Premier and Cabinet</w:t>
            </w:r>
          </w:p>
        </w:tc>
        <w:tc>
          <w:tcPr>
            <w:tcW w:w="1080" w:type="dxa"/>
            <w:gridSpan w:val="2"/>
            <w:tcBorders>
              <w:top w:val="single" w:sz="6" w:space="0" w:color="auto"/>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 </w:t>
            </w:r>
          </w:p>
        </w:tc>
        <w:tc>
          <w:tcPr>
            <w:tcW w:w="135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Australian Centre for the Moving Image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Library Board of Victoria</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sz w:val="21"/>
              </w:rPr>
              <w:br w:type="page"/>
            </w:r>
            <w:r w:rsidRPr="00FB7B81">
              <w:rPr>
                <w:rFonts w:ascii="Calibri" w:hAnsi="Calibri"/>
                <w:sz w:val="21"/>
                <w:szCs w:val="24"/>
                <w:lang w:eastAsia="en-AU"/>
              </w:rPr>
              <w:t>Melbourne Recital Centre Limited</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Museums Board of Victoria</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National Gallery of Victoria, Council of Trustees</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sz w:val="21"/>
                <w:szCs w:val="24"/>
                <w:lang w:eastAsia="en-AU"/>
              </w:rPr>
              <w:t xml:space="preserve">Ombudsman Victoria </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State Services Authority</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Victorian Multicultural Commission </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Geelong Performing Arts Centre Trust</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Arts Centre Trust</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VITS Languagelink </w:t>
            </w:r>
          </w:p>
        </w:tc>
        <w:tc>
          <w:tcPr>
            <w:tcW w:w="1080" w:type="dxa"/>
            <w:gridSpan w:val="2"/>
            <w:tcBorders>
              <w:top w:val="nil"/>
              <w:left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trHeight w:hRule="exact" w:val="120"/>
        </w:trPr>
        <w:tc>
          <w:tcPr>
            <w:tcW w:w="5774" w:type="dxa"/>
            <w:gridSpan w:val="2"/>
            <w:tcBorders>
              <w:top w:val="nil"/>
              <w:left w:val="nil"/>
              <w:bottom w:val="single" w:sz="6" w:space="0" w:color="auto"/>
              <w:right w:val="nil"/>
            </w:tcBorders>
          </w:tcPr>
          <w:p w:rsidR="000B4A1E" w:rsidRPr="00FB7B81" w:rsidRDefault="000B4A1E" w:rsidP="00517E51">
            <w:pPr>
              <w:spacing w:after="0"/>
              <w:ind w:left="180" w:hanging="180"/>
              <w:rPr>
                <w:rFonts w:ascii="Calibri" w:hAnsi="Calibri"/>
                <w:sz w:val="21"/>
                <w:szCs w:val="24"/>
                <w:lang w:eastAsia="en-AU"/>
              </w:rPr>
            </w:pPr>
          </w:p>
        </w:tc>
        <w:tc>
          <w:tcPr>
            <w:tcW w:w="1080" w:type="dxa"/>
            <w:gridSpan w:val="2"/>
            <w:tcBorders>
              <w:top w:val="nil"/>
              <w:left w:val="nil"/>
              <w:bottom w:val="single" w:sz="6" w:space="0" w:color="auto"/>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single" w:sz="6" w:space="0" w:color="auto"/>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6"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single" w:sz="6" w:space="0" w:color="auto"/>
              <w:left w:val="nil"/>
              <w:bottom w:val="nil"/>
              <w:right w:val="nil"/>
            </w:tcBorders>
          </w:tcPr>
          <w:p w:rsidR="000B4A1E" w:rsidRPr="00FB7B81" w:rsidRDefault="000B4A1E" w:rsidP="00517E51">
            <w:pPr>
              <w:spacing w:after="0"/>
              <w:ind w:left="187" w:hanging="187"/>
              <w:rPr>
                <w:rFonts w:ascii="Calibri" w:hAnsi="Calibri"/>
                <w:b/>
                <w:bCs/>
                <w:sz w:val="21"/>
                <w:szCs w:val="24"/>
                <w:lang w:eastAsia="en-AU"/>
              </w:rPr>
            </w:pPr>
            <w:r w:rsidRPr="00FB7B81">
              <w:rPr>
                <w:rFonts w:ascii="Calibri" w:hAnsi="Calibri"/>
                <w:b/>
                <w:bCs/>
                <w:sz w:val="21"/>
                <w:szCs w:val="24"/>
                <w:lang w:eastAsia="en-AU"/>
              </w:rPr>
              <w:t xml:space="preserve">Department of Primary Industries </w:t>
            </w:r>
          </w:p>
        </w:tc>
        <w:tc>
          <w:tcPr>
            <w:tcW w:w="1080" w:type="dxa"/>
            <w:gridSpan w:val="2"/>
            <w:tcBorders>
              <w:top w:val="single" w:sz="6" w:space="0" w:color="auto"/>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 </w:t>
            </w:r>
          </w:p>
        </w:tc>
        <w:tc>
          <w:tcPr>
            <w:tcW w:w="135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Energy Safe Victoria</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Veterinary Practitioners Registration Board of Victoria</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Agriculture Victoria Services Pty Ltd</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Dairy Food Safety Victoria</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Murray Valley Citrus Board </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Murray Valley Wine Grape Industry Development Committee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Northern Victorian Fresh Tomato Industry Development Committee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Phytogene Pty Ltd</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PrimeSafe</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right w:val="nil"/>
            </w:tcBorders>
          </w:tcPr>
          <w:p w:rsidR="000B4A1E" w:rsidRPr="00FB7B81" w:rsidRDefault="000B4A1E" w:rsidP="00517E51">
            <w:pPr>
              <w:spacing w:after="0"/>
              <w:ind w:left="180" w:hanging="180"/>
              <w:rPr>
                <w:rFonts w:ascii="Calibri" w:hAnsi="Calibri" w:cs="Garamond"/>
                <w:sz w:val="21"/>
                <w:szCs w:val="24"/>
              </w:rPr>
            </w:pPr>
            <w:r w:rsidRPr="00FB7B81">
              <w:rPr>
                <w:rFonts w:ascii="Calibri" w:hAnsi="Calibri" w:cs="Garamond"/>
                <w:sz w:val="21"/>
                <w:szCs w:val="24"/>
              </w:rPr>
              <w:t xml:space="preserve">VicForests </w:t>
            </w:r>
          </w:p>
        </w:tc>
        <w:tc>
          <w:tcPr>
            <w:tcW w:w="1080" w:type="dxa"/>
            <w:gridSpan w:val="2"/>
            <w:tcBorders>
              <w:top w:val="nil"/>
              <w:left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cs="Garamond"/>
                <w:sz w:val="21"/>
                <w:szCs w:val="24"/>
              </w:rPr>
              <w:br w:type="page"/>
            </w:r>
            <w:r w:rsidRPr="00FB7B81">
              <w:rPr>
                <w:rFonts w:ascii="Calibri" w:hAnsi="Calibri"/>
                <w:sz w:val="21"/>
                <w:szCs w:val="24"/>
                <w:lang w:eastAsia="en-AU"/>
              </w:rPr>
              <w:t>Victorian Strawberry Industry Development Committee</w:t>
            </w:r>
          </w:p>
        </w:tc>
        <w:tc>
          <w:tcPr>
            <w:tcW w:w="1080" w:type="dxa"/>
            <w:gridSpan w:val="2"/>
            <w:tcBorders>
              <w:top w:val="nil"/>
              <w:left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trHeight w:hRule="exact" w:val="120"/>
        </w:trPr>
        <w:tc>
          <w:tcPr>
            <w:tcW w:w="5774" w:type="dxa"/>
            <w:gridSpan w:val="2"/>
            <w:tcBorders>
              <w:top w:val="nil"/>
              <w:left w:val="nil"/>
              <w:bottom w:val="single" w:sz="6" w:space="0" w:color="auto"/>
              <w:right w:val="nil"/>
            </w:tcBorders>
          </w:tcPr>
          <w:p w:rsidR="000B4A1E" w:rsidRPr="00FB7B81" w:rsidRDefault="000B4A1E" w:rsidP="00517E51">
            <w:pPr>
              <w:spacing w:after="0"/>
              <w:ind w:left="180" w:hanging="180"/>
              <w:rPr>
                <w:rFonts w:ascii="Calibri" w:hAnsi="Calibri"/>
                <w:sz w:val="21"/>
                <w:szCs w:val="24"/>
                <w:lang w:eastAsia="en-AU"/>
              </w:rPr>
            </w:pPr>
          </w:p>
        </w:tc>
        <w:tc>
          <w:tcPr>
            <w:tcW w:w="1080" w:type="dxa"/>
            <w:gridSpan w:val="2"/>
            <w:tcBorders>
              <w:top w:val="nil"/>
              <w:left w:val="nil"/>
              <w:bottom w:val="single" w:sz="6" w:space="0" w:color="auto"/>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single" w:sz="6"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6"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single" w:sz="6" w:space="0" w:color="auto"/>
              <w:bottom w:val="nil"/>
              <w:right w:val="nil"/>
            </w:tcBorders>
            <w:vAlign w:val="bottom"/>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b/>
                <w:sz w:val="21"/>
                <w:szCs w:val="18"/>
                <w:lang w:eastAsia="en-AU"/>
              </w:rPr>
              <w:t xml:space="preserve">Department of State Development, Business and Innovation </w:t>
            </w:r>
            <w:r w:rsidRPr="00FB7B81">
              <w:rPr>
                <w:rFonts w:ascii="Calibri" w:hAnsi="Calibri"/>
                <w:b/>
                <w:sz w:val="21"/>
                <w:szCs w:val="18"/>
                <w:vertAlign w:val="superscript"/>
                <w:lang w:eastAsia="en-AU"/>
              </w:rPr>
              <w:t>(d)</w:t>
            </w:r>
          </w:p>
        </w:tc>
        <w:tc>
          <w:tcPr>
            <w:tcW w:w="1080" w:type="dxa"/>
            <w:gridSpan w:val="2"/>
            <w:tcBorders>
              <w:top w:val="single" w:sz="6" w:space="0" w:color="auto"/>
              <w:left w:val="nil"/>
              <w:bottom w:val="nil"/>
              <w:right w:val="nil"/>
            </w:tcBorders>
            <w:vAlign w:val="bottom"/>
          </w:tcPr>
          <w:p w:rsidR="000B4A1E" w:rsidRPr="00FB7B81" w:rsidRDefault="000B4A1E" w:rsidP="00517E51">
            <w:pPr>
              <w:spacing w:after="0"/>
              <w:jc w:val="center"/>
              <w:rPr>
                <w:rFonts w:ascii="Calibri" w:hAnsi="Calibri"/>
                <w:sz w:val="21"/>
                <w:szCs w:val="24"/>
                <w:lang w:eastAsia="en-AU"/>
              </w:rPr>
            </w:pPr>
          </w:p>
        </w:tc>
        <w:tc>
          <w:tcPr>
            <w:tcW w:w="1440" w:type="dxa"/>
            <w:tcBorders>
              <w:top w:val="single" w:sz="6" w:space="0" w:color="auto"/>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single" w:sz="6" w:space="0" w:color="auto"/>
              <w:left w:val="nil"/>
              <w:bottom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18"/>
                <w:lang w:eastAsia="en-AU"/>
              </w:rPr>
              <w:t xml:space="preserve">Australian </w:t>
            </w:r>
            <w:r w:rsidRPr="00FB7B81">
              <w:rPr>
                <w:rFonts w:ascii="Calibri" w:hAnsi="Calibri"/>
                <w:sz w:val="21"/>
                <w:szCs w:val="18"/>
              </w:rPr>
              <w:t>Synchrotron</w:t>
            </w:r>
            <w:r w:rsidRPr="00FB7B81">
              <w:rPr>
                <w:rFonts w:ascii="Calibri" w:hAnsi="Calibri"/>
                <w:sz w:val="21"/>
                <w:szCs w:val="18"/>
                <w:lang w:eastAsia="en-AU"/>
              </w:rPr>
              <w:t xml:space="preserve"> Holding Company </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bCs/>
                <w:sz w:val="21"/>
                <w:szCs w:val="18"/>
                <w:lang w:eastAsia="en-AU"/>
              </w:rPr>
              <w:t>Docklands Studios Melbourne Pty Ltd</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bCs/>
                <w:sz w:val="21"/>
                <w:szCs w:val="18"/>
                <w:lang w:eastAsia="en-AU"/>
              </w:rPr>
              <w:t>Film Victoria</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bCs/>
                <w:sz w:val="21"/>
                <w:szCs w:val="18"/>
                <w:lang w:eastAsia="en-AU"/>
              </w:rPr>
              <w:t>Major Projects Victoria</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bCs/>
                <w:sz w:val="21"/>
                <w:szCs w:val="18"/>
                <w:lang w:eastAsia="en-AU"/>
              </w:rPr>
              <w:t>Tourism Victoria</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bCs/>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bCs/>
                <w:sz w:val="21"/>
                <w:szCs w:val="18"/>
                <w:lang w:eastAsia="en-AU"/>
              </w:rPr>
              <w:t>Australian Grand Prix Corporation</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bCs/>
                <w:sz w:val="21"/>
                <w:szCs w:val="18"/>
                <w:lang w:eastAsia="en-AU"/>
              </w:rPr>
              <w:t>Emerald Tourist Railway Board</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18"/>
                <w:lang w:eastAsia="en-AU"/>
              </w:rPr>
              <w:t>*</w:t>
            </w:r>
          </w:p>
        </w:tc>
        <w:tc>
          <w:tcPr>
            <w:tcW w:w="1350" w:type="dxa"/>
            <w:tcBorders>
              <w:top w:val="nil"/>
              <w:left w:val="nil"/>
              <w:bottom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bCs/>
                <w:sz w:val="21"/>
                <w:szCs w:val="18"/>
                <w:lang w:eastAsia="en-AU"/>
              </w:rPr>
              <w:t>Fed Square Pty Ltd</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18"/>
                <w:lang w:eastAsia="en-AU"/>
              </w:rPr>
              <w:t>*</w:t>
            </w:r>
          </w:p>
        </w:tc>
        <w:tc>
          <w:tcPr>
            <w:tcW w:w="1350" w:type="dxa"/>
            <w:tcBorders>
              <w:top w:val="nil"/>
              <w:left w:val="nil"/>
              <w:bottom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bCs/>
                <w:sz w:val="21"/>
                <w:szCs w:val="18"/>
                <w:lang w:eastAsia="en-AU"/>
              </w:rPr>
              <w:t>Melbourne Convention and Exhibition Trust</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18"/>
                <w:lang w:eastAsia="en-AU"/>
              </w:rPr>
              <w:t>*</w:t>
            </w:r>
          </w:p>
        </w:tc>
        <w:tc>
          <w:tcPr>
            <w:tcW w:w="1350" w:type="dxa"/>
            <w:tcBorders>
              <w:top w:val="nil"/>
              <w:left w:val="nil"/>
              <w:bottom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bCs/>
                <w:sz w:val="21"/>
                <w:szCs w:val="18"/>
                <w:lang w:eastAsia="en-AU"/>
              </w:rPr>
              <w:t xml:space="preserve">Melbourne Market Authority </w:t>
            </w:r>
          </w:p>
        </w:tc>
        <w:tc>
          <w:tcPr>
            <w:tcW w:w="1080" w:type="dxa"/>
            <w:gridSpan w:val="2"/>
            <w:tcBorders>
              <w:top w:val="nil"/>
              <w:left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18"/>
                <w:lang w:eastAsia="en-AU"/>
              </w:rPr>
              <w:t>*</w:t>
            </w:r>
          </w:p>
        </w:tc>
        <w:tc>
          <w:tcPr>
            <w:tcW w:w="1350" w:type="dxa"/>
            <w:tcBorders>
              <w:top w:val="nil"/>
              <w:lef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bCs/>
                <w:sz w:val="21"/>
                <w:szCs w:val="18"/>
                <w:lang w:eastAsia="en-AU"/>
              </w:rPr>
              <w:t>Victorian Major Events Company Limited</w:t>
            </w:r>
          </w:p>
        </w:tc>
        <w:tc>
          <w:tcPr>
            <w:tcW w:w="1080" w:type="dxa"/>
            <w:gridSpan w:val="2"/>
            <w:tcBorders>
              <w:top w:val="nil"/>
              <w:left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18"/>
                <w:lang w:eastAsia="en-AU"/>
              </w:rPr>
              <w:t>*</w:t>
            </w:r>
          </w:p>
        </w:tc>
        <w:tc>
          <w:tcPr>
            <w:tcW w:w="1350" w:type="dxa"/>
            <w:tcBorders>
              <w:top w:val="nil"/>
              <w:left w:val="nil"/>
            </w:tcBorders>
            <w:noWrap/>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trHeight w:hRule="exact" w:val="120"/>
        </w:trPr>
        <w:tc>
          <w:tcPr>
            <w:tcW w:w="5774" w:type="dxa"/>
            <w:gridSpan w:val="2"/>
            <w:tcBorders>
              <w:top w:val="nil"/>
              <w:left w:val="nil"/>
              <w:bottom w:val="single" w:sz="6" w:space="0" w:color="auto"/>
              <w:right w:val="nil"/>
            </w:tcBorders>
          </w:tcPr>
          <w:p w:rsidR="000B4A1E" w:rsidRPr="00FB7B81" w:rsidRDefault="000B4A1E" w:rsidP="00517E51">
            <w:pPr>
              <w:spacing w:after="0"/>
              <w:ind w:left="180" w:hanging="180"/>
              <w:rPr>
                <w:rFonts w:ascii="Calibri" w:hAnsi="Calibri"/>
                <w:sz w:val="21"/>
                <w:szCs w:val="24"/>
                <w:lang w:eastAsia="en-AU"/>
              </w:rPr>
            </w:pPr>
          </w:p>
        </w:tc>
        <w:tc>
          <w:tcPr>
            <w:tcW w:w="1080" w:type="dxa"/>
            <w:gridSpan w:val="2"/>
            <w:tcBorders>
              <w:top w:val="nil"/>
              <w:left w:val="nil"/>
              <w:bottom w:val="single" w:sz="6" w:space="0" w:color="auto"/>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single" w:sz="6"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6"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864" w:type="dxa"/>
            <w:gridSpan w:val="3"/>
            <w:tcBorders>
              <w:top w:val="single" w:sz="6" w:space="0" w:color="auto"/>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b/>
                <w:bCs/>
                <w:sz w:val="21"/>
                <w:szCs w:val="24"/>
                <w:lang w:eastAsia="en-AU"/>
              </w:rPr>
              <w:t xml:space="preserve">Department of Transport, Planning and Local Infrastructure </w:t>
            </w:r>
            <w:r>
              <w:rPr>
                <w:rFonts w:ascii="Calibri" w:hAnsi="Calibri"/>
                <w:b/>
                <w:bCs/>
                <w:sz w:val="21"/>
                <w:szCs w:val="24"/>
                <w:vertAlign w:val="superscript"/>
                <w:lang w:eastAsia="en-AU"/>
              </w:rPr>
              <w:t>(d)(j</w:t>
            </w:r>
            <w:r w:rsidRPr="00FB7B81">
              <w:rPr>
                <w:rFonts w:ascii="Calibri" w:hAnsi="Calibri"/>
                <w:b/>
                <w:bCs/>
                <w:sz w:val="21"/>
                <w:szCs w:val="24"/>
                <w:vertAlign w:val="superscript"/>
                <w:lang w:eastAsia="en-AU"/>
              </w:rPr>
              <w:t>)</w:t>
            </w:r>
          </w:p>
        </w:tc>
        <w:tc>
          <w:tcPr>
            <w:tcW w:w="990" w:type="dxa"/>
            <w:tcBorders>
              <w:top w:val="single" w:sz="6" w:space="0" w:color="auto"/>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 </w:t>
            </w:r>
          </w:p>
        </w:tc>
        <w:tc>
          <w:tcPr>
            <w:tcW w:w="135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Linking Melbourne Authority </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7" w:hanging="187"/>
              <w:rPr>
                <w:rFonts w:ascii="Calibri" w:hAnsi="Calibri"/>
                <w:sz w:val="21"/>
                <w:szCs w:val="24"/>
                <w:lang w:eastAsia="en-AU"/>
              </w:rPr>
            </w:pPr>
            <w:r w:rsidRPr="00FB7B81">
              <w:rPr>
                <w:rFonts w:ascii="Calibri" w:hAnsi="Calibri"/>
                <w:sz w:val="21"/>
                <w:szCs w:val="24"/>
                <w:lang w:eastAsia="en-AU"/>
              </w:rPr>
              <w:t>Public Transport Development Authority</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Roads Corporation</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774" w:type="dxa"/>
            <w:gridSpan w:val="2"/>
            <w:tcBorders>
              <w:top w:val="nil"/>
              <w:left w:val="nil"/>
              <w:bottom w:val="nil"/>
              <w:right w:val="nil"/>
            </w:tcBorders>
          </w:tcPr>
          <w:p w:rsidR="000B4A1E" w:rsidRPr="00FB7B81" w:rsidRDefault="000B4A1E" w:rsidP="00517E51">
            <w:pPr>
              <w:keepNext/>
              <w:spacing w:after="0"/>
              <w:ind w:left="187" w:hanging="187"/>
              <w:rPr>
                <w:rFonts w:ascii="Calibri" w:hAnsi="Calibri"/>
                <w:sz w:val="21"/>
                <w:szCs w:val="24"/>
                <w:lang w:eastAsia="en-AU"/>
              </w:rPr>
            </w:pPr>
            <w:r w:rsidRPr="00FB7B81">
              <w:rPr>
                <w:rFonts w:ascii="Calibri" w:hAnsi="Calibri"/>
                <w:sz w:val="21"/>
                <w:szCs w:val="24"/>
                <w:lang w:eastAsia="en-AU"/>
              </w:rPr>
              <w:t>Taxi Services Commission</w:t>
            </w:r>
          </w:p>
        </w:tc>
        <w:tc>
          <w:tcPr>
            <w:tcW w:w="1080" w:type="dxa"/>
            <w:gridSpan w:val="2"/>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1C7CDE">
        <w:trPr>
          <w:cantSplit/>
        </w:trPr>
        <w:tc>
          <w:tcPr>
            <w:tcW w:w="5774" w:type="dxa"/>
            <w:gridSpan w:val="2"/>
            <w:tcBorders>
              <w:top w:val="nil"/>
              <w:left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Port of Hastings Development Authority</w:t>
            </w:r>
          </w:p>
        </w:tc>
        <w:tc>
          <w:tcPr>
            <w:tcW w:w="1080" w:type="dxa"/>
            <w:gridSpan w:val="2"/>
            <w:tcBorders>
              <w:top w:val="nil"/>
              <w:left w:val="nil"/>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1C7CDE">
        <w:trPr>
          <w:cantSplit/>
        </w:trPr>
        <w:tc>
          <w:tcPr>
            <w:tcW w:w="5774" w:type="dxa"/>
            <w:gridSpan w:val="2"/>
            <w:tcBorders>
              <w:top w:val="nil"/>
              <w:left w:val="nil"/>
              <w:bottom w:val="single" w:sz="12" w:space="0" w:color="auto"/>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Port of Melbourne Corporation </w:t>
            </w:r>
          </w:p>
        </w:tc>
        <w:tc>
          <w:tcPr>
            <w:tcW w:w="1080" w:type="dxa"/>
            <w:gridSpan w:val="2"/>
            <w:tcBorders>
              <w:top w:val="nil"/>
              <w:left w:val="nil"/>
              <w:bottom w:val="single" w:sz="12" w:space="0" w:color="auto"/>
              <w:right w:val="nil"/>
            </w:tcBorders>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single" w:sz="12" w:space="0" w:color="auto"/>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single" w:sz="12"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bl>
    <w:p w:rsidR="000B4A1E" w:rsidRPr="00FB7B81" w:rsidRDefault="000B4A1E" w:rsidP="00517E51">
      <w:pPr>
        <w:pStyle w:val="Heading2Notes"/>
        <w:rPr>
          <w:i/>
        </w:rPr>
      </w:pPr>
      <w:r w:rsidRPr="00D00665">
        <w:lastRenderedPageBreak/>
        <w:t>Note 41:</w:t>
      </w:r>
      <w:r w:rsidRPr="00D00665">
        <w:tab/>
        <w:t>Controlled entities</w:t>
      </w:r>
      <w:r>
        <w:t xml:space="preserve"> </w:t>
      </w:r>
      <w:r>
        <w:rPr>
          <w:i/>
        </w:rPr>
        <w:t>(continued)</w:t>
      </w:r>
    </w:p>
    <w:tbl>
      <w:tblPr>
        <w:tblW w:w="9644" w:type="dxa"/>
        <w:tblInd w:w="29" w:type="dxa"/>
        <w:tblLayout w:type="fixed"/>
        <w:tblCellMar>
          <w:left w:w="43" w:type="dxa"/>
          <w:right w:w="43" w:type="dxa"/>
        </w:tblCellMar>
        <w:tblLook w:val="0000" w:firstRow="0" w:lastRow="0" w:firstColumn="0" w:lastColumn="0" w:noHBand="0" w:noVBand="0"/>
      </w:tblPr>
      <w:tblGrid>
        <w:gridCol w:w="5594"/>
        <w:gridCol w:w="1260"/>
        <w:gridCol w:w="1350"/>
        <w:gridCol w:w="1440"/>
      </w:tblGrid>
      <w:tr w:rsidR="000B4A1E" w:rsidRPr="00FB7B81" w:rsidTr="00517E51">
        <w:trPr>
          <w:cantSplit/>
          <w:tblHeader/>
        </w:trPr>
        <w:tc>
          <w:tcPr>
            <w:tcW w:w="559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p>
        </w:tc>
        <w:tc>
          <w:tcPr>
            <w:tcW w:w="1260" w:type="dxa"/>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p>
        </w:tc>
        <w:tc>
          <w:tcPr>
            <w:tcW w:w="2790" w:type="dxa"/>
            <w:gridSpan w:val="2"/>
            <w:tcBorders>
              <w:top w:val="nil"/>
              <w:left w:val="nil"/>
              <w:bottom w:val="single" w:sz="6" w:space="0" w:color="auto"/>
              <w:right w:val="single" w:sz="6" w:space="0" w:color="auto"/>
            </w:tcBorders>
            <w:shd w:val="clear" w:color="auto" w:fill="000000"/>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Entities included as investments in other sectors</w:t>
            </w:r>
          </w:p>
        </w:tc>
      </w:tr>
      <w:tr w:rsidR="000B4A1E" w:rsidRPr="00FB7B81" w:rsidTr="00517E51">
        <w:trPr>
          <w:cantSplit/>
          <w:tblHeader/>
        </w:trPr>
        <w:tc>
          <w:tcPr>
            <w:tcW w:w="5594" w:type="dxa"/>
            <w:tcBorders>
              <w:top w:val="nil"/>
              <w:left w:val="single" w:sz="6" w:space="0" w:color="auto"/>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jc w:val="left"/>
              <w:rPr>
                <w:sz w:val="21"/>
                <w:szCs w:val="24"/>
                <w:lang w:eastAsia="en-AU"/>
              </w:rPr>
            </w:pPr>
            <w:r w:rsidRPr="00FB7B81">
              <w:rPr>
                <w:sz w:val="21"/>
                <w:szCs w:val="24"/>
                <w:lang w:eastAsia="en-AU"/>
              </w:rPr>
              <w:t>Controlled entities</w:t>
            </w:r>
          </w:p>
        </w:tc>
        <w:tc>
          <w:tcPr>
            <w:tcW w:w="1260" w:type="dxa"/>
            <w:tcBorders>
              <w:top w:val="nil"/>
              <w:left w:val="nil"/>
              <w:bottom w:val="single" w:sz="6" w:space="0" w:color="auto"/>
              <w:right w:val="nil"/>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General government</w:t>
            </w:r>
          </w:p>
        </w:tc>
        <w:tc>
          <w:tcPr>
            <w:tcW w:w="1350" w:type="dxa"/>
            <w:tcBorders>
              <w:top w:val="nil"/>
              <w:left w:val="nil"/>
              <w:bottom w:val="single" w:sz="6" w:space="0" w:color="auto"/>
              <w:right w:val="nil"/>
            </w:tcBorders>
            <w:shd w:val="clear" w:color="auto" w:fill="000000"/>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Public non</w:t>
            </w:r>
            <w:r w:rsidRPr="00FB7B81">
              <w:rPr>
                <w:i w:val="0"/>
                <w:sz w:val="21"/>
                <w:szCs w:val="24"/>
                <w:lang w:eastAsia="en-AU"/>
              </w:rPr>
              <w:noBreakHyphen/>
            </w:r>
            <w:r w:rsidRPr="00FB7B81">
              <w:rPr>
                <w:sz w:val="21"/>
                <w:szCs w:val="24"/>
                <w:lang w:eastAsia="en-AU"/>
              </w:rPr>
              <w:t>financial corporation</w:t>
            </w:r>
          </w:p>
        </w:tc>
        <w:tc>
          <w:tcPr>
            <w:tcW w:w="1440" w:type="dxa"/>
            <w:tcBorders>
              <w:top w:val="nil"/>
              <w:left w:val="nil"/>
              <w:bottom w:val="single" w:sz="6" w:space="0" w:color="auto"/>
              <w:right w:val="single" w:sz="6" w:space="0" w:color="auto"/>
            </w:tcBorders>
            <w:shd w:val="clear" w:color="auto" w:fill="000000"/>
            <w:vAlign w:val="bottom"/>
          </w:tcPr>
          <w:p w:rsidR="000B4A1E" w:rsidRPr="00FB7B81" w:rsidRDefault="000B4A1E" w:rsidP="00517E51">
            <w:pPr>
              <w:pStyle w:val="TabletextheadingCentred"/>
              <w:numPr>
                <w:ilvl w:val="1"/>
                <w:numId w:val="0"/>
              </w:numPr>
              <w:rPr>
                <w:sz w:val="21"/>
                <w:szCs w:val="24"/>
                <w:lang w:eastAsia="en-AU"/>
              </w:rPr>
            </w:pPr>
            <w:r w:rsidRPr="00FB7B81">
              <w:rPr>
                <w:sz w:val="21"/>
                <w:szCs w:val="24"/>
                <w:lang w:eastAsia="en-AU"/>
              </w:rPr>
              <w:t>Public financial corporation</w:t>
            </w:r>
          </w:p>
        </w:tc>
      </w:tr>
      <w:tr w:rsidR="000B4A1E" w:rsidRPr="00FB7B81" w:rsidTr="00517E51">
        <w:trPr>
          <w:cantSplit/>
        </w:trPr>
        <w:tc>
          <w:tcPr>
            <w:tcW w:w="559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Transport Ticketing Authority</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59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Victorian Rail Track </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594" w:type="dxa"/>
            <w:tcBorders>
              <w:top w:val="nil"/>
              <w:left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Regional Channels Authority</w:t>
            </w:r>
          </w:p>
        </w:tc>
        <w:tc>
          <w:tcPr>
            <w:tcW w:w="1260" w:type="dxa"/>
            <w:tcBorders>
              <w:top w:val="nil"/>
              <w:left w:val="nil"/>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594" w:type="dxa"/>
            <w:tcBorders>
              <w:top w:val="nil"/>
              <w:left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V/Line Passenger Corporation</w:t>
            </w:r>
          </w:p>
        </w:tc>
        <w:tc>
          <w:tcPr>
            <w:tcW w:w="1260" w:type="dxa"/>
            <w:tcBorders>
              <w:top w:val="nil"/>
              <w:left w:val="nil"/>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trHeight w:hRule="exact" w:val="120"/>
        </w:trPr>
        <w:tc>
          <w:tcPr>
            <w:tcW w:w="5594" w:type="dxa"/>
            <w:tcBorders>
              <w:top w:val="nil"/>
              <w:left w:val="nil"/>
              <w:bottom w:val="single" w:sz="6" w:space="0" w:color="auto"/>
              <w:right w:val="nil"/>
            </w:tcBorders>
          </w:tcPr>
          <w:p w:rsidR="000B4A1E" w:rsidRPr="00FB7B81" w:rsidRDefault="000B4A1E" w:rsidP="00517E51">
            <w:pPr>
              <w:spacing w:after="0"/>
              <w:ind w:left="180" w:hanging="180"/>
              <w:rPr>
                <w:rFonts w:ascii="Calibri" w:hAnsi="Calibri"/>
                <w:sz w:val="21"/>
                <w:szCs w:val="24"/>
                <w:lang w:eastAsia="en-AU"/>
              </w:rPr>
            </w:pPr>
          </w:p>
        </w:tc>
        <w:tc>
          <w:tcPr>
            <w:tcW w:w="1260" w:type="dxa"/>
            <w:tcBorders>
              <w:top w:val="nil"/>
              <w:left w:val="nil"/>
              <w:bottom w:val="single" w:sz="6" w:space="0" w:color="auto"/>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6" w:space="0" w:color="auto"/>
              <w:right w:val="nil"/>
            </w:tcBorders>
            <w:noWrap/>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single" w:sz="6"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594" w:type="dxa"/>
            <w:tcBorders>
              <w:top w:val="single" w:sz="6" w:space="0" w:color="auto"/>
              <w:left w:val="nil"/>
              <w:bottom w:val="nil"/>
              <w:right w:val="nil"/>
            </w:tcBorders>
          </w:tcPr>
          <w:p w:rsidR="000B4A1E" w:rsidRPr="00FB7B81" w:rsidRDefault="000B4A1E" w:rsidP="00517E51">
            <w:pPr>
              <w:keepNext/>
              <w:spacing w:after="0"/>
              <w:ind w:left="187" w:hanging="187"/>
              <w:rPr>
                <w:rFonts w:ascii="Calibri" w:hAnsi="Calibri"/>
                <w:sz w:val="21"/>
                <w:szCs w:val="24"/>
                <w:lang w:eastAsia="en-AU"/>
              </w:rPr>
            </w:pPr>
            <w:r w:rsidRPr="00FB7B81">
              <w:rPr>
                <w:rFonts w:ascii="Calibri" w:hAnsi="Calibri"/>
                <w:b/>
                <w:bCs/>
                <w:sz w:val="21"/>
                <w:szCs w:val="24"/>
                <w:lang w:eastAsia="en-AU"/>
              </w:rPr>
              <w:t>Department of Treasury and Finance</w:t>
            </w:r>
          </w:p>
        </w:tc>
        <w:tc>
          <w:tcPr>
            <w:tcW w:w="1260" w:type="dxa"/>
            <w:tcBorders>
              <w:top w:val="single" w:sz="6" w:space="0" w:color="auto"/>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 </w:t>
            </w:r>
          </w:p>
        </w:tc>
        <w:tc>
          <w:tcPr>
            <w:tcW w:w="1440" w:type="dxa"/>
            <w:tcBorders>
              <w:top w:val="single" w:sz="6" w:space="0" w:color="auto"/>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59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 xml:space="preserve">CenITex </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59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Domestic (HIH) Indemnity Fund and Housing Guarantee Claims</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59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Essential Services Commission</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59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Competition and Efficiency Commission</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59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sz w:val="21"/>
              </w:rPr>
              <w:br w:type="page"/>
            </w:r>
            <w:r w:rsidRPr="00FB7B81">
              <w:rPr>
                <w:rFonts w:ascii="Calibri" w:hAnsi="Calibri"/>
                <w:sz w:val="21"/>
                <w:szCs w:val="24"/>
                <w:lang w:eastAsia="en-AU"/>
              </w:rPr>
              <w:t>State Electricity Commission of Victoria</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59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Plantations Corporation (shell)</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c>
          <w:tcPr>
            <w:tcW w:w="144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r>
      <w:tr w:rsidR="000B4A1E" w:rsidRPr="00FB7B81" w:rsidTr="00517E51">
        <w:trPr>
          <w:cantSplit/>
        </w:trPr>
        <w:tc>
          <w:tcPr>
            <w:tcW w:w="559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Rural Finance Corporation of Victoria</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r>
      <w:tr w:rsidR="000B4A1E" w:rsidRPr="00FB7B81" w:rsidTr="00517E51">
        <w:trPr>
          <w:cantSplit/>
        </w:trPr>
        <w:tc>
          <w:tcPr>
            <w:tcW w:w="559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State Trustees Limited</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r>
      <w:tr w:rsidR="000B4A1E" w:rsidRPr="00FB7B81" w:rsidTr="00517E51">
        <w:trPr>
          <w:cantSplit/>
        </w:trPr>
        <w:tc>
          <w:tcPr>
            <w:tcW w:w="559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cs="Garamond"/>
                <w:sz w:val="21"/>
                <w:szCs w:val="24"/>
              </w:rPr>
              <w:br w:type="page"/>
            </w:r>
            <w:r w:rsidRPr="00FB7B81">
              <w:rPr>
                <w:rFonts w:ascii="Calibri" w:hAnsi="Calibri"/>
                <w:sz w:val="21"/>
                <w:szCs w:val="24"/>
                <w:lang w:eastAsia="en-AU"/>
              </w:rPr>
              <w:t>Transport Accident Commission</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r>
      <w:tr w:rsidR="000B4A1E" w:rsidRPr="00FB7B81" w:rsidTr="00517E51">
        <w:trPr>
          <w:cantSplit/>
        </w:trPr>
        <w:tc>
          <w:tcPr>
            <w:tcW w:w="559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Treasury Corporation of Victoria</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r>
      <w:tr w:rsidR="000B4A1E" w:rsidRPr="00FB7B81" w:rsidTr="00517E51">
        <w:trPr>
          <w:cantSplit/>
          <w:trHeight w:hRule="exact" w:val="239"/>
        </w:trPr>
        <w:tc>
          <w:tcPr>
            <w:tcW w:w="5594" w:type="dxa"/>
            <w:tcBorders>
              <w:top w:val="nil"/>
              <w:left w:val="nil"/>
              <w:bottom w:val="nil"/>
              <w:right w:val="nil"/>
            </w:tcBorders>
          </w:tcPr>
          <w:p w:rsidR="000B4A1E" w:rsidRPr="00FB7B81" w:rsidRDefault="000B4A1E" w:rsidP="00517E51">
            <w:pPr>
              <w:spacing w:after="0"/>
              <w:ind w:left="180" w:hanging="180"/>
              <w:rPr>
                <w:rFonts w:ascii="Calibri" w:hAnsi="Calibri"/>
                <w:sz w:val="21"/>
                <w:szCs w:val="24"/>
                <w:lang w:eastAsia="en-AU"/>
              </w:rPr>
            </w:pPr>
            <w:r w:rsidRPr="00FB7B81">
              <w:rPr>
                <w:rFonts w:ascii="Calibri" w:hAnsi="Calibri"/>
                <w:sz w:val="21"/>
                <w:szCs w:val="24"/>
                <w:lang w:eastAsia="en-AU"/>
              </w:rPr>
              <w:t>Victorian Funds Management Corporation</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nil"/>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noWrap/>
          </w:tcPr>
          <w:p w:rsidR="000B4A1E" w:rsidRPr="00FB7B81" w:rsidRDefault="000B4A1E" w:rsidP="00517E51">
            <w:pPr>
              <w:spacing w:after="0"/>
              <w:jc w:val="center"/>
              <w:rPr>
                <w:rFonts w:ascii="Calibri" w:hAnsi="Calibri"/>
                <w:sz w:val="21"/>
                <w:szCs w:val="24"/>
                <w:lang w:eastAsia="en-AU"/>
              </w:rPr>
            </w:pPr>
            <w:r w:rsidRPr="00FB7B81">
              <w:rPr>
                <w:rFonts w:ascii="Calibri" w:hAnsi="Calibri"/>
                <w:sz w:val="21"/>
                <w:szCs w:val="24"/>
                <w:lang w:eastAsia="en-AU"/>
              </w:rPr>
              <w:t>*</w:t>
            </w:r>
          </w:p>
        </w:tc>
      </w:tr>
      <w:tr w:rsidR="000B4A1E" w:rsidRPr="00FB7B81" w:rsidTr="00517E51">
        <w:trPr>
          <w:cantSplit/>
        </w:trPr>
        <w:tc>
          <w:tcPr>
            <w:tcW w:w="5594" w:type="dxa"/>
            <w:tcBorders>
              <w:top w:val="nil"/>
              <w:left w:val="nil"/>
              <w:bottom w:val="nil"/>
              <w:right w:val="nil"/>
            </w:tcBorders>
          </w:tcPr>
          <w:p w:rsidR="000B4A1E" w:rsidRPr="00FB7B81" w:rsidRDefault="000B4A1E" w:rsidP="00517E51">
            <w:pPr>
              <w:spacing w:after="0"/>
              <w:rPr>
                <w:rFonts w:ascii="Calibri" w:hAnsi="Calibri"/>
                <w:b/>
                <w:sz w:val="21"/>
                <w:szCs w:val="18"/>
                <w:lang w:eastAsia="en-AU"/>
              </w:rPr>
            </w:pPr>
            <w:r w:rsidRPr="00FB7B81">
              <w:rPr>
                <w:rFonts w:ascii="Calibri" w:hAnsi="Calibri"/>
                <w:sz w:val="21"/>
                <w:szCs w:val="24"/>
                <w:lang w:eastAsia="en-AU"/>
              </w:rPr>
              <w:t>Victorian Managed Insurance Authority</w:t>
            </w:r>
          </w:p>
        </w:tc>
        <w:tc>
          <w:tcPr>
            <w:tcW w:w="1260" w:type="dxa"/>
            <w:tcBorders>
              <w:top w:val="nil"/>
              <w:left w:val="nil"/>
              <w:bottom w:val="nil"/>
              <w:right w:val="nil"/>
            </w:tcBorders>
          </w:tcPr>
          <w:p w:rsidR="000B4A1E" w:rsidRPr="00FB7B81" w:rsidRDefault="000B4A1E" w:rsidP="00517E51">
            <w:pPr>
              <w:spacing w:after="0"/>
              <w:jc w:val="center"/>
              <w:rPr>
                <w:rFonts w:ascii="Calibri" w:hAnsi="Calibri"/>
                <w:sz w:val="21"/>
                <w:szCs w:val="18"/>
              </w:rPr>
            </w:pPr>
          </w:p>
        </w:tc>
        <w:tc>
          <w:tcPr>
            <w:tcW w:w="1350" w:type="dxa"/>
            <w:tcBorders>
              <w:top w:val="nil"/>
              <w:left w:val="nil"/>
              <w:bottom w:val="nil"/>
              <w:right w:val="nil"/>
            </w:tcBorders>
            <w:vAlign w:val="bottom"/>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nil"/>
              <w:right w:val="nil"/>
            </w:tcBorders>
          </w:tcPr>
          <w:p w:rsidR="000B4A1E" w:rsidRPr="00FB7B81" w:rsidRDefault="000B4A1E" w:rsidP="00517E51">
            <w:pPr>
              <w:numPr>
                <w:ilvl w:val="1"/>
                <w:numId w:val="0"/>
              </w:numPr>
              <w:spacing w:after="0"/>
              <w:jc w:val="center"/>
              <w:rPr>
                <w:rFonts w:ascii="Calibri" w:hAnsi="Calibri"/>
                <w:i/>
                <w:sz w:val="21"/>
                <w:szCs w:val="24"/>
                <w:lang w:eastAsia="en-AU"/>
              </w:rPr>
            </w:pPr>
            <w:r w:rsidRPr="00FB7B81">
              <w:rPr>
                <w:rFonts w:ascii="Calibri" w:hAnsi="Calibri"/>
                <w:sz w:val="21"/>
                <w:szCs w:val="24"/>
                <w:lang w:eastAsia="en-AU"/>
              </w:rPr>
              <w:t>*</w:t>
            </w:r>
          </w:p>
        </w:tc>
      </w:tr>
      <w:tr w:rsidR="000B4A1E" w:rsidRPr="00FB7B81" w:rsidTr="00517E51">
        <w:trPr>
          <w:cantSplit/>
        </w:trPr>
        <w:tc>
          <w:tcPr>
            <w:tcW w:w="5594" w:type="dxa"/>
            <w:tcBorders>
              <w:top w:val="nil"/>
              <w:left w:val="nil"/>
              <w:right w:val="nil"/>
            </w:tcBorders>
          </w:tcPr>
          <w:p w:rsidR="000B4A1E" w:rsidRPr="00FB7B81" w:rsidRDefault="000B4A1E" w:rsidP="00517E51">
            <w:pPr>
              <w:spacing w:after="0"/>
              <w:ind w:left="180" w:hanging="180"/>
              <w:rPr>
                <w:rFonts w:ascii="Calibri" w:hAnsi="Calibri"/>
                <w:sz w:val="21"/>
                <w:szCs w:val="18"/>
                <w:lang w:eastAsia="en-AU"/>
              </w:rPr>
            </w:pPr>
            <w:r w:rsidRPr="00FB7B81">
              <w:rPr>
                <w:rFonts w:ascii="Calibri" w:hAnsi="Calibri"/>
                <w:sz w:val="21"/>
                <w:szCs w:val="24"/>
                <w:lang w:eastAsia="en-AU"/>
              </w:rPr>
              <w:t>Victorian WorkCover Authority</w:t>
            </w:r>
          </w:p>
        </w:tc>
        <w:tc>
          <w:tcPr>
            <w:tcW w:w="1260" w:type="dxa"/>
            <w:tcBorders>
              <w:top w:val="nil"/>
              <w:left w:val="nil"/>
              <w:right w:val="nil"/>
            </w:tcBorders>
          </w:tcPr>
          <w:p w:rsidR="000B4A1E" w:rsidRPr="00FB7B81" w:rsidRDefault="000B4A1E" w:rsidP="00517E51">
            <w:pPr>
              <w:spacing w:after="0"/>
              <w:jc w:val="center"/>
              <w:rPr>
                <w:rFonts w:ascii="Calibri" w:hAnsi="Calibri"/>
                <w:bCs/>
                <w:sz w:val="21"/>
                <w:szCs w:val="24"/>
                <w:lang w:eastAsia="en-AU"/>
              </w:rPr>
            </w:pPr>
          </w:p>
        </w:tc>
        <w:tc>
          <w:tcPr>
            <w:tcW w:w="1350" w:type="dxa"/>
            <w:tcBorders>
              <w:top w:val="nil"/>
              <w:left w:val="nil"/>
              <w:right w:val="nil"/>
            </w:tcBorders>
            <w:vAlign w:val="bottom"/>
          </w:tcPr>
          <w:p w:rsidR="000B4A1E" w:rsidRPr="00FB7B81" w:rsidRDefault="000B4A1E" w:rsidP="00517E51">
            <w:pPr>
              <w:spacing w:after="0"/>
              <w:jc w:val="center"/>
              <w:rPr>
                <w:rFonts w:ascii="Calibri" w:hAnsi="Calibri"/>
                <w:bCs/>
                <w:sz w:val="21"/>
                <w:szCs w:val="24"/>
                <w:lang w:eastAsia="en-AU"/>
              </w:rPr>
            </w:pPr>
          </w:p>
        </w:tc>
        <w:tc>
          <w:tcPr>
            <w:tcW w:w="1440" w:type="dxa"/>
            <w:tcBorders>
              <w:top w:val="nil"/>
              <w:left w:val="nil"/>
              <w:right w:val="nil"/>
            </w:tcBorders>
          </w:tcPr>
          <w:p w:rsidR="000B4A1E" w:rsidRPr="00FB7B81" w:rsidRDefault="000B4A1E" w:rsidP="00517E51">
            <w:pPr>
              <w:numPr>
                <w:ilvl w:val="1"/>
                <w:numId w:val="0"/>
              </w:numPr>
              <w:spacing w:after="0"/>
              <w:jc w:val="center"/>
              <w:rPr>
                <w:rFonts w:ascii="Calibri" w:hAnsi="Calibri"/>
                <w:i/>
                <w:sz w:val="21"/>
                <w:szCs w:val="24"/>
                <w:lang w:eastAsia="en-AU"/>
              </w:rPr>
            </w:pPr>
            <w:r w:rsidRPr="00FB7B81">
              <w:rPr>
                <w:rFonts w:ascii="Calibri" w:hAnsi="Calibri"/>
                <w:sz w:val="21"/>
                <w:szCs w:val="24"/>
                <w:lang w:eastAsia="en-AU"/>
              </w:rPr>
              <w:t>*</w:t>
            </w:r>
          </w:p>
        </w:tc>
      </w:tr>
      <w:tr w:rsidR="000B4A1E" w:rsidRPr="00FB7B81" w:rsidTr="00517E51">
        <w:trPr>
          <w:trHeight w:hRule="exact" w:val="120"/>
        </w:trPr>
        <w:tc>
          <w:tcPr>
            <w:tcW w:w="5594" w:type="dxa"/>
            <w:tcBorders>
              <w:top w:val="nil"/>
              <w:left w:val="nil"/>
              <w:bottom w:val="single" w:sz="6" w:space="0" w:color="auto"/>
              <w:right w:val="nil"/>
            </w:tcBorders>
          </w:tcPr>
          <w:p w:rsidR="000B4A1E" w:rsidRPr="00FB7B81" w:rsidRDefault="000B4A1E" w:rsidP="00517E51">
            <w:pPr>
              <w:spacing w:after="0"/>
              <w:ind w:left="180" w:hanging="180"/>
              <w:rPr>
                <w:rFonts w:ascii="Calibri" w:hAnsi="Calibri"/>
                <w:bCs/>
                <w:sz w:val="21"/>
                <w:szCs w:val="18"/>
                <w:lang w:eastAsia="en-AU"/>
              </w:rPr>
            </w:pPr>
          </w:p>
        </w:tc>
        <w:tc>
          <w:tcPr>
            <w:tcW w:w="1260" w:type="dxa"/>
            <w:tcBorders>
              <w:top w:val="nil"/>
              <w:left w:val="nil"/>
              <w:bottom w:val="single" w:sz="6" w:space="0" w:color="auto"/>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6" w:space="0" w:color="auto"/>
              <w:right w:val="nil"/>
            </w:tcBorders>
            <w:vAlign w:val="bottom"/>
          </w:tcPr>
          <w:p w:rsidR="000B4A1E" w:rsidRPr="00FB7B81" w:rsidRDefault="000B4A1E" w:rsidP="00517E51">
            <w:pPr>
              <w:spacing w:after="0"/>
              <w:jc w:val="center"/>
              <w:rPr>
                <w:rFonts w:ascii="Calibri" w:hAnsi="Calibri"/>
                <w:bCs/>
                <w:sz w:val="21"/>
                <w:szCs w:val="24"/>
                <w:lang w:eastAsia="en-AU"/>
              </w:rPr>
            </w:pPr>
          </w:p>
        </w:tc>
        <w:tc>
          <w:tcPr>
            <w:tcW w:w="1440" w:type="dxa"/>
            <w:tcBorders>
              <w:top w:val="nil"/>
              <w:left w:val="nil"/>
              <w:bottom w:val="single" w:sz="6" w:space="0" w:color="auto"/>
              <w:right w:val="nil"/>
            </w:tcBorders>
          </w:tcPr>
          <w:p w:rsidR="000B4A1E" w:rsidRPr="00FB7B81" w:rsidRDefault="000B4A1E" w:rsidP="00517E51">
            <w:pPr>
              <w:numPr>
                <w:ilvl w:val="1"/>
                <w:numId w:val="0"/>
              </w:numPr>
              <w:spacing w:after="0"/>
              <w:jc w:val="center"/>
              <w:rPr>
                <w:rFonts w:ascii="Calibri" w:hAnsi="Calibri"/>
                <w:i/>
                <w:sz w:val="21"/>
                <w:szCs w:val="24"/>
                <w:lang w:eastAsia="en-AU"/>
              </w:rPr>
            </w:pPr>
          </w:p>
        </w:tc>
      </w:tr>
      <w:tr w:rsidR="000B4A1E" w:rsidRPr="00FB7B81" w:rsidTr="00517E51">
        <w:trPr>
          <w:cantSplit/>
        </w:trPr>
        <w:tc>
          <w:tcPr>
            <w:tcW w:w="5594" w:type="dxa"/>
            <w:tcBorders>
              <w:top w:val="single" w:sz="6" w:space="0" w:color="auto"/>
              <w:left w:val="nil"/>
              <w:bottom w:val="nil"/>
              <w:right w:val="nil"/>
            </w:tcBorders>
          </w:tcPr>
          <w:p w:rsidR="000B4A1E" w:rsidRPr="00FB7B81" w:rsidRDefault="000B4A1E" w:rsidP="00517E51">
            <w:pPr>
              <w:spacing w:after="0"/>
              <w:ind w:left="180" w:hanging="180"/>
              <w:rPr>
                <w:rFonts w:ascii="Calibri" w:hAnsi="Calibri"/>
                <w:bCs/>
                <w:sz w:val="21"/>
                <w:szCs w:val="18"/>
                <w:lang w:eastAsia="en-AU"/>
              </w:rPr>
            </w:pPr>
            <w:r w:rsidRPr="00FB7B81">
              <w:rPr>
                <w:rFonts w:ascii="Calibri" w:hAnsi="Calibri"/>
                <w:sz w:val="21"/>
                <w:szCs w:val="24"/>
              </w:rPr>
              <w:br w:type="page"/>
            </w:r>
            <w:r w:rsidRPr="00FB7B81">
              <w:rPr>
                <w:rFonts w:ascii="Calibri" w:hAnsi="Calibri"/>
                <w:b/>
                <w:bCs/>
                <w:sz w:val="21"/>
                <w:szCs w:val="24"/>
                <w:lang w:eastAsia="en-AU"/>
              </w:rPr>
              <w:t>Parliament of Victoria</w:t>
            </w:r>
          </w:p>
        </w:tc>
        <w:tc>
          <w:tcPr>
            <w:tcW w:w="1260" w:type="dxa"/>
            <w:tcBorders>
              <w:top w:val="single" w:sz="6" w:space="0" w:color="auto"/>
              <w:left w:val="nil"/>
              <w:bottom w:val="nil"/>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single" w:sz="6" w:space="0" w:color="auto"/>
              <w:left w:val="nil"/>
              <w:right w:val="nil"/>
            </w:tcBorders>
            <w:vAlign w:val="bottom"/>
          </w:tcPr>
          <w:p w:rsidR="000B4A1E" w:rsidRPr="00FB7B81" w:rsidRDefault="000B4A1E" w:rsidP="00517E51">
            <w:pPr>
              <w:spacing w:after="0"/>
              <w:jc w:val="center"/>
              <w:rPr>
                <w:rFonts w:ascii="Calibri" w:hAnsi="Calibri"/>
                <w:bCs/>
                <w:sz w:val="21"/>
                <w:szCs w:val="24"/>
                <w:lang w:eastAsia="en-AU"/>
              </w:rPr>
            </w:pPr>
            <w:r w:rsidRPr="00FB7B81">
              <w:rPr>
                <w:rFonts w:ascii="Calibri" w:hAnsi="Calibri"/>
                <w:sz w:val="21"/>
                <w:szCs w:val="24"/>
                <w:lang w:eastAsia="en-AU"/>
              </w:rPr>
              <w:t> </w:t>
            </w:r>
          </w:p>
        </w:tc>
        <w:tc>
          <w:tcPr>
            <w:tcW w:w="1440" w:type="dxa"/>
            <w:tcBorders>
              <w:top w:val="single" w:sz="6" w:space="0" w:color="auto"/>
              <w:left w:val="nil"/>
              <w:right w:val="nil"/>
            </w:tcBorders>
            <w:vAlign w:val="bottom"/>
          </w:tcPr>
          <w:p w:rsidR="000B4A1E" w:rsidRPr="00FB7B81" w:rsidRDefault="000B4A1E" w:rsidP="00517E51">
            <w:pPr>
              <w:numPr>
                <w:ilvl w:val="1"/>
                <w:numId w:val="0"/>
              </w:numPr>
              <w:spacing w:after="0"/>
              <w:jc w:val="center"/>
              <w:rPr>
                <w:rFonts w:ascii="Calibri" w:hAnsi="Calibri"/>
                <w:i/>
                <w:sz w:val="21"/>
                <w:szCs w:val="24"/>
                <w:lang w:eastAsia="en-AU"/>
              </w:rPr>
            </w:pPr>
            <w:r w:rsidRPr="00FB7B81">
              <w:rPr>
                <w:rFonts w:ascii="Calibri" w:hAnsi="Calibri"/>
                <w:sz w:val="21"/>
                <w:szCs w:val="24"/>
                <w:lang w:eastAsia="en-AU"/>
              </w:rPr>
              <w:t> </w:t>
            </w:r>
          </w:p>
        </w:tc>
      </w:tr>
      <w:tr w:rsidR="000B4A1E" w:rsidRPr="00FB7B81" w:rsidTr="00517E51">
        <w:trPr>
          <w:cantSplit/>
        </w:trPr>
        <w:tc>
          <w:tcPr>
            <w:tcW w:w="5594" w:type="dxa"/>
            <w:tcBorders>
              <w:top w:val="nil"/>
              <w:left w:val="nil"/>
              <w:right w:val="nil"/>
            </w:tcBorders>
          </w:tcPr>
          <w:p w:rsidR="000B4A1E" w:rsidRPr="00FB7B81" w:rsidRDefault="000B4A1E" w:rsidP="00517E51">
            <w:pPr>
              <w:spacing w:after="0"/>
              <w:ind w:left="180" w:hanging="180"/>
              <w:rPr>
                <w:rFonts w:ascii="Calibri" w:hAnsi="Calibri"/>
                <w:bCs/>
                <w:sz w:val="21"/>
                <w:szCs w:val="18"/>
                <w:lang w:eastAsia="en-AU"/>
              </w:rPr>
            </w:pPr>
            <w:r w:rsidRPr="00FB7B81">
              <w:rPr>
                <w:rFonts w:ascii="Calibri" w:hAnsi="Calibri"/>
                <w:sz w:val="21"/>
                <w:szCs w:val="24"/>
                <w:lang w:eastAsia="en-AU"/>
              </w:rPr>
              <w:t>Victorian Auditor</w:t>
            </w:r>
            <w:r w:rsidRPr="00FB7B81">
              <w:rPr>
                <w:rFonts w:ascii="Calibri" w:hAnsi="Calibri"/>
                <w:sz w:val="21"/>
                <w:szCs w:val="24"/>
                <w:lang w:eastAsia="en-AU"/>
              </w:rPr>
              <w:noBreakHyphen/>
              <w:t>General’s Office</w:t>
            </w:r>
          </w:p>
        </w:tc>
        <w:tc>
          <w:tcPr>
            <w:tcW w:w="1260" w:type="dxa"/>
            <w:tcBorders>
              <w:top w:val="nil"/>
              <w:left w:val="nil"/>
              <w:right w:val="nil"/>
            </w:tcBorders>
          </w:tcPr>
          <w:p w:rsidR="000B4A1E" w:rsidRPr="00FB7B81" w:rsidRDefault="000B4A1E" w:rsidP="00517E51">
            <w:pPr>
              <w:spacing w:after="0"/>
              <w:jc w:val="center"/>
              <w:rPr>
                <w:rFonts w:ascii="Calibri" w:hAnsi="Calibri"/>
                <w:bCs/>
                <w:sz w:val="21"/>
                <w:szCs w:val="24"/>
                <w:lang w:eastAsia="en-AU"/>
              </w:rPr>
            </w:pPr>
            <w:r w:rsidRPr="00FB7B81">
              <w:rPr>
                <w:rFonts w:ascii="Calibri" w:hAnsi="Calibri"/>
                <w:sz w:val="21"/>
                <w:szCs w:val="24"/>
                <w:lang w:eastAsia="en-AU"/>
              </w:rPr>
              <w:t>*</w:t>
            </w:r>
          </w:p>
        </w:tc>
        <w:tc>
          <w:tcPr>
            <w:tcW w:w="1350" w:type="dxa"/>
            <w:tcBorders>
              <w:top w:val="nil"/>
              <w:left w:val="nil"/>
              <w:right w:val="nil"/>
            </w:tcBorders>
            <w:vAlign w:val="bottom"/>
          </w:tcPr>
          <w:p w:rsidR="000B4A1E" w:rsidRPr="00FB7B81" w:rsidRDefault="000B4A1E" w:rsidP="00517E51">
            <w:pPr>
              <w:spacing w:after="0"/>
              <w:jc w:val="center"/>
              <w:rPr>
                <w:rFonts w:ascii="Calibri" w:hAnsi="Calibri"/>
                <w:bCs/>
                <w:sz w:val="21"/>
                <w:szCs w:val="24"/>
                <w:lang w:eastAsia="en-AU"/>
              </w:rPr>
            </w:pPr>
          </w:p>
        </w:tc>
        <w:tc>
          <w:tcPr>
            <w:tcW w:w="1440" w:type="dxa"/>
            <w:tcBorders>
              <w:top w:val="nil"/>
              <w:left w:val="nil"/>
              <w:right w:val="nil"/>
            </w:tcBorders>
            <w:vAlign w:val="bottom"/>
          </w:tcPr>
          <w:p w:rsidR="000B4A1E" w:rsidRPr="00FB7B81" w:rsidRDefault="000B4A1E" w:rsidP="00517E51">
            <w:pPr>
              <w:spacing w:after="0"/>
              <w:jc w:val="center"/>
              <w:rPr>
                <w:rFonts w:ascii="Calibri" w:hAnsi="Calibri"/>
                <w:sz w:val="21"/>
                <w:szCs w:val="18"/>
                <w:lang w:eastAsia="en-AU"/>
              </w:rPr>
            </w:pPr>
          </w:p>
        </w:tc>
      </w:tr>
      <w:tr w:rsidR="000B4A1E" w:rsidRPr="00FB7B81" w:rsidTr="00517E51">
        <w:trPr>
          <w:cantSplit/>
          <w:trHeight w:hRule="exact" w:val="80"/>
        </w:trPr>
        <w:tc>
          <w:tcPr>
            <w:tcW w:w="5594" w:type="dxa"/>
            <w:tcBorders>
              <w:top w:val="nil"/>
              <w:left w:val="nil"/>
              <w:bottom w:val="single" w:sz="12" w:space="0" w:color="auto"/>
              <w:right w:val="nil"/>
            </w:tcBorders>
          </w:tcPr>
          <w:p w:rsidR="000B4A1E" w:rsidRPr="00FB7B81" w:rsidRDefault="000B4A1E" w:rsidP="00517E51">
            <w:pPr>
              <w:spacing w:after="0"/>
              <w:ind w:left="180" w:hanging="180"/>
              <w:rPr>
                <w:rFonts w:ascii="Calibri" w:hAnsi="Calibri"/>
                <w:sz w:val="21"/>
                <w:szCs w:val="24"/>
                <w:lang w:eastAsia="en-AU"/>
              </w:rPr>
            </w:pPr>
          </w:p>
        </w:tc>
        <w:tc>
          <w:tcPr>
            <w:tcW w:w="1260" w:type="dxa"/>
            <w:tcBorders>
              <w:top w:val="nil"/>
              <w:left w:val="nil"/>
              <w:bottom w:val="single" w:sz="12" w:space="0" w:color="auto"/>
              <w:right w:val="nil"/>
            </w:tcBorders>
          </w:tcPr>
          <w:p w:rsidR="000B4A1E" w:rsidRPr="00FB7B81" w:rsidRDefault="000B4A1E" w:rsidP="00517E51">
            <w:pPr>
              <w:spacing w:after="0"/>
              <w:jc w:val="center"/>
              <w:rPr>
                <w:rFonts w:ascii="Calibri" w:hAnsi="Calibri"/>
                <w:sz w:val="21"/>
                <w:szCs w:val="24"/>
                <w:lang w:eastAsia="en-AU"/>
              </w:rPr>
            </w:pPr>
          </w:p>
        </w:tc>
        <w:tc>
          <w:tcPr>
            <w:tcW w:w="1350" w:type="dxa"/>
            <w:tcBorders>
              <w:top w:val="nil"/>
              <w:left w:val="nil"/>
              <w:bottom w:val="single" w:sz="12"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c>
          <w:tcPr>
            <w:tcW w:w="1440" w:type="dxa"/>
            <w:tcBorders>
              <w:top w:val="nil"/>
              <w:left w:val="nil"/>
              <w:bottom w:val="single" w:sz="12" w:space="0" w:color="auto"/>
              <w:right w:val="nil"/>
            </w:tcBorders>
            <w:noWrap/>
            <w:vAlign w:val="bottom"/>
          </w:tcPr>
          <w:p w:rsidR="000B4A1E" w:rsidRPr="00FB7B81" w:rsidRDefault="000B4A1E" w:rsidP="00517E51">
            <w:pPr>
              <w:spacing w:after="0"/>
              <w:jc w:val="center"/>
              <w:rPr>
                <w:rFonts w:ascii="Calibri" w:hAnsi="Calibri"/>
                <w:sz w:val="21"/>
                <w:szCs w:val="24"/>
                <w:lang w:eastAsia="en-AU"/>
              </w:rPr>
            </w:pPr>
          </w:p>
        </w:tc>
      </w:tr>
    </w:tbl>
    <w:p w:rsidR="000B4A1E" w:rsidRPr="00D00665" w:rsidRDefault="000B4A1E" w:rsidP="00517E51">
      <w:pPr>
        <w:pStyle w:val="Notes"/>
        <w:rPr>
          <w:lang w:eastAsia="en-AU"/>
        </w:rPr>
      </w:pPr>
      <w:r w:rsidRPr="00D00665">
        <w:t>Notes</w:t>
      </w:r>
      <w:r w:rsidRPr="00D00665">
        <w:rPr>
          <w:lang w:eastAsia="en-AU"/>
        </w:rPr>
        <w:t>:</w:t>
      </w:r>
    </w:p>
    <w:p w:rsidR="000B4A1E" w:rsidRPr="00D00665" w:rsidRDefault="00BC74E0" w:rsidP="00517E51">
      <w:pPr>
        <w:pStyle w:val="Notes"/>
      </w:pPr>
      <w:r>
        <w:t>(a)</w:t>
      </w:r>
      <w:r>
        <w:tab/>
        <w:t xml:space="preserve">Effective 1 January 2013, </w:t>
      </w:r>
      <w:r w:rsidR="000B4A1E" w:rsidRPr="00D00665">
        <w:t>Victorian Skills Commission ceased to exist and operations were transferred to Department of Education and Early Childhood Development.</w:t>
      </w:r>
    </w:p>
    <w:p w:rsidR="000B4A1E" w:rsidRPr="00D00665" w:rsidRDefault="000B4A1E" w:rsidP="00517E51">
      <w:pPr>
        <w:pStyle w:val="Notes"/>
      </w:pPr>
      <w:r w:rsidRPr="00D00665">
        <w:t>(b)</w:t>
      </w:r>
      <w:r w:rsidRPr="00D00665">
        <w:tab/>
      </w:r>
      <w:r>
        <w:t>Effective 4 December 2012</w:t>
      </w:r>
      <w:r w:rsidRPr="00D00665">
        <w:t>, Centre for Adult Education operations were transferred to Box Hill Institute of TAFE.</w:t>
      </w:r>
    </w:p>
    <w:p w:rsidR="000B4A1E" w:rsidRPr="00D00665" w:rsidRDefault="000B4A1E" w:rsidP="00517E51">
      <w:pPr>
        <w:pStyle w:val="Notes"/>
      </w:pPr>
      <w:r w:rsidRPr="00D00665">
        <w:t>(c)</w:t>
      </w:r>
      <w:r w:rsidRPr="00D00665">
        <w:tab/>
        <w:t>Effective 1 January 2013, Driver Education Centre Australia Ltd ceased to exist and operations were tr</w:t>
      </w:r>
      <w:r>
        <w:t>ansferred to Wodonga Institute of </w:t>
      </w:r>
      <w:r w:rsidRPr="00D00665">
        <w:t>TAFE.</w:t>
      </w:r>
    </w:p>
    <w:p w:rsidR="000B4A1E" w:rsidRPr="00D00665" w:rsidRDefault="000B4A1E" w:rsidP="00517E51">
      <w:pPr>
        <w:pStyle w:val="Notes"/>
      </w:pPr>
      <w:r w:rsidRPr="00D00665">
        <w:t>(d)</w:t>
      </w:r>
      <w:r w:rsidRPr="00D00665">
        <w:tab/>
        <w:t>Effective 9 April 2013 several departments were renamed due to machinery of government changes:</w:t>
      </w:r>
    </w:p>
    <w:p w:rsidR="000B4A1E" w:rsidRPr="00D00665" w:rsidRDefault="000B4A1E" w:rsidP="00517E51">
      <w:pPr>
        <w:pStyle w:val="NotesIndent"/>
      </w:pPr>
      <w:r w:rsidRPr="00D00665">
        <w:t>–</w:t>
      </w:r>
      <w:r w:rsidRPr="00D00665">
        <w:tab/>
        <w:t xml:space="preserve">the Department of </w:t>
      </w:r>
      <w:r w:rsidR="00405D0E">
        <w:t xml:space="preserve">Sustainability and Environment became the </w:t>
      </w:r>
      <w:r w:rsidRPr="00D00665">
        <w:t>Department of Environment and Primary Industries;</w:t>
      </w:r>
    </w:p>
    <w:p w:rsidR="000B4A1E" w:rsidRPr="00D00665" w:rsidRDefault="000B4A1E" w:rsidP="00517E51">
      <w:pPr>
        <w:pStyle w:val="NotesIndent"/>
      </w:pPr>
      <w:r>
        <w:t>–</w:t>
      </w:r>
      <w:r>
        <w:tab/>
      </w:r>
      <w:r w:rsidRPr="00D00665">
        <w:t>the Department of Business and Innovation became the Department of State Development, Business and Innovation; and</w:t>
      </w:r>
    </w:p>
    <w:p w:rsidR="000B4A1E" w:rsidRPr="00D00665" w:rsidRDefault="000B4A1E" w:rsidP="00517E51">
      <w:pPr>
        <w:pStyle w:val="NotesIndent"/>
      </w:pPr>
      <w:r w:rsidRPr="00D00665">
        <w:t>–</w:t>
      </w:r>
      <w:r w:rsidRPr="00D00665">
        <w:tab/>
        <w:t>the Department of Transport became the Department of Transport, Planning and Local Infrastructure.</w:t>
      </w:r>
    </w:p>
    <w:p w:rsidR="000B4A1E" w:rsidRPr="00D00665" w:rsidRDefault="000B4A1E" w:rsidP="00517E51">
      <w:pPr>
        <w:pStyle w:val="Notes"/>
      </w:pPr>
      <w:r w:rsidRPr="00D00665">
        <w:t>(</w:t>
      </w:r>
      <w:r>
        <w:t>e</w:t>
      </w:r>
      <w:r w:rsidRPr="00D00665">
        <w:t>)</w:t>
      </w:r>
      <w:r w:rsidRPr="00D00665">
        <w:tab/>
        <w:t>Effective 1 July 2012, the following entities were transferred from the Department of Treasury and Finance to the Department of Sustainability and Environment portfolio:</w:t>
      </w:r>
    </w:p>
    <w:p w:rsidR="000B4A1E" w:rsidRPr="00D00665" w:rsidRDefault="000B4A1E" w:rsidP="00517E51">
      <w:pPr>
        <w:pStyle w:val="NotesIndent"/>
      </w:pPr>
      <w:r w:rsidRPr="00D00665">
        <w:t>–</w:t>
      </w:r>
      <w:r w:rsidRPr="00D00665">
        <w:tab/>
        <w:t>City West Water Corporation;</w:t>
      </w:r>
    </w:p>
    <w:p w:rsidR="000B4A1E" w:rsidRPr="00D00665" w:rsidRDefault="000B4A1E" w:rsidP="00517E51">
      <w:pPr>
        <w:pStyle w:val="NotesIndent"/>
      </w:pPr>
      <w:r w:rsidRPr="00D00665">
        <w:t>–</w:t>
      </w:r>
      <w:r w:rsidRPr="00D00665">
        <w:tab/>
        <w:t>South East Water Corporation; and</w:t>
      </w:r>
    </w:p>
    <w:p w:rsidR="000B4A1E" w:rsidRPr="00D00665" w:rsidRDefault="000B4A1E" w:rsidP="00517E51">
      <w:pPr>
        <w:pStyle w:val="NotesIndent"/>
      </w:pPr>
      <w:r w:rsidRPr="00D00665">
        <w:t>–</w:t>
      </w:r>
      <w:r w:rsidRPr="00D00665">
        <w:tab/>
        <w:t>Yarra Valley Water Corporation.</w:t>
      </w:r>
    </w:p>
    <w:p w:rsidR="000B4A1E" w:rsidRPr="00D00665" w:rsidRDefault="000B4A1E" w:rsidP="00517E51">
      <w:pPr>
        <w:pStyle w:val="Notes"/>
      </w:pPr>
      <w:r w:rsidRPr="00D00665">
        <w:t>(f)</w:t>
      </w:r>
      <w:r w:rsidRPr="00D00665">
        <w:tab/>
        <w:t>Effective 1 July 2012, the State Owned Enterprise for Irrigation Modernisation in Northern Victoria ceased to exist and operations were transferred to Goulburn</w:t>
      </w:r>
      <w:r w:rsidRPr="00D00665">
        <w:noBreakHyphen/>
        <w:t>Murray Rural Water Corporation, a public non</w:t>
      </w:r>
      <w:r w:rsidRPr="00D00665">
        <w:noBreakHyphen/>
        <w:t>financial corporation.</w:t>
      </w:r>
    </w:p>
    <w:p w:rsidR="000B4A1E" w:rsidRPr="00D00665" w:rsidRDefault="000B4A1E" w:rsidP="00517E51">
      <w:pPr>
        <w:pStyle w:val="Notes"/>
      </w:pPr>
      <w:r w:rsidRPr="00D00665">
        <w:t>(</w:t>
      </w:r>
      <w:r>
        <w:t>g</w:t>
      </w:r>
      <w:r w:rsidRPr="00D00665">
        <w:t>)</w:t>
      </w:r>
      <w:r w:rsidRPr="00D00665">
        <w:tab/>
        <w:t>Effective from 1 July 2012, the following general government entities were transferred from the Department of Health to the Australian Health Practitioner Regulation Agency, which is an agency of the Commonwealth Government:</w:t>
      </w:r>
    </w:p>
    <w:p w:rsidR="000B4A1E" w:rsidRPr="00D00665" w:rsidRDefault="000B4A1E" w:rsidP="00517E51">
      <w:pPr>
        <w:pStyle w:val="NotesIndent"/>
      </w:pPr>
      <w:r w:rsidRPr="00D00665">
        <w:t>–</w:t>
      </w:r>
      <w:r w:rsidRPr="00D00665">
        <w:tab/>
        <w:t>Chinese Medicine registration Board of Victoria; and</w:t>
      </w:r>
    </w:p>
    <w:p w:rsidR="000B4A1E" w:rsidRPr="00D00665" w:rsidRDefault="000B4A1E" w:rsidP="00517E51">
      <w:pPr>
        <w:pStyle w:val="NotesIndent"/>
      </w:pPr>
      <w:r w:rsidRPr="00D00665">
        <w:t>–</w:t>
      </w:r>
      <w:r w:rsidRPr="00D00665">
        <w:tab/>
        <w:t>Medical Radiation Practitioners Board of Victoria.</w:t>
      </w:r>
    </w:p>
    <w:p w:rsidR="000B4A1E" w:rsidRPr="00D00665" w:rsidRDefault="000B4A1E" w:rsidP="00517E51">
      <w:pPr>
        <w:pStyle w:val="Notes"/>
      </w:pPr>
      <w:r w:rsidRPr="00D00665">
        <w:t>(</w:t>
      </w:r>
      <w:r>
        <w:t>h</w:t>
      </w:r>
      <w:r w:rsidRPr="00D00665">
        <w:t>)</w:t>
      </w:r>
      <w:r w:rsidRPr="00D00665">
        <w:tab/>
        <w:t>On 30 May 2013, Southern Health became Monash Health upon gazettal.</w:t>
      </w:r>
    </w:p>
    <w:p w:rsidR="000B4A1E" w:rsidRPr="00D00665" w:rsidRDefault="000B4A1E" w:rsidP="00517E51">
      <w:pPr>
        <w:pStyle w:val="Notes"/>
      </w:pPr>
      <w:r w:rsidRPr="00D00665">
        <w:t>(i)</w:t>
      </w:r>
      <w:r w:rsidRPr="00D00665">
        <w:tab/>
        <w:t>New  entities:</w:t>
      </w:r>
    </w:p>
    <w:p w:rsidR="000B4A1E" w:rsidRPr="00D00665" w:rsidRDefault="000B4A1E" w:rsidP="00517E51">
      <w:pPr>
        <w:pStyle w:val="NotesIndent"/>
      </w:pPr>
      <w:r w:rsidRPr="00D00665">
        <w:t>–</w:t>
      </w:r>
      <w:r w:rsidRPr="00D00665">
        <w:tab/>
        <w:t>on 1 July 2012, Independent Broad</w:t>
      </w:r>
      <w:r w:rsidRPr="00D00665">
        <w:noBreakHyphen/>
      </w:r>
      <w:r>
        <w:t>based Anti</w:t>
      </w:r>
      <w:r>
        <w:noBreakHyphen/>
      </w:r>
      <w:r w:rsidRPr="00D00665">
        <w:t xml:space="preserve">corruption Commission commenced operations; on 10 February 2013 following proclamation of the </w:t>
      </w:r>
      <w:r w:rsidRPr="00F16165">
        <w:rPr>
          <w:i w:val="0"/>
        </w:rPr>
        <w:t>Independent Broad</w:t>
      </w:r>
      <w:r w:rsidRPr="00F16165">
        <w:rPr>
          <w:i w:val="0"/>
        </w:rPr>
        <w:noBreakHyphen/>
        <w:t>based Anti</w:t>
      </w:r>
      <w:r w:rsidRPr="00F16165">
        <w:rPr>
          <w:i w:val="0"/>
        </w:rPr>
        <w:noBreakHyphen/>
        <w:t xml:space="preserve"> corruption Amendment (Investigative Functions) Act 2012</w:t>
      </w:r>
      <w:r w:rsidRPr="00D00665">
        <w:t>, the Office of Police Integrity ceased operations.</w:t>
      </w:r>
    </w:p>
    <w:p w:rsidR="000B4A1E" w:rsidRPr="00D00665" w:rsidRDefault="000B4A1E" w:rsidP="00517E51">
      <w:pPr>
        <w:pStyle w:val="NotesIndent"/>
      </w:pPr>
      <w:r w:rsidRPr="00D00665">
        <w:t>–</w:t>
      </w:r>
      <w:r w:rsidRPr="00D00665">
        <w:tab/>
        <w:t>on 1 July 2012,Victorian Inspectorate commenced operations;</w:t>
      </w:r>
    </w:p>
    <w:p w:rsidR="000B4A1E" w:rsidRPr="00D00665" w:rsidRDefault="000B4A1E" w:rsidP="00517E51">
      <w:pPr>
        <w:pStyle w:val="NotesIndent"/>
      </w:pPr>
      <w:r w:rsidRPr="00D00665">
        <w:t>–</w:t>
      </w:r>
      <w:r w:rsidRPr="00D00665">
        <w:tab/>
        <w:t>on 1 July 2012,Victorian Responsible Gambling Foundation commenced operations;</w:t>
      </w:r>
    </w:p>
    <w:p w:rsidR="000B4A1E" w:rsidRPr="00D00665" w:rsidRDefault="000B4A1E" w:rsidP="00517E51">
      <w:pPr>
        <w:pStyle w:val="NotesIndent"/>
      </w:pPr>
      <w:r w:rsidRPr="00D00665">
        <w:t>–</w:t>
      </w:r>
      <w:r w:rsidRPr="00D00665">
        <w:tab/>
        <w:t>on 1 December 2012, Freedom of Information Commissioner commenced operations;</w:t>
      </w:r>
    </w:p>
    <w:p w:rsidR="000B4A1E" w:rsidRPr="00D00665" w:rsidRDefault="000B4A1E" w:rsidP="00517E51">
      <w:pPr>
        <w:pStyle w:val="NotesIndent"/>
      </w:pPr>
      <w:r w:rsidRPr="00D00665">
        <w:t>–</w:t>
      </w:r>
      <w:r w:rsidRPr="00D00665">
        <w:tab/>
        <w:t xml:space="preserve">on 19 December 2012, Fire Services Levy Monitor commenced operations; </w:t>
      </w:r>
    </w:p>
    <w:p w:rsidR="000B4A1E" w:rsidRPr="00D00665" w:rsidRDefault="000B4A1E" w:rsidP="00517E51">
      <w:pPr>
        <w:pStyle w:val="NotesIndent"/>
      </w:pPr>
      <w:r w:rsidRPr="00D00665">
        <w:t>–</w:t>
      </w:r>
      <w:r w:rsidRPr="00D00665">
        <w:tab/>
        <w:t>on 1 July 2013, Victorian Building Authority commence</w:t>
      </w:r>
      <w:r>
        <w:t>d</w:t>
      </w:r>
      <w:r w:rsidRPr="00D00665">
        <w:t xml:space="preserve"> operations; and</w:t>
      </w:r>
    </w:p>
    <w:p w:rsidR="000B4A1E" w:rsidRPr="00D00665" w:rsidRDefault="000B4A1E" w:rsidP="00517E51">
      <w:pPr>
        <w:pStyle w:val="NotesIndent"/>
      </w:pPr>
      <w:r w:rsidRPr="00D00665">
        <w:t>–</w:t>
      </w:r>
      <w:r w:rsidRPr="00D00665">
        <w:tab/>
        <w:t>on 1 March 2013, Commission of Children and Young People commenced operations.</w:t>
      </w:r>
    </w:p>
    <w:p w:rsidR="000B4A1E" w:rsidRDefault="000B4A1E" w:rsidP="00517E51">
      <w:pPr>
        <w:pStyle w:val="Notes"/>
      </w:pPr>
      <w:r w:rsidRPr="00D00665">
        <w:t>(</w:t>
      </w:r>
      <w:r>
        <w:t>j</w:t>
      </w:r>
      <w:r w:rsidRPr="00D00665">
        <w:t>)</w:t>
      </w:r>
      <w:r w:rsidRPr="00D00665">
        <w:tab/>
        <w:t>At 30 June 2013, Public Transport Ticketing Body (Transport Ticketing Authority) ceased to exist and its operations transferred to Public Transport Development Authority (Public Transport Victoria).</w:t>
      </w:r>
    </w:p>
    <w:p w:rsidR="000B4A1E" w:rsidRPr="00D00665" w:rsidRDefault="000B4A1E" w:rsidP="00517E51">
      <w:pPr>
        <w:pStyle w:val="Notes"/>
      </w:pPr>
    </w:p>
    <w:p w:rsidR="000B4A1E" w:rsidRDefault="000B4A1E" w:rsidP="00EC7BE0"/>
    <w:p w:rsidR="000B4A1E" w:rsidRDefault="000B4A1E" w:rsidP="00FE76C7">
      <w:pPr>
        <w:sectPr w:rsidR="000B4A1E" w:rsidSect="00892C4B">
          <w:footerReference w:type="even" r:id="rId24"/>
          <w:footerReference w:type="default" r:id="rId25"/>
          <w:type w:val="oddPage"/>
          <w:pgSz w:w="11906" w:h="16838" w:code="9"/>
          <w:pgMar w:top="1152" w:right="1152" w:bottom="1152" w:left="1152" w:header="720" w:footer="576" w:gutter="0"/>
          <w:cols w:space="708"/>
          <w:docGrid w:linePitch="360"/>
        </w:sectPr>
      </w:pPr>
    </w:p>
    <w:p w:rsidR="000B4A1E" w:rsidRPr="00B8251A" w:rsidRDefault="000B4A1E" w:rsidP="00517E51">
      <w:pPr>
        <w:pStyle w:val="ChapterHeading"/>
      </w:pPr>
      <w:bookmarkStart w:id="204" w:name="_Toc367967898"/>
      <w:r w:rsidRPr="00B8251A">
        <w:lastRenderedPageBreak/>
        <w:t>Chapter 5 – Supplementary Uniform Presentation Framework tables</w:t>
      </w:r>
      <w:bookmarkEnd w:id="204"/>
    </w:p>
    <w:p w:rsidR="000B4A1E" w:rsidRPr="00B8251A" w:rsidRDefault="000B4A1E" w:rsidP="00517E51">
      <w:pPr>
        <w:pStyle w:val="Heading1"/>
      </w:pPr>
      <w:bookmarkStart w:id="205" w:name="_Toc367967899"/>
      <w:r w:rsidRPr="00B8251A">
        <w:t>The accrual Government Finance Statistics presentation</w:t>
      </w:r>
      <w:bookmarkEnd w:id="205"/>
    </w:p>
    <w:p w:rsidR="000B4A1E" w:rsidRPr="00B8251A" w:rsidRDefault="000B4A1E" w:rsidP="00517E51">
      <w:r w:rsidRPr="00B8251A">
        <w:t>The Government Finance Statistics (GFS) system employed by the Australian Bureau of Statistics (ABS) is designed to provide statistics relating to all Australian public sector entities. The statistics show consolidated transactions of the various institutional sectors of government from an economic viewpoint, providing details of the revenue, expenses, payments, receipts, assets and liabilities. It includes only those transactions over which a government exercises control under its legislative or policy framework and excludes from the calculation of net operating balance both revaluations (realised and unrealised gains or losses) arising from a change in market prices, and other changes in the volume of assets that result from discoveries, depletion and destruction of assets. These gains and losses are classified as other economic flows.</w:t>
      </w:r>
    </w:p>
    <w:p w:rsidR="000B4A1E" w:rsidRPr="00B8251A" w:rsidRDefault="000B4A1E" w:rsidP="00517E51">
      <w:pPr>
        <w:pStyle w:val="Heading1"/>
      </w:pPr>
      <w:bookmarkStart w:id="206" w:name="_Toc367967900"/>
      <w:r w:rsidRPr="00B8251A">
        <w:t>Generally accepted accounting principles/Government Finance Statistics harmonisation</w:t>
      </w:r>
      <w:bookmarkEnd w:id="206"/>
    </w:p>
    <w:p w:rsidR="000B4A1E" w:rsidRPr="00B8251A" w:rsidRDefault="000B4A1E" w:rsidP="00517E51">
      <w:r w:rsidRPr="00B8251A">
        <w:t xml:space="preserve">In October 2007, the Australian Accounting Standards Board issued a new standard AASB 1049 </w:t>
      </w:r>
      <w:r w:rsidRPr="00B8251A">
        <w:rPr>
          <w:i/>
        </w:rPr>
        <w:t>Whole of Government and General Government Sector Financial Reporting</w:t>
      </w:r>
      <w:r w:rsidRPr="00B8251A">
        <w:t>, applicable from 1 July 2008. The objective as set out by the Financial Reporting Council in December 2002 is ‘to achieve an Australian accounting standard for a single set of government reports which are auditable, comparable between jurisdictions, and in which the outcome statements are directly comparable with the relevant budget statements’. This new standard incorporates the major elements of the GFS framework, including the presentation formats and key fiscal aggregates, into a standard based on generally</w:t>
      </w:r>
      <w:r>
        <w:t xml:space="preserve"> accepted accounting principles </w:t>
      </w:r>
      <w:r w:rsidRPr="00B8251A">
        <w:t>(GAAP).</w:t>
      </w:r>
    </w:p>
    <w:p w:rsidR="000B4A1E" w:rsidRPr="00B8251A" w:rsidRDefault="000B4A1E" w:rsidP="00517E51">
      <w:r w:rsidRPr="00B8251A">
        <w:t>A revised Uniform Presentation Framework (UPF) was agreed by the Australian Loan Council in March 2008, based on AASB 1049, and similarly applicable from the reporting period commencing 1 July 2008. In addition to the audited Annual Financial Report presented in Chapter 4, the following statements are also required to be presented under the UPF.</w:t>
      </w:r>
    </w:p>
    <w:p w:rsidR="000B4A1E" w:rsidRPr="00B8251A" w:rsidRDefault="000B4A1E" w:rsidP="00517E51"/>
    <w:p w:rsidR="000B4A1E" w:rsidRPr="00B8251A" w:rsidRDefault="000B4A1E">
      <w:pPr>
        <w:spacing w:after="0"/>
        <w:rPr>
          <w:rFonts w:ascii="Calibri" w:hAnsi="Calibri"/>
          <w:b/>
          <w:sz w:val="25"/>
        </w:rPr>
      </w:pPr>
      <w:r w:rsidRPr="00B8251A">
        <w:br w:type="page"/>
      </w:r>
    </w:p>
    <w:p w:rsidR="000B4A1E" w:rsidRPr="00B8251A" w:rsidRDefault="000B4A1E" w:rsidP="00517E51">
      <w:pPr>
        <w:pStyle w:val="Heading2"/>
      </w:pPr>
      <w:r w:rsidRPr="00B8251A">
        <w:lastRenderedPageBreak/>
        <w:t>Financial statements for the non</w:t>
      </w:r>
      <w:r w:rsidRPr="00B8251A">
        <w:noBreakHyphen/>
        <w:t>financial public sector</w:t>
      </w:r>
    </w:p>
    <w:p w:rsidR="000B4A1E" w:rsidRPr="00B8251A" w:rsidRDefault="000B4A1E" w:rsidP="00517E51">
      <w:pPr>
        <w:pStyle w:val="Tableheading"/>
      </w:pPr>
      <w:r w:rsidRPr="00B8251A">
        <w:t>Table 5.1:</w:t>
      </w:r>
      <w:r w:rsidRPr="00B8251A">
        <w:tab/>
        <w:t>Non</w:t>
      </w:r>
      <w:r w:rsidRPr="00B8251A">
        <w:noBreakHyphen/>
        <w:t>financial public sector operating statement for the financial year ended 30 June</w:t>
      </w:r>
    </w:p>
    <w:p w:rsidR="000B4A1E" w:rsidRPr="008062DE" w:rsidRDefault="000B4A1E" w:rsidP="00517E51">
      <w:pPr>
        <w:pStyle w:val="million"/>
      </w:pPr>
      <w:r w:rsidRPr="00B8251A">
        <w:t>($</w:t>
      </w:r>
      <w:r>
        <w:t> million</w:t>
      </w:r>
      <w:r w:rsidRPr="00B8251A">
        <w:t>)</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267"/>
        <w:gridCol w:w="856"/>
        <w:gridCol w:w="1123"/>
      </w:tblGrid>
      <w:tr w:rsidR="000B4A1E" w:rsidRPr="008062DE" w:rsidTr="00517E51">
        <w:trPr>
          <w:cantSplit/>
          <w:tblHeader/>
        </w:trPr>
        <w:tc>
          <w:tcPr>
            <w:tcW w:w="7402" w:type="dxa"/>
            <w:tcBorders>
              <w:top w:val="single" w:sz="4" w:space="0" w:color="auto"/>
              <w:left w:val="single" w:sz="4" w:space="0" w:color="auto"/>
              <w:bottom w:val="single" w:sz="4" w:space="0" w:color="auto"/>
              <w:right w:val="nil"/>
            </w:tcBorders>
            <w:shd w:val="clear" w:color="auto" w:fill="000000"/>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gridSpan w:val="2"/>
            <w:tcBorders>
              <w:top w:val="single" w:sz="4" w:space="0" w:color="auto"/>
              <w:left w:val="nil"/>
              <w:bottom w:val="single" w:sz="4" w:space="0" w:color="auto"/>
              <w:right w:val="nil"/>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2013</w:t>
            </w:r>
          </w:p>
        </w:tc>
        <w:tc>
          <w:tcPr>
            <w:tcW w:w="1123" w:type="dxa"/>
            <w:tcBorders>
              <w:top w:val="single" w:sz="4" w:space="0" w:color="auto"/>
              <w:left w:val="nil"/>
              <w:bottom w:val="single" w:sz="4" w:space="0" w:color="auto"/>
              <w:right w:val="single" w:sz="4" w:space="0" w:color="auto"/>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2012</w:t>
            </w:r>
          </w:p>
        </w:tc>
      </w:tr>
      <w:tr w:rsidR="000B4A1E" w:rsidRPr="008062DE" w:rsidTr="00517E51">
        <w:tc>
          <w:tcPr>
            <w:tcW w:w="7402" w:type="dxa"/>
            <w:tcBorders>
              <w:top w:val="single" w:sz="4" w:space="0" w:color="auto"/>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Revenue from transactions</w:t>
            </w:r>
          </w:p>
        </w:tc>
        <w:tc>
          <w:tcPr>
            <w:tcW w:w="1123" w:type="dxa"/>
            <w:gridSpan w:val="2"/>
            <w:tcBorders>
              <w:top w:val="single" w:sz="4" w:space="0" w:color="auto"/>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c>
          <w:tcPr>
            <w:tcW w:w="1123" w:type="dxa"/>
            <w:tcBorders>
              <w:top w:val="single" w:sz="4" w:space="0" w:color="auto"/>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Taxation revenue</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15 198.9</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14 789.5</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Interest</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435.0</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528.0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Dividends and income tax equivalent and rate equivalent revenue</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609.4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457.1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Sales of goods and services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9 826.4</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9 626.9</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Grants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21 879.2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22 559.4</w:t>
            </w:r>
          </w:p>
        </w:tc>
      </w:tr>
      <w:tr w:rsidR="000B4A1E" w:rsidRPr="008062DE" w:rsidTr="00517E51">
        <w:tc>
          <w:tcPr>
            <w:tcW w:w="7402" w:type="dxa"/>
            <w:tcBorders>
              <w:top w:val="nil"/>
              <w:left w:val="nil"/>
              <w:bottom w:val="single" w:sz="6" w:space="0" w:color="auto"/>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Other revenue</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2 728.9</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2 788.2</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Total revenue from transactions</w:t>
            </w:r>
          </w:p>
        </w:tc>
        <w:tc>
          <w:tcPr>
            <w:tcW w:w="1123" w:type="dxa"/>
            <w:gridSpan w:val="2"/>
            <w:tcBorders>
              <w:top w:val="single" w:sz="6" w:space="0" w:color="auto"/>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50 677.8</w:t>
            </w:r>
          </w:p>
        </w:tc>
        <w:tc>
          <w:tcPr>
            <w:tcW w:w="1123" w:type="dxa"/>
            <w:tcBorders>
              <w:top w:val="single" w:sz="6" w:space="0" w:color="auto"/>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50 749.1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Expenses from transactions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Employee expenses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18 778.0</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18 058.4</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Net superannuation interest expense</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443.8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808.4</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Other superannuation</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2 016.9</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1 935.9</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Depreciation</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4 092.4</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3 842.6</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Interest expense</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2 433.8</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1 928.0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Grants and other transfers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5 399.1</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5 721.0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Other operating expenses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18 580.9</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18 408.9</w:t>
            </w:r>
          </w:p>
        </w:tc>
      </w:tr>
      <w:tr w:rsidR="000B4A1E" w:rsidRPr="008062DE" w:rsidTr="00517E51">
        <w:tc>
          <w:tcPr>
            <w:tcW w:w="7402" w:type="dxa"/>
            <w:tcBorders>
              <w:top w:val="single" w:sz="6" w:space="0" w:color="auto"/>
              <w:left w:val="nil"/>
              <w:bottom w:val="single" w:sz="6"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Total expenses from transactions</w:t>
            </w:r>
          </w:p>
        </w:tc>
        <w:tc>
          <w:tcPr>
            <w:tcW w:w="1123" w:type="dxa"/>
            <w:gridSpan w:val="2"/>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51 744.7</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50 703.3</w:t>
            </w:r>
          </w:p>
        </w:tc>
      </w:tr>
      <w:tr w:rsidR="000B4A1E" w:rsidRPr="008062DE" w:rsidTr="00517E51">
        <w:tc>
          <w:tcPr>
            <w:tcW w:w="7402" w:type="dxa"/>
            <w:tcBorders>
              <w:top w:val="single" w:sz="6" w:space="0" w:color="auto"/>
              <w:left w:val="nil"/>
              <w:bottom w:val="single" w:sz="12"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Net result from transactions</w:t>
            </w:r>
            <w:r>
              <w:rPr>
                <w:rFonts w:eastAsiaTheme="minorEastAsia"/>
                <w:b/>
                <w:bCs/>
                <w:lang w:eastAsia="en-AU"/>
              </w:rPr>
              <w:t xml:space="preserve"> – </w:t>
            </w:r>
            <w:r w:rsidRPr="008062DE">
              <w:rPr>
                <w:rFonts w:eastAsiaTheme="minorEastAsia"/>
                <w:b/>
                <w:bCs/>
                <w:lang w:eastAsia="en-AU"/>
              </w:rPr>
              <w:t>net operating balance</w:t>
            </w:r>
          </w:p>
        </w:tc>
        <w:tc>
          <w:tcPr>
            <w:tcW w:w="1123" w:type="dxa"/>
            <w:gridSpan w:val="2"/>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b/>
                <w:bCs/>
                <w:lang w:eastAsia="en-AU"/>
              </w:rPr>
              <w:t>(1 066.9)</w:t>
            </w:r>
          </w:p>
        </w:tc>
        <w:tc>
          <w:tcPr>
            <w:tcW w:w="1123"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45.8</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Other economic flows included in net result</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Net gain/(loss) on sale of non-financial assets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21.1</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( 101.6)</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Net gain/(loss) on financial assets or liabilities at fair value</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( 29.5)</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( 674.8)</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Net actuarial gains/(losses) of superannuation defined benefits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7 356.8</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(9 389.2)</w:t>
            </w:r>
          </w:p>
        </w:tc>
      </w:tr>
      <w:tr w:rsidR="000B4A1E" w:rsidRPr="008062DE" w:rsidTr="00517E51">
        <w:tc>
          <w:tcPr>
            <w:tcW w:w="7669" w:type="dxa"/>
            <w:gridSpan w:val="2"/>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Share of net profit/(loss) from associates/joint venture entities, excluding dividends</w:t>
            </w:r>
          </w:p>
        </w:tc>
        <w:tc>
          <w:tcPr>
            <w:tcW w:w="856"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( 83.4)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cs="Calibri"/>
                <w:color w:val="000000"/>
                <w:szCs w:val="22"/>
                <w:vertAlign w:val="superscript"/>
                <w:lang w:eastAsia="en-AU"/>
              </w:rPr>
            </w:pPr>
            <w:r w:rsidRPr="008062DE">
              <w:rPr>
                <w:rFonts w:eastAsiaTheme="minorEastAsia"/>
                <w:lang w:eastAsia="en-AU"/>
              </w:rPr>
              <w:t xml:space="preserve">Other gains/(losses) from other economic flows </w:t>
            </w:r>
            <w:r>
              <w:rPr>
                <w:rFonts w:eastAsiaTheme="minorEastAsia" w:cs="Calibri"/>
                <w:color w:val="000000"/>
                <w:szCs w:val="22"/>
                <w:vertAlign w:val="superscript"/>
                <w:lang w:eastAsia="en-AU"/>
              </w:rPr>
              <w:t>(a</w:t>
            </w:r>
            <w:r w:rsidRPr="008062DE">
              <w:rPr>
                <w:rFonts w:eastAsiaTheme="minorEastAsia" w:cs="Calibri"/>
                <w:color w:val="000000"/>
                <w:szCs w:val="22"/>
                <w:vertAlign w:val="superscript"/>
                <w:lang w:eastAsia="en-AU"/>
              </w:rPr>
              <w:t>)</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( 381.6)</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( 303.9</w:t>
            </w:r>
            <w:r w:rsidRPr="008062DE">
              <w:rPr>
                <w:rFonts w:eastAsiaTheme="minorEastAsia" w:cs="Calibri"/>
                <w:szCs w:val="22"/>
                <w:lang w:eastAsia="en-AU"/>
              </w:rPr>
              <w:t>)</w:t>
            </w:r>
          </w:p>
        </w:tc>
      </w:tr>
      <w:tr w:rsidR="000B4A1E" w:rsidRPr="008062DE" w:rsidTr="00517E51">
        <w:tc>
          <w:tcPr>
            <w:tcW w:w="7402" w:type="dxa"/>
            <w:tcBorders>
              <w:top w:val="single" w:sz="6" w:space="0" w:color="auto"/>
              <w:left w:val="nil"/>
              <w:bottom w:val="single" w:sz="6"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Total other economic flows included in net result</w:t>
            </w:r>
          </w:p>
        </w:tc>
        <w:tc>
          <w:tcPr>
            <w:tcW w:w="1123" w:type="dxa"/>
            <w:gridSpan w:val="2"/>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6 883.4</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b/>
                <w:bCs/>
                <w:lang w:eastAsia="en-AU"/>
              </w:rPr>
              <w:t>(10 464.4)</w:t>
            </w:r>
          </w:p>
        </w:tc>
      </w:tr>
      <w:tr w:rsidR="000B4A1E" w:rsidRPr="008062DE" w:rsidTr="00517E51">
        <w:tc>
          <w:tcPr>
            <w:tcW w:w="7402" w:type="dxa"/>
            <w:tcBorders>
              <w:top w:val="single" w:sz="6" w:space="0" w:color="auto"/>
              <w:left w:val="nil"/>
              <w:bottom w:val="single" w:sz="6"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Net result</w:t>
            </w:r>
          </w:p>
        </w:tc>
        <w:tc>
          <w:tcPr>
            <w:tcW w:w="1123" w:type="dxa"/>
            <w:gridSpan w:val="2"/>
            <w:tcBorders>
              <w:top w:val="nil"/>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5 816.5</w:t>
            </w:r>
          </w:p>
        </w:tc>
        <w:tc>
          <w:tcPr>
            <w:tcW w:w="1123" w:type="dxa"/>
            <w:tcBorders>
              <w:top w:val="nil"/>
              <w:left w:val="nil"/>
              <w:bottom w:val="single" w:sz="6" w:space="0" w:color="auto"/>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b/>
                <w:bCs/>
                <w:lang w:eastAsia="en-AU"/>
              </w:rPr>
              <w:t>(10 418.6)</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cs="Calibri"/>
                <w:b/>
                <w:bCs/>
                <w:color w:val="000000"/>
                <w:szCs w:val="22"/>
                <w:vertAlign w:val="superscript"/>
                <w:lang w:eastAsia="en-AU"/>
              </w:rPr>
            </w:pPr>
            <w:r w:rsidRPr="008062DE">
              <w:rPr>
                <w:rFonts w:eastAsiaTheme="minorEastAsia"/>
                <w:b/>
                <w:bCs/>
                <w:lang w:eastAsia="en-AU"/>
              </w:rPr>
              <w:t>Other economic flows – other comprehensive income</w:t>
            </w:r>
            <w:r w:rsidRPr="008062DE">
              <w:rPr>
                <w:rFonts w:eastAsiaTheme="minorEastAsia"/>
                <w:b/>
                <w:bCs/>
                <w:vertAlign w:val="superscript"/>
                <w:lang w:eastAsia="en-AU"/>
              </w:rPr>
              <w:t xml:space="preserve"> </w:t>
            </w:r>
            <w:r w:rsidRPr="008062DE">
              <w:rPr>
                <w:rFonts w:eastAsiaTheme="minorEastAsia" w:cs="Calibri"/>
                <w:b/>
                <w:bCs/>
                <w:color w:val="000000"/>
                <w:szCs w:val="22"/>
                <w:vertAlign w:val="superscript"/>
                <w:lang w:eastAsia="en-AU"/>
              </w:rPr>
              <w:t>(a)(b)</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Items that will not be reclassified to net result</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Changes in non-financial assets revaluation surplus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796.4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2 026.3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Net gain/(loss) on equity investments in other sector entities at proportional share of the carrying amount of net assets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897.0</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( 81.3</w:t>
            </w:r>
            <w:r w:rsidRPr="008062DE">
              <w:rPr>
                <w:rFonts w:eastAsiaTheme="minorEastAsia" w:cs="Calibri"/>
                <w:szCs w:val="22"/>
                <w:lang w:eastAsia="en-AU"/>
              </w:rPr>
              <w:t>)</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Other movements in equity</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395.4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248.7</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Items that may be reclassified subsequently to net results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Net gain/(loss) on financial assets at fair value</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84.0</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( 22.2</w:t>
            </w:r>
            <w:r w:rsidRPr="008062DE">
              <w:rPr>
                <w:rFonts w:eastAsiaTheme="minorEastAsia" w:cs="Calibri"/>
                <w:szCs w:val="22"/>
                <w:lang w:eastAsia="en-AU"/>
              </w:rPr>
              <w:t>)</w:t>
            </w:r>
          </w:p>
        </w:tc>
      </w:tr>
      <w:tr w:rsidR="000B4A1E" w:rsidRPr="008062DE" w:rsidTr="00517E51">
        <w:tc>
          <w:tcPr>
            <w:tcW w:w="7402" w:type="dxa"/>
            <w:tcBorders>
              <w:top w:val="single" w:sz="6" w:space="0" w:color="auto"/>
              <w:left w:val="nil"/>
              <w:bottom w:val="single" w:sz="6"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Total other economic flows – other movements in equity</w:t>
            </w:r>
          </w:p>
        </w:tc>
        <w:tc>
          <w:tcPr>
            <w:tcW w:w="1123" w:type="dxa"/>
            <w:gridSpan w:val="2"/>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b/>
                <w:bCs/>
                <w:lang w:eastAsia="en-AU"/>
              </w:rPr>
              <w:t>2 172.9</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2 171.5</w:t>
            </w:r>
          </w:p>
        </w:tc>
      </w:tr>
      <w:tr w:rsidR="000B4A1E" w:rsidRPr="008062DE" w:rsidTr="00517E51">
        <w:tc>
          <w:tcPr>
            <w:tcW w:w="7402" w:type="dxa"/>
            <w:tcBorders>
              <w:top w:val="single" w:sz="6" w:space="0" w:color="auto"/>
              <w:left w:val="nil"/>
              <w:bottom w:val="single" w:sz="12"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Comprehensive result – total change in net worth</w:t>
            </w:r>
          </w:p>
        </w:tc>
        <w:tc>
          <w:tcPr>
            <w:tcW w:w="1123" w:type="dxa"/>
            <w:gridSpan w:val="2"/>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7 989.3</w:t>
            </w:r>
          </w:p>
        </w:tc>
        <w:tc>
          <w:tcPr>
            <w:tcW w:w="1123"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(8 247.1)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i/>
                <w:iCs/>
                <w:lang w:eastAsia="en-AU"/>
              </w:rPr>
            </w:pPr>
            <w:r w:rsidRPr="008062DE">
              <w:rPr>
                <w:rFonts w:eastAsiaTheme="minorEastAsia"/>
                <w:i/>
                <w:iCs/>
                <w:lang w:eastAsia="en-AU"/>
              </w:rPr>
              <w:t xml:space="preserve">    </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FISCAL AGGREGATES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Net operating balance</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b/>
                <w:bCs/>
                <w:lang w:eastAsia="en-AU"/>
              </w:rPr>
              <w:t>(1 066.9)</w:t>
            </w:r>
          </w:p>
        </w:tc>
        <w:tc>
          <w:tcPr>
            <w:tcW w:w="1123" w:type="dxa"/>
            <w:tcBorders>
              <w:top w:val="nil"/>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45.8</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Net acquisition of non-financial assets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Purchases of non-financial assets (including change in inventories)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7 816.6</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7 455.4</w:t>
            </w:r>
          </w:p>
        </w:tc>
      </w:tr>
      <w:tr w:rsidR="000B4A1E" w:rsidRPr="008062DE" w:rsidTr="001C7CDE">
        <w:tc>
          <w:tcPr>
            <w:tcW w:w="7402" w:type="dxa"/>
            <w:tcBorders>
              <w:top w:val="nil"/>
              <w:left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Less: Sales of non-financial assets</w:t>
            </w:r>
          </w:p>
        </w:tc>
        <w:tc>
          <w:tcPr>
            <w:tcW w:w="1123" w:type="dxa"/>
            <w:gridSpan w:val="2"/>
            <w:tcBorders>
              <w:top w:val="nil"/>
              <w:left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( 404.4)</w:t>
            </w:r>
          </w:p>
        </w:tc>
        <w:tc>
          <w:tcPr>
            <w:tcW w:w="1123" w:type="dxa"/>
            <w:tcBorders>
              <w:top w:val="nil"/>
              <w:left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( 289.3)</w:t>
            </w:r>
          </w:p>
        </w:tc>
      </w:tr>
      <w:tr w:rsidR="000B4A1E" w:rsidRPr="008062DE" w:rsidTr="001C7CDE">
        <w:tc>
          <w:tcPr>
            <w:tcW w:w="7402" w:type="dxa"/>
            <w:tcBorders>
              <w:top w:val="nil"/>
              <w:left w:val="nil"/>
              <w:bottom w:val="single" w:sz="12" w:space="0" w:color="auto"/>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Less: Depreciation</w:t>
            </w:r>
          </w:p>
        </w:tc>
        <w:tc>
          <w:tcPr>
            <w:tcW w:w="1123" w:type="dxa"/>
            <w:gridSpan w:val="2"/>
            <w:tcBorders>
              <w:top w:val="nil"/>
              <w:left w:val="nil"/>
              <w:bottom w:val="single" w:sz="12" w:space="0" w:color="auto"/>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(4 092.4)</w:t>
            </w:r>
          </w:p>
        </w:tc>
        <w:tc>
          <w:tcPr>
            <w:tcW w:w="1123" w:type="dxa"/>
            <w:tcBorders>
              <w:top w:val="nil"/>
              <w:left w:val="nil"/>
              <w:bottom w:val="single" w:sz="12" w:space="0" w:color="auto"/>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(3 842.6)</w:t>
            </w:r>
          </w:p>
        </w:tc>
      </w:tr>
    </w:tbl>
    <w:p w:rsidR="000B4A1E" w:rsidRDefault="000B4A1E">
      <w:r>
        <w:br w:type="page"/>
      </w:r>
    </w:p>
    <w:p w:rsidR="000B4A1E" w:rsidRPr="00B8251A" w:rsidRDefault="000B4A1E" w:rsidP="00517E51">
      <w:pPr>
        <w:pStyle w:val="Tableheading"/>
      </w:pPr>
      <w:r w:rsidRPr="00B8251A">
        <w:lastRenderedPageBreak/>
        <w:t>Table 5.1:</w:t>
      </w:r>
      <w:r w:rsidRPr="00B8251A">
        <w:tab/>
        <w:t>Non</w:t>
      </w:r>
      <w:r w:rsidRPr="00B8251A">
        <w:noBreakHyphen/>
        <w:t>financial public sector operating statement for the financial year ended 30 June</w:t>
      </w:r>
      <w:r>
        <w:t xml:space="preserve"> </w:t>
      </w:r>
      <w:r w:rsidRPr="00D12EB0">
        <w:rPr>
          <w:i/>
        </w:rPr>
        <w:t>(continued)</w:t>
      </w:r>
    </w:p>
    <w:p w:rsidR="000B4A1E" w:rsidRDefault="000B4A1E" w:rsidP="00517E51">
      <w:pPr>
        <w:pStyle w:val="million"/>
      </w:pPr>
      <w:r>
        <w:t>($ million)</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0B4A1E" w:rsidRPr="008062DE" w:rsidTr="00517E51">
        <w:tc>
          <w:tcPr>
            <w:tcW w:w="7402" w:type="dxa"/>
            <w:tcBorders>
              <w:top w:val="nil"/>
              <w:left w:val="nil"/>
              <w:bottom w:val="nil"/>
              <w:right w:val="nil"/>
            </w:tcBorders>
            <w:shd w:val="clear" w:color="auto" w:fill="000000"/>
          </w:tcPr>
          <w:p w:rsidR="000B4A1E" w:rsidRPr="008062DE" w:rsidRDefault="000B4A1E" w:rsidP="00517E51">
            <w:pPr>
              <w:pStyle w:val="Tabletext"/>
              <w:ind w:left="187" w:hanging="187"/>
              <w:rPr>
                <w:rFonts w:eastAsiaTheme="minorEastAsia"/>
                <w:lang w:eastAsia="en-AU"/>
              </w:rPr>
            </w:pPr>
            <w:r w:rsidRPr="008062DE">
              <w:rPr>
                <w:rFonts w:eastAsiaTheme="minorEastAsia"/>
                <w:lang w:eastAsia="en-AU"/>
              </w:rPr>
              <w:t xml:space="preserve">   </w:t>
            </w:r>
          </w:p>
        </w:tc>
        <w:tc>
          <w:tcPr>
            <w:tcW w:w="1123" w:type="dxa"/>
            <w:tcBorders>
              <w:top w:val="nil"/>
              <w:left w:val="nil"/>
              <w:bottom w:val="nil"/>
              <w:right w:val="nil"/>
            </w:tcBorders>
            <w:shd w:val="clear" w:color="auto" w:fill="000000"/>
          </w:tcPr>
          <w:p w:rsidR="000B4A1E" w:rsidRPr="008062DE" w:rsidRDefault="000B4A1E" w:rsidP="00517E51">
            <w:pPr>
              <w:pStyle w:val="TableofFigures"/>
              <w:rPr>
                <w:rFonts w:eastAsiaTheme="minorEastAsia"/>
                <w:lang w:eastAsia="en-AU"/>
              </w:rPr>
            </w:pPr>
            <w:r w:rsidRPr="008062DE">
              <w:rPr>
                <w:rFonts w:eastAsiaTheme="minorEastAsia"/>
                <w:lang w:eastAsia="en-AU"/>
              </w:rPr>
              <w:t>2013</w:t>
            </w:r>
          </w:p>
        </w:tc>
        <w:tc>
          <w:tcPr>
            <w:tcW w:w="1123" w:type="dxa"/>
            <w:tcBorders>
              <w:top w:val="nil"/>
              <w:left w:val="nil"/>
              <w:bottom w:val="nil"/>
              <w:right w:val="nil"/>
            </w:tcBorders>
            <w:shd w:val="clear" w:color="auto" w:fill="000000"/>
          </w:tcPr>
          <w:p w:rsidR="000B4A1E" w:rsidRPr="008062DE" w:rsidRDefault="000B4A1E" w:rsidP="00517E51">
            <w:pPr>
              <w:pStyle w:val="TableofFigures"/>
              <w:rPr>
                <w:rFonts w:eastAsiaTheme="minorEastAsia"/>
                <w:lang w:eastAsia="en-AU"/>
              </w:rPr>
            </w:pPr>
            <w:r w:rsidRPr="008062DE">
              <w:rPr>
                <w:rFonts w:eastAsiaTheme="minorEastAsia"/>
                <w:lang w:eastAsia="en-AU"/>
              </w:rPr>
              <w:t>2012</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ind w:left="187" w:hanging="187"/>
              <w:rPr>
                <w:rFonts w:eastAsiaTheme="minorEastAsia"/>
                <w:lang w:eastAsia="en-AU"/>
              </w:rPr>
            </w:pPr>
            <w:r w:rsidRPr="008062DE">
              <w:rPr>
                <w:rFonts w:eastAsiaTheme="minorEastAsia"/>
                <w:lang w:eastAsia="en-AU"/>
              </w:rPr>
              <w:t>Plus: Other movements in non-financial assets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5 526.4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1 322.4</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Less: Net acquisition of non-financial assets from transactions</w:t>
            </w:r>
          </w:p>
        </w:tc>
        <w:tc>
          <w:tcPr>
            <w:tcW w:w="1123" w:type="dxa"/>
            <w:tcBorders>
              <w:top w:val="nil"/>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8 846.3</w:t>
            </w:r>
          </w:p>
        </w:tc>
        <w:tc>
          <w:tcPr>
            <w:tcW w:w="1123" w:type="dxa"/>
            <w:tcBorders>
              <w:top w:val="nil"/>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4 645.9</w:t>
            </w:r>
          </w:p>
        </w:tc>
      </w:tr>
      <w:tr w:rsidR="000B4A1E" w:rsidRPr="008062DE" w:rsidTr="00517E51">
        <w:tc>
          <w:tcPr>
            <w:tcW w:w="7402" w:type="dxa"/>
            <w:tcBorders>
              <w:top w:val="single" w:sz="6" w:space="0" w:color="auto"/>
              <w:left w:val="nil"/>
              <w:bottom w:val="single" w:sz="12"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Net lending/(borrowing)</w:t>
            </w:r>
          </w:p>
        </w:tc>
        <w:tc>
          <w:tcPr>
            <w:tcW w:w="1123"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(9 913.2)</w:t>
            </w:r>
          </w:p>
        </w:tc>
        <w:tc>
          <w:tcPr>
            <w:tcW w:w="1123"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(4 600.2)</w:t>
            </w:r>
          </w:p>
        </w:tc>
      </w:tr>
    </w:tbl>
    <w:p w:rsidR="000B4A1E" w:rsidRPr="00B8251A" w:rsidRDefault="000B4A1E" w:rsidP="00517E51">
      <w:pPr>
        <w:pStyle w:val="Source"/>
      </w:pPr>
      <w:r w:rsidRPr="00B8251A">
        <w:t>Source: Department of Treasury and Finance</w:t>
      </w:r>
    </w:p>
    <w:p w:rsidR="000B4A1E" w:rsidRDefault="000B4A1E" w:rsidP="00517E51">
      <w:pPr>
        <w:pStyle w:val="Notes"/>
      </w:pPr>
      <w:r w:rsidRPr="005A7432">
        <w:t>Note</w:t>
      </w:r>
      <w:r>
        <w:t>s</w:t>
      </w:r>
      <w:r w:rsidRPr="005A7432">
        <w:t>:</w:t>
      </w:r>
    </w:p>
    <w:p w:rsidR="000B4A1E" w:rsidRDefault="000B4A1E" w:rsidP="002E6FCB">
      <w:pPr>
        <w:pStyle w:val="Notes"/>
      </w:pPr>
      <w:r>
        <w:t>(a</w:t>
      </w:r>
      <w:r w:rsidRPr="005A7432">
        <w:t>)</w:t>
      </w:r>
      <w:r>
        <w:tab/>
      </w:r>
      <w:r w:rsidRPr="005A7432">
        <w:t>Restated balances at 30 June 2012. Refer to Note 36</w:t>
      </w:r>
      <w:r>
        <w:t xml:space="preserve">, Chapter 4 </w:t>
      </w:r>
      <w:r>
        <w:rPr>
          <w:i w:val="0"/>
        </w:rPr>
        <w:t>Annual Financial Report</w:t>
      </w:r>
      <w:r w:rsidRPr="005A7432">
        <w:t>.</w:t>
      </w:r>
    </w:p>
    <w:p w:rsidR="000B4A1E" w:rsidRDefault="000B4A1E" w:rsidP="002E6FCB">
      <w:pPr>
        <w:pStyle w:val="Notes"/>
      </w:pPr>
      <w:r>
        <w:t>(b)</w:t>
      </w:r>
      <w:r>
        <w:tab/>
      </w:r>
      <w:r w:rsidRPr="005E6C3B">
        <w:t xml:space="preserve">The changed item description 'other economic flows – other comprehensive income' and related inclusion of </w:t>
      </w:r>
      <w:r>
        <w:t xml:space="preserve">sub headings are due to the new </w:t>
      </w:r>
      <w:r w:rsidRPr="005E6C3B">
        <w:t xml:space="preserve">requirements of AASB 101 </w:t>
      </w:r>
      <w:r w:rsidRPr="003065F4">
        <w:rPr>
          <w:i w:val="0"/>
        </w:rPr>
        <w:t>Presentation of Financial Statements</w:t>
      </w:r>
      <w:r w:rsidRPr="005E6C3B">
        <w:t xml:space="preserve"> and AASB 1049 </w:t>
      </w:r>
      <w:r w:rsidRPr="003065F4">
        <w:rPr>
          <w:i w:val="0"/>
        </w:rPr>
        <w:t>Whole of Government and General Government Sector Financial Reporting</w:t>
      </w:r>
      <w:r w:rsidRPr="005E6C3B">
        <w:t>.</w:t>
      </w:r>
    </w:p>
    <w:p w:rsidR="000B4A1E" w:rsidRPr="005A7432" w:rsidRDefault="000B4A1E" w:rsidP="00517E51">
      <w:pPr>
        <w:pStyle w:val="Notes"/>
      </w:pPr>
      <w:r w:rsidRPr="00B8251A">
        <w:br w:type="page"/>
      </w:r>
    </w:p>
    <w:p w:rsidR="000B4A1E" w:rsidRPr="00B8251A" w:rsidRDefault="000B4A1E" w:rsidP="00517E51">
      <w:pPr>
        <w:pStyle w:val="Tableheading"/>
      </w:pPr>
      <w:r w:rsidRPr="00B8251A">
        <w:lastRenderedPageBreak/>
        <w:t>Table 5.2:</w:t>
      </w:r>
      <w:r w:rsidRPr="00B8251A">
        <w:tab/>
        <w:t>Non</w:t>
      </w:r>
      <w:r w:rsidRPr="00B8251A">
        <w:noBreakHyphen/>
        <w:t>financial public sector balance sheet for the financial year ended 30 June</w:t>
      </w:r>
    </w:p>
    <w:p w:rsidR="000B4A1E" w:rsidRPr="008062DE" w:rsidRDefault="000B4A1E" w:rsidP="00517E51">
      <w:pPr>
        <w:pStyle w:val="million"/>
      </w:pPr>
      <w:r w:rsidRPr="00B8251A">
        <w:t>($</w:t>
      </w:r>
      <w:r>
        <w:t> million</w:t>
      </w:r>
      <w:r w:rsidRPr="00B8251A">
        <w:t>)</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0B4A1E" w:rsidRPr="008062DE" w:rsidTr="00517E51">
        <w:tc>
          <w:tcPr>
            <w:tcW w:w="7402" w:type="dxa"/>
            <w:tcBorders>
              <w:top w:val="single" w:sz="4" w:space="0" w:color="auto"/>
              <w:left w:val="single" w:sz="4" w:space="0" w:color="auto"/>
              <w:bottom w:val="single" w:sz="4" w:space="0" w:color="auto"/>
              <w:right w:val="nil"/>
            </w:tcBorders>
            <w:shd w:val="clear" w:color="auto" w:fill="000000"/>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tcBorders>
              <w:top w:val="single" w:sz="4" w:space="0" w:color="auto"/>
              <w:left w:val="nil"/>
              <w:bottom w:val="single" w:sz="4" w:space="0" w:color="auto"/>
              <w:right w:val="nil"/>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2013</w:t>
            </w:r>
          </w:p>
        </w:tc>
        <w:tc>
          <w:tcPr>
            <w:tcW w:w="1123" w:type="dxa"/>
            <w:tcBorders>
              <w:top w:val="single" w:sz="4" w:space="0" w:color="auto"/>
              <w:left w:val="nil"/>
              <w:bottom w:val="single" w:sz="4" w:space="0" w:color="auto"/>
              <w:right w:val="single" w:sz="4" w:space="0" w:color="auto"/>
            </w:tcBorders>
            <w:shd w:val="clear" w:color="auto" w:fill="000000"/>
          </w:tcPr>
          <w:p w:rsidR="000B4A1E" w:rsidRPr="008062DE" w:rsidRDefault="000B4A1E" w:rsidP="00517E51">
            <w:pPr>
              <w:pStyle w:val="Tabletextheading"/>
              <w:rPr>
                <w:rFonts w:eastAsiaTheme="minorEastAsia" w:cs="Calibri"/>
                <w:iCs/>
                <w:color w:val="FFFFFF"/>
                <w:szCs w:val="22"/>
                <w:vertAlign w:val="superscript"/>
                <w:lang w:eastAsia="en-AU"/>
              </w:rPr>
            </w:pPr>
            <w:r w:rsidRPr="008062DE">
              <w:rPr>
                <w:rFonts w:eastAsiaTheme="minorEastAsia"/>
                <w:lang w:eastAsia="en-AU"/>
              </w:rPr>
              <w:t>2012</w:t>
            </w:r>
            <w:r w:rsidRPr="008062DE">
              <w:rPr>
                <w:rFonts w:eastAsiaTheme="minorEastAsia"/>
                <w:vertAlign w:val="superscript"/>
                <w:lang w:eastAsia="en-AU"/>
              </w:rPr>
              <w:t xml:space="preserve"> </w:t>
            </w:r>
            <w:r w:rsidRPr="008062DE">
              <w:rPr>
                <w:rFonts w:eastAsiaTheme="minorEastAsia" w:cs="Calibri"/>
                <w:iCs/>
                <w:color w:val="FFFFFF"/>
                <w:szCs w:val="22"/>
                <w:vertAlign w:val="superscript"/>
                <w:lang w:eastAsia="en-AU"/>
              </w:rPr>
              <w:t>(a)</w:t>
            </w:r>
          </w:p>
        </w:tc>
      </w:tr>
      <w:tr w:rsidR="000B4A1E" w:rsidRPr="008062DE" w:rsidTr="00517E51">
        <w:tc>
          <w:tcPr>
            <w:tcW w:w="7402" w:type="dxa"/>
            <w:tcBorders>
              <w:top w:val="single" w:sz="4" w:space="0" w:color="auto"/>
              <w:right w:val="nil"/>
            </w:tcBorders>
            <w:shd w:val="clear" w:color="auto" w:fill="auto"/>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Assets</w:t>
            </w:r>
          </w:p>
        </w:tc>
        <w:tc>
          <w:tcPr>
            <w:tcW w:w="1123" w:type="dxa"/>
            <w:tcBorders>
              <w:top w:val="single" w:sz="4" w:space="0" w:color="auto"/>
              <w:left w:val="nil"/>
              <w:right w:val="nil"/>
            </w:tcBorders>
            <w:shd w:val="clear" w:color="auto" w:fill="auto"/>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c>
          <w:tcPr>
            <w:tcW w:w="1123" w:type="dxa"/>
            <w:tcBorders>
              <w:top w:val="single" w:sz="4" w:space="0" w:color="auto"/>
              <w:left w:val="nil"/>
            </w:tcBorders>
            <w:shd w:val="clear" w:color="auto" w:fill="auto"/>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r>
      <w:tr w:rsidR="000B4A1E" w:rsidRPr="008062DE" w:rsidTr="00517E51">
        <w:tc>
          <w:tcPr>
            <w:tcW w:w="7402" w:type="dxa"/>
            <w:tcBorders>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Financial assets</w:t>
            </w:r>
          </w:p>
        </w:tc>
        <w:tc>
          <w:tcPr>
            <w:tcW w:w="1123" w:type="dxa"/>
            <w:tcBorders>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c>
          <w:tcPr>
            <w:tcW w:w="1123" w:type="dxa"/>
            <w:tcBorders>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cs="Calibri"/>
                <w:color w:val="000000"/>
                <w:szCs w:val="22"/>
                <w:vertAlign w:val="superscript"/>
                <w:lang w:eastAsia="en-AU"/>
              </w:rPr>
            </w:pPr>
            <w:r w:rsidRPr="008062DE">
              <w:rPr>
                <w:rFonts w:eastAsiaTheme="minorEastAsia"/>
                <w:lang w:eastAsia="en-AU"/>
              </w:rPr>
              <w:t xml:space="preserve">Cash and deposits </w:t>
            </w:r>
            <w:r w:rsidRPr="008062DE">
              <w:rPr>
                <w:rFonts w:eastAsiaTheme="minorEastAsia" w:cs="Calibri"/>
                <w:color w:val="000000"/>
                <w:szCs w:val="22"/>
                <w:vertAlign w:val="superscript"/>
                <w:lang w:eastAsia="en-AU"/>
              </w:rPr>
              <w:t>(b)</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4 759.9</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5 775.1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Advances paid</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72.1</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88.6</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Receivables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4 985.3</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4 166.4</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Investments, loans and placements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4 439.6</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3 282.0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Investments accounted for using the equity method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1 666.1</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1 664.7</w:t>
            </w:r>
          </w:p>
        </w:tc>
      </w:tr>
      <w:tr w:rsidR="000B4A1E" w:rsidRPr="008062DE" w:rsidTr="00517E51">
        <w:tc>
          <w:tcPr>
            <w:tcW w:w="7402" w:type="dxa"/>
            <w:tcBorders>
              <w:top w:val="nil"/>
              <w:left w:val="nil"/>
              <w:bottom w:val="single" w:sz="6" w:space="0" w:color="auto"/>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Investments in other sector entities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1 949.3</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1 055.4</w:t>
            </w:r>
          </w:p>
        </w:tc>
      </w:tr>
      <w:tr w:rsidR="000B4A1E" w:rsidRPr="008062DE" w:rsidTr="00517E51">
        <w:tc>
          <w:tcPr>
            <w:tcW w:w="7402" w:type="dxa"/>
            <w:tcBorders>
              <w:top w:val="nil"/>
              <w:left w:val="nil"/>
              <w:bottom w:val="single" w:sz="6"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Total financial assets</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17 872.1</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16 032.3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Non-financial assets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Inventories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871.0</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1 000.6</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Non-financial assets held for sale</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146.6</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160.4</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Land, buildings, infrastructure, plant and equipment</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189 409.2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179 894.5</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Other non-financial assets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1 844.8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1 679.9</w:t>
            </w:r>
          </w:p>
        </w:tc>
      </w:tr>
      <w:tr w:rsidR="000B4A1E" w:rsidRPr="008062DE" w:rsidTr="00517E51">
        <w:tc>
          <w:tcPr>
            <w:tcW w:w="7402" w:type="dxa"/>
            <w:tcBorders>
              <w:top w:val="single" w:sz="6" w:space="0" w:color="auto"/>
              <w:left w:val="nil"/>
              <w:bottom w:val="single" w:sz="6"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Total non-financial assets</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192 271.6</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182 735.4</w:t>
            </w:r>
          </w:p>
        </w:tc>
      </w:tr>
      <w:tr w:rsidR="000B4A1E" w:rsidRPr="008062DE" w:rsidTr="00517E51">
        <w:tc>
          <w:tcPr>
            <w:tcW w:w="7402" w:type="dxa"/>
            <w:tcBorders>
              <w:top w:val="single" w:sz="6" w:space="0" w:color="auto"/>
              <w:left w:val="nil"/>
              <w:bottom w:val="single" w:sz="6"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Total assets</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210 143.7</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198 767.8</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Liabilities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Deposits held and advances received</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583.4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507.2</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Payables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6 604.9</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5 762.3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Borrowings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43 272.9</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33 259.7</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Other employee benefits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5 535.2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5 365.3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Superannuation</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25 225.4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32 750.8</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Other provisions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1 104.5</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1 294.4</w:t>
            </w:r>
          </w:p>
        </w:tc>
      </w:tr>
      <w:tr w:rsidR="000B4A1E" w:rsidRPr="008062DE" w:rsidTr="00517E51">
        <w:tc>
          <w:tcPr>
            <w:tcW w:w="7402" w:type="dxa"/>
            <w:tcBorders>
              <w:top w:val="single" w:sz="6" w:space="0" w:color="auto"/>
              <w:left w:val="nil"/>
              <w:bottom w:val="single" w:sz="6"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Total liabilities</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82 326.4</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78 939.7</w:t>
            </w:r>
          </w:p>
        </w:tc>
      </w:tr>
      <w:tr w:rsidR="000B4A1E" w:rsidRPr="008062DE" w:rsidTr="00517E51">
        <w:tc>
          <w:tcPr>
            <w:tcW w:w="7402" w:type="dxa"/>
            <w:tcBorders>
              <w:top w:val="single" w:sz="6" w:space="0" w:color="auto"/>
              <w:left w:val="nil"/>
              <w:bottom w:val="single" w:sz="6"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Net assets</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127 817.4</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119 828.1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Accumulated surplus/(deficit)</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48 539.2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41 572.8</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vertAlign w:val="superscript"/>
                <w:lang w:eastAsia="en-AU"/>
              </w:rPr>
            </w:pPr>
            <w:r w:rsidRPr="008062DE">
              <w:rPr>
                <w:rFonts w:eastAsiaTheme="minorEastAsia"/>
                <w:lang w:eastAsia="en-AU"/>
              </w:rPr>
              <w:t xml:space="preserve">Other reserves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79 228.2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78 205.3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Non-controlling interest</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50.0</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50.0</w:t>
            </w:r>
          </w:p>
        </w:tc>
      </w:tr>
      <w:tr w:rsidR="000B4A1E" w:rsidRPr="008062DE" w:rsidTr="00517E51">
        <w:tc>
          <w:tcPr>
            <w:tcW w:w="7402" w:type="dxa"/>
            <w:tcBorders>
              <w:top w:val="single" w:sz="6" w:space="0" w:color="auto"/>
              <w:left w:val="nil"/>
              <w:bottom w:val="single" w:sz="12"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Net worth</w:t>
            </w:r>
          </w:p>
        </w:tc>
        <w:tc>
          <w:tcPr>
            <w:tcW w:w="1123"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127 817.4</w:t>
            </w:r>
          </w:p>
        </w:tc>
        <w:tc>
          <w:tcPr>
            <w:tcW w:w="1123"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119 828.1</w:t>
            </w:r>
          </w:p>
        </w:tc>
      </w:tr>
      <w:tr w:rsidR="000B4A1E" w:rsidRPr="008062DE" w:rsidTr="00517E51">
        <w:trPr>
          <w:trHeight w:hRule="exact" w:val="120"/>
        </w:trPr>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FISCAL AGGREGATES</w:t>
            </w:r>
          </w:p>
        </w:tc>
        <w:tc>
          <w:tcPr>
            <w:tcW w:w="1123" w:type="dxa"/>
            <w:tcBorders>
              <w:top w:val="nil"/>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Net financial worth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(64</w:t>
            </w:r>
            <w:r>
              <w:rPr>
                <w:rFonts w:eastAsiaTheme="minorEastAsia"/>
                <w:lang w:eastAsia="en-AU"/>
              </w:rPr>
              <w:t xml:space="preserve"> </w:t>
            </w:r>
            <w:r w:rsidRPr="008062DE">
              <w:rPr>
                <w:rFonts w:eastAsiaTheme="minorEastAsia"/>
                <w:lang w:eastAsia="en-AU"/>
              </w:rPr>
              <w:t>454.2)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(62</w:t>
            </w:r>
            <w:r>
              <w:rPr>
                <w:rFonts w:eastAsiaTheme="minorEastAsia"/>
                <w:lang w:eastAsia="en-AU"/>
              </w:rPr>
              <w:t xml:space="preserve"> </w:t>
            </w:r>
            <w:r w:rsidRPr="008062DE">
              <w:rPr>
                <w:rFonts w:eastAsiaTheme="minorEastAsia"/>
                <w:lang w:eastAsia="en-AU"/>
              </w:rPr>
              <w:t>907.4)</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Net financial liabilities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66 403.5</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63 962.8</w:t>
            </w:r>
          </w:p>
        </w:tc>
      </w:tr>
      <w:tr w:rsidR="000B4A1E" w:rsidRPr="008062DE" w:rsidTr="00517E51">
        <w:tc>
          <w:tcPr>
            <w:tcW w:w="7402" w:type="dxa"/>
            <w:tcBorders>
              <w:top w:val="nil"/>
              <w:left w:val="nil"/>
              <w:bottom w:val="single" w:sz="12" w:space="0" w:color="auto"/>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Net debt</w:t>
            </w:r>
          </w:p>
        </w:tc>
        <w:tc>
          <w:tcPr>
            <w:tcW w:w="1123" w:type="dxa"/>
            <w:tcBorders>
              <w:top w:val="nil"/>
              <w:left w:val="nil"/>
              <w:bottom w:val="single" w:sz="12" w:space="0" w:color="auto"/>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34 584.8</w:t>
            </w:r>
          </w:p>
        </w:tc>
        <w:tc>
          <w:tcPr>
            <w:tcW w:w="1123" w:type="dxa"/>
            <w:tcBorders>
              <w:top w:val="nil"/>
              <w:left w:val="nil"/>
              <w:bottom w:val="single" w:sz="12" w:space="0" w:color="auto"/>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24 621.1</w:t>
            </w:r>
          </w:p>
        </w:tc>
      </w:tr>
    </w:tbl>
    <w:p w:rsidR="000B4A1E" w:rsidRPr="00B8251A" w:rsidRDefault="000B4A1E" w:rsidP="00517E51">
      <w:pPr>
        <w:pStyle w:val="Source"/>
      </w:pPr>
      <w:r w:rsidRPr="00B8251A">
        <w:t>Source: Department of Treasury and Finance</w:t>
      </w:r>
    </w:p>
    <w:p w:rsidR="000B4A1E" w:rsidRPr="00B8251A" w:rsidRDefault="000B4A1E" w:rsidP="00517E51">
      <w:pPr>
        <w:pStyle w:val="Notes"/>
      </w:pPr>
      <w:r w:rsidRPr="00B8251A">
        <w:t>Note</w:t>
      </w:r>
      <w:r>
        <w:t>s</w:t>
      </w:r>
      <w:r w:rsidRPr="00B8251A">
        <w:t>:</w:t>
      </w:r>
    </w:p>
    <w:p w:rsidR="000B4A1E" w:rsidRDefault="000B4A1E" w:rsidP="00517E51">
      <w:pPr>
        <w:pStyle w:val="Notes"/>
      </w:pPr>
      <w:r>
        <w:t>(a</w:t>
      </w:r>
      <w:r w:rsidRPr="005A7432">
        <w:t>)</w:t>
      </w:r>
      <w:r>
        <w:tab/>
      </w:r>
      <w:r w:rsidRPr="005A7432">
        <w:t>Restated balances at 30 June 2012. Refer to Note 36</w:t>
      </w:r>
      <w:r>
        <w:t xml:space="preserve">, Chapter 4 </w:t>
      </w:r>
      <w:r>
        <w:rPr>
          <w:i w:val="0"/>
        </w:rPr>
        <w:t>Annual Financial Report</w:t>
      </w:r>
      <w:r w:rsidRPr="005A7432">
        <w:t>.</w:t>
      </w:r>
    </w:p>
    <w:p w:rsidR="000B4A1E" w:rsidRPr="005E6C3B" w:rsidRDefault="000B4A1E" w:rsidP="00517E51">
      <w:pPr>
        <w:pStyle w:val="Notes"/>
      </w:pPr>
      <w:r>
        <w:t>(b)</w:t>
      </w:r>
      <w:r>
        <w:tab/>
      </w:r>
      <w:r w:rsidRPr="00EC4035">
        <w:t>Review of Cash Investments in 2012-13 has reclassified some Australian Dollar Term Deposits held in 2011-12 to Cash and Deposits.</w:t>
      </w:r>
    </w:p>
    <w:p w:rsidR="000B4A1E" w:rsidRDefault="000B4A1E">
      <w:pPr>
        <w:spacing w:after="0"/>
        <w:rPr>
          <w:rFonts w:ascii="Calibri" w:hAnsi="Calibri"/>
          <w:i/>
          <w:sz w:val="16"/>
        </w:rPr>
      </w:pPr>
    </w:p>
    <w:p w:rsidR="000B4A1E" w:rsidRPr="00B8251A" w:rsidRDefault="000B4A1E">
      <w:pPr>
        <w:spacing w:after="0"/>
        <w:rPr>
          <w:rFonts w:ascii="Calibri" w:hAnsi="Calibri"/>
          <w:b/>
          <w:sz w:val="25"/>
        </w:rPr>
      </w:pPr>
      <w:r w:rsidRPr="00B8251A">
        <w:br w:type="page"/>
      </w:r>
    </w:p>
    <w:p w:rsidR="000B4A1E" w:rsidRPr="00B8251A" w:rsidRDefault="000B4A1E" w:rsidP="00517E51">
      <w:pPr>
        <w:pStyle w:val="Tableheading"/>
      </w:pPr>
      <w:r w:rsidRPr="00B8251A">
        <w:lastRenderedPageBreak/>
        <w:t>Table 5.3:</w:t>
      </w:r>
      <w:r w:rsidRPr="00B8251A">
        <w:tab/>
        <w:t>Non</w:t>
      </w:r>
      <w:r w:rsidRPr="00B8251A">
        <w:noBreakHyphen/>
        <w:t>financial public sector cash flow statement for the financial year ended 30 June</w:t>
      </w:r>
    </w:p>
    <w:p w:rsidR="000B4A1E" w:rsidRPr="00B760D4" w:rsidRDefault="000B4A1E" w:rsidP="00517E51">
      <w:pPr>
        <w:pStyle w:val="million"/>
      </w:pPr>
      <w:r w:rsidRPr="00B8251A">
        <w:t>($</w:t>
      </w:r>
      <w:r>
        <w:t> million</w:t>
      </w:r>
      <w:r w:rsidRPr="00B8251A">
        <w:t>)</w:t>
      </w:r>
    </w:p>
    <w:tbl>
      <w:tblPr>
        <w:tblW w:w="9648" w:type="dxa"/>
        <w:tblInd w:w="29" w:type="dxa"/>
        <w:tblLayout w:type="fixed"/>
        <w:tblCellMar>
          <w:left w:w="43" w:type="dxa"/>
          <w:right w:w="43" w:type="dxa"/>
        </w:tblCellMar>
        <w:tblLook w:val="0000" w:firstRow="0" w:lastRow="0" w:firstColumn="0" w:lastColumn="0" w:noHBand="0" w:noVBand="0"/>
      </w:tblPr>
      <w:tblGrid>
        <w:gridCol w:w="6854"/>
        <w:gridCol w:w="1530"/>
        <w:gridCol w:w="1264"/>
      </w:tblGrid>
      <w:tr w:rsidR="000B4A1E" w:rsidRPr="00B760D4" w:rsidTr="00517E51">
        <w:tc>
          <w:tcPr>
            <w:tcW w:w="6854" w:type="dxa"/>
            <w:tcBorders>
              <w:right w:val="nil"/>
            </w:tcBorders>
            <w:shd w:val="clear" w:color="auto" w:fill="000000"/>
          </w:tcPr>
          <w:p w:rsidR="000B4A1E" w:rsidRPr="00B760D4" w:rsidRDefault="000B4A1E" w:rsidP="00517E51">
            <w:pPr>
              <w:pStyle w:val="Tabletext"/>
              <w:rPr>
                <w:rFonts w:eastAsiaTheme="minorEastAsia"/>
                <w:lang w:eastAsia="en-AU"/>
              </w:rPr>
            </w:pPr>
            <w:r w:rsidRPr="00B760D4">
              <w:rPr>
                <w:rFonts w:eastAsiaTheme="minorEastAsia"/>
                <w:lang w:eastAsia="en-AU"/>
              </w:rPr>
              <w:t xml:space="preserve">    </w:t>
            </w:r>
          </w:p>
        </w:tc>
        <w:tc>
          <w:tcPr>
            <w:tcW w:w="1530" w:type="dxa"/>
            <w:tcBorders>
              <w:left w:val="nil"/>
              <w:right w:val="nil"/>
            </w:tcBorders>
            <w:shd w:val="clear" w:color="auto" w:fill="000000"/>
          </w:tcPr>
          <w:p w:rsidR="000B4A1E" w:rsidRPr="00B760D4" w:rsidRDefault="000B4A1E" w:rsidP="00517E51">
            <w:pPr>
              <w:pStyle w:val="Tabletextheading"/>
              <w:rPr>
                <w:rFonts w:eastAsiaTheme="minorEastAsia"/>
                <w:lang w:eastAsia="en-AU"/>
              </w:rPr>
            </w:pPr>
            <w:r w:rsidRPr="00B760D4">
              <w:rPr>
                <w:rFonts w:eastAsiaTheme="minorEastAsia"/>
                <w:lang w:eastAsia="en-AU"/>
              </w:rPr>
              <w:t>2013</w:t>
            </w:r>
          </w:p>
        </w:tc>
        <w:tc>
          <w:tcPr>
            <w:tcW w:w="1264" w:type="dxa"/>
            <w:tcBorders>
              <w:left w:val="nil"/>
            </w:tcBorders>
            <w:shd w:val="clear" w:color="auto" w:fill="000000"/>
          </w:tcPr>
          <w:p w:rsidR="000B4A1E" w:rsidRPr="00B760D4" w:rsidRDefault="000B4A1E" w:rsidP="00517E51">
            <w:pPr>
              <w:pStyle w:val="Tabletextheading"/>
              <w:rPr>
                <w:rFonts w:eastAsiaTheme="minorEastAsia"/>
                <w:lang w:eastAsia="en-AU"/>
              </w:rPr>
            </w:pPr>
            <w:r w:rsidRPr="00B760D4">
              <w:rPr>
                <w:rFonts w:eastAsiaTheme="minorEastAsia"/>
                <w:lang w:eastAsia="en-AU"/>
              </w:rPr>
              <w:t>2012</w:t>
            </w:r>
          </w:p>
        </w:tc>
      </w:tr>
      <w:tr w:rsidR="000B4A1E" w:rsidRPr="00B760D4" w:rsidTr="00517E51">
        <w:tc>
          <w:tcPr>
            <w:tcW w:w="6854" w:type="dxa"/>
            <w:tcBorders>
              <w:right w:val="nil"/>
            </w:tcBorders>
            <w:shd w:val="clear" w:color="auto" w:fill="auto"/>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Cash flows from operating activities</w:t>
            </w:r>
          </w:p>
        </w:tc>
        <w:tc>
          <w:tcPr>
            <w:tcW w:w="1530" w:type="dxa"/>
            <w:tcBorders>
              <w:left w:val="nil"/>
              <w:right w:val="nil"/>
            </w:tcBorders>
            <w:shd w:val="clear" w:color="auto" w:fill="auto"/>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c>
          <w:tcPr>
            <w:tcW w:w="1264" w:type="dxa"/>
            <w:tcBorders>
              <w:left w:val="nil"/>
            </w:tcBorders>
            <w:shd w:val="clear" w:color="auto" w:fill="auto"/>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r>
      <w:tr w:rsidR="000B4A1E" w:rsidRPr="00B760D4" w:rsidTr="00517E51">
        <w:tc>
          <w:tcPr>
            <w:tcW w:w="6854" w:type="dxa"/>
            <w:tcBorders>
              <w:left w:val="nil"/>
              <w:bottom w:val="nil"/>
              <w:right w:val="nil"/>
            </w:tcBorders>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Receipts</w:t>
            </w:r>
          </w:p>
        </w:tc>
        <w:tc>
          <w:tcPr>
            <w:tcW w:w="1530" w:type="dxa"/>
            <w:tcBorders>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c>
          <w:tcPr>
            <w:tcW w:w="1264" w:type="dxa"/>
            <w:tcBorders>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Taxes received</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14 886.3</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15 372.3</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Grants</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21 988.5</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22 818.2</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vertAlign w:val="superscript"/>
                <w:lang w:eastAsia="en-AU"/>
              </w:rPr>
            </w:pPr>
            <w:r w:rsidRPr="00B760D4">
              <w:rPr>
                <w:rFonts w:eastAsiaTheme="minorEastAsia"/>
                <w:lang w:eastAsia="en-AU"/>
              </w:rPr>
              <w:t xml:space="preserve">Sales of goods and services </w:t>
            </w:r>
            <w:r w:rsidRPr="00B760D4">
              <w:rPr>
                <w:rFonts w:eastAsiaTheme="minorEastAsia"/>
                <w:vertAlign w:val="superscript"/>
                <w:lang w:eastAsia="en-AU"/>
              </w:rPr>
              <w:t>(a)</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10 715.9</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10 682.3</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Interest received</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428.6</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489.2</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Dividends and income tax equivalent and rate equivalent receipts</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607.8</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456.6</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cs="Calibri"/>
                <w:color w:val="000000"/>
                <w:szCs w:val="22"/>
                <w:vertAlign w:val="superscript"/>
                <w:lang w:eastAsia="en-AU"/>
              </w:rPr>
            </w:pPr>
            <w:r w:rsidRPr="00B760D4">
              <w:rPr>
                <w:rFonts w:eastAsiaTheme="minorEastAsia"/>
                <w:lang w:eastAsia="en-AU"/>
              </w:rPr>
              <w:t xml:space="preserve">Other receipts </w:t>
            </w:r>
            <w:r w:rsidRPr="00B760D4">
              <w:rPr>
                <w:rFonts w:eastAsiaTheme="minorEastAsia" w:cs="Calibri"/>
                <w:color w:val="000000"/>
                <w:szCs w:val="22"/>
                <w:vertAlign w:val="superscript"/>
                <w:lang w:eastAsia="en-AU"/>
              </w:rPr>
              <w:t>(b)</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2 097.5</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1 837.7</w:t>
            </w:r>
          </w:p>
        </w:tc>
      </w:tr>
      <w:tr w:rsidR="000B4A1E" w:rsidRPr="00B760D4" w:rsidTr="00517E51">
        <w:tc>
          <w:tcPr>
            <w:tcW w:w="6854" w:type="dxa"/>
            <w:tcBorders>
              <w:top w:val="single" w:sz="6" w:space="0" w:color="auto"/>
              <w:left w:val="nil"/>
              <w:bottom w:val="nil"/>
              <w:right w:val="nil"/>
            </w:tcBorders>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Total receipts</w:t>
            </w:r>
          </w:p>
        </w:tc>
        <w:tc>
          <w:tcPr>
            <w:tcW w:w="1530" w:type="dxa"/>
            <w:tcBorders>
              <w:top w:val="single" w:sz="6" w:space="0" w:color="auto"/>
              <w:left w:val="nil"/>
              <w:bottom w:val="nil"/>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50 724.5</w:t>
            </w:r>
          </w:p>
        </w:tc>
        <w:tc>
          <w:tcPr>
            <w:tcW w:w="1264" w:type="dxa"/>
            <w:tcBorders>
              <w:top w:val="single" w:sz="6" w:space="0" w:color="auto"/>
              <w:left w:val="nil"/>
              <w:bottom w:val="nil"/>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51 656.4</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Payments</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Payments for employees</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(18 548.6)</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(17 704.5)</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Superannuation</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(2 629.2)</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(2 226.0)</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Interest paid</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(2 343.8)</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(1 807.6)</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cs="Calibri"/>
                <w:color w:val="000000"/>
                <w:szCs w:val="22"/>
                <w:vertAlign w:val="superscript"/>
                <w:lang w:eastAsia="en-AU"/>
              </w:rPr>
            </w:pPr>
            <w:r w:rsidRPr="00B760D4">
              <w:rPr>
                <w:rFonts w:eastAsiaTheme="minorEastAsia"/>
                <w:lang w:eastAsia="en-AU"/>
              </w:rPr>
              <w:t xml:space="preserve">Grants and subsidies </w:t>
            </w:r>
            <w:r w:rsidRPr="00B760D4">
              <w:rPr>
                <w:rFonts w:eastAsiaTheme="minorEastAsia" w:cs="Calibri"/>
                <w:color w:val="000000"/>
                <w:szCs w:val="22"/>
                <w:vertAlign w:val="superscript"/>
                <w:lang w:eastAsia="en-AU"/>
              </w:rPr>
              <w:t>(b)</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(5 623.2)</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(5 886.0)</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vertAlign w:val="superscript"/>
                <w:lang w:eastAsia="en-AU"/>
              </w:rPr>
            </w:pPr>
            <w:r w:rsidRPr="00B760D4">
              <w:rPr>
                <w:rFonts w:eastAsiaTheme="minorEastAsia"/>
                <w:lang w:eastAsia="en-AU"/>
              </w:rPr>
              <w:t xml:space="preserve">Goods and services </w:t>
            </w:r>
            <w:r w:rsidRPr="00B760D4">
              <w:rPr>
                <w:rFonts w:eastAsiaTheme="minorEastAsia"/>
                <w:vertAlign w:val="superscript"/>
                <w:lang w:eastAsia="en-AU"/>
              </w:rPr>
              <w:t>(a)</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(18 781.6)</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(19 608.9)</w:t>
            </w:r>
          </w:p>
        </w:tc>
      </w:tr>
      <w:tr w:rsidR="000B4A1E" w:rsidRPr="00B760D4" w:rsidTr="00517E51">
        <w:tc>
          <w:tcPr>
            <w:tcW w:w="6854" w:type="dxa"/>
            <w:tcBorders>
              <w:top w:val="nil"/>
              <w:left w:val="nil"/>
              <w:bottom w:val="single" w:sz="6" w:space="0" w:color="auto"/>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Other payments</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( 300.6)</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( 581.0)</w:t>
            </w:r>
          </w:p>
        </w:tc>
      </w:tr>
      <w:tr w:rsidR="000B4A1E" w:rsidRPr="00B760D4" w:rsidTr="00517E51">
        <w:tc>
          <w:tcPr>
            <w:tcW w:w="6854" w:type="dxa"/>
            <w:tcBorders>
              <w:top w:val="nil"/>
              <w:left w:val="nil"/>
              <w:bottom w:val="single" w:sz="6" w:space="0" w:color="auto"/>
              <w:right w:val="nil"/>
            </w:tcBorders>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Total payments</w:t>
            </w:r>
          </w:p>
        </w:tc>
        <w:tc>
          <w:tcPr>
            <w:tcW w:w="1530" w:type="dxa"/>
            <w:tcBorders>
              <w:top w:val="single" w:sz="6" w:space="0" w:color="auto"/>
              <w:left w:val="nil"/>
              <w:bottom w:val="single" w:sz="6" w:space="0" w:color="auto"/>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(48 227.0)</w:t>
            </w:r>
          </w:p>
        </w:tc>
        <w:tc>
          <w:tcPr>
            <w:tcW w:w="1264" w:type="dxa"/>
            <w:tcBorders>
              <w:top w:val="single" w:sz="6" w:space="0" w:color="auto"/>
              <w:left w:val="nil"/>
              <w:bottom w:val="single" w:sz="6" w:space="0" w:color="auto"/>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(47 814.0)</w:t>
            </w:r>
          </w:p>
        </w:tc>
      </w:tr>
      <w:tr w:rsidR="000B4A1E" w:rsidRPr="00B760D4" w:rsidTr="00517E51">
        <w:tc>
          <w:tcPr>
            <w:tcW w:w="6854" w:type="dxa"/>
            <w:tcBorders>
              <w:top w:val="single" w:sz="6" w:space="0" w:color="auto"/>
              <w:left w:val="nil"/>
              <w:bottom w:val="nil"/>
              <w:right w:val="nil"/>
            </w:tcBorders>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Net cash flows from operating activities</w:t>
            </w:r>
          </w:p>
        </w:tc>
        <w:tc>
          <w:tcPr>
            <w:tcW w:w="1530" w:type="dxa"/>
            <w:tcBorders>
              <w:top w:val="nil"/>
              <w:left w:val="nil"/>
              <w:bottom w:val="nil"/>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2 497.5</w:t>
            </w:r>
          </w:p>
        </w:tc>
        <w:tc>
          <w:tcPr>
            <w:tcW w:w="1264" w:type="dxa"/>
            <w:tcBorders>
              <w:top w:val="nil"/>
              <w:left w:val="nil"/>
              <w:bottom w:val="nil"/>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3 842.4</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Cash flows from investing activities</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Purchases of non-financial assets</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(7 816.6)</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(7 455.4)</w:t>
            </w:r>
          </w:p>
        </w:tc>
      </w:tr>
      <w:tr w:rsidR="000B4A1E" w:rsidRPr="00B760D4" w:rsidTr="00517E51">
        <w:tc>
          <w:tcPr>
            <w:tcW w:w="6854" w:type="dxa"/>
            <w:tcBorders>
              <w:top w:val="nil"/>
              <w:left w:val="nil"/>
              <w:bottom w:val="single" w:sz="6" w:space="0" w:color="auto"/>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Sales of non-financial assets</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404.4</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289.3</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Cash flows from investments in non-financial assets</w:t>
            </w:r>
          </w:p>
        </w:tc>
        <w:tc>
          <w:tcPr>
            <w:tcW w:w="1530" w:type="dxa"/>
            <w:tcBorders>
              <w:top w:val="single" w:sz="6" w:space="0" w:color="auto"/>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(7 412.2)</w:t>
            </w:r>
          </w:p>
        </w:tc>
        <w:tc>
          <w:tcPr>
            <w:tcW w:w="1264" w:type="dxa"/>
            <w:tcBorders>
              <w:top w:val="single" w:sz="6" w:space="0" w:color="auto"/>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(7 166.1)</w:t>
            </w:r>
          </w:p>
        </w:tc>
      </w:tr>
      <w:tr w:rsidR="000B4A1E" w:rsidRPr="00B760D4" w:rsidTr="00517E51">
        <w:tc>
          <w:tcPr>
            <w:tcW w:w="6854" w:type="dxa"/>
            <w:tcBorders>
              <w:top w:val="nil"/>
              <w:left w:val="nil"/>
              <w:bottom w:val="single" w:sz="6" w:space="0" w:color="auto"/>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Net cash flows from investments in financial assets for policy purposes</w:t>
            </w:r>
          </w:p>
        </w:tc>
        <w:tc>
          <w:tcPr>
            <w:tcW w:w="1530" w:type="dxa"/>
            <w:tcBorders>
              <w:top w:val="nil"/>
              <w:left w:val="nil"/>
              <w:bottom w:val="single" w:sz="6" w:space="0" w:color="auto"/>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319.2</w:t>
            </w:r>
          </w:p>
        </w:tc>
        <w:tc>
          <w:tcPr>
            <w:tcW w:w="1264" w:type="dxa"/>
            <w:tcBorders>
              <w:top w:val="nil"/>
              <w:left w:val="nil"/>
              <w:bottom w:val="single" w:sz="6" w:space="0" w:color="auto"/>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79.0</w:t>
            </w:r>
          </w:p>
        </w:tc>
      </w:tr>
      <w:tr w:rsidR="000B4A1E" w:rsidRPr="00A7557D" w:rsidTr="00517E51">
        <w:tc>
          <w:tcPr>
            <w:tcW w:w="6854" w:type="dxa"/>
            <w:tcBorders>
              <w:top w:val="nil"/>
              <w:left w:val="nil"/>
              <w:bottom w:val="nil"/>
              <w:right w:val="nil"/>
            </w:tcBorders>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Sub-total</w:t>
            </w:r>
          </w:p>
        </w:tc>
        <w:tc>
          <w:tcPr>
            <w:tcW w:w="1530" w:type="dxa"/>
            <w:tcBorders>
              <w:top w:val="single" w:sz="6" w:space="0" w:color="auto"/>
              <w:left w:val="nil"/>
              <w:bottom w:val="nil"/>
              <w:right w:val="nil"/>
            </w:tcBorders>
          </w:tcPr>
          <w:p w:rsidR="000B4A1E" w:rsidRPr="00A7557D" w:rsidRDefault="000B4A1E" w:rsidP="00517E51">
            <w:pPr>
              <w:pStyle w:val="TableofFigures"/>
              <w:rPr>
                <w:rFonts w:eastAsiaTheme="minorEastAsia"/>
                <w:b/>
                <w:lang w:eastAsia="en-AU"/>
              </w:rPr>
            </w:pPr>
            <w:r w:rsidRPr="00A7557D">
              <w:rPr>
                <w:rFonts w:eastAsiaTheme="minorEastAsia"/>
                <w:b/>
                <w:lang w:eastAsia="en-AU"/>
              </w:rPr>
              <w:t>(7 093.0)</w:t>
            </w:r>
          </w:p>
        </w:tc>
        <w:tc>
          <w:tcPr>
            <w:tcW w:w="1264" w:type="dxa"/>
            <w:tcBorders>
              <w:top w:val="single" w:sz="6" w:space="0" w:color="auto"/>
              <w:left w:val="nil"/>
              <w:bottom w:val="nil"/>
              <w:right w:val="nil"/>
            </w:tcBorders>
          </w:tcPr>
          <w:p w:rsidR="000B4A1E" w:rsidRPr="00A7557D" w:rsidRDefault="000B4A1E" w:rsidP="00517E51">
            <w:pPr>
              <w:pStyle w:val="TableofFigures"/>
              <w:rPr>
                <w:rFonts w:eastAsiaTheme="minorEastAsia"/>
                <w:b/>
                <w:lang w:eastAsia="en-AU"/>
              </w:rPr>
            </w:pPr>
            <w:r w:rsidRPr="00A7557D">
              <w:rPr>
                <w:rFonts w:eastAsiaTheme="minorEastAsia"/>
                <w:b/>
                <w:lang w:eastAsia="en-AU"/>
              </w:rPr>
              <w:t>(7 087.1)</w:t>
            </w:r>
          </w:p>
        </w:tc>
      </w:tr>
      <w:tr w:rsidR="000B4A1E" w:rsidRPr="00B760D4" w:rsidTr="00517E51">
        <w:tc>
          <w:tcPr>
            <w:tcW w:w="6854" w:type="dxa"/>
            <w:tcBorders>
              <w:top w:val="nil"/>
              <w:left w:val="nil"/>
              <w:bottom w:val="single" w:sz="6" w:space="0" w:color="auto"/>
              <w:right w:val="nil"/>
            </w:tcBorders>
          </w:tcPr>
          <w:p w:rsidR="000B4A1E" w:rsidRPr="00B760D4" w:rsidRDefault="000B4A1E" w:rsidP="00517E51">
            <w:pPr>
              <w:pStyle w:val="Tabletext"/>
              <w:rPr>
                <w:rFonts w:eastAsiaTheme="minorEastAsia" w:cs="Calibri"/>
                <w:color w:val="000000"/>
                <w:szCs w:val="22"/>
                <w:vertAlign w:val="superscript"/>
                <w:lang w:eastAsia="en-AU"/>
              </w:rPr>
            </w:pPr>
            <w:r w:rsidRPr="00B760D4">
              <w:rPr>
                <w:rFonts w:eastAsiaTheme="minorEastAsia"/>
                <w:lang w:eastAsia="en-AU"/>
              </w:rPr>
              <w:t xml:space="preserve">Net cash flows from investments in financial assets for liquidity management purposes </w:t>
            </w:r>
            <w:r w:rsidRPr="00B760D4">
              <w:rPr>
                <w:rFonts w:eastAsiaTheme="minorEastAsia" w:cs="Calibri"/>
                <w:color w:val="000000"/>
                <w:szCs w:val="22"/>
                <w:vertAlign w:val="superscript"/>
                <w:lang w:eastAsia="en-AU"/>
              </w:rPr>
              <w:t>(c)</w:t>
            </w:r>
          </w:p>
        </w:tc>
        <w:tc>
          <w:tcPr>
            <w:tcW w:w="1530" w:type="dxa"/>
            <w:tcBorders>
              <w:top w:val="nil"/>
              <w:left w:val="nil"/>
              <w:bottom w:val="single" w:sz="6" w:space="0" w:color="auto"/>
              <w:right w:val="nil"/>
            </w:tcBorders>
          </w:tcPr>
          <w:p w:rsidR="000B4A1E" w:rsidRPr="00B760D4" w:rsidRDefault="000B4A1E" w:rsidP="00517E51">
            <w:pPr>
              <w:pStyle w:val="TableofFigures"/>
              <w:rPr>
                <w:rFonts w:eastAsiaTheme="minorEastAsia" w:cs="Calibri"/>
                <w:color w:val="3366FF"/>
                <w:szCs w:val="22"/>
                <w:lang w:eastAsia="en-AU"/>
              </w:rPr>
            </w:pPr>
            <w:r w:rsidRPr="00B760D4">
              <w:rPr>
                <w:rFonts w:eastAsiaTheme="minorEastAsia"/>
                <w:lang w:eastAsia="en-AU"/>
              </w:rPr>
              <w:t xml:space="preserve">(1 </w:t>
            </w:r>
            <w:r w:rsidRPr="00B760D4">
              <w:rPr>
                <w:rFonts w:eastAsiaTheme="minorEastAsia" w:cs="Calibri"/>
                <w:szCs w:val="22"/>
                <w:lang w:eastAsia="en-AU"/>
              </w:rPr>
              <w:t>110.1)</w:t>
            </w:r>
          </w:p>
        </w:tc>
        <w:tc>
          <w:tcPr>
            <w:tcW w:w="1264" w:type="dxa"/>
            <w:tcBorders>
              <w:top w:val="nil"/>
              <w:left w:val="nil"/>
              <w:bottom w:val="single" w:sz="6" w:space="0" w:color="auto"/>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35.1</w:t>
            </w:r>
          </w:p>
        </w:tc>
      </w:tr>
      <w:tr w:rsidR="000B4A1E" w:rsidRPr="00B760D4" w:rsidTr="00517E51">
        <w:tc>
          <w:tcPr>
            <w:tcW w:w="6854" w:type="dxa"/>
            <w:tcBorders>
              <w:top w:val="single" w:sz="6" w:space="0" w:color="auto"/>
              <w:left w:val="nil"/>
              <w:bottom w:val="nil"/>
              <w:right w:val="nil"/>
            </w:tcBorders>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Net cash flows from investing activities</w:t>
            </w:r>
          </w:p>
        </w:tc>
        <w:tc>
          <w:tcPr>
            <w:tcW w:w="1530" w:type="dxa"/>
            <w:tcBorders>
              <w:top w:val="nil"/>
              <w:left w:val="nil"/>
              <w:bottom w:val="nil"/>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(8 203.1)</w:t>
            </w:r>
          </w:p>
        </w:tc>
        <w:tc>
          <w:tcPr>
            <w:tcW w:w="1264" w:type="dxa"/>
            <w:tcBorders>
              <w:top w:val="nil"/>
              <w:left w:val="nil"/>
              <w:bottom w:val="nil"/>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(7 052.0)</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Cash flows from financing activities</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Advances received (net)</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0.5</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( 0.2)</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 xml:space="preserve">Net borrowings </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4 614.0</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4 561.4</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Deposits received (net)</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75.8</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( 12.8)</w:t>
            </w:r>
          </w:p>
        </w:tc>
      </w:tr>
      <w:tr w:rsidR="000B4A1E" w:rsidRPr="00B760D4" w:rsidTr="00517E51">
        <w:tc>
          <w:tcPr>
            <w:tcW w:w="6854" w:type="dxa"/>
            <w:tcBorders>
              <w:top w:val="single" w:sz="6" w:space="0" w:color="auto"/>
              <w:left w:val="nil"/>
              <w:bottom w:val="single" w:sz="6" w:space="0" w:color="auto"/>
              <w:right w:val="nil"/>
            </w:tcBorders>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Net cash flows from financing activities</w:t>
            </w:r>
          </w:p>
        </w:tc>
        <w:tc>
          <w:tcPr>
            <w:tcW w:w="1530" w:type="dxa"/>
            <w:tcBorders>
              <w:top w:val="single" w:sz="6" w:space="0" w:color="auto"/>
              <w:left w:val="nil"/>
              <w:bottom w:val="single" w:sz="6" w:space="0" w:color="auto"/>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4 690.3</w:t>
            </w:r>
          </w:p>
        </w:tc>
        <w:tc>
          <w:tcPr>
            <w:tcW w:w="1264" w:type="dxa"/>
            <w:tcBorders>
              <w:top w:val="single" w:sz="6" w:space="0" w:color="auto"/>
              <w:left w:val="nil"/>
              <w:bottom w:val="single" w:sz="6" w:space="0" w:color="auto"/>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4 548.4</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Net increase/(decrease) in cash and cash equivalents</w:t>
            </w:r>
          </w:p>
        </w:tc>
        <w:tc>
          <w:tcPr>
            <w:tcW w:w="1530" w:type="dxa"/>
            <w:tcBorders>
              <w:top w:val="nil"/>
              <w:left w:val="nil"/>
              <w:bottom w:val="nil"/>
              <w:right w:val="nil"/>
            </w:tcBorders>
          </w:tcPr>
          <w:p w:rsidR="000B4A1E" w:rsidRPr="00B760D4" w:rsidRDefault="000B4A1E" w:rsidP="00517E51">
            <w:pPr>
              <w:pStyle w:val="TableofFigures"/>
              <w:rPr>
                <w:rFonts w:eastAsiaTheme="minorEastAsia" w:cs="Calibri"/>
                <w:b/>
                <w:bCs/>
                <w:color w:val="3366FF"/>
                <w:szCs w:val="22"/>
                <w:lang w:eastAsia="en-AU"/>
              </w:rPr>
            </w:pPr>
            <w:r w:rsidRPr="00B760D4">
              <w:rPr>
                <w:rFonts w:eastAsiaTheme="minorEastAsia"/>
                <w:b/>
                <w:bCs/>
                <w:lang w:eastAsia="en-AU"/>
              </w:rPr>
              <w:t>(1 015.2)</w:t>
            </w:r>
          </w:p>
        </w:tc>
        <w:tc>
          <w:tcPr>
            <w:tcW w:w="1264" w:type="dxa"/>
            <w:tcBorders>
              <w:top w:val="nil"/>
              <w:left w:val="nil"/>
              <w:bottom w:val="nil"/>
              <w:right w:val="nil"/>
            </w:tcBorders>
          </w:tcPr>
          <w:p w:rsidR="000B4A1E" w:rsidRPr="00B760D4" w:rsidRDefault="000B4A1E" w:rsidP="00517E51">
            <w:pPr>
              <w:pStyle w:val="TableofFigures"/>
              <w:rPr>
                <w:rFonts w:eastAsiaTheme="minorEastAsia" w:cs="Calibri"/>
                <w:b/>
                <w:bCs/>
                <w:color w:val="3366FF"/>
                <w:szCs w:val="22"/>
                <w:lang w:eastAsia="en-AU"/>
              </w:rPr>
            </w:pPr>
            <w:r w:rsidRPr="00B760D4">
              <w:rPr>
                <w:rFonts w:eastAsiaTheme="minorEastAsia"/>
                <w:b/>
                <w:bCs/>
                <w:lang w:eastAsia="en-AU"/>
              </w:rPr>
              <w:t>1 338.8</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Cash and cash equivalents at beginning of reporting period</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5 775.1</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4 436.2</w:t>
            </w:r>
          </w:p>
        </w:tc>
      </w:tr>
      <w:tr w:rsidR="000B4A1E" w:rsidRPr="00B760D4" w:rsidTr="00517E51">
        <w:tc>
          <w:tcPr>
            <w:tcW w:w="6854" w:type="dxa"/>
            <w:tcBorders>
              <w:top w:val="single" w:sz="6" w:space="0" w:color="auto"/>
              <w:left w:val="nil"/>
              <w:bottom w:val="single" w:sz="12" w:space="0" w:color="auto"/>
              <w:right w:val="nil"/>
            </w:tcBorders>
          </w:tcPr>
          <w:p w:rsidR="000B4A1E" w:rsidRPr="00B760D4" w:rsidRDefault="000B4A1E" w:rsidP="00517E51">
            <w:pPr>
              <w:pStyle w:val="Tabletext"/>
              <w:rPr>
                <w:rFonts w:eastAsiaTheme="minorEastAsia" w:cs="Calibri"/>
                <w:b/>
                <w:bCs/>
                <w:color w:val="000000"/>
                <w:szCs w:val="22"/>
                <w:vertAlign w:val="superscript"/>
                <w:lang w:eastAsia="en-AU"/>
              </w:rPr>
            </w:pPr>
            <w:r w:rsidRPr="00B760D4">
              <w:rPr>
                <w:rFonts w:eastAsiaTheme="minorEastAsia"/>
                <w:b/>
                <w:bCs/>
                <w:lang w:eastAsia="en-AU"/>
              </w:rPr>
              <w:t xml:space="preserve">Cash and cash equivalents at end of reporting period </w:t>
            </w:r>
            <w:r w:rsidRPr="00B760D4">
              <w:rPr>
                <w:rFonts w:eastAsiaTheme="minorEastAsia" w:cs="Calibri"/>
                <w:b/>
                <w:bCs/>
                <w:color w:val="000000"/>
                <w:szCs w:val="22"/>
                <w:vertAlign w:val="superscript"/>
                <w:lang w:eastAsia="en-AU"/>
              </w:rPr>
              <w:t>(c)</w:t>
            </w:r>
          </w:p>
        </w:tc>
        <w:tc>
          <w:tcPr>
            <w:tcW w:w="1530" w:type="dxa"/>
            <w:tcBorders>
              <w:top w:val="single" w:sz="6" w:space="0" w:color="auto"/>
              <w:left w:val="nil"/>
              <w:bottom w:val="single" w:sz="12" w:space="0" w:color="auto"/>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4 759.8</w:t>
            </w:r>
          </w:p>
        </w:tc>
        <w:tc>
          <w:tcPr>
            <w:tcW w:w="1264" w:type="dxa"/>
            <w:tcBorders>
              <w:top w:val="single" w:sz="6" w:space="0" w:color="auto"/>
              <w:left w:val="nil"/>
              <w:bottom w:val="single" w:sz="12" w:space="0" w:color="auto"/>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5 775.1</w:t>
            </w:r>
          </w:p>
        </w:tc>
      </w:tr>
      <w:tr w:rsidR="000B4A1E" w:rsidRPr="00B760D4" w:rsidTr="00517E51">
        <w:trPr>
          <w:trHeight w:hRule="exact" w:val="120"/>
        </w:trPr>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 xml:space="preserve">    </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FISCAL AGGREGATES</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 xml:space="preserve">    </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Net cash flows from operating activities</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2 497.5</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3 842.4</w:t>
            </w:r>
          </w:p>
        </w:tc>
      </w:tr>
      <w:tr w:rsidR="000B4A1E" w:rsidRPr="00B760D4" w:rsidTr="00517E51">
        <w:tc>
          <w:tcPr>
            <w:tcW w:w="6854" w:type="dxa"/>
            <w:tcBorders>
              <w:top w:val="nil"/>
              <w:left w:val="nil"/>
              <w:bottom w:val="nil"/>
              <w:right w:val="nil"/>
            </w:tcBorders>
          </w:tcPr>
          <w:p w:rsidR="000B4A1E" w:rsidRPr="00B760D4" w:rsidRDefault="000B4A1E" w:rsidP="00517E51">
            <w:pPr>
              <w:pStyle w:val="Tabletext"/>
              <w:rPr>
                <w:rFonts w:eastAsiaTheme="minorEastAsia"/>
                <w:lang w:eastAsia="en-AU"/>
              </w:rPr>
            </w:pPr>
            <w:r w:rsidRPr="00B760D4">
              <w:rPr>
                <w:rFonts w:eastAsiaTheme="minorEastAsia"/>
                <w:lang w:eastAsia="en-AU"/>
              </w:rPr>
              <w:t>Net cash flows from investments in non-financial assets</w:t>
            </w:r>
          </w:p>
        </w:tc>
        <w:tc>
          <w:tcPr>
            <w:tcW w:w="1530"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(7 412.2)</w:t>
            </w:r>
          </w:p>
        </w:tc>
        <w:tc>
          <w:tcPr>
            <w:tcW w:w="1264" w:type="dxa"/>
            <w:tcBorders>
              <w:top w:val="nil"/>
              <w:left w:val="nil"/>
              <w:bottom w:val="nil"/>
              <w:right w:val="nil"/>
            </w:tcBorders>
          </w:tcPr>
          <w:p w:rsidR="000B4A1E" w:rsidRPr="00B760D4" w:rsidRDefault="000B4A1E" w:rsidP="00517E51">
            <w:pPr>
              <w:pStyle w:val="TableofFigures"/>
              <w:rPr>
                <w:rFonts w:eastAsiaTheme="minorEastAsia"/>
                <w:lang w:eastAsia="en-AU"/>
              </w:rPr>
            </w:pPr>
            <w:r w:rsidRPr="00B760D4">
              <w:rPr>
                <w:rFonts w:eastAsiaTheme="minorEastAsia"/>
                <w:lang w:eastAsia="en-AU"/>
              </w:rPr>
              <w:t>(7 166.1)</w:t>
            </w:r>
          </w:p>
        </w:tc>
      </w:tr>
      <w:tr w:rsidR="000B4A1E" w:rsidRPr="00B760D4" w:rsidTr="00517E51">
        <w:tc>
          <w:tcPr>
            <w:tcW w:w="6854" w:type="dxa"/>
            <w:tcBorders>
              <w:top w:val="single" w:sz="6" w:space="0" w:color="auto"/>
              <w:left w:val="nil"/>
              <w:bottom w:val="single" w:sz="12" w:space="0" w:color="auto"/>
              <w:right w:val="nil"/>
            </w:tcBorders>
          </w:tcPr>
          <w:p w:rsidR="000B4A1E" w:rsidRPr="00B760D4" w:rsidRDefault="000B4A1E" w:rsidP="00517E51">
            <w:pPr>
              <w:pStyle w:val="Tabletext"/>
              <w:rPr>
                <w:rFonts w:eastAsiaTheme="minorEastAsia"/>
                <w:b/>
                <w:bCs/>
                <w:lang w:eastAsia="en-AU"/>
              </w:rPr>
            </w:pPr>
            <w:r w:rsidRPr="00B760D4">
              <w:rPr>
                <w:rFonts w:eastAsiaTheme="minorEastAsia"/>
                <w:b/>
                <w:bCs/>
                <w:lang w:eastAsia="en-AU"/>
              </w:rPr>
              <w:t>Cash surplus/(deficit)</w:t>
            </w:r>
          </w:p>
        </w:tc>
        <w:tc>
          <w:tcPr>
            <w:tcW w:w="1530" w:type="dxa"/>
            <w:tcBorders>
              <w:top w:val="single" w:sz="6" w:space="0" w:color="auto"/>
              <w:left w:val="nil"/>
              <w:bottom w:val="single" w:sz="12" w:space="0" w:color="auto"/>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(4 914.7)</w:t>
            </w:r>
          </w:p>
        </w:tc>
        <w:tc>
          <w:tcPr>
            <w:tcW w:w="1264" w:type="dxa"/>
            <w:tcBorders>
              <w:top w:val="single" w:sz="6" w:space="0" w:color="auto"/>
              <w:left w:val="nil"/>
              <w:bottom w:val="single" w:sz="12" w:space="0" w:color="auto"/>
              <w:right w:val="nil"/>
            </w:tcBorders>
          </w:tcPr>
          <w:p w:rsidR="000B4A1E" w:rsidRPr="00B760D4" w:rsidRDefault="000B4A1E" w:rsidP="00517E51">
            <w:pPr>
              <w:pStyle w:val="TableofFigures"/>
              <w:rPr>
                <w:rFonts w:eastAsiaTheme="minorEastAsia"/>
                <w:b/>
                <w:bCs/>
                <w:lang w:eastAsia="en-AU"/>
              </w:rPr>
            </w:pPr>
            <w:r w:rsidRPr="00B760D4">
              <w:rPr>
                <w:rFonts w:eastAsiaTheme="minorEastAsia"/>
                <w:b/>
                <w:bCs/>
                <w:lang w:eastAsia="en-AU"/>
              </w:rPr>
              <w:t>(3 323.7)</w:t>
            </w:r>
          </w:p>
        </w:tc>
      </w:tr>
    </w:tbl>
    <w:p w:rsidR="000B4A1E" w:rsidRPr="00B8251A" w:rsidRDefault="000B4A1E" w:rsidP="00517E51">
      <w:pPr>
        <w:pStyle w:val="Source"/>
      </w:pPr>
      <w:r w:rsidRPr="00B8251A">
        <w:t>Source: Department of Treasury and Finance</w:t>
      </w:r>
    </w:p>
    <w:p w:rsidR="000B4A1E" w:rsidRPr="00B8251A" w:rsidRDefault="000B4A1E" w:rsidP="00517E51">
      <w:pPr>
        <w:pStyle w:val="Notes"/>
      </w:pPr>
      <w:r w:rsidRPr="00B8251A">
        <w:t>Note</w:t>
      </w:r>
      <w:r>
        <w:t>s</w:t>
      </w:r>
      <w:r w:rsidRPr="00B8251A">
        <w:t>:</w:t>
      </w:r>
    </w:p>
    <w:p w:rsidR="000B4A1E" w:rsidRPr="00B8251A" w:rsidRDefault="000B4A1E" w:rsidP="00517E51">
      <w:pPr>
        <w:pStyle w:val="Notes"/>
      </w:pPr>
      <w:r>
        <w:t>(a)</w:t>
      </w:r>
      <w:r>
        <w:tab/>
      </w:r>
      <w:r w:rsidRPr="00B8251A">
        <w:t>These items are inclusive of goods and services tax.</w:t>
      </w:r>
    </w:p>
    <w:p w:rsidR="000B4A1E" w:rsidRDefault="000B4A1E" w:rsidP="00517E51">
      <w:pPr>
        <w:pStyle w:val="Notes"/>
      </w:pPr>
      <w:r>
        <w:t>(b)</w:t>
      </w:r>
      <w:r>
        <w:tab/>
      </w:r>
      <w:r w:rsidRPr="00B760D4">
        <w:t xml:space="preserve">Restatement of previously published information relates to restated balances at 30 June 2012 and 1 July 2011. </w:t>
      </w:r>
      <w:r w:rsidRPr="005A7432">
        <w:t>Refer to Note 36</w:t>
      </w:r>
      <w:r>
        <w:t xml:space="preserve">, Chapter 4 </w:t>
      </w:r>
      <w:r>
        <w:rPr>
          <w:i w:val="0"/>
        </w:rPr>
        <w:t>Annual Financial Report</w:t>
      </w:r>
      <w:r w:rsidRPr="005A7432">
        <w:t>.</w:t>
      </w:r>
    </w:p>
    <w:p w:rsidR="000B4A1E" w:rsidRPr="00B8251A" w:rsidRDefault="000B4A1E" w:rsidP="00517E51">
      <w:pPr>
        <w:pStyle w:val="Notes"/>
      </w:pPr>
      <w:r>
        <w:t xml:space="preserve"> (c)</w:t>
      </w:r>
      <w:r>
        <w:tab/>
        <w:t>Review of Cash Investments in 2012-13 has reclassified some Australian Dollar Term Deposits held in 2011-12 to Cash and Deposits.</w:t>
      </w:r>
    </w:p>
    <w:p w:rsidR="000B4A1E" w:rsidRPr="00B8251A" w:rsidRDefault="000B4A1E" w:rsidP="00517E51"/>
    <w:p w:rsidR="000B4A1E" w:rsidRPr="00B8251A" w:rsidRDefault="000B4A1E">
      <w:pPr>
        <w:spacing w:after="0"/>
        <w:rPr>
          <w:rFonts w:ascii="Calibri" w:hAnsi="Calibri"/>
          <w:b/>
          <w:sz w:val="25"/>
        </w:rPr>
      </w:pPr>
      <w:r w:rsidRPr="00B8251A">
        <w:br w:type="page"/>
      </w:r>
    </w:p>
    <w:p w:rsidR="000B4A1E" w:rsidRPr="00B8251A" w:rsidRDefault="000B4A1E" w:rsidP="00517E51">
      <w:pPr>
        <w:pStyle w:val="Tableheading"/>
      </w:pPr>
      <w:r w:rsidRPr="00B8251A">
        <w:lastRenderedPageBreak/>
        <w:t>Table 5.4:</w:t>
      </w:r>
      <w:r w:rsidRPr="00B8251A">
        <w:tab/>
        <w:t>Non</w:t>
      </w:r>
      <w:r w:rsidRPr="00B8251A">
        <w:noBreakHyphen/>
        <w:t>financial public sector</w:t>
      </w:r>
      <w:r>
        <w:t xml:space="preserve"> statement of changes in equity</w:t>
      </w:r>
    </w:p>
    <w:p w:rsidR="000B4A1E" w:rsidRPr="008062DE" w:rsidRDefault="000B4A1E" w:rsidP="00517E51">
      <w:pPr>
        <w:pStyle w:val="million"/>
      </w:pPr>
      <w:r w:rsidRPr="00B8251A">
        <w:t>($</w:t>
      </w:r>
      <w:r>
        <w:t> million</w:t>
      </w:r>
      <w:r w:rsidRPr="00B8251A">
        <w:t>)</w:t>
      </w:r>
    </w:p>
    <w:tbl>
      <w:tblPr>
        <w:tblW w:w="9648" w:type="dxa"/>
        <w:tblInd w:w="29" w:type="dxa"/>
        <w:tblLayout w:type="fixed"/>
        <w:tblCellMar>
          <w:left w:w="43" w:type="dxa"/>
          <w:right w:w="43" w:type="dxa"/>
        </w:tblCellMar>
        <w:tblLook w:val="0000" w:firstRow="0" w:lastRow="0" w:firstColumn="0" w:lastColumn="0" w:noHBand="0" w:noVBand="0"/>
      </w:tblPr>
      <w:tblGrid>
        <w:gridCol w:w="6818"/>
        <w:gridCol w:w="1701"/>
        <w:gridCol w:w="1129"/>
      </w:tblGrid>
      <w:tr w:rsidR="000B4A1E" w:rsidRPr="008062DE" w:rsidTr="00517E51">
        <w:tc>
          <w:tcPr>
            <w:tcW w:w="6818" w:type="dxa"/>
            <w:tcBorders>
              <w:top w:val="single" w:sz="4" w:space="0" w:color="auto"/>
              <w:left w:val="single" w:sz="4" w:space="0" w:color="auto"/>
              <w:bottom w:val="single" w:sz="4" w:space="0" w:color="auto"/>
              <w:right w:val="nil"/>
            </w:tcBorders>
            <w:shd w:val="clear" w:color="auto" w:fill="000000"/>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701" w:type="dxa"/>
            <w:tcBorders>
              <w:top w:val="single" w:sz="4" w:space="0" w:color="auto"/>
              <w:left w:val="nil"/>
              <w:bottom w:val="single" w:sz="4" w:space="0" w:color="auto"/>
              <w:right w:val="nil"/>
            </w:tcBorders>
            <w:shd w:val="clear" w:color="auto" w:fill="000000"/>
          </w:tcPr>
          <w:p w:rsidR="000B4A1E" w:rsidRPr="008062DE" w:rsidRDefault="000B4A1E" w:rsidP="00517E51">
            <w:pPr>
              <w:pStyle w:val="Tabletextheading"/>
              <w:rPr>
                <w:rFonts w:eastAsiaTheme="minorEastAsia"/>
                <w:lang w:eastAsia="en-AU"/>
              </w:rPr>
            </w:pPr>
          </w:p>
          <w:p w:rsidR="000B4A1E" w:rsidRPr="008062DE" w:rsidRDefault="000B4A1E" w:rsidP="00517E51">
            <w:pPr>
              <w:pStyle w:val="Tabletextheading"/>
              <w:rPr>
                <w:rFonts w:eastAsiaTheme="minorEastAsia"/>
                <w:lang w:eastAsia="en-AU"/>
              </w:rPr>
            </w:pPr>
            <w:r w:rsidRPr="008062DE">
              <w:rPr>
                <w:rFonts w:eastAsiaTheme="minorEastAsia"/>
                <w:lang w:eastAsia="en-AU"/>
              </w:rPr>
              <w:t>Accumulated surplus/(deficit)</w:t>
            </w:r>
          </w:p>
        </w:tc>
        <w:tc>
          <w:tcPr>
            <w:tcW w:w="1129" w:type="dxa"/>
            <w:tcBorders>
              <w:top w:val="single" w:sz="4" w:space="0" w:color="auto"/>
              <w:left w:val="nil"/>
              <w:bottom w:val="single" w:sz="4" w:space="0" w:color="auto"/>
              <w:right w:val="single" w:sz="4" w:space="0" w:color="auto"/>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Non-</w:t>
            </w:r>
          </w:p>
          <w:p w:rsidR="000B4A1E" w:rsidRPr="008062DE" w:rsidRDefault="000B4A1E" w:rsidP="00517E51">
            <w:pPr>
              <w:pStyle w:val="Tabletextheading"/>
              <w:rPr>
                <w:rFonts w:eastAsiaTheme="minorEastAsia"/>
                <w:lang w:eastAsia="en-AU"/>
              </w:rPr>
            </w:pPr>
            <w:r w:rsidRPr="008062DE">
              <w:rPr>
                <w:rFonts w:eastAsiaTheme="minorEastAsia"/>
                <w:lang w:eastAsia="en-AU"/>
              </w:rPr>
              <w:t xml:space="preserve">controlling </w:t>
            </w:r>
          </w:p>
          <w:p w:rsidR="000B4A1E" w:rsidRPr="008062DE" w:rsidRDefault="000B4A1E" w:rsidP="00517E51">
            <w:pPr>
              <w:pStyle w:val="Tabletextheading"/>
              <w:rPr>
                <w:rFonts w:eastAsiaTheme="minorEastAsia"/>
                <w:lang w:eastAsia="en-AU"/>
              </w:rPr>
            </w:pPr>
            <w:r w:rsidRPr="008062DE">
              <w:rPr>
                <w:rFonts w:eastAsiaTheme="minorEastAsia"/>
                <w:lang w:eastAsia="en-AU"/>
              </w:rPr>
              <w:t>Interest</w:t>
            </w:r>
          </w:p>
        </w:tc>
      </w:tr>
      <w:tr w:rsidR="000B4A1E" w:rsidRPr="008062DE" w:rsidTr="00517E51">
        <w:tc>
          <w:tcPr>
            <w:tcW w:w="6818" w:type="dxa"/>
            <w:tcBorders>
              <w:top w:val="single" w:sz="4" w:space="0" w:color="auto"/>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2013</w:t>
            </w:r>
          </w:p>
        </w:tc>
        <w:tc>
          <w:tcPr>
            <w:tcW w:w="1701" w:type="dxa"/>
            <w:tcBorders>
              <w:top w:val="single" w:sz="4" w:space="0" w:color="auto"/>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w:t>
            </w:r>
          </w:p>
        </w:tc>
        <w:tc>
          <w:tcPr>
            <w:tcW w:w="1129" w:type="dxa"/>
            <w:tcBorders>
              <w:top w:val="single" w:sz="4" w:space="0" w:color="auto"/>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w:t>
            </w:r>
          </w:p>
        </w:tc>
      </w:tr>
      <w:tr w:rsidR="000B4A1E" w:rsidRPr="008062DE" w:rsidTr="00517E51">
        <w:tc>
          <w:tcPr>
            <w:tcW w:w="6818"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Balance at 1 July 2012</w:t>
            </w:r>
          </w:p>
        </w:tc>
        <w:tc>
          <w:tcPr>
            <w:tcW w:w="1701"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41 572.8</w:t>
            </w:r>
          </w:p>
        </w:tc>
        <w:tc>
          <w:tcPr>
            <w:tcW w:w="1129"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50.0</w:t>
            </w:r>
          </w:p>
        </w:tc>
      </w:tr>
      <w:tr w:rsidR="000B4A1E" w:rsidRPr="008062DE" w:rsidTr="00517E51">
        <w:tc>
          <w:tcPr>
            <w:tcW w:w="6818"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Net result for the year</w:t>
            </w:r>
          </w:p>
        </w:tc>
        <w:tc>
          <w:tcPr>
            <w:tcW w:w="1701"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5 816.5</w:t>
            </w:r>
          </w:p>
        </w:tc>
        <w:tc>
          <w:tcPr>
            <w:tcW w:w="1129"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r>
      <w:tr w:rsidR="000B4A1E" w:rsidRPr="008062DE" w:rsidTr="00517E51">
        <w:tc>
          <w:tcPr>
            <w:tcW w:w="6818"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Other comprehensive income for the year</w:t>
            </w:r>
          </w:p>
        </w:tc>
        <w:tc>
          <w:tcPr>
            <w:tcW w:w="1701"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1 150.0</w:t>
            </w:r>
          </w:p>
        </w:tc>
        <w:tc>
          <w:tcPr>
            <w:tcW w:w="1129"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r>
      <w:tr w:rsidR="000B4A1E" w:rsidRPr="008062DE" w:rsidTr="00517E51">
        <w:tc>
          <w:tcPr>
            <w:tcW w:w="6818" w:type="dxa"/>
            <w:tcBorders>
              <w:top w:val="nil"/>
              <w:left w:val="nil"/>
              <w:bottom w:val="single" w:sz="6" w:space="0" w:color="auto"/>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Transactions with owners in their capacity as owners</w:t>
            </w:r>
          </w:p>
        </w:tc>
        <w:tc>
          <w:tcPr>
            <w:tcW w:w="1701"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1129"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r>
      <w:tr w:rsidR="000B4A1E" w:rsidRPr="008062DE" w:rsidTr="00517E51">
        <w:tc>
          <w:tcPr>
            <w:tcW w:w="6818" w:type="dxa"/>
            <w:tcBorders>
              <w:top w:val="nil"/>
              <w:left w:val="nil"/>
              <w:bottom w:val="single" w:sz="12"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Total equity as at 30 June 2013</w:t>
            </w:r>
          </w:p>
        </w:tc>
        <w:tc>
          <w:tcPr>
            <w:tcW w:w="1701"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48 539.2</w:t>
            </w:r>
          </w:p>
        </w:tc>
        <w:tc>
          <w:tcPr>
            <w:tcW w:w="1129"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50.0</w:t>
            </w:r>
          </w:p>
        </w:tc>
      </w:tr>
      <w:tr w:rsidR="000B4A1E" w:rsidRPr="008062DE" w:rsidTr="00517E51">
        <w:tc>
          <w:tcPr>
            <w:tcW w:w="6818" w:type="dxa"/>
            <w:tcBorders>
              <w:top w:val="nil"/>
              <w:left w:val="nil"/>
              <w:bottom w:val="nil"/>
              <w:right w:val="nil"/>
            </w:tcBorders>
          </w:tcPr>
          <w:p w:rsidR="000B4A1E" w:rsidRPr="008062DE" w:rsidRDefault="000B4A1E" w:rsidP="00517E51">
            <w:pPr>
              <w:pStyle w:val="Tabletext"/>
              <w:rPr>
                <w:rFonts w:eastAsiaTheme="minorEastAsia" w:cs="Calibri"/>
                <w:b/>
                <w:bCs/>
                <w:color w:val="000000"/>
                <w:szCs w:val="22"/>
                <w:vertAlign w:val="superscript"/>
                <w:lang w:eastAsia="en-AU"/>
              </w:rPr>
            </w:pPr>
            <w:r w:rsidRPr="008062DE">
              <w:rPr>
                <w:rFonts w:eastAsiaTheme="minorEastAsia"/>
                <w:b/>
                <w:bCs/>
                <w:lang w:eastAsia="en-AU"/>
              </w:rPr>
              <w:t xml:space="preserve">2012 </w:t>
            </w:r>
            <w:r w:rsidRPr="008062DE">
              <w:rPr>
                <w:rFonts w:eastAsiaTheme="minorEastAsia" w:cs="Calibri"/>
                <w:b/>
                <w:bCs/>
                <w:color w:val="000000"/>
                <w:szCs w:val="22"/>
                <w:vertAlign w:val="superscript"/>
                <w:lang w:eastAsia="en-AU"/>
              </w:rPr>
              <w:t>(a)</w:t>
            </w:r>
          </w:p>
        </w:tc>
        <w:tc>
          <w:tcPr>
            <w:tcW w:w="1701" w:type="dxa"/>
            <w:tcBorders>
              <w:top w:val="nil"/>
              <w:left w:val="nil"/>
              <w:bottom w:val="nil"/>
              <w:right w:val="nil"/>
            </w:tcBorders>
          </w:tcPr>
          <w:p w:rsidR="000B4A1E" w:rsidRPr="008062DE" w:rsidRDefault="000B4A1E" w:rsidP="00517E51">
            <w:pPr>
              <w:pStyle w:val="TableofFigures"/>
              <w:rPr>
                <w:rFonts w:eastAsiaTheme="minorEastAsia"/>
                <w:b/>
                <w:bCs/>
                <w:lang w:eastAsia="en-AU"/>
              </w:rPr>
            </w:pPr>
          </w:p>
        </w:tc>
        <w:tc>
          <w:tcPr>
            <w:tcW w:w="1129" w:type="dxa"/>
            <w:tcBorders>
              <w:top w:val="nil"/>
              <w:left w:val="nil"/>
              <w:bottom w:val="nil"/>
              <w:right w:val="nil"/>
            </w:tcBorders>
          </w:tcPr>
          <w:p w:rsidR="000B4A1E" w:rsidRPr="008062DE" w:rsidRDefault="000B4A1E" w:rsidP="00517E51">
            <w:pPr>
              <w:pStyle w:val="TableofFigures"/>
              <w:rPr>
                <w:rFonts w:eastAsiaTheme="minorEastAsia"/>
                <w:b/>
                <w:bCs/>
                <w:lang w:eastAsia="en-AU"/>
              </w:rPr>
            </w:pPr>
          </w:p>
        </w:tc>
      </w:tr>
      <w:tr w:rsidR="000B4A1E" w:rsidRPr="008062DE" w:rsidTr="00517E51">
        <w:tc>
          <w:tcPr>
            <w:tcW w:w="6818"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Balance at 1 July 2011</w:t>
            </w:r>
          </w:p>
        </w:tc>
        <w:tc>
          <w:tcPr>
            <w:tcW w:w="1701"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51 744.4</w:t>
            </w:r>
          </w:p>
        </w:tc>
        <w:tc>
          <w:tcPr>
            <w:tcW w:w="1129"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48.5</w:t>
            </w:r>
          </w:p>
        </w:tc>
      </w:tr>
      <w:tr w:rsidR="000B4A1E" w:rsidRPr="008062DE" w:rsidTr="00517E51">
        <w:tc>
          <w:tcPr>
            <w:tcW w:w="6818"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Net result for the year</w:t>
            </w:r>
          </w:p>
        </w:tc>
        <w:tc>
          <w:tcPr>
            <w:tcW w:w="1701"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(10 418.6)</w:t>
            </w:r>
          </w:p>
        </w:tc>
        <w:tc>
          <w:tcPr>
            <w:tcW w:w="1129"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r>
      <w:tr w:rsidR="000B4A1E" w:rsidRPr="008062DE" w:rsidTr="00517E51">
        <w:tc>
          <w:tcPr>
            <w:tcW w:w="6818"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Other comprehensive income for the year</w:t>
            </w:r>
          </w:p>
        </w:tc>
        <w:tc>
          <w:tcPr>
            <w:tcW w:w="1701"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247.0</w:t>
            </w:r>
          </w:p>
        </w:tc>
        <w:tc>
          <w:tcPr>
            <w:tcW w:w="1129"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r>
      <w:tr w:rsidR="000B4A1E" w:rsidRPr="008062DE" w:rsidTr="00517E51">
        <w:tc>
          <w:tcPr>
            <w:tcW w:w="6818" w:type="dxa"/>
            <w:tcBorders>
              <w:top w:val="nil"/>
              <w:left w:val="nil"/>
              <w:bottom w:val="single" w:sz="6" w:space="0" w:color="auto"/>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Transactions with owners in their capacity as owners</w:t>
            </w:r>
          </w:p>
        </w:tc>
        <w:tc>
          <w:tcPr>
            <w:tcW w:w="1701"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1129"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1.5</w:t>
            </w:r>
          </w:p>
        </w:tc>
      </w:tr>
      <w:tr w:rsidR="000B4A1E" w:rsidRPr="008062DE" w:rsidTr="00517E51">
        <w:tc>
          <w:tcPr>
            <w:tcW w:w="6818" w:type="dxa"/>
            <w:tcBorders>
              <w:top w:val="nil"/>
              <w:left w:val="nil"/>
              <w:bottom w:val="single" w:sz="12" w:space="0" w:color="auto"/>
              <w:right w:val="nil"/>
            </w:tcBorders>
          </w:tcPr>
          <w:p w:rsidR="000B4A1E" w:rsidRPr="008062DE" w:rsidRDefault="000B4A1E" w:rsidP="00517E51">
            <w:pPr>
              <w:pStyle w:val="Tabletext"/>
              <w:rPr>
                <w:rFonts w:eastAsiaTheme="minorEastAsia" w:cs="Calibri"/>
                <w:b/>
                <w:bCs/>
                <w:color w:val="000000"/>
                <w:szCs w:val="22"/>
                <w:vertAlign w:val="superscript"/>
                <w:lang w:eastAsia="en-AU"/>
              </w:rPr>
            </w:pPr>
            <w:r>
              <w:rPr>
                <w:rFonts w:eastAsiaTheme="minorEastAsia"/>
                <w:b/>
                <w:bCs/>
                <w:lang w:eastAsia="en-AU"/>
              </w:rPr>
              <w:t>Total equity as at 30 June 2012</w:t>
            </w:r>
          </w:p>
        </w:tc>
        <w:tc>
          <w:tcPr>
            <w:tcW w:w="1701"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41 572.8</w:t>
            </w:r>
          </w:p>
        </w:tc>
        <w:tc>
          <w:tcPr>
            <w:tcW w:w="1129"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50.0</w:t>
            </w:r>
          </w:p>
        </w:tc>
      </w:tr>
    </w:tbl>
    <w:p w:rsidR="000B4A1E" w:rsidRPr="00B8251A" w:rsidRDefault="000B4A1E" w:rsidP="00517E51">
      <w:pPr>
        <w:pStyle w:val="Source"/>
      </w:pPr>
      <w:r w:rsidRPr="00B8251A">
        <w:t>Source: Department of Treasury and Finance</w:t>
      </w:r>
    </w:p>
    <w:p w:rsidR="000B4A1E" w:rsidRPr="00B8251A" w:rsidRDefault="000B4A1E" w:rsidP="00517E51">
      <w:pPr>
        <w:pStyle w:val="Notes"/>
      </w:pPr>
      <w:r w:rsidRPr="00B8251A">
        <w:t>Note:</w:t>
      </w:r>
    </w:p>
    <w:p w:rsidR="000B4A1E" w:rsidRDefault="000B4A1E" w:rsidP="00517E51">
      <w:pPr>
        <w:pStyle w:val="Notes"/>
      </w:pPr>
      <w:r>
        <w:t>(a</w:t>
      </w:r>
      <w:r w:rsidRPr="005A7432">
        <w:t>)</w:t>
      </w:r>
      <w:r>
        <w:tab/>
      </w:r>
      <w:r w:rsidRPr="005A7432">
        <w:t>Restated balances at 30 June 2012. Refer to Note 36</w:t>
      </w:r>
      <w:r>
        <w:t xml:space="preserve">, Chapter 4 </w:t>
      </w:r>
      <w:r>
        <w:rPr>
          <w:i w:val="0"/>
        </w:rPr>
        <w:t>Annual Financial Report</w:t>
      </w:r>
      <w:r w:rsidRPr="005A7432">
        <w:t>.</w:t>
      </w:r>
    </w:p>
    <w:p w:rsidR="000B4A1E" w:rsidRPr="00B8251A" w:rsidRDefault="000B4A1E">
      <w:pPr>
        <w:spacing w:after="0"/>
      </w:pPr>
      <w:r w:rsidRPr="00B8251A">
        <w:br w:type="page"/>
      </w:r>
    </w:p>
    <w:p w:rsidR="000B4A1E" w:rsidRPr="00B8251A" w:rsidRDefault="000B4A1E" w:rsidP="00517E51">
      <w:pPr>
        <w:pStyle w:val="Tableheading"/>
      </w:pPr>
    </w:p>
    <w:p w:rsidR="000B4A1E" w:rsidRPr="008062DE" w:rsidRDefault="000B4A1E" w:rsidP="00517E51">
      <w:pPr>
        <w:pStyle w:val="million"/>
        <w:rPr>
          <w:rFonts w:ascii="Times New Roman" w:hAnsi="Times New Roman"/>
          <w:i w:val="0"/>
          <w:szCs w:val="20"/>
          <w:lang w:eastAsia="en-AU"/>
        </w:rPr>
      </w:pPr>
    </w:p>
    <w:tbl>
      <w:tblPr>
        <w:tblW w:w="9648" w:type="dxa"/>
        <w:tblInd w:w="29" w:type="dxa"/>
        <w:tblLayout w:type="fixed"/>
        <w:tblCellMar>
          <w:left w:w="43" w:type="dxa"/>
          <w:right w:w="43" w:type="dxa"/>
        </w:tblCellMar>
        <w:tblLook w:val="0000" w:firstRow="0" w:lastRow="0" w:firstColumn="0" w:lastColumn="0" w:noHBand="0" w:noVBand="0"/>
      </w:tblPr>
      <w:tblGrid>
        <w:gridCol w:w="2412"/>
        <w:gridCol w:w="2412"/>
        <w:gridCol w:w="2412"/>
        <w:gridCol w:w="2412"/>
      </w:tblGrid>
      <w:tr w:rsidR="000B4A1E" w:rsidRPr="008062DE" w:rsidTr="00517E51">
        <w:tc>
          <w:tcPr>
            <w:tcW w:w="2412" w:type="dxa"/>
            <w:tcBorders>
              <w:top w:val="single" w:sz="4" w:space="0" w:color="auto"/>
              <w:left w:val="single" w:sz="4" w:space="0" w:color="auto"/>
              <w:bottom w:val="single" w:sz="4" w:space="0" w:color="auto"/>
              <w:right w:val="nil"/>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 xml:space="preserve">Property, plant and equipment </w:t>
            </w:r>
          </w:p>
          <w:p w:rsidR="000B4A1E" w:rsidRPr="008062DE" w:rsidRDefault="000B4A1E" w:rsidP="00517E51">
            <w:pPr>
              <w:pStyle w:val="Tabletextheading"/>
              <w:rPr>
                <w:rFonts w:eastAsiaTheme="minorEastAsia"/>
                <w:lang w:eastAsia="en-AU"/>
              </w:rPr>
            </w:pPr>
            <w:r w:rsidRPr="008062DE">
              <w:rPr>
                <w:rFonts w:eastAsiaTheme="minorEastAsia"/>
                <w:lang w:eastAsia="en-AU"/>
              </w:rPr>
              <w:t>revaluation surplus</w:t>
            </w:r>
          </w:p>
        </w:tc>
        <w:tc>
          <w:tcPr>
            <w:tcW w:w="2412" w:type="dxa"/>
            <w:tcBorders>
              <w:top w:val="single" w:sz="4" w:space="0" w:color="auto"/>
              <w:left w:val="nil"/>
              <w:bottom w:val="single" w:sz="4" w:space="0" w:color="auto"/>
              <w:right w:val="nil"/>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 xml:space="preserve">Investment in other </w:t>
            </w:r>
          </w:p>
          <w:p w:rsidR="000B4A1E" w:rsidRPr="008062DE" w:rsidRDefault="000B4A1E" w:rsidP="00517E51">
            <w:pPr>
              <w:pStyle w:val="Tabletextheading"/>
              <w:rPr>
                <w:rFonts w:eastAsiaTheme="minorEastAsia"/>
                <w:lang w:eastAsia="en-AU"/>
              </w:rPr>
            </w:pPr>
            <w:r w:rsidRPr="008062DE">
              <w:rPr>
                <w:rFonts w:eastAsiaTheme="minorEastAsia"/>
                <w:lang w:eastAsia="en-AU"/>
              </w:rPr>
              <w:t xml:space="preserve">sector entities </w:t>
            </w:r>
          </w:p>
          <w:p w:rsidR="000B4A1E" w:rsidRPr="008062DE" w:rsidRDefault="000B4A1E" w:rsidP="00517E51">
            <w:pPr>
              <w:pStyle w:val="Tabletextheading"/>
              <w:rPr>
                <w:rFonts w:eastAsiaTheme="minorEastAsia"/>
                <w:lang w:eastAsia="en-AU"/>
              </w:rPr>
            </w:pPr>
            <w:r w:rsidRPr="008062DE">
              <w:rPr>
                <w:rFonts w:eastAsiaTheme="minorEastAsia"/>
                <w:lang w:eastAsia="en-AU"/>
              </w:rPr>
              <w:t>revaluation surplus</w:t>
            </w:r>
          </w:p>
        </w:tc>
        <w:tc>
          <w:tcPr>
            <w:tcW w:w="2412" w:type="dxa"/>
            <w:tcBorders>
              <w:top w:val="single" w:sz="4" w:space="0" w:color="auto"/>
              <w:left w:val="nil"/>
              <w:bottom w:val="single" w:sz="4" w:space="0" w:color="auto"/>
              <w:right w:val="nil"/>
            </w:tcBorders>
            <w:shd w:val="clear" w:color="auto" w:fill="000000"/>
          </w:tcPr>
          <w:p w:rsidR="000B4A1E" w:rsidRPr="008062DE" w:rsidRDefault="000B4A1E" w:rsidP="00517E51">
            <w:pPr>
              <w:pStyle w:val="Tabletextheading"/>
              <w:rPr>
                <w:rFonts w:eastAsiaTheme="minorEastAsia"/>
                <w:lang w:eastAsia="en-AU"/>
              </w:rPr>
            </w:pPr>
          </w:p>
          <w:p w:rsidR="000B4A1E" w:rsidRPr="008062DE" w:rsidRDefault="000B4A1E" w:rsidP="00517E51">
            <w:pPr>
              <w:pStyle w:val="Tabletextheading"/>
              <w:rPr>
                <w:rFonts w:eastAsiaTheme="minorEastAsia"/>
                <w:lang w:eastAsia="en-AU"/>
              </w:rPr>
            </w:pPr>
          </w:p>
          <w:p w:rsidR="000B4A1E" w:rsidRPr="008062DE" w:rsidRDefault="000B4A1E" w:rsidP="00517E51">
            <w:pPr>
              <w:pStyle w:val="Tabletextheading"/>
              <w:rPr>
                <w:rFonts w:eastAsiaTheme="minorEastAsia"/>
                <w:lang w:eastAsia="en-AU"/>
              </w:rPr>
            </w:pPr>
            <w:r w:rsidRPr="008062DE">
              <w:rPr>
                <w:rFonts w:eastAsiaTheme="minorEastAsia"/>
                <w:lang w:eastAsia="en-AU"/>
              </w:rPr>
              <w:t>Other reserves</w:t>
            </w:r>
          </w:p>
        </w:tc>
        <w:tc>
          <w:tcPr>
            <w:tcW w:w="2412" w:type="dxa"/>
            <w:tcBorders>
              <w:top w:val="single" w:sz="4" w:space="0" w:color="auto"/>
              <w:left w:val="nil"/>
              <w:bottom w:val="single" w:sz="4" w:space="0" w:color="auto"/>
              <w:right w:val="single" w:sz="4" w:space="0" w:color="auto"/>
            </w:tcBorders>
            <w:shd w:val="clear" w:color="auto" w:fill="000000"/>
          </w:tcPr>
          <w:p w:rsidR="000B4A1E" w:rsidRPr="008062DE" w:rsidRDefault="000B4A1E" w:rsidP="00517E51">
            <w:pPr>
              <w:pStyle w:val="Tabletextheading"/>
              <w:rPr>
                <w:rFonts w:eastAsiaTheme="minorEastAsia"/>
                <w:lang w:eastAsia="en-AU"/>
              </w:rPr>
            </w:pPr>
          </w:p>
          <w:p w:rsidR="000B4A1E" w:rsidRPr="008062DE" w:rsidRDefault="000B4A1E" w:rsidP="00517E51">
            <w:pPr>
              <w:pStyle w:val="Tabletextheading"/>
              <w:rPr>
                <w:rFonts w:eastAsiaTheme="minorEastAsia"/>
                <w:lang w:eastAsia="en-AU"/>
              </w:rPr>
            </w:pPr>
          </w:p>
          <w:p w:rsidR="000B4A1E" w:rsidRPr="008062DE" w:rsidRDefault="000B4A1E" w:rsidP="00517E51">
            <w:pPr>
              <w:pStyle w:val="Tabletextheading"/>
              <w:rPr>
                <w:rFonts w:eastAsiaTheme="minorEastAsia"/>
                <w:lang w:eastAsia="en-AU"/>
              </w:rPr>
            </w:pPr>
            <w:r w:rsidRPr="008062DE">
              <w:rPr>
                <w:rFonts w:eastAsiaTheme="minorEastAsia"/>
                <w:lang w:eastAsia="en-AU"/>
              </w:rPr>
              <w:t>Total</w:t>
            </w:r>
          </w:p>
        </w:tc>
      </w:tr>
      <w:tr w:rsidR="000B4A1E" w:rsidRPr="008062DE" w:rsidTr="00517E51">
        <w:tc>
          <w:tcPr>
            <w:tcW w:w="2412" w:type="dxa"/>
            <w:tcBorders>
              <w:top w:val="single" w:sz="4" w:space="0" w:color="auto"/>
              <w:left w:val="nil"/>
              <w:bottom w:val="nil"/>
              <w:right w:val="nil"/>
            </w:tcBorders>
          </w:tcPr>
          <w:p w:rsidR="000B4A1E" w:rsidRPr="008062DE" w:rsidRDefault="000B4A1E" w:rsidP="00517E51">
            <w:pPr>
              <w:pStyle w:val="Tabletext"/>
              <w:jc w:val="right"/>
              <w:rPr>
                <w:rFonts w:eastAsiaTheme="minorEastAsia"/>
                <w:b/>
                <w:bCs/>
                <w:lang w:eastAsia="en-AU"/>
              </w:rPr>
            </w:pPr>
            <w:r w:rsidRPr="008062DE">
              <w:rPr>
                <w:rFonts w:eastAsiaTheme="minorEastAsia"/>
                <w:b/>
                <w:bCs/>
                <w:lang w:eastAsia="en-AU"/>
              </w:rPr>
              <w:t xml:space="preserve">         </w:t>
            </w:r>
          </w:p>
        </w:tc>
        <w:tc>
          <w:tcPr>
            <w:tcW w:w="2412" w:type="dxa"/>
            <w:tcBorders>
              <w:top w:val="single" w:sz="4" w:space="0" w:color="auto"/>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w:t>
            </w:r>
          </w:p>
        </w:tc>
        <w:tc>
          <w:tcPr>
            <w:tcW w:w="2412" w:type="dxa"/>
            <w:tcBorders>
              <w:top w:val="single" w:sz="4" w:space="0" w:color="auto"/>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w:t>
            </w:r>
          </w:p>
        </w:tc>
        <w:tc>
          <w:tcPr>
            <w:tcW w:w="2412" w:type="dxa"/>
            <w:tcBorders>
              <w:top w:val="single" w:sz="4" w:space="0" w:color="auto"/>
              <w:left w:val="nil"/>
              <w:bottom w:val="nil"/>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w:t>
            </w:r>
          </w:p>
        </w:tc>
      </w:tr>
      <w:tr w:rsidR="000B4A1E" w:rsidRPr="008062DE" w:rsidTr="00517E51">
        <w:tc>
          <w:tcPr>
            <w:tcW w:w="2412" w:type="dxa"/>
            <w:tcBorders>
              <w:top w:val="nil"/>
              <w:left w:val="nil"/>
              <w:bottom w:val="nil"/>
              <w:right w:val="nil"/>
            </w:tcBorders>
          </w:tcPr>
          <w:p w:rsidR="000B4A1E" w:rsidRPr="008062DE" w:rsidRDefault="000B4A1E" w:rsidP="00517E51">
            <w:pPr>
              <w:pStyle w:val="Tabletext"/>
              <w:jc w:val="right"/>
              <w:rPr>
                <w:rFonts w:eastAsiaTheme="minorEastAsia"/>
                <w:lang w:eastAsia="en-AU"/>
              </w:rPr>
            </w:pPr>
            <w:r w:rsidRPr="008062DE">
              <w:rPr>
                <w:rFonts w:eastAsiaTheme="minorEastAsia"/>
                <w:lang w:eastAsia="en-AU"/>
              </w:rPr>
              <w:t>75 552.6</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762.9</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1 889.8</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164 506.3</w:t>
            </w:r>
          </w:p>
        </w:tc>
      </w:tr>
      <w:tr w:rsidR="000B4A1E" w:rsidRPr="008062DE" w:rsidTr="00517E51">
        <w:tc>
          <w:tcPr>
            <w:tcW w:w="2412" w:type="dxa"/>
            <w:tcBorders>
              <w:top w:val="nil"/>
              <w:left w:val="nil"/>
              <w:bottom w:val="nil"/>
              <w:right w:val="nil"/>
            </w:tcBorders>
          </w:tcPr>
          <w:p w:rsidR="000B4A1E" w:rsidRPr="008062DE" w:rsidRDefault="000B4A1E" w:rsidP="00517E51">
            <w:pPr>
              <w:pStyle w:val="Tabletext"/>
              <w:jc w:val="right"/>
              <w:rPr>
                <w:rFonts w:eastAsiaTheme="minorEastAsia"/>
                <w:lang w:eastAsia="en-AU"/>
              </w:rPr>
            </w:pPr>
            <w:r w:rsidRPr="008062DE">
              <w:rPr>
                <w:rFonts w:eastAsiaTheme="minorEastAsia"/>
                <w:lang w:eastAsia="en-AU"/>
              </w:rPr>
              <w:t>..</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5 816.5</w:t>
            </w:r>
          </w:p>
        </w:tc>
      </w:tr>
      <w:tr w:rsidR="000B4A1E" w:rsidRPr="008062DE" w:rsidTr="00517E51">
        <w:tc>
          <w:tcPr>
            <w:tcW w:w="2412" w:type="dxa"/>
            <w:tcBorders>
              <w:top w:val="nil"/>
              <w:left w:val="nil"/>
              <w:bottom w:val="nil"/>
              <w:right w:val="nil"/>
            </w:tcBorders>
          </w:tcPr>
          <w:p w:rsidR="000B4A1E" w:rsidRPr="008062DE" w:rsidRDefault="000B4A1E" w:rsidP="00517E51">
            <w:pPr>
              <w:pStyle w:val="Tabletext"/>
              <w:jc w:val="right"/>
              <w:rPr>
                <w:rFonts w:eastAsiaTheme="minorEastAsia"/>
                <w:lang w:eastAsia="en-AU"/>
              </w:rPr>
            </w:pPr>
            <w:r w:rsidRPr="008062DE">
              <w:rPr>
                <w:rFonts w:eastAsiaTheme="minorEastAsia"/>
                <w:lang w:eastAsia="en-AU"/>
              </w:rPr>
              <w:t xml:space="preserve"> 796.4</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897.0</w:t>
            </w:r>
          </w:p>
        </w:tc>
        <w:tc>
          <w:tcPr>
            <w:tcW w:w="2412"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( 670.6</w:t>
            </w:r>
            <w:r w:rsidRPr="008062DE">
              <w:rPr>
                <w:rFonts w:eastAsiaTheme="minorEastAsia" w:cs="Calibri"/>
                <w:szCs w:val="22"/>
                <w:lang w:eastAsia="en-AU"/>
              </w:rPr>
              <w:t>)</w:t>
            </w:r>
          </w:p>
        </w:tc>
        <w:tc>
          <w:tcPr>
            <w:tcW w:w="2412"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2 172.9</w:t>
            </w:r>
          </w:p>
        </w:tc>
      </w:tr>
      <w:tr w:rsidR="000B4A1E" w:rsidRPr="008062DE" w:rsidTr="00517E51">
        <w:tc>
          <w:tcPr>
            <w:tcW w:w="2412" w:type="dxa"/>
            <w:tcBorders>
              <w:top w:val="nil"/>
              <w:left w:val="nil"/>
              <w:bottom w:val="nil"/>
              <w:right w:val="nil"/>
            </w:tcBorders>
          </w:tcPr>
          <w:p w:rsidR="000B4A1E" w:rsidRPr="008062DE" w:rsidRDefault="000B4A1E" w:rsidP="00517E51">
            <w:pPr>
              <w:pStyle w:val="Tabletext"/>
              <w:jc w:val="right"/>
              <w:rPr>
                <w:rFonts w:eastAsiaTheme="minorEastAsia"/>
                <w:lang w:eastAsia="en-AU"/>
              </w:rPr>
            </w:pPr>
            <w:r w:rsidRPr="008062DE">
              <w:rPr>
                <w:rFonts w:eastAsiaTheme="minorEastAsia"/>
                <w:lang w:eastAsia="en-AU"/>
              </w:rPr>
              <w:t>..</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0.0</w:t>
            </w:r>
          </w:p>
        </w:tc>
      </w:tr>
      <w:tr w:rsidR="000B4A1E" w:rsidRPr="008062DE" w:rsidTr="00517E51">
        <w:tc>
          <w:tcPr>
            <w:tcW w:w="2412" w:type="dxa"/>
            <w:tcBorders>
              <w:top w:val="single" w:sz="6" w:space="0" w:color="auto"/>
              <w:left w:val="nil"/>
              <w:bottom w:val="single" w:sz="12" w:space="0" w:color="auto"/>
              <w:right w:val="nil"/>
            </w:tcBorders>
          </w:tcPr>
          <w:p w:rsidR="000B4A1E" w:rsidRPr="008062DE" w:rsidRDefault="000B4A1E" w:rsidP="00517E51">
            <w:pPr>
              <w:pStyle w:val="Tabletext"/>
              <w:jc w:val="right"/>
              <w:rPr>
                <w:rFonts w:eastAsiaTheme="minorEastAsia"/>
                <w:b/>
                <w:bCs/>
                <w:lang w:eastAsia="en-AU"/>
              </w:rPr>
            </w:pPr>
            <w:r w:rsidRPr="008062DE">
              <w:rPr>
                <w:rFonts w:eastAsiaTheme="minorEastAsia"/>
                <w:b/>
                <w:bCs/>
                <w:lang w:eastAsia="en-AU"/>
              </w:rPr>
              <w:t>76 349.0</w:t>
            </w:r>
          </w:p>
        </w:tc>
        <w:tc>
          <w:tcPr>
            <w:tcW w:w="2412"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b/>
                <w:bCs/>
                <w:lang w:eastAsia="en-AU"/>
              </w:rPr>
              <w:t>1 659.9</w:t>
            </w:r>
          </w:p>
        </w:tc>
        <w:tc>
          <w:tcPr>
            <w:tcW w:w="2412"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1 219.2</w:t>
            </w:r>
          </w:p>
        </w:tc>
        <w:tc>
          <w:tcPr>
            <w:tcW w:w="2412"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172 495.6</w:t>
            </w:r>
          </w:p>
        </w:tc>
      </w:tr>
      <w:tr w:rsidR="000B4A1E" w:rsidRPr="008062DE" w:rsidTr="00517E51">
        <w:tc>
          <w:tcPr>
            <w:tcW w:w="2412" w:type="dxa"/>
            <w:tcBorders>
              <w:top w:val="nil"/>
              <w:left w:val="nil"/>
              <w:bottom w:val="nil"/>
              <w:right w:val="nil"/>
            </w:tcBorders>
          </w:tcPr>
          <w:p w:rsidR="000B4A1E" w:rsidRPr="008062DE" w:rsidRDefault="000B4A1E" w:rsidP="00517E51">
            <w:pPr>
              <w:pStyle w:val="Tabletext"/>
              <w:jc w:val="right"/>
              <w:rPr>
                <w:rFonts w:eastAsiaTheme="minorEastAsia"/>
                <w:b/>
                <w:bCs/>
                <w:lang w:eastAsia="en-AU"/>
              </w:rPr>
            </w:pPr>
          </w:p>
        </w:tc>
        <w:tc>
          <w:tcPr>
            <w:tcW w:w="2412" w:type="dxa"/>
            <w:tcBorders>
              <w:top w:val="nil"/>
              <w:left w:val="nil"/>
              <w:bottom w:val="nil"/>
              <w:right w:val="nil"/>
            </w:tcBorders>
          </w:tcPr>
          <w:p w:rsidR="000B4A1E" w:rsidRPr="008062DE" w:rsidRDefault="000B4A1E" w:rsidP="00517E51">
            <w:pPr>
              <w:pStyle w:val="TableofFigures"/>
              <w:rPr>
                <w:rFonts w:eastAsiaTheme="minorEastAsia"/>
                <w:b/>
                <w:bCs/>
                <w:lang w:eastAsia="en-AU"/>
              </w:rPr>
            </w:pPr>
          </w:p>
        </w:tc>
        <w:tc>
          <w:tcPr>
            <w:tcW w:w="2412" w:type="dxa"/>
            <w:tcBorders>
              <w:top w:val="nil"/>
              <w:left w:val="nil"/>
              <w:bottom w:val="nil"/>
              <w:right w:val="nil"/>
            </w:tcBorders>
          </w:tcPr>
          <w:p w:rsidR="000B4A1E" w:rsidRPr="008062DE" w:rsidRDefault="000B4A1E" w:rsidP="00517E51">
            <w:pPr>
              <w:pStyle w:val="TableofFigures"/>
              <w:rPr>
                <w:rFonts w:eastAsiaTheme="minorEastAsia"/>
                <w:b/>
                <w:bCs/>
                <w:lang w:eastAsia="en-AU"/>
              </w:rPr>
            </w:pPr>
          </w:p>
        </w:tc>
        <w:tc>
          <w:tcPr>
            <w:tcW w:w="2412" w:type="dxa"/>
            <w:tcBorders>
              <w:top w:val="nil"/>
              <w:left w:val="nil"/>
              <w:bottom w:val="nil"/>
              <w:right w:val="nil"/>
            </w:tcBorders>
          </w:tcPr>
          <w:p w:rsidR="000B4A1E" w:rsidRPr="008062DE" w:rsidRDefault="000B4A1E" w:rsidP="00517E51">
            <w:pPr>
              <w:pStyle w:val="TableofFigures"/>
              <w:rPr>
                <w:rFonts w:eastAsiaTheme="minorEastAsia"/>
                <w:b/>
                <w:bCs/>
                <w:lang w:eastAsia="en-AU"/>
              </w:rPr>
            </w:pPr>
          </w:p>
        </w:tc>
      </w:tr>
      <w:tr w:rsidR="000B4A1E" w:rsidRPr="008062DE" w:rsidTr="00517E51">
        <w:tc>
          <w:tcPr>
            <w:tcW w:w="2412" w:type="dxa"/>
            <w:tcBorders>
              <w:top w:val="nil"/>
              <w:left w:val="nil"/>
              <w:bottom w:val="nil"/>
              <w:right w:val="nil"/>
            </w:tcBorders>
          </w:tcPr>
          <w:p w:rsidR="000B4A1E" w:rsidRPr="008062DE" w:rsidRDefault="000B4A1E" w:rsidP="00517E51">
            <w:pPr>
              <w:pStyle w:val="Tabletext"/>
              <w:jc w:val="right"/>
              <w:rPr>
                <w:rFonts w:eastAsiaTheme="minorEastAsia"/>
                <w:lang w:eastAsia="en-AU"/>
              </w:rPr>
            </w:pPr>
            <w:r w:rsidRPr="008062DE">
              <w:rPr>
                <w:rFonts w:eastAsiaTheme="minorEastAsia"/>
                <w:lang w:eastAsia="en-AU"/>
              </w:rPr>
              <w:t>73 526.4</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844.2</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1 910.3</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172 751.9</w:t>
            </w:r>
          </w:p>
        </w:tc>
      </w:tr>
      <w:tr w:rsidR="000B4A1E" w:rsidRPr="008062DE" w:rsidTr="00517E51">
        <w:tc>
          <w:tcPr>
            <w:tcW w:w="2412" w:type="dxa"/>
            <w:tcBorders>
              <w:top w:val="nil"/>
              <w:left w:val="nil"/>
              <w:bottom w:val="nil"/>
              <w:right w:val="nil"/>
            </w:tcBorders>
          </w:tcPr>
          <w:p w:rsidR="000B4A1E" w:rsidRPr="008062DE" w:rsidRDefault="000B4A1E" w:rsidP="00517E51">
            <w:pPr>
              <w:pStyle w:val="Tabletext"/>
              <w:jc w:val="right"/>
              <w:rPr>
                <w:rFonts w:eastAsiaTheme="minorEastAsia"/>
                <w:lang w:eastAsia="en-AU"/>
              </w:rPr>
            </w:pPr>
            <w:r w:rsidRPr="008062DE">
              <w:rPr>
                <w:rFonts w:eastAsiaTheme="minorEastAsia"/>
                <w:lang w:eastAsia="en-AU"/>
              </w:rPr>
              <w:t>..</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(10 418.6)</w:t>
            </w:r>
          </w:p>
        </w:tc>
      </w:tr>
      <w:tr w:rsidR="000B4A1E" w:rsidRPr="008062DE" w:rsidTr="00517E51">
        <w:tc>
          <w:tcPr>
            <w:tcW w:w="2412" w:type="dxa"/>
            <w:tcBorders>
              <w:top w:val="nil"/>
              <w:left w:val="nil"/>
              <w:bottom w:val="nil"/>
              <w:right w:val="nil"/>
            </w:tcBorders>
          </w:tcPr>
          <w:p w:rsidR="000B4A1E" w:rsidRPr="008062DE" w:rsidRDefault="000B4A1E" w:rsidP="00517E51">
            <w:pPr>
              <w:pStyle w:val="Tabletext"/>
              <w:jc w:val="right"/>
              <w:rPr>
                <w:rFonts w:eastAsiaTheme="minorEastAsia"/>
                <w:lang w:eastAsia="en-AU"/>
              </w:rPr>
            </w:pPr>
            <w:r w:rsidRPr="008062DE">
              <w:rPr>
                <w:rFonts w:eastAsiaTheme="minorEastAsia"/>
                <w:lang w:eastAsia="en-AU"/>
              </w:rPr>
              <w:t>2 026.3</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( 81.3)</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( 20.4)</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2 171.5</w:t>
            </w:r>
          </w:p>
        </w:tc>
      </w:tr>
      <w:tr w:rsidR="000B4A1E" w:rsidRPr="008062DE" w:rsidTr="00517E51">
        <w:tc>
          <w:tcPr>
            <w:tcW w:w="2412" w:type="dxa"/>
            <w:tcBorders>
              <w:top w:val="nil"/>
              <w:left w:val="nil"/>
              <w:bottom w:val="nil"/>
              <w:right w:val="nil"/>
            </w:tcBorders>
          </w:tcPr>
          <w:p w:rsidR="000B4A1E" w:rsidRPr="008062DE" w:rsidRDefault="000B4A1E" w:rsidP="00517E51">
            <w:pPr>
              <w:pStyle w:val="Tabletext"/>
              <w:jc w:val="right"/>
              <w:rPr>
                <w:rFonts w:eastAsiaTheme="minorEastAsia"/>
                <w:lang w:eastAsia="en-AU"/>
              </w:rPr>
            </w:pPr>
            <w:r w:rsidRPr="008062DE">
              <w:rPr>
                <w:rFonts w:eastAsiaTheme="minorEastAsia"/>
                <w:lang w:eastAsia="en-AU"/>
              </w:rPr>
              <w:t>..</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2412"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1.5</w:t>
            </w:r>
          </w:p>
        </w:tc>
      </w:tr>
      <w:tr w:rsidR="000B4A1E" w:rsidRPr="008062DE" w:rsidTr="00517E51">
        <w:tc>
          <w:tcPr>
            <w:tcW w:w="2412" w:type="dxa"/>
            <w:tcBorders>
              <w:top w:val="single" w:sz="6" w:space="0" w:color="auto"/>
              <w:left w:val="nil"/>
              <w:bottom w:val="single" w:sz="12" w:space="0" w:color="auto"/>
              <w:right w:val="nil"/>
            </w:tcBorders>
          </w:tcPr>
          <w:p w:rsidR="000B4A1E" w:rsidRPr="008062DE" w:rsidRDefault="000B4A1E" w:rsidP="00517E51">
            <w:pPr>
              <w:pStyle w:val="Tabletext"/>
              <w:jc w:val="right"/>
              <w:rPr>
                <w:rFonts w:eastAsiaTheme="minorEastAsia"/>
                <w:b/>
                <w:bCs/>
                <w:lang w:eastAsia="en-AU"/>
              </w:rPr>
            </w:pPr>
            <w:r w:rsidRPr="008062DE">
              <w:rPr>
                <w:rFonts w:eastAsiaTheme="minorEastAsia"/>
                <w:b/>
                <w:bCs/>
                <w:lang w:eastAsia="en-AU"/>
              </w:rPr>
              <w:t>75 552.6</w:t>
            </w:r>
          </w:p>
        </w:tc>
        <w:tc>
          <w:tcPr>
            <w:tcW w:w="2412"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 xml:space="preserve"> 762.9</w:t>
            </w:r>
          </w:p>
        </w:tc>
        <w:tc>
          <w:tcPr>
            <w:tcW w:w="2412"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1 889.8</w:t>
            </w:r>
          </w:p>
        </w:tc>
        <w:tc>
          <w:tcPr>
            <w:tcW w:w="2412"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164 506.3</w:t>
            </w:r>
          </w:p>
        </w:tc>
      </w:tr>
    </w:tbl>
    <w:p w:rsidR="000B4A1E" w:rsidRPr="00B8251A" w:rsidRDefault="000B4A1E" w:rsidP="00517E51">
      <w:pPr>
        <w:pStyle w:val="Source"/>
      </w:pPr>
    </w:p>
    <w:p w:rsidR="000B4A1E" w:rsidRPr="00B8251A" w:rsidRDefault="000B4A1E" w:rsidP="00517E51">
      <w:pPr>
        <w:pStyle w:val="Notes"/>
      </w:pPr>
    </w:p>
    <w:p w:rsidR="000B4A1E" w:rsidRPr="00B8251A" w:rsidRDefault="000B4A1E">
      <w:pPr>
        <w:spacing w:after="0"/>
        <w:rPr>
          <w:rFonts w:ascii="Calibri" w:hAnsi="Calibri"/>
          <w:b/>
          <w:sz w:val="25"/>
        </w:rPr>
      </w:pPr>
      <w:r w:rsidRPr="00B8251A">
        <w:br w:type="page"/>
      </w:r>
    </w:p>
    <w:p w:rsidR="000B4A1E" w:rsidRPr="00B8251A" w:rsidRDefault="000B4A1E" w:rsidP="00517E51">
      <w:pPr>
        <w:pStyle w:val="Tableheading"/>
      </w:pPr>
      <w:r w:rsidRPr="00B8251A">
        <w:lastRenderedPageBreak/>
        <w:t>Table 5.5:</w:t>
      </w:r>
      <w:r w:rsidRPr="00B8251A">
        <w:tab/>
        <w:t>Derivation of non</w:t>
      </w:r>
      <w:r w:rsidRPr="00B8251A">
        <w:noBreakHyphen/>
        <w:t>financial public sector GFS cash surplus/(deficit)</w:t>
      </w:r>
    </w:p>
    <w:p w:rsidR="000B4A1E" w:rsidRPr="008062DE" w:rsidRDefault="000B4A1E" w:rsidP="00517E51">
      <w:pPr>
        <w:pStyle w:val="million"/>
      </w:pPr>
      <w:r w:rsidRPr="00B8251A">
        <w:t>($</w:t>
      </w:r>
      <w:r>
        <w:t> million</w:t>
      </w:r>
      <w:r w:rsidRPr="00B8251A">
        <w:t>)</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0B4A1E" w:rsidRPr="008062DE" w:rsidTr="00517E51">
        <w:tc>
          <w:tcPr>
            <w:tcW w:w="7402" w:type="dxa"/>
            <w:tcBorders>
              <w:top w:val="single" w:sz="4" w:space="0" w:color="auto"/>
              <w:left w:val="single" w:sz="4" w:space="0" w:color="auto"/>
              <w:bottom w:val="single" w:sz="4" w:space="0" w:color="auto"/>
              <w:right w:val="nil"/>
            </w:tcBorders>
            <w:shd w:val="clear" w:color="auto" w:fill="000000"/>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tcBorders>
              <w:top w:val="single" w:sz="4" w:space="0" w:color="auto"/>
              <w:left w:val="nil"/>
              <w:bottom w:val="single" w:sz="4" w:space="0" w:color="auto"/>
              <w:right w:val="nil"/>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2013</w:t>
            </w:r>
          </w:p>
        </w:tc>
        <w:tc>
          <w:tcPr>
            <w:tcW w:w="1123" w:type="dxa"/>
            <w:tcBorders>
              <w:top w:val="single" w:sz="4" w:space="0" w:color="auto"/>
              <w:left w:val="nil"/>
              <w:bottom w:val="single" w:sz="4" w:space="0" w:color="auto"/>
              <w:right w:val="single" w:sz="4" w:space="0" w:color="auto"/>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2012</w:t>
            </w:r>
          </w:p>
        </w:tc>
      </w:tr>
      <w:tr w:rsidR="000B4A1E" w:rsidRPr="008062DE" w:rsidTr="00517E51">
        <w:tc>
          <w:tcPr>
            <w:tcW w:w="7402" w:type="dxa"/>
            <w:tcBorders>
              <w:top w:val="single" w:sz="4" w:space="0" w:color="auto"/>
              <w:right w:val="nil"/>
            </w:tcBorders>
            <w:shd w:val="clear" w:color="auto" w:fill="auto"/>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 xml:space="preserve">Cash surplus/(deficit) </w:t>
            </w:r>
          </w:p>
        </w:tc>
        <w:tc>
          <w:tcPr>
            <w:tcW w:w="1123" w:type="dxa"/>
            <w:tcBorders>
              <w:top w:val="single" w:sz="4" w:space="0" w:color="auto"/>
              <w:left w:val="nil"/>
              <w:right w:val="nil"/>
            </w:tcBorders>
            <w:shd w:val="clear" w:color="auto" w:fill="auto"/>
          </w:tcPr>
          <w:p w:rsidR="000B4A1E" w:rsidRPr="008062DE" w:rsidRDefault="000B4A1E" w:rsidP="00517E51">
            <w:pPr>
              <w:pStyle w:val="TableofFigures"/>
              <w:rPr>
                <w:rFonts w:eastAsiaTheme="minorEastAsia"/>
                <w:b/>
                <w:lang w:eastAsia="en-AU"/>
              </w:rPr>
            </w:pPr>
            <w:r w:rsidRPr="008062DE">
              <w:rPr>
                <w:rFonts w:eastAsiaTheme="minorEastAsia"/>
                <w:b/>
                <w:lang w:eastAsia="en-AU"/>
              </w:rPr>
              <w:t>(4 914.7)</w:t>
            </w:r>
          </w:p>
        </w:tc>
        <w:tc>
          <w:tcPr>
            <w:tcW w:w="1123" w:type="dxa"/>
            <w:tcBorders>
              <w:top w:val="single" w:sz="4" w:space="0" w:color="auto"/>
              <w:left w:val="nil"/>
            </w:tcBorders>
            <w:shd w:val="clear" w:color="auto" w:fill="auto"/>
          </w:tcPr>
          <w:p w:rsidR="000B4A1E" w:rsidRPr="008062DE" w:rsidRDefault="000B4A1E" w:rsidP="00517E51">
            <w:pPr>
              <w:pStyle w:val="TableofFigures"/>
              <w:rPr>
                <w:rFonts w:eastAsiaTheme="minorEastAsia"/>
                <w:b/>
                <w:lang w:eastAsia="en-AU"/>
              </w:rPr>
            </w:pPr>
            <w:r w:rsidRPr="008062DE">
              <w:rPr>
                <w:rFonts w:eastAsiaTheme="minorEastAsia"/>
                <w:b/>
                <w:lang w:eastAsia="en-AU"/>
              </w:rPr>
              <w:t>(3 323.7)</w:t>
            </w:r>
          </w:p>
        </w:tc>
      </w:tr>
      <w:tr w:rsidR="000B4A1E" w:rsidRPr="008062DE" w:rsidTr="00517E51">
        <w:tc>
          <w:tcPr>
            <w:tcW w:w="7402" w:type="dxa"/>
            <w:tcBorders>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Less: Acquisitions under finance leases and similar arrangements</w:t>
            </w:r>
          </w:p>
        </w:tc>
        <w:tc>
          <w:tcPr>
            <w:tcW w:w="1123" w:type="dxa"/>
            <w:tcBorders>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(5 433.8)</w:t>
            </w:r>
          </w:p>
        </w:tc>
        <w:tc>
          <w:tcPr>
            <w:tcW w:w="1123" w:type="dxa"/>
            <w:tcBorders>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( 917.1)</w:t>
            </w:r>
          </w:p>
        </w:tc>
      </w:tr>
      <w:tr w:rsidR="000B4A1E" w:rsidRPr="008062DE" w:rsidTr="00517E51">
        <w:tc>
          <w:tcPr>
            <w:tcW w:w="7402" w:type="dxa"/>
            <w:tcBorders>
              <w:top w:val="single" w:sz="6" w:space="0" w:color="auto"/>
              <w:left w:val="nil"/>
              <w:bottom w:val="single" w:sz="12" w:space="0" w:color="auto"/>
              <w:right w:val="nil"/>
            </w:tcBorders>
          </w:tcPr>
          <w:p w:rsidR="000B4A1E" w:rsidRPr="008062DE" w:rsidRDefault="000B4A1E" w:rsidP="00517E51">
            <w:pPr>
              <w:pStyle w:val="Tabletext"/>
              <w:rPr>
                <w:rFonts w:eastAsiaTheme="minorEastAsia"/>
                <w:b/>
                <w:bCs/>
                <w:vertAlign w:val="superscript"/>
                <w:lang w:eastAsia="en-AU"/>
              </w:rPr>
            </w:pPr>
            <w:r w:rsidRPr="008062DE">
              <w:rPr>
                <w:rFonts w:eastAsiaTheme="minorEastAsia"/>
                <w:b/>
                <w:bCs/>
                <w:lang w:eastAsia="en-AU"/>
              </w:rPr>
              <w:t xml:space="preserve">GFS cash surplus/(deficit) </w:t>
            </w:r>
            <w:r w:rsidRPr="008062DE">
              <w:rPr>
                <w:rFonts w:eastAsiaTheme="minorEastAsia"/>
                <w:b/>
                <w:bCs/>
                <w:vertAlign w:val="superscript"/>
                <w:lang w:eastAsia="en-AU"/>
              </w:rPr>
              <w:t>(a)</w:t>
            </w:r>
          </w:p>
        </w:tc>
        <w:tc>
          <w:tcPr>
            <w:tcW w:w="1123"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(10 348.5)</w:t>
            </w:r>
          </w:p>
        </w:tc>
        <w:tc>
          <w:tcPr>
            <w:tcW w:w="1123"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(4 240.8)</w:t>
            </w:r>
          </w:p>
        </w:tc>
      </w:tr>
    </w:tbl>
    <w:p w:rsidR="000B4A1E" w:rsidRPr="00B8251A" w:rsidRDefault="000B4A1E" w:rsidP="00517E51">
      <w:pPr>
        <w:pStyle w:val="Source"/>
      </w:pPr>
      <w:r w:rsidRPr="00B8251A">
        <w:t>Source: Department of Treasury and Finance</w:t>
      </w:r>
    </w:p>
    <w:p w:rsidR="000B4A1E" w:rsidRPr="00B8251A" w:rsidRDefault="000B4A1E" w:rsidP="00517E51">
      <w:pPr>
        <w:pStyle w:val="Notes"/>
      </w:pPr>
      <w:r w:rsidRPr="00B8251A">
        <w:t>Note:</w:t>
      </w:r>
    </w:p>
    <w:p w:rsidR="000B4A1E" w:rsidRPr="00B8251A" w:rsidRDefault="000B4A1E" w:rsidP="00517E51">
      <w:pPr>
        <w:pStyle w:val="Notes"/>
      </w:pPr>
      <w:r w:rsidRPr="00B8251A">
        <w:t>(a)</w:t>
      </w:r>
      <w:r w:rsidRPr="00B8251A">
        <w:tab/>
        <w:t xml:space="preserve">Determined in accordance with ABS </w:t>
      </w:r>
      <w:r w:rsidR="00FC7ED5">
        <w:t>GFS manual</w:t>
      </w:r>
      <w:r w:rsidRPr="00B8251A">
        <w:t>.</w:t>
      </w:r>
    </w:p>
    <w:p w:rsidR="000B4A1E" w:rsidRPr="00B8251A" w:rsidRDefault="000B4A1E" w:rsidP="00517E51">
      <w:pPr>
        <w:pStyle w:val="Notes"/>
      </w:pPr>
    </w:p>
    <w:p w:rsidR="000B4A1E" w:rsidRPr="00B8251A" w:rsidRDefault="000B4A1E" w:rsidP="00517E51"/>
    <w:p w:rsidR="000B4A1E" w:rsidRPr="00B8251A" w:rsidRDefault="000B4A1E">
      <w:pPr>
        <w:spacing w:after="0"/>
        <w:rPr>
          <w:rFonts w:ascii="Calibri" w:hAnsi="Calibri"/>
          <w:b/>
          <w:sz w:val="25"/>
        </w:rPr>
      </w:pPr>
      <w:r w:rsidRPr="00B8251A">
        <w:br w:type="page"/>
      </w:r>
    </w:p>
    <w:p w:rsidR="000B4A1E" w:rsidRPr="00B8251A" w:rsidRDefault="000B4A1E" w:rsidP="00517E51">
      <w:pPr>
        <w:pStyle w:val="Tableheading"/>
      </w:pPr>
      <w:r w:rsidRPr="00B8251A">
        <w:lastRenderedPageBreak/>
        <w:t>Table 5.6:</w:t>
      </w:r>
      <w:r w:rsidRPr="00B8251A">
        <w:tab/>
        <w:t>General government sector detailed expenses by function</w:t>
      </w:r>
    </w:p>
    <w:p w:rsidR="000B4A1E" w:rsidRPr="008062DE" w:rsidRDefault="000B4A1E" w:rsidP="00517E51">
      <w:pPr>
        <w:pStyle w:val="million"/>
      </w:pPr>
      <w:r w:rsidRPr="00B8251A">
        <w:t>($</w:t>
      </w:r>
      <w:r>
        <w:t> million</w:t>
      </w:r>
      <w:r w:rsidRPr="00B8251A">
        <w:t>)</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0B4A1E" w:rsidRPr="008062DE" w:rsidTr="00517E51">
        <w:trPr>
          <w:cantSplit/>
          <w:tblHeader/>
        </w:trPr>
        <w:tc>
          <w:tcPr>
            <w:tcW w:w="7402" w:type="dxa"/>
            <w:tcBorders>
              <w:top w:val="single" w:sz="4" w:space="0" w:color="auto"/>
              <w:left w:val="single" w:sz="4" w:space="0" w:color="auto"/>
              <w:bottom w:val="single" w:sz="4" w:space="0" w:color="auto"/>
              <w:right w:val="nil"/>
            </w:tcBorders>
            <w:shd w:val="clear" w:color="auto" w:fill="000000"/>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tcBorders>
              <w:top w:val="single" w:sz="4" w:space="0" w:color="auto"/>
              <w:left w:val="nil"/>
              <w:bottom w:val="single" w:sz="4" w:space="0" w:color="auto"/>
              <w:right w:val="nil"/>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2012-13</w:t>
            </w:r>
          </w:p>
        </w:tc>
        <w:tc>
          <w:tcPr>
            <w:tcW w:w="1123" w:type="dxa"/>
            <w:tcBorders>
              <w:top w:val="single" w:sz="4" w:space="0" w:color="auto"/>
              <w:left w:val="nil"/>
              <w:bottom w:val="single" w:sz="4" w:space="0" w:color="auto"/>
              <w:right w:val="single" w:sz="4" w:space="0" w:color="auto"/>
            </w:tcBorders>
            <w:shd w:val="clear" w:color="auto" w:fill="000000"/>
          </w:tcPr>
          <w:p w:rsidR="000B4A1E" w:rsidRPr="008062DE" w:rsidRDefault="000B4A1E" w:rsidP="00517E51">
            <w:pPr>
              <w:pStyle w:val="Tabletextheading"/>
              <w:rPr>
                <w:rFonts w:eastAsiaTheme="minorEastAsia" w:cs="Calibri"/>
                <w:b/>
                <w:bCs/>
                <w:iCs/>
                <w:szCs w:val="22"/>
                <w:lang w:eastAsia="en-AU"/>
              </w:rPr>
            </w:pPr>
            <w:r w:rsidRPr="008062DE">
              <w:rPr>
                <w:rFonts w:eastAsiaTheme="minorEastAsia"/>
                <w:lang w:eastAsia="en-AU"/>
              </w:rPr>
              <w:t xml:space="preserve"> 2011-12</w:t>
            </w:r>
            <w:r w:rsidRPr="008062DE">
              <w:rPr>
                <w:rFonts w:eastAsiaTheme="minorEastAsia" w:cs="Calibri"/>
                <w:b/>
                <w:bCs/>
                <w:iCs/>
                <w:szCs w:val="22"/>
                <w:lang w:eastAsia="en-AU"/>
              </w:rPr>
              <w:t xml:space="preserve"> </w:t>
            </w:r>
          </w:p>
        </w:tc>
      </w:tr>
      <w:tr w:rsidR="000B4A1E" w:rsidRPr="008062DE" w:rsidTr="00517E51">
        <w:tc>
          <w:tcPr>
            <w:tcW w:w="7402" w:type="dxa"/>
            <w:tcBorders>
              <w:top w:val="single" w:sz="4" w:space="0" w:color="auto"/>
              <w:right w:val="nil"/>
            </w:tcBorders>
            <w:shd w:val="clear" w:color="auto" w:fill="auto"/>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General public services</w:t>
            </w:r>
          </w:p>
        </w:tc>
        <w:tc>
          <w:tcPr>
            <w:tcW w:w="1123" w:type="dxa"/>
            <w:tcBorders>
              <w:top w:val="single" w:sz="4" w:space="0" w:color="auto"/>
              <w:left w:val="nil"/>
              <w:right w:val="nil"/>
            </w:tcBorders>
            <w:shd w:val="clear" w:color="auto" w:fill="auto"/>
          </w:tcPr>
          <w:p w:rsidR="000B4A1E" w:rsidRPr="007F7AF8" w:rsidRDefault="000B4A1E" w:rsidP="00517E51">
            <w:pPr>
              <w:pStyle w:val="TableofFigures"/>
              <w:rPr>
                <w:rFonts w:eastAsiaTheme="minorEastAsia" w:cs="Calibri"/>
                <w:b/>
                <w:bCs/>
                <w:szCs w:val="22"/>
                <w:lang w:eastAsia="en-AU"/>
              </w:rPr>
            </w:pPr>
            <w:r w:rsidRPr="007F7AF8">
              <w:rPr>
                <w:rFonts w:eastAsiaTheme="minorEastAsia"/>
                <w:b/>
                <w:lang w:eastAsia="en-AU"/>
              </w:rPr>
              <w:t>1 151.6</w:t>
            </w:r>
          </w:p>
        </w:tc>
        <w:tc>
          <w:tcPr>
            <w:tcW w:w="1123" w:type="dxa"/>
            <w:tcBorders>
              <w:top w:val="single" w:sz="4" w:space="0" w:color="auto"/>
              <w:left w:val="nil"/>
            </w:tcBorders>
            <w:shd w:val="clear" w:color="auto" w:fill="auto"/>
          </w:tcPr>
          <w:p w:rsidR="000B4A1E" w:rsidRPr="007F7AF8" w:rsidRDefault="000B4A1E" w:rsidP="00517E51">
            <w:pPr>
              <w:pStyle w:val="TableofFigures"/>
              <w:rPr>
                <w:rFonts w:eastAsiaTheme="minorEastAsia"/>
                <w:b/>
                <w:lang w:eastAsia="en-AU"/>
              </w:rPr>
            </w:pPr>
            <w:r w:rsidRPr="007F7AF8">
              <w:rPr>
                <w:rFonts w:eastAsiaTheme="minorEastAsia"/>
                <w:b/>
                <w:lang w:eastAsia="en-AU"/>
              </w:rPr>
              <w:t xml:space="preserve"> 808.6</w:t>
            </w:r>
          </w:p>
        </w:tc>
      </w:tr>
      <w:tr w:rsidR="000B4A1E" w:rsidRPr="008062DE" w:rsidTr="00517E51">
        <w:tc>
          <w:tcPr>
            <w:tcW w:w="7402" w:type="dxa"/>
            <w:tcBorders>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Other general public services</w:t>
            </w:r>
          </w:p>
        </w:tc>
        <w:tc>
          <w:tcPr>
            <w:tcW w:w="1123" w:type="dxa"/>
            <w:tcBorders>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1 151.6</w:t>
            </w:r>
          </w:p>
        </w:tc>
        <w:tc>
          <w:tcPr>
            <w:tcW w:w="1123" w:type="dxa"/>
            <w:tcBorders>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808.6</w:t>
            </w:r>
          </w:p>
        </w:tc>
      </w:tr>
      <w:tr w:rsidR="000B4A1E" w:rsidRPr="008062DE" w:rsidTr="00517E51">
        <w:trPr>
          <w:trHeight w:hRule="exact" w:val="120"/>
        </w:trPr>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xml:space="preserve"> </w:t>
            </w:r>
          </w:p>
        </w:tc>
      </w:tr>
      <w:tr w:rsidR="000B4A1E" w:rsidRPr="007F7AF8"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Public order and safety</w:t>
            </w:r>
          </w:p>
        </w:tc>
        <w:tc>
          <w:tcPr>
            <w:tcW w:w="1123" w:type="dxa"/>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5 188.5</w:t>
            </w:r>
          </w:p>
        </w:tc>
        <w:tc>
          <w:tcPr>
            <w:tcW w:w="1123" w:type="dxa"/>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4 962.0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Police and fire protection services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3 105.6</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2 973.2</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Police services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2 020.5</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1 963.1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Fire protection services</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1 085.1</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1 010.1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Law courts and legal services</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1 009.3</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994.8</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Prisons and corrective services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730.8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683.2</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Other public order and safety</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342.9</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310.7</w:t>
            </w:r>
          </w:p>
        </w:tc>
      </w:tr>
      <w:tr w:rsidR="000B4A1E" w:rsidRPr="008062DE" w:rsidTr="00517E51">
        <w:trPr>
          <w:trHeight w:hRule="exact" w:val="120"/>
        </w:trPr>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xml:space="preserve"> </w:t>
            </w:r>
          </w:p>
        </w:tc>
      </w:tr>
      <w:tr w:rsidR="000B4A1E" w:rsidRPr="007F7AF8"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Education</w:t>
            </w:r>
          </w:p>
        </w:tc>
        <w:tc>
          <w:tcPr>
            <w:tcW w:w="1123" w:type="dxa"/>
            <w:tcBorders>
              <w:top w:val="nil"/>
              <w:left w:val="nil"/>
              <w:bottom w:val="nil"/>
              <w:right w:val="nil"/>
            </w:tcBorders>
          </w:tcPr>
          <w:p w:rsidR="000B4A1E" w:rsidRPr="007F7AF8" w:rsidRDefault="000B4A1E" w:rsidP="00517E51">
            <w:pPr>
              <w:pStyle w:val="TableofFigures"/>
              <w:rPr>
                <w:rFonts w:eastAsiaTheme="minorEastAsia" w:cs="Calibri"/>
                <w:b/>
                <w:bCs/>
                <w:szCs w:val="22"/>
                <w:lang w:eastAsia="en-AU"/>
              </w:rPr>
            </w:pPr>
            <w:r w:rsidRPr="007F7AF8">
              <w:rPr>
                <w:rFonts w:eastAsiaTheme="minorEastAsia"/>
                <w:b/>
                <w:lang w:eastAsia="en-AU"/>
              </w:rPr>
              <w:t>12 661.5</w:t>
            </w:r>
          </w:p>
        </w:tc>
        <w:tc>
          <w:tcPr>
            <w:tcW w:w="1123" w:type="dxa"/>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12 412.1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Primary and secondary education</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9 014.8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8 837.9</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Primary education</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4 518.2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4 427.3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Secondary education</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4 445.2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4 410.7</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vertAlign w:val="superscript"/>
                <w:lang w:eastAsia="en-AU"/>
              </w:rPr>
            </w:pPr>
            <w:r w:rsidRPr="008062DE">
              <w:rPr>
                <w:rFonts w:eastAsiaTheme="minorEastAsia"/>
                <w:lang w:eastAsia="en-AU"/>
              </w:rPr>
              <w:t xml:space="preserve">      Primary and secondary education NEC </w:t>
            </w:r>
            <w:r w:rsidRPr="008062DE">
              <w:rPr>
                <w:rFonts w:eastAsiaTheme="minorEastAsia"/>
                <w:vertAlign w:val="superscript"/>
                <w:lang w:eastAsia="en-AU"/>
              </w:rPr>
              <w:t>(a)</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51.4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Tertiary education</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2 396.7</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2 456.5</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Technical and further education</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2 396.7</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2 456.5</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Pre-school education and education not definable by level</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911.1</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750.7</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Pre-school education</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323.9</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191.0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Special education</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587.2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559.6</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Transportation of students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338.9</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317.0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Transportation of non-urban school children</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244.7</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228.5</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Transportation of other students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94.2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88.5</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Education NEC</w:t>
            </w:r>
            <w:r w:rsidRPr="008062DE">
              <w:rPr>
                <w:rFonts w:eastAsiaTheme="minorEastAsia"/>
                <w:vertAlign w:val="superscript"/>
                <w:lang w:eastAsia="en-AU"/>
              </w:rPr>
              <w:t xml:space="preserve"> (a)</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50.1</w:t>
            </w:r>
          </w:p>
        </w:tc>
      </w:tr>
      <w:tr w:rsidR="000B4A1E" w:rsidRPr="008062DE" w:rsidTr="00517E51">
        <w:trPr>
          <w:trHeight w:hRule="exact" w:val="120"/>
        </w:trPr>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xml:space="preserve"> </w:t>
            </w:r>
          </w:p>
        </w:tc>
      </w:tr>
      <w:tr w:rsidR="000B4A1E" w:rsidRPr="007F7AF8"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Health</w:t>
            </w:r>
          </w:p>
        </w:tc>
        <w:tc>
          <w:tcPr>
            <w:tcW w:w="1123" w:type="dxa"/>
            <w:tcBorders>
              <w:top w:val="nil"/>
              <w:left w:val="nil"/>
              <w:bottom w:val="nil"/>
              <w:right w:val="nil"/>
            </w:tcBorders>
          </w:tcPr>
          <w:p w:rsidR="000B4A1E" w:rsidRPr="007F7AF8" w:rsidRDefault="000B4A1E" w:rsidP="00517E51">
            <w:pPr>
              <w:pStyle w:val="TableofFigures"/>
              <w:rPr>
                <w:rFonts w:eastAsiaTheme="minorEastAsia" w:cs="Calibri"/>
                <w:b/>
                <w:bCs/>
                <w:szCs w:val="22"/>
                <w:lang w:eastAsia="en-AU"/>
              </w:rPr>
            </w:pPr>
            <w:r w:rsidRPr="007F7AF8">
              <w:rPr>
                <w:rFonts w:eastAsiaTheme="minorEastAsia"/>
                <w:b/>
                <w:lang w:eastAsia="en-AU"/>
              </w:rPr>
              <w:t>13 158.2</w:t>
            </w:r>
          </w:p>
        </w:tc>
        <w:tc>
          <w:tcPr>
            <w:tcW w:w="1123" w:type="dxa"/>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12 741.3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Acute care institutions</w:t>
            </w:r>
          </w:p>
        </w:tc>
        <w:tc>
          <w:tcPr>
            <w:tcW w:w="1123" w:type="dxa"/>
            <w:tcBorders>
              <w:top w:val="nil"/>
              <w:left w:val="nil"/>
              <w:bottom w:val="nil"/>
              <w:right w:val="nil"/>
            </w:tcBorders>
          </w:tcPr>
          <w:p w:rsidR="000B4A1E" w:rsidRPr="008062DE" w:rsidRDefault="001400C3" w:rsidP="001400C3">
            <w:pPr>
              <w:pStyle w:val="TableofFigures"/>
              <w:rPr>
                <w:rFonts w:eastAsiaTheme="minorEastAsia" w:cs="Calibri"/>
                <w:b/>
                <w:bCs/>
                <w:szCs w:val="22"/>
                <w:lang w:eastAsia="en-AU"/>
              </w:rPr>
            </w:pPr>
            <w:r>
              <w:rPr>
                <w:rFonts w:eastAsiaTheme="minorEastAsia"/>
                <w:lang w:eastAsia="en-AU"/>
              </w:rPr>
              <w:t>9</w:t>
            </w:r>
            <w:r w:rsidR="000B4A1E" w:rsidRPr="008062DE">
              <w:rPr>
                <w:rFonts w:eastAsiaTheme="minorEastAsia"/>
                <w:lang w:eastAsia="en-AU"/>
              </w:rPr>
              <w:t xml:space="preserve"> </w:t>
            </w:r>
            <w:r>
              <w:rPr>
                <w:rFonts w:eastAsiaTheme="minorEastAsia"/>
                <w:lang w:eastAsia="en-AU"/>
              </w:rPr>
              <w:t>731</w:t>
            </w:r>
            <w:r w:rsidR="000B4A1E" w:rsidRPr="008062DE">
              <w:rPr>
                <w:rFonts w:eastAsiaTheme="minorEastAsia"/>
                <w:lang w:eastAsia="en-AU"/>
              </w:rPr>
              <w:t>.</w:t>
            </w:r>
            <w:r>
              <w:rPr>
                <w:rFonts w:eastAsiaTheme="minorEastAsia"/>
                <w:lang w:eastAsia="en-AU"/>
              </w:rPr>
              <w:t>9</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9 460.9</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Admitted patient services in acute care institutions</w:t>
            </w:r>
          </w:p>
        </w:tc>
        <w:tc>
          <w:tcPr>
            <w:tcW w:w="1123" w:type="dxa"/>
            <w:tcBorders>
              <w:top w:val="nil"/>
              <w:left w:val="nil"/>
              <w:bottom w:val="nil"/>
              <w:right w:val="nil"/>
            </w:tcBorders>
          </w:tcPr>
          <w:p w:rsidR="000B4A1E" w:rsidRPr="008062DE" w:rsidRDefault="001400C3" w:rsidP="001400C3">
            <w:pPr>
              <w:pStyle w:val="TableofFigures"/>
              <w:rPr>
                <w:rFonts w:eastAsiaTheme="minorEastAsia" w:cs="Calibri"/>
                <w:b/>
                <w:bCs/>
                <w:szCs w:val="22"/>
                <w:lang w:eastAsia="en-AU"/>
              </w:rPr>
            </w:pPr>
            <w:r>
              <w:rPr>
                <w:rFonts w:eastAsiaTheme="minorEastAsia"/>
                <w:lang w:eastAsia="en-AU"/>
              </w:rPr>
              <w:t>8</w:t>
            </w:r>
            <w:r w:rsidR="000B4A1E" w:rsidRPr="008062DE">
              <w:rPr>
                <w:rFonts w:eastAsiaTheme="minorEastAsia"/>
                <w:lang w:eastAsia="en-AU"/>
              </w:rPr>
              <w:t xml:space="preserve"> </w:t>
            </w:r>
            <w:r>
              <w:rPr>
                <w:rFonts w:eastAsiaTheme="minorEastAsia"/>
                <w:lang w:eastAsia="en-AU"/>
              </w:rPr>
              <w:t>035</w:t>
            </w:r>
            <w:r w:rsidR="000B4A1E" w:rsidRPr="008062DE">
              <w:rPr>
                <w:rFonts w:eastAsiaTheme="minorEastAsia"/>
                <w:lang w:eastAsia="en-AU"/>
              </w:rPr>
              <w:t>.</w:t>
            </w:r>
            <w:r>
              <w:rPr>
                <w:rFonts w:eastAsiaTheme="minorEastAsia"/>
                <w:lang w:eastAsia="en-AU"/>
              </w:rPr>
              <w:t>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7 696.1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Non-admitted patient services in acute care institutions</w:t>
            </w:r>
          </w:p>
        </w:tc>
        <w:tc>
          <w:tcPr>
            <w:tcW w:w="1123" w:type="dxa"/>
            <w:tcBorders>
              <w:top w:val="nil"/>
              <w:left w:val="nil"/>
              <w:bottom w:val="nil"/>
              <w:right w:val="nil"/>
            </w:tcBorders>
          </w:tcPr>
          <w:p w:rsidR="000B4A1E" w:rsidRPr="008062DE" w:rsidRDefault="000B4A1E" w:rsidP="001400C3">
            <w:pPr>
              <w:pStyle w:val="TableofFigures"/>
              <w:rPr>
                <w:rFonts w:eastAsiaTheme="minorEastAsia" w:cs="Calibri"/>
                <w:b/>
                <w:bCs/>
                <w:szCs w:val="22"/>
                <w:lang w:eastAsia="en-AU"/>
              </w:rPr>
            </w:pPr>
            <w:r w:rsidRPr="008062DE">
              <w:rPr>
                <w:rFonts w:eastAsiaTheme="minorEastAsia"/>
                <w:lang w:eastAsia="en-AU"/>
              </w:rPr>
              <w:t xml:space="preserve">1 </w:t>
            </w:r>
            <w:r w:rsidR="001400C3">
              <w:rPr>
                <w:rFonts w:eastAsiaTheme="minorEastAsia"/>
                <w:lang w:eastAsia="en-AU"/>
              </w:rPr>
              <w:t>696</w:t>
            </w:r>
            <w:r w:rsidRPr="008062DE">
              <w:rPr>
                <w:rFonts w:eastAsiaTheme="minorEastAsia"/>
                <w:lang w:eastAsia="en-AU"/>
              </w:rPr>
              <w:t>.</w:t>
            </w:r>
            <w:r w:rsidR="001400C3">
              <w:rPr>
                <w:rFonts w:eastAsiaTheme="minorEastAsia"/>
                <w:lang w:eastAsia="en-AU"/>
              </w:rPr>
              <w:t>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1 764.8</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Mental health institutions</w:t>
            </w:r>
          </w:p>
        </w:tc>
        <w:tc>
          <w:tcPr>
            <w:tcW w:w="1123" w:type="dxa"/>
            <w:tcBorders>
              <w:top w:val="nil"/>
              <w:left w:val="nil"/>
              <w:bottom w:val="nil"/>
              <w:right w:val="nil"/>
            </w:tcBorders>
          </w:tcPr>
          <w:p w:rsidR="000B4A1E" w:rsidRPr="008062DE" w:rsidRDefault="000B4A1E" w:rsidP="001400C3">
            <w:pPr>
              <w:pStyle w:val="TableofFigures"/>
              <w:rPr>
                <w:rFonts w:eastAsiaTheme="minorEastAsia"/>
                <w:lang w:eastAsia="en-AU"/>
              </w:rPr>
            </w:pPr>
            <w:r w:rsidRPr="008062DE">
              <w:rPr>
                <w:rFonts w:eastAsiaTheme="minorEastAsia"/>
                <w:lang w:eastAsia="en-AU"/>
              </w:rPr>
              <w:t xml:space="preserve"> 7</w:t>
            </w:r>
            <w:r w:rsidR="001400C3">
              <w:rPr>
                <w:rFonts w:eastAsiaTheme="minorEastAsia"/>
                <w:lang w:eastAsia="en-AU"/>
              </w:rPr>
              <w:t>2</w:t>
            </w:r>
            <w:r w:rsidRPr="008062DE">
              <w:rPr>
                <w:rFonts w:eastAsiaTheme="minorEastAsia"/>
                <w:lang w:eastAsia="en-AU"/>
              </w:rPr>
              <w:t>.</w:t>
            </w:r>
            <w:r w:rsidR="001400C3">
              <w:rPr>
                <w:rFonts w:eastAsiaTheme="minorEastAsia"/>
                <w:lang w:eastAsia="en-AU"/>
              </w:rPr>
              <w:t>5</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73.1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Nursing homes for the aged</w:t>
            </w:r>
          </w:p>
        </w:tc>
        <w:tc>
          <w:tcPr>
            <w:tcW w:w="1123" w:type="dxa"/>
            <w:tcBorders>
              <w:top w:val="nil"/>
              <w:left w:val="nil"/>
              <w:bottom w:val="nil"/>
              <w:right w:val="nil"/>
            </w:tcBorders>
          </w:tcPr>
          <w:p w:rsidR="000B4A1E" w:rsidRPr="008062DE" w:rsidRDefault="000B4A1E" w:rsidP="001400C3">
            <w:pPr>
              <w:pStyle w:val="TableofFigures"/>
              <w:rPr>
                <w:rFonts w:eastAsiaTheme="minorEastAsia"/>
                <w:lang w:eastAsia="en-AU"/>
              </w:rPr>
            </w:pPr>
            <w:r w:rsidRPr="008062DE">
              <w:rPr>
                <w:rFonts w:eastAsiaTheme="minorEastAsia"/>
                <w:lang w:eastAsia="en-AU"/>
              </w:rPr>
              <w:t xml:space="preserve"> </w:t>
            </w:r>
            <w:r w:rsidR="001400C3">
              <w:rPr>
                <w:rFonts w:eastAsiaTheme="minorEastAsia"/>
                <w:lang w:eastAsia="en-AU"/>
              </w:rPr>
              <w:t>521.7</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531.2</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Community health services</w:t>
            </w:r>
          </w:p>
        </w:tc>
        <w:tc>
          <w:tcPr>
            <w:tcW w:w="1123" w:type="dxa"/>
            <w:tcBorders>
              <w:top w:val="nil"/>
              <w:left w:val="nil"/>
              <w:bottom w:val="nil"/>
              <w:right w:val="nil"/>
            </w:tcBorders>
          </w:tcPr>
          <w:p w:rsidR="000B4A1E" w:rsidRPr="008062DE" w:rsidRDefault="001400C3" w:rsidP="001400C3">
            <w:pPr>
              <w:pStyle w:val="TableofFigures"/>
              <w:rPr>
                <w:rFonts w:eastAsiaTheme="minorEastAsia" w:cs="Calibri"/>
                <w:b/>
                <w:bCs/>
                <w:szCs w:val="22"/>
                <w:lang w:eastAsia="en-AU"/>
              </w:rPr>
            </w:pPr>
            <w:r>
              <w:rPr>
                <w:rFonts w:eastAsiaTheme="minorEastAsia"/>
                <w:lang w:eastAsia="en-AU"/>
              </w:rPr>
              <w:t>2</w:t>
            </w:r>
            <w:r w:rsidR="000B4A1E" w:rsidRPr="008062DE">
              <w:rPr>
                <w:rFonts w:eastAsiaTheme="minorEastAsia"/>
                <w:lang w:eastAsia="en-AU"/>
              </w:rPr>
              <w:t xml:space="preserve"> </w:t>
            </w:r>
            <w:r>
              <w:rPr>
                <w:rFonts w:eastAsiaTheme="minorEastAsia"/>
                <w:lang w:eastAsia="en-AU"/>
              </w:rPr>
              <w:t>047</w:t>
            </w:r>
            <w:r w:rsidR="000B4A1E" w:rsidRPr="008062DE">
              <w:rPr>
                <w:rFonts w:eastAsiaTheme="minorEastAsia"/>
                <w:lang w:eastAsia="en-AU"/>
              </w:rPr>
              <w:t>.2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1 997.9</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cs="Calibri"/>
                <w:szCs w:val="22"/>
                <w:lang w:eastAsia="en-AU"/>
              </w:rPr>
            </w:pPr>
            <w:r w:rsidRPr="008062DE">
              <w:rPr>
                <w:rFonts w:eastAsiaTheme="minorEastAsia"/>
                <w:lang w:eastAsia="en-AU"/>
              </w:rPr>
              <w:t xml:space="preserve">      Community health services (excluding community mental health)  </w:t>
            </w:r>
          </w:p>
        </w:tc>
        <w:tc>
          <w:tcPr>
            <w:tcW w:w="1123" w:type="dxa"/>
            <w:tcBorders>
              <w:top w:val="nil"/>
              <w:left w:val="nil"/>
              <w:bottom w:val="nil"/>
              <w:right w:val="nil"/>
            </w:tcBorders>
          </w:tcPr>
          <w:p w:rsidR="000B4A1E" w:rsidRPr="008062DE" w:rsidRDefault="000B4A1E" w:rsidP="001400C3">
            <w:pPr>
              <w:pStyle w:val="TableofFigures"/>
              <w:rPr>
                <w:rFonts w:eastAsiaTheme="minorEastAsia"/>
                <w:lang w:eastAsia="en-AU"/>
              </w:rPr>
            </w:pPr>
            <w:r w:rsidRPr="008062DE">
              <w:rPr>
                <w:rFonts w:eastAsiaTheme="minorEastAsia"/>
                <w:lang w:eastAsia="en-AU"/>
              </w:rPr>
              <w:t xml:space="preserve"> </w:t>
            </w:r>
            <w:r w:rsidR="001400C3">
              <w:rPr>
                <w:rFonts w:eastAsiaTheme="minorEastAsia"/>
                <w:lang w:eastAsia="en-AU"/>
              </w:rPr>
              <w:t>752</w:t>
            </w:r>
            <w:r w:rsidRPr="008062DE">
              <w:rPr>
                <w:rFonts w:eastAsiaTheme="minorEastAsia"/>
                <w:lang w:eastAsia="en-AU"/>
              </w:rPr>
              <w:t>.</w:t>
            </w:r>
            <w:r w:rsidR="001400C3">
              <w:rPr>
                <w:rFonts w:eastAsiaTheme="minorEastAsia"/>
                <w:lang w:eastAsia="en-AU"/>
              </w:rPr>
              <w:t>6</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732.9</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Community mental health</w:t>
            </w:r>
          </w:p>
        </w:tc>
        <w:tc>
          <w:tcPr>
            <w:tcW w:w="1123" w:type="dxa"/>
            <w:tcBorders>
              <w:top w:val="nil"/>
              <w:left w:val="nil"/>
              <w:bottom w:val="nil"/>
              <w:right w:val="nil"/>
            </w:tcBorders>
          </w:tcPr>
          <w:p w:rsidR="000B4A1E" w:rsidRPr="008062DE" w:rsidRDefault="001400C3" w:rsidP="00517E51">
            <w:pPr>
              <w:pStyle w:val="TableofFigures"/>
              <w:rPr>
                <w:rFonts w:eastAsiaTheme="minorEastAsia" w:cs="Calibri"/>
                <w:b/>
                <w:bCs/>
                <w:szCs w:val="22"/>
                <w:lang w:eastAsia="en-AU"/>
              </w:rPr>
            </w:pPr>
            <w:r>
              <w:rPr>
                <w:rFonts w:eastAsiaTheme="minorEastAsia"/>
                <w:lang w:eastAsia="en-AU"/>
              </w:rPr>
              <w:t>682.8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685.8</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Patient transport</w:t>
            </w:r>
          </w:p>
        </w:tc>
        <w:tc>
          <w:tcPr>
            <w:tcW w:w="1123" w:type="dxa"/>
            <w:tcBorders>
              <w:top w:val="nil"/>
              <w:left w:val="nil"/>
              <w:bottom w:val="nil"/>
              <w:right w:val="nil"/>
            </w:tcBorders>
          </w:tcPr>
          <w:p w:rsidR="000B4A1E" w:rsidRPr="008062DE" w:rsidRDefault="001400C3" w:rsidP="00517E51">
            <w:pPr>
              <w:pStyle w:val="TableofFigures"/>
              <w:rPr>
                <w:rFonts w:eastAsiaTheme="minorEastAsia" w:cs="Calibri"/>
                <w:b/>
                <w:bCs/>
                <w:szCs w:val="22"/>
                <w:lang w:eastAsia="en-AU"/>
              </w:rPr>
            </w:pPr>
            <w:r>
              <w:rPr>
                <w:rFonts w:eastAsiaTheme="minorEastAsia"/>
                <w:lang w:eastAsia="en-AU"/>
              </w:rPr>
              <w:t>611.8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579.2</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Public health services </w:t>
            </w:r>
          </w:p>
        </w:tc>
        <w:tc>
          <w:tcPr>
            <w:tcW w:w="1123" w:type="dxa"/>
            <w:tcBorders>
              <w:top w:val="nil"/>
              <w:left w:val="nil"/>
              <w:bottom w:val="nil"/>
              <w:right w:val="nil"/>
            </w:tcBorders>
          </w:tcPr>
          <w:p w:rsidR="000B4A1E" w:rsidRPr="008062DE" w:rsidRDefault="000B4A1E" w:rsidP="001400C3">
            <w:pPr>
              <w:pStyle w:val="TableofFigures"/>
              <w:rPr>
                <w:rFonts w:eastAsiaTheme="minorEastAsia"/>
                <w:lang w:eastAsia="en-AU"/>
              </w:rPr>
            </w:pPr>
            <w:r w:rsidRPr="008062DE">
              <w:rPr>
                <w:rFonts w:eastAsiaTheme="minorEastAsia"/>
                <w:lang w:eastAsia="en-AU"/>
              </w:rPr>
              <w:t xml:space="preserve"> 3</w:t>
            </w:r>
            <w:r w:rsidR="001400C3">
              <w:rPr>
                <w:rFonts w:eastAsiaTheme="minorEastAsia"/>
                <w:lang w:eastAsia="en-AU"/>
              </w:rPr>
              <w:t>58</w:t>
            </w:r>
            <w:r w:rsidRPr="008062DE">
              <w:rPr>
                <w:rFonts w:eastAsiaTheme="minorEastAsia"/>
                <w:lang w:eastAsia="en-AU"/>
              </w:rPr>
              <w:t>.</w:t>
            </w:r>
            <w:r w:rsidR="001400C3">
              <w:rPr>
                <w:rFonts w:eastAsiaTheme="minorEastAsia"/>
                <w:lang w:eastAsia="en-AU"/>
              </w:rPr>
              <w:t>1</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347.9</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Pharmaceuticals, medical aids and appliances</w:t>
            </w:r>
          </w:p>
        </w:tc>
        <w:tc>
          <w:tcPr>
            <w:tcW w:w="1123" w:type="dxa"/>
            <w:tcBorders>
              <w:top w:val="nil"/>
              <w:left w:val="nil"/>
              <w:bottom w:val="nil"/>
              <w:right w:val="nil"/>
            </w:tcBorders>
          </w:tcPr>
          <w:p w:rsidR="000B4A1E" w:rsidRPr="008062DE" w:rsidRDefault="001400C3" w:rsidP="00517E51">
            <w:pPr>
              <w:pStyle w:val="TableofFigures"/>
              <w:rPr>
                <w:rFonts w:eastAsiaTheme="minorEastAsia"/>
                <w:lang w:eastAsia="en-AU"/>
              </w:rPr>
            </w:pPr>
            <w:r>
              <w:rPr>
                <w:rFonts w:eastAsiaTheme="minorEastAsia"/>
                <w:lang w:eastAsia="en-AU"/>
              </w:rPr>
              <w:t>309</w:t>
            </w:r>
            <w:r w:rsidR="000B4A1E" w:rsidRPr="008062DE">
              <w:rPr>
                <w:rFonts w:eastAsiaTheme="minorEastAsia"/>
                <w:lang w:eastAsia="en-AU"/>
              </w:rPr>
              <w:t>.4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218.3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Health research</w:t>
            </w:r>
          </w:p>
        </w:tc>
        <w:tc>
          <w:tcPr>
            <w:tcW w:w="1123" w:type="dxa"/>
            <w:tcBorders>
              <w:top w:val="nil"/>
              <w:left w:val="nil"/>
              <w:bottom w:val="nil"/>
              <w:right w:val="nil"/>
            </w:tcBorders>
          </w:tcPr>
          <w:p w:rsidR="000B4A1E" w:rsidRPr="008062DE" w:rsidRDefault="000B4A1E" w:rsidP="001400C3">
            <w:pPr>
              <w:pStyle w:val="TableofFigures"/>
              <w:rPr>
                <w:rFonts w:eastAsiaTheme="minorEastAsia"/>
                <w:lang w:eastAsia="en-AU"/>
              </w:rPr>
            </w:pPr>
            <w:r w:rsidRPr="008062DE">
              <w:rPr>
                <w:rFonts w:eastAsiaTheme="minorEastAsia"/>
                <w:lang w:eastAsia="en-AU"/>
              </w:rPr>
              <w:t xml:space="preserve"> </w:t>
            </w:r>
            <w:r w:rsidR="001400C3">
              <w:rPr>
                <w:rFonts w:eastAsiaTheme="minorEastAsia"/>
                <w:lang w:eastAsia="en-AU"/>
              </w:rPr>
              <w:t>109.8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105.5</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Health administration NEC </w:t>
            </w:r>
            <w:r w:rsidRPr="008062DE">
              <w:rPr>
                <w:rFonts w:eastAsiaTheme="minorEastAsia"/>
                <w:vertAlign w:val="superscript"/>
                <w:lang w:eastAsia="en-AU"/>
              </w:rPr>
              <w:t>(a)</w:t>
            </w:r>
          </w:p>
        </w:tc>
        <w:tc>
          <w:tcPr>
            <w:tcW w:w="1123" w:type="dxa"/>
            <w:tcBorders>
              <w:top w:val="nil"/>
              <w:left w:val="nil"/>
              <w:bottom w:val="nil"/>
              <w:right w:val="nil"/>
            </w:tcBorders>
          </w:tcPr>
          <w:p w:rsidR="000B4A1E" w:rsidRPr="008062DE" w:rsidRDefault="000B4A1E" w:rsidP="001400C3">
            <w:pPr>
              <w:pStyle w:val="TableofFigures"/>
              <w:rPr>
                <w:rFonts w:eastAsiaTheme="minorEastAsia"/>
                <w:lang w:eastAsia="en-AU"/>
              </w:rPr>
            </w:pPr>
            <w:r w:rsidRPr="008062DE">
              <w:rPr>
                <w:rFonts w:eastAsiaTheme="minorEastAsia"/>
                <w:lang w:eastAsia="en-AU"/>
              </w:rPr>
              <w:t xml:space="preserve"> 7.</w:t>
            </w:r>
            <w:r w:rsidR="001400C3">
              <w:rPr>
                <w:rFonts w:eastAsiaTheme="minorEastAsia"/>
                <w:lang w:eastAsia="en-AU"/>
              </w:rPr>
              <w:t>6</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6.6</w:t>
            </w:r>
          </w:p>
        </w:tc>
      </w:tr>
      <w:tr w:rsidR="000B4A1E" w:rsidRPr="008062DE" w:rsidTr="00517E51">
        <w:trPr>
          <w:trHeight w:hRule="exact" w:val="120"/>
        </w:trPr>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xml:space="preserve"> </w:t>
            </w:r>
          </w:p>
        </w:tc>
      </w:tr>
      <w:tr w:rsidR="000B4A1E" w:rsidRPr="007F7AF8"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Social security and welfare</w:t>
            </w:r>
          </w:p>
        </w:tc>
        <w:tc>
          <w:tcPr>
            <w:tcW w:w="1123" w:type="dxa"/>
            <w:tcBorders>
              <w:top w:val="nil"/>
              <w:left w:val="nil"/>
              <w:bottom w:val="nil"/>
              <w:right w:val="nil"/>
            </w:tcBorders>
          </w:tcPr>
          <w:p w:rsidR="000B4A1E" w:rsidRPr="007F7AF8" w:rsidRDefault="000B4A1E" w:rsidP="00517E51">
            <w:pPr>
              <w:pStyle w:val="TableofFigures"/>
              <w:rPr>
                <w:rFonts w:eastAsiaTheme="minorEastAsia" w:cs="Calibri"/>
                <w:b/>
                <w:bCs/>
                <w:szCs w:val="22"/>
                <w:lang w:eastAsia="en-AU"/>
              </w:rPr>
            </w:pPr>
            <w:r w:rsidRPr="007F7AF8">
              <w:rPr>
                <w:rFonts w:eastAsiaTheme="minorEastAsia"/>
                <w:b/>
                <w:lang w:eastAsia="en-AU"/>
              </w:rPr>
              <w:t>3 868.0</w:t>
            </w:r>
          </w:p>
        </w:tc>
        <w:tc>
          <w:tcPr>
            <w:tcW w:w="1123" w:type="dxa"/>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3 768.3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Welfare services</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3 868.0</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3 768.3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Family and child services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870.9</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816.3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Welfare services for the aged</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1 117.2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1 119.5</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Welfare services for people with a disability</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1 440.5</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1 393.0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Welfare services NEC </w:t>
            </w:r>
            <w:r w:rsidRPr="008062DE">
              <w:rPr>
                <w:rFonts w:eastAsiaTheme="minorEastAsia"/>
                <w:vertAlign w:val="superscript"/>
                <w:lang w:eastAsia="en-AU"/>
              </w:rPr>
              <w:t>(a)</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439.5</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439.4</w:t>
            </w:r>
          </w:p>
        </w:tc>
      </w:tr>
      <w:tr w:rsidR="000B4A1E" w:rsidRPr="008062DE" w:rsidTr="00517E51">
        <w:trPr>
          <w:trHeight w:hRule="exact" w:val="120"/>
        </w:trPr>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xml:space="preserve"> </w:t>
            </w:r>
          </w:p>
        </w:tc>
      </w:tr>
      <w:tr w:rsidR="000B4A1E" w:rsidRPr="007F7AF8"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Housing and community amenities</w:t>
            </w:r>
          </w:p>
        </w:tc>
        <w:tc>
          <w:tcPr>
            <w:tcW w:w="1123" w:type="dxa"/>
            <w:tcBorders>
              <w:top w:val="nil"/>
              <w:left w:val="nil"/>
              <w:bottom w:val="nil"/>
              <w:right w:val="nil"/>
            </w:tcBorders>
          </w:tcPr>
          <w:p w:rsidR="000B4A1E" w:rsidRPr="007F7AF8" w:rsidRDefault="000B4A1E" w:rsidP="00517E51">
            <w:pPr>
              <w:pStyle w:val="TableofFigures"/>
              <w:rPr>
                <w:rFonts w:eastAsiaTheme="minorEastAsia" w:cs="Calibri"/>
                <w:b/>
                <w:bCs/>
                <w:szCs w:val="22"/>
                <w:lang w:eastAsia="en-AU"/>
              </w:rPr>
            </w:pPr>
            <w:r w:rsidRPr="007F7AF8">
              <w:rPr>
                <w:rFonts w:eastAsiaTheme="minorEastAsia"/>
                <w:b/>
                <w:lang w:eastAsia="en-AU"/>
              </w:rPr>
              <w:t>2 543.2</w:t>
            </w:r>
          </w:p>
        </w:tc>
        <w:tc>
          <w:tcPr>
            <w:tcW w:w="1123" w:type="dxa"/>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2 869.0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Housing and community development</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1 380.2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2 130.2</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Housing</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414.8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861.6</w:t>
            </w:r>
          </w:p>
        </w:tc>
      </w:tr>
      <w:tr w:rsidR="000B4A1E" w:rsidRPr="008062DE" w:rsidTr="001C7CDE">
        <w:tc>
          <w:tcPr>
            <w:tcW w:w="7402" w:type="dxa"/>
            <w:tcBorders>
              <w:top w:val="nil"/>
              <w:left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Aboriginal community development</w:t>
            </w:r>
          </w:p>
        </w:tc>
        <w:tc>
          <w:tcPr>
            <w:tcW w:w="1123" w:type="dxa"/>
            <w:tcBorders>
              <w:top w:val="nil"/>
              <w:left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21.1</w:t>
            </w:r>
          </w:p>
        </w:tc>
        <w:tc>
          <w:tcPr>
            <w:tcW w:w="1123" w:type="dxa"/>
            <w:tcBorders>
              <w:top w:val="nil"/>
              <w:left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20.5</w:t>
            </w:r>
          </w:p>
        </w:tc>
      </w:tr>
      <w:tr w:rsidR="000B4A1E" w:rsidRPr="008062DE" w:rsidTr="001C7CDE">
        <w:tc>
          <w:tcPr>
            <w:tcW w:w="7402" w:type="dxa"/>
            <w:tcBorders>
              <w:top w:val="nil"/>
              <w:left w:val="nil"/>
              <w:bottom w:val="single" w:sz="12" w:space="0" w:color="auto"/>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Other community development</w:t>
            </w:r>
          </w:p>
        </w:tc>
        <w:tc>
          <w:tcPr>
            <w:tcW w:w="1123" w:type="dxa"/>
            <w:tcBorders>
              <w:top w:val="nil"/>
              <w:left w:val="nil"/>
              <w:bottom w:val="single" w:sz="12" w:space="0" w:color="auto"/>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944.2</w:t>
            </w:r>
          </w:p>
        </w:tc>
        <w:tc>
          <w:tcPr>
            <w:tcW w:w="1123" w:type="dxa"/>
            <w:tcBorders>
              <w:top w:val="nil"/>
              <w:left w:val="nil"/>
              <w:bottom w:val="single" w:sz="12" w:space="0" w:color="auto"/>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1 248.1</w:t>
            </w:r>
          </w:p>
        </w:tc>
      </w:tr>
    </w:tbl>
    <w:p w:rsidR="000B4A1E" w:rsidRPr="00D12EB0" w:rsidRDefault="000B4A1E" w:rsidP="00517E51">
      <w:pPr>
        <w:pStyle w:val="Tableheading"/>
        <w:rPr>
          <w:i/>
        </w:rPr>
      </w:pPr>
      <w:r w:rsidRPr="00B8251A">
        <w:lastRenderedPageBreak/>
        <w:t>Table 5.6:</w:t>
      </w:r>
      <w:r w:rsidRPr="00B8251A">
        <w:tab/>
        <w:t>General government sector detailed expenses by function</w:t>
      </w:r>
      <w:r>
        <w:t xml:space="preserve"> </w:t>
      </w:r>
      <w:r>
        <w:rPr>
          <w:i/>
        </w:rPr>
        <w:t>(continued)</w:t>
      </w:r>
    </w:p>
    <w:p w:rsidR="000B4A1E" w:rsidRDefault="000B4A1E" w:rsidP="00517E51">
      <w:pPr>
        <w:pStyle w:val="million"/>
      </w:pPr>
      <w:r w:rsidRPr="00B8251A">
        <w:t>($</w:t>
      </w:r>
      <w:r>
        <w:t> million)</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217"/>
        <w:gridCol w:w="906"/>
        <w:gridCol w:w="1123"/>
      </w:tblGrid>
      <w:tr w:rsidR="000B4A1E" w:rsidRPr="008062DE" w:rsidTr="00517E51">
        <w:trPr>
          <w:cantSplit/>
          <w:tblHeader/>
        </w:trPr>
        <w:tc>
          <w:tcPr>
            <w:tcW w:w="7402" w:type="dxa"/>
            <w:tcBorders>
              <w:top w:val="single" w:sz="4" w:space="0" w:color="auto"/>
              <w:left w:val="single" w:sz="4" w:space="0" w:color="auto"/>
              <w:bottom w:val="single" w:sz="4" w:space="0" w:color="auto"/>
              <w:right w:val="nil"/>
            </w:tcBorders>
            <w:shd w:val="clear" w:color="auto" w:fill="000000"/>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gridSpan w:val="2"/>
            <w:tcBorders>
              <w:top w:val="single" w:sz="4" w:space="0" w:color="auto"/>
              <w:left w:val="nil"/>
              <w:bottom w:val="single" w:sz="4" w:space="0" w:color="auto"/>
              <w:right w:val="nil"/>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2012-13</w:t>
            </w:r>
          </w:p>
        </w:tc>
        <w:tc>
          <w:tcPr>
            <w:tcW w:w="1123" w:type="dxa"/>
            <w:tcBorders>
              <w:top w:val="single" w:sz="4" w:space="0" w:color="auto"/>
              <w:left w:val="nil"/>
              <w:bottom w:val="single" w:sz="4" w:space="0" w:color="auto"/>
              <w:right w:val="single" w:sz="4" w:space="0" w:color="auto"/>
            </w:tcBorders>
            <w:shd w:val="clear" w:color="auto" w:fill="000000"/>
          </w:tcPr>
          <w:p w:rsidR="000B4A1E" w:rsidRPr="008062DE" w:rsidRDefault="000B4A1E" w:rsidP="00517E51">
            <w:pPr>
              <w:pStyle w:val="Tabletextheading"/>
              <w:rPr>
                <w:rFonts w:eastAsiaTheme="minorEastAsia" w:cs="Calibri"/>
                <w:b/>
                <w:bCs/>
                <w:iCs/>
                <w:szCs w:val="22"/>
                <w:lang w:eastAsia="en-AU"/>
              </w:rPr>
            </w:pPr>
            <w:r w:rsidRPr="008062DE">
              <w:rPr>
                <w:rFonts w:eastAsiaTheme="minorEastAsia"/>
                <w:lang w:eastAsia="en-AU"/>
              </w:rPr>
              <w:t xml:space="preserve"> 2011-12</w:t>
            </w:r>
            <w:r w:rsidRPr="008062DE">
              <w:rPr>
                <w:rFonts w:eastAsiaTheme="minorEastAsia" w:cs="Calibri"/>
                <w:b/>
                <w:bCs/>
                <w:iCs/>
                <w:szCs w:val="22"/>
                <w:lang w:eastAsia="en-AU"/>
              </w:rPr>
              <w:t xml:space="preserve"> </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Water supply</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208.5</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358.9</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Sanitation and protection of the environment</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369.0</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363.3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Other community amenities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585.6</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16.6</w:t>
            </w:r>
          </w:p>
        </w:tc>
      </w:tr>
      <w:tr w:rsidR="000B4A1E" w:rsidRPr="008062DE" w:rsidTr="00517E51">
        <w:trPr>
          <w:trHeight w:hRule="exact" w:val="120"/>
        </w:trPr>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xml:space="preserve"> </w:t>
            </w:r>
          </w:p>
        </w:tc>
      </w:tr>
      <w:tr w:rsidR="000B4A1E" w:rsidRPr="007F7AF8"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Recreation and culture</w:t>
            </w:r>
          </w:p>
        </w:tc>
        <w:tc>
          <w:tcPr>
            <w:tcW w:w="1123" w:type="dxa"/>
            <w:gridSpan w:val="2"/>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 xml:space="preserve"> 735.7</w:t>
            </w:r>
          </w:p>
        </w:tc>
        <w:tc>
          <w:tcPr>
            <w:tcW w:w="1123" w:type="dxa"/>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 xml:space="preserve"> 830.1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Recreation facilities and services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344.1</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344.3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National parks and wildlife</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94.1</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92.7</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Recreation facilities and services NEC </w:t>
            </w:r>
            <w:r w:rsidRPr="008062DE">
              <w:rPr>
                <w:rFonts w:eastAsiaTheme="minorEastAsia"/>
                <w:vertAlign w:val="superscript"/>
                <w:lang w:eastAsia="en-AU"/>
              </w:rPr>
              <w:t xml:space="preserve">(a) </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250.0</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251.6</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Cultural facilities and services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391.6</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485.9</w:t>
            </w:r>
          </w:p>
        </w:tc>
      </w:tr>
      <w:tr w:rsidR="000B4A1E" w:rsidRPr="008062DE" w:rsidTr="00517E51">
        <w:trPr>
          <w:trHeight w:hRule="exact" w:val="120"/>
        </w:trPr>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xml:space="preserve"> </w:t>
            </w:r>
          </w:p>
        </w:tc>
      </w:tr>
      <w:tr w:rsidR="000B4A1E" w:rsidRPr="007F7AF8"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Fuel and energy</w:t>
            </w:r>
          </w:p>
        </w:tc>
        <w:tc>
          <w:tcPr>
            <w:tcW w:w="1123" w:type="dxa"/>
            <w:gridSpan w:val="2"/>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w:t>
            </w:r>
          </w:p>
        </w:tc>
        <w:tc>
          <w:tcPr>
            <w:tcW w:w="1123" w:type="dxa"/>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 xml:space="preserve"> 28.6</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Fuel affairs and services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4.6</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Gas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4.6</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Electricity and other energy</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24.0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Electricity</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24.0</w:t>
            </w:r>
          </w:p>
        </w:tc>
      </w:tr>
      <w:tr w:rsidR="000B4A1E" w:rsidRPr="008062DE" w:rsidTr="00517E51">
        <w:trPr>
          <w:trHeight w:hRule="exact" w:val="120"/>
        </w:trPr>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xml:space="preserve"> </w:t>
            </w:r>
          </w:p>
        </w:tc>
      </w:tr>
      <w:tr w:rsidR="000B4A1E" w:rsidRPr="007F7AF8"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Agriculture, forestry, fishing and hunting</w:t>
            </w:r>
          </w:p>
        </w:tc>
        <w:tc>
          <w:tcPr>
            <w:tcW w:w="1123" w:type="dxa"/>
            <w:gridSpan w:val="2"/>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 xml:space="preserve"> 519.9</w:t>
            </w:r>
          </w:p>
        </w:tc>
        <w:tc>
          <w:tcPr>
            <w:tcW w:w="1123" w:type="dxa"/>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 xml:space="preserve"> 449.1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Agriculture</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291.1</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253.3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Forestry, fishing and hunting</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228.8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195.8</w:t>
            </w:r>
          </w:p>
        </w:tc>
      </w:tr>
      <w:tr w:rsidR="000B4A1E" w:rsidRPr="008062DE" w:rsidTr="00517E51">
        <w:trPr>
          <w:trHeight w:hRule="exact" w:val="120"/>
        </w:trPr>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xml:space="preserve"> </w:t>
            </w:r>
          </w:p>
        </w:tc>
      </w:tr>
      <w:tr w:rsidR="000B4A1E" w:rsidRPr="007F7AF8" w:rsidTr="00517E51">
        <w:tc>
          <w:tcPr>
            <w:tcW w:w="7619" w:type="dxa"/>
            <w:gridSpan w:val="2"/>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Mining and mineral resources other than fuels; manufacturing; and construction</w:t>
            </w:r>
          </w:p>
        </w:tc>
        <w:tc>
          <w:tcPr>
            <w:tcW w:w="906" w:type="dxa"/>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w:t>
            </w:r>
          </w:p>
        </w:tc>
        <w:tc>
          <w:tcPr>
            <w:tcW w:w="1123" w:type="dxa"/>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Mining and mineral resources other than fuels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w:t>
            </w:r>
          </w:p>
        </w:tc>
      </w:tr>
      <w:tr w:rsidR="000B4A1E" w:rsidRPr="008062DE" w:rsidTr="00517E51">
        <w:trPr>
          <w:trHeight w:hRule="exact" w:val="120"/>
        </w:trPr>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xml:space="preserve"> </w:t>
            </w:r>
          </w:p>
        </w:tc>
      </w:tr>
      <w:tr w:rsidR="000B4A1E" w:rsidRPr="007F7AF8"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Transport and communications</w:t>
            </w:r>
          </w:p>
        </w:tc>
        <w:tc>
          <w:tcPr>
            <w:tcW w:w="1123" w:type="dxa"/>
            <w:gridSpan w:val="2"/>
            <w:tcBorders>
              <w:top w:val="nil"/>
              <w:left w:val="nil"/>
              <w:bottom w:val="nil"/>
              <w:right w:val="nil"/>
            </w:tcBorders>
          </w:tcPr>
          <w:p w:rsidR="000B4A1E" w:rsidRPr="007F7AF8" w:rsidRDefault="000B4A1E" w:rsidP="00517E51">
            <w:pPr>
              <w:pStyle w:val="TableofFigures"/>
              <w:rPr>
                <w:rFonts w:eastAsiaTheme="minorEastAsia" w:cs="Calibri"/>
                <w:b/>
                <w:bCs/>
                <w:szCs w:val="22"/>
                <w:lang w:eastAsia="en-AU"/>
              </w:rPr>
            </w:pPr>
            <w:r w:rsidRPr="007F7AF8">
              <w:rPr>
                <w:rFonts w:eastAsiaTheme="minorEastAsia"/>
                <w:b/>
                <w:lang w:eastAsia="en-AU"/>
              </w:rPr>
              <w:t>5 675.8</w:t>
            </w:r>
          </w:p>
        </w:tc>
        <w:tc>
          <w:tcPr>
            <w:tcW w:w="1123" w:type="dxa"/>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5 545.1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Road transport</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2 206.5</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2 203.8</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Road maintenance</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447.4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493.8</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Road construction</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645.8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627.1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Road transport NEC </w:t>
            </w:r>
            <w:r w:rsidRPr="008062DE">
              <w:rPr>
                <w:rFonts w:eastAsiaTheme="minorEastAsia"/>
                <w:vertAlign w:val="superscript"/>
                <w:lang w:eastAsia="en-AU"/>
              </w:rPr>
              <w:t>(a)</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1 113.3</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1 082.9</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Water transport</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26.8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33.4</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Urban water transport services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17.0</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19.0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Non-urban water transport services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9.7</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14.3</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Rail transport</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3 120.1</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2 905.5</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Urban rail transport services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2 427.4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2 236.4</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Non-urban rail transport freight services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19.4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24.0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Non-urban rail transport passenger services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673.3</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645.0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Other transport</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322.4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402.4</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Multi-mode urban transport</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14.2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18.0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Other transport NEC </w:t>
            </w:r>
            <w:r w:rsidRPr="008062DE">
              <w:rPr>
                <w:rFonts w:eastAsiaTheme="minorEastAsia"/>
                <w:vertAlign w:val="superscript"/>
                <w:lang w:eastAsia="en-AU"/>
              </w:rPr>
              <w:t>(a)</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308.2</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384.4</w:t>
            </w:r>
          </w:p>
        </w:tc>
      </w:tr>
      <w:tr w:rsidR="000B4A1E" w:rsidRPr="008062DE" w:rsidTr="00517E51">
        <w:trPr>
          <w:trHeight w:hRule="exact" w:val="120"/>
        </w:trPr>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p>
        </w:tc>
      </w:tr>
      <w:tr w:rsidR="000B4A1E" w:rsidRPr="007F7AF8"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Other economic affairs</w:t>
            </w:r>
          </w:p>
        </w:tc>
        <w:tc>
          <w:tcPr>
            <w:tcW w:w="1123" w:type="dxa"/>
            <w:gridSpan w:val="2"/>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 xml:space="preserve"> 982.4</w:t>
            </w:r>
          </w:p>
        </w:tc>
        <w:tc>
          <w:tcPr>
            <w:tcW w:w="1123" w:type="dxa"/>
            <w:tcBorders>
              <w:top w:val="nil"/>
              <w:left w:val="nil"/>
              <w:bottom w:val="nil"/>
              <w:right w:val="nil"/>
            </w:tcBorders>
          </w:tcPr>
          <w:p w:rsidR="000B4A1E" w:rsidRPr="007F7AF8" w:rsidRDefault="000B4A1E" w:rsidP="00517E51">
            <w:pPr>
              <w:pStyle w:val="TableofFigures"/>
              <w:rPr>
                <w:rFonts w:eastAsiaTheme="minorEastAsia"/>
                <w:b/>
                <w:lang w:eastAsia="en-AU"/>
              </w:rPr>
            </w:pPr>
            <w:r w:rsidRPr="007F7AF8">
              <w:rPr>
                <w:rFonts w:eastAsiaTheme="minorEastAsia"/>
                <w:b/>
                <w:lang w:eastAsia="en-AU"/>
              </w:rPr>
              <w:t xml:space="preserve"> 827.1</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Tourism and area promotion</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217.8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223.0</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Labour and employment affairs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14.3</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126.7</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Other labour and employment affairs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14.3</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126.7</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Other economic affairs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750.3</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477.4</w:t>
            </w:r>
          </w:p>
        </w:tc>
      </w:tr>
      <w:tr w:rsidR="000B4A1E" w:rsidRPr="008062DE" w:rsidTr="00517E51">
        <w:trPr>
          <w:trHeight w:hRule="exact" w:val="120"/>
        </w:trPr>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p>
        </w:tc>
      </w:tr>
      <w:tr w:rsidR="000B4A1E" w:rsidRPr="007F7AF8" w:rsidTr="00517E51">
        <w:tc>
          <w:tcPr>
            <w:tcW w:w="7402" w:type="dxa"/>
            <w:tcBorders>
              <w:top w:val="nil"/>
              <w:left w:val="nil"/>
              <w:bottom w:val="nil"/>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Other purposes</w:t>
            </w:r>
          </w:p>
        </w:tc>
        <w:tc>
          <w:tcPr>
            <w:tcW w:w="1123" w:type="dxa"/>
            <w:gridSpan w:val="2"/>
            <w:tcBorders>
              <w:top w:val="nil"/>
              <w:left w:val="nil"/>
              <w:bottom w:val="nil"/>
              <w:right w:val="nil"/>
            </w:tcBorders>
          </w:tcPr>
          <w:p w:rsidR="000B4A1E" w:rsidRPr="007F7AF8" w:rsidRDefault="000B4A1E" w:rsidP="00517E51">
            <w:pPr>
              <w:pStyle w:val="TableofFigures"/>
              <w:rPr>
                <w:rFonts w:eastAsiaTheme="minorEastAsia" w:cs="Calibri"/>
                <w:b/>
                <w:bCs/>
                <w:szCs w:val="22"/>
                <w:lang w:eastAsia="en-AU"/>
              </w:rPr>
            </w:pPr>
            <w:r w:rsidRPr="007F7AF8">
              <w:rPr>
                <w:rFonts w:eastAsiaTheme="minorEastAsia"/>
                <w:b/>
                <w:lang w:eastAsia="en-AU"/>
              </w:rPr>
              <w:t>1 811.7</w:t>
            </w:r>
          </w:p>
        </w:tc>
        <w:tc>
          <w:tcPr>
            <w:tcW w:w="1123" w:type="dxa"/>
            <w:tcBorders>
              <w:top w:val="nil"/>
              <w:left w:val="nil"/>
              <w:bottom w:val="nil"/>
              <w:right w:val="nil"/>
            </w:tcBorders>
          </w:tcPr>
          <w:p w:rsidR="000B4A1E" w:rsidRPr="007F7AF8" w:rsidRDefault="000B4A1E" w:rsidP="00517E51">
            <w:pPr>
              <w:pStyle w:val="TableofFigures"/>
              <w:rPr>
                <w:rFonts w:eastAsiaTheme="minorEastAsia" w:cs="Calibri"/>
                <w:b/>
                <w:bCs/>
                <w:szCs w:val="22"/>
                <w:lang w:eastAsia="en-AU"/>
              </w:rPr>
            </w:pPr>
            <w:r w:rsidRPr="007F7AF8">
              <w:rPr>
                <w:rFonts w:eastAsiaTheme="minorEastAsia"/>
                <w:b/>
                <w:lang w:eastAsia="en-AU"/>
              </w:rPr>
              <w:t>2 069.7</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Public debt transactions</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cs="Calibri"/>
                <w:b/>
                <w:bCs/>
                <w:szCs w:val="22"/>
                <w:lang w:eastAsia="en-AU"/>
              </w:rPr>
            </w:pPr>
            <w:r w:rsidRPr="008062DE">
              <w:rPr>
                <w:rFonts w:eastAsiaTheme="minorEastAsia"/>
                <w:lang w:eastAsia="en-AU"/>
              </w:rPr>
              <w:t>1 775.3</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2 051.2</w:t>
            </w:r>
          </w:p>
        </w:tc>
      </w:tr>
      <w:tr w:rsidR="000B4A1E" w:rsidRPr="008062DE" w:rsidTr="00517E51">
        <w:tc>
          <w:tcPr>
            <w:tcW w:w="7402"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Other purposes NEC </w:t>
            </w:r>
            <w:r w:rsidRPr="008062DE">
              <w:rPr>
                <w:rFonts w:eastAsiaTheme="minorEastAsia"/>
                <w:vertAlign w:val="superscript"/>
                <w:lang w:eastAsia="en-AU"/>
              </w:rPr>
              <w:t>(a)</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36.4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18.5</w:t>
            </w:r>
          </w:p>
        </w:tc>
      </w:tr>
      <w:tr w:rsidR="000B4A1E" w:rsidRPr="008062DE" w:rsidTr="00517E51">
        <w:trPr>
          <w:trHeight w:hRule="exact" w:val="120"/>
        </w:trPr>
        <w:tc>
          <w:tcPr>
            <w:tcW w:w="7402" w:type="dxa"/>
            <w:tcBorders>
              <w:top w:val="nil"/>
              <w:left w:val="nil"/>
              <w:bottom w:val="single" w:sz="6" w:space="0" w:color="auto"/>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gridSpan w:val="2"/>
            <w:tcBorders>
              <w:top w:val="nil"/>
              <w:left w:val="nil"/>
              <w:bottom w:val="nil"/>
              <w:right w:val="nil"/>
            </w:tcBorders>
          </w:tcPr>
          <w:p w:rsidR="000B4A1E" w:rsidRPr="008062DE" w:rsidRDefault="000B4A1E" w:rsidP="00517E51">
            <w:pPr>
              <w:pStyle w:val="TableofFigures"/>
              <w:rPr>
                <w:rFonts w:eastAsiaTheme="minorEastAsia"/>
                <w:lang w:eastAsia="en-AU"/>
              </w:rPr>
            </w:pP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 xml:space="preserve"> </w:t>
            </w:r>
          </w:p>
        </w:tc>
      </w:tr>
      <w:tr w:rsidR="000B4A1E" w:rsidRPr="008062DE" w:rsidTr="00517E51">
        <w:tc>
          <w:tcPr>
            <w:tcW w:w="7402" w:type="dxa"/>
            <w:tcBorders>
              <w:top w:val="nil"/>
              <w:left w:val="nil"/>
              <w:bottom w:val="single" w:sz="12"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Total</w:t>
            </w:r>
          </w:p>
        </w:tc>
        <w:tc>
          <w:tcPr>
            <w:tcW w:w="1123" w:type="dxa"/>
            <w:gridSpan w:val="2"/>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lang w:eastAsia="en-AU"/>
              </w:rPr>
            </w:pPr>
            <w:r w:rsidRPr="008062DE">
              <w:rPr>
                <w:rFonts w:eastAsiaTheme="minorEastAsia"/>
                <w:b/>
                <w:lang w:eastAsia="en-AU"/>
              </w:rPr>
              <w:t>48 296.4</w:t>
            </w:r>
          </w:p>
        </w:tc>
        <w:tc>
          <w:tcPr>
            <w:tcW w:w="1123"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b/>
                <w:lang w:eastAsia="en-AU"/>
              </w:rPr>
            </w:pPr>
            <w:r w:rsidRPr="008062DE">
              <w:rPr>
                <w:rFonts w:eastAsiaTheme="minorEastAsia"/>
                <w:b/>
                <w:lang w:eastAsia="en-AU"/>
              </w:rPr>
              <w:t>47 311.0</w:t>
            </w:r>
          </w:p>
        </w:tc>
      </w:tr>
    </w:tbl>
    <w:p w:rsidR="000B4A1E" w:rsidRPr="00B8251A" w:rsidRDefault="000B4A1E" w:rsidP="00517E51">
      <w:pPr>
        <w:pStyle w:val="Source"/>
      </w:pPr>
      <w:r w:rsidRPr="00B8251A">
        <w:t>Source: Department of Treasury and Finance</w:t>
      </w:r>
    </w:p>
    <w:p w:rsidR="000B4A1E" w:rsidRPr="00B8251A" w:rsidRDefault="000B4A1E" w:rsidP="00517E51">
      <w:pPr>
        <w:pStyle w:val="Notes"/>
      </w:pPr>
      <w:r w:rsidRPr="00B8251A">
        <w:t>Note:</w:t>
      </w:r>
    </w:p>
    <w:p w:rsidR="000B4A1E" w:rsidRPr="00B8251A" w:rsidRDefault="000B4A1E" w:rsidP="00517E51">
      <w:pPr>
        <w:pStyle w:val="Notes"/>
      </w:pPr>
      <w:r w:rsidRPr="00B8251A">
        <w:t xml:space="preserve">(a) </w:t>
      </w:r>
      <w:r w:rsidRPr="00B8251A">
        <w:tab/>
        <w:t>NEC: Not elsewhere classified</w:t>
      </w:r>
      <w:r>
        <w:t>.</w:t>
      </w:r>
    </w:p>
    <w:p w:rsidR="000B4A1E" w:rsidRPr="00B8251A" w:rsidRDefault="000B4A1E" w:rsidP="00517E51">
      <w:pPr>
        <w:pStyle w:val="Notes"/>
        <w:rPr>
          <w:sz w:val="25"/>
        </w:rPr>
      </w:pPr>
      <w:r w:rsidRPr="00B8251A">
        <w:br w:type="page"/>
      </w:r>
    </w:p>
    <w:p w:rsidR="000B4A1E" w:rsidRPr="000D0F3D" w:rsidRDefault="000B4A1E" w:rsidP="000D0F3D">
      <w:pPr>
        <w:pStyle w:val="Heading1"/>
      </w:pPr>
      <w:bookmarkStart w:id="207" w:name="_Toc367967901"/>
      <w:r w:rsidRPr="000D0F3D">
        <w:lastRenderedPageBreak/>
        <w:t>Victoria’s 2012-13 Loan Council Allocation</w:t>
      </w:r>
      <w:bookmarkEnd w:id="207"/>
    </w:p>
    <w:p w:rsidR="000B4A1E" w:rsidRPr="00B8251A" w:rsidRDefault="000B4A1E" w:rsidP="00517E51">
      <w:pPr>
        <w:rPr>
          <w:highlight w:val="yellow"/>
        </w:rPr>
      </w:pPr>
      <w:r w:rsidRPr="00B8251A">
        <w:t>As required under the Uniform Presentation Framework, Victoria is required to publish the Loan</w:t>
      </w:r>
      <w:r w:rsidRPr="00B8251A">
        <w:rPr>
          <w:b/>
        </w:rPr>
        <w:t xml:space="preserve"> </w:t>
      </w:r>
      <w:r w:rsidRPr="00B8251A">
        <w:t>Council Allocation (LCA) estimates. The LCA is a measure of each government’s net call on financial markets in a given financial year to meet its budget obligations. The method of public release is the responsibility of each individual jurisdiction. Victoria discloses its LCA information through the Financial Report for the State of Victoria, Budget Paper No. 5</w:t>
      </w:r>
      <w:r w:rsidRPr="00B8251A">
        <w:rPr>
          <w:i/>
        </w:rPr>
        <w:t xml:space="preserve"> Statement of Finances</w:t>
      </w:r>
      <w:r w:rsidRPr="00B8251A">
        <w:t xml:space="preserve"> and</w:t>
      </w:r>
      <w:r w:rsidRPr="00B8251A">
        <w:rPr>
          <w:i/>
        </w:rPr>
        <w:t xml:space="preserve"> </w:t>
      </w:r>
      <w:r w:rsidRPr="00B8251A">
        <w:t>Budget Update.</w:t>
      </w:r>
    </w:p>
    <w:p w:rsidR="000B4A1E" w:rsidRPr="00B8251A" w:rsidRDefault="000B4A1E" w:rsidP="00517E51">
      <w:pPr>
        <w:rPr>
          <w:b/>
        </w:rPr>
      </w:pPr>
      <w:r w:rsidRPr="00B8251A">
        <w:t>Table 5.7 compares Victoria’s 2012</w:t>
      </w:r>
      <w:r w:rsidRPr="00B8251A">
        <w:noBreakHyphen/>
        <w:t xml:space="preserve">13 LCA nomination as published in the </w:t>
      </w:r>
      <w:r w:rsidRPr="00B8251A">
        <w:rPr>
          <w:i/>
        </w:rPr>
        <w:t>2012</w:t>
      </w:r>
      <w:r w:rsidRPr="00B8251A">
        <w:rPr>
          <w:i/>
        </w:rPr>
        <w:noBreakHyphen/>
        <w:t>13 Budget</w:t>
      </w:r>
      <w:r w:rsidRPr="00B8251A">
        <w:t xml:space="preserve"> with the 2012</w:t>
      </w:r>
      <w:r w:rsidRPr="00B8251A">
        <w:noBreakHyphen/>
        <w:t>13 outcome.</w:t>
      </w:r>
    </w:p>
    <w:p w:rsidR="000B4A1E" w:rsidRPr="00B8251A" w:rsidRDefault="000B4A1E" w:rsidP="00517E51">
      <w:pPr>
        <w:pStyle w:val="Tableheading"/>
      </w:pPr>
      <w:r w:rsidRPr="00B8251A">
        <w:t>Table 5.7:</w:t>
      </w:r>
      <w:r w:rsidRPr="00B8251A">
        <w:tab/>
        <w:t>Loan Council Allocation</w:t>
      </w:r>
    </w:p>
    <w:p w:rsidR="000B4A1E" w:rsidRPr="008062DE" w:rsidRDefault="000B4A1E" w:rsidP="00517E51">
      <w:pPr>
        <w:pStyle w:val="million"/>
      </w:pPr>
      <w:r w:rsidRPr="00B8251A">
        <w:t>($</w:t>
      </w:r>
      <w:r>
        <w:t> million</w:t>
      </w:r>
      <w:r w:rsidRPr="00B8251A">
        <w:t>)</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0B4A1E" w:rsidRPr="008062DE" w:rsidTr="00517E51">
        <w:tc>
          <w:tcPr>
            <w:tcW w:w="7401" w:type="dxa"/>
            <w:tcBorders>
              <w:top w:val="single" w:sz="4" w:space="0" w:color="auto"/>
              <w:left w:val="single" w:sz="4" w:space="0" w:color="auto"/>
              <w:bottom w:val="nil"/>
              <w:right w:val="nil"/>
            </w:tcBorders>
            <w:shd w:val="clear" w:color="auto" w:fill="000000"/>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tcBorders>
              <w:top w:val="single" w:sz="4" w:space="0" w:color="auto"/>
              <w:left w:val="nil"/>
              <w:bottom w:val="nil"/>
              <w:right w:val="nil"/>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2012-13</w:t>
            </w:r>
          </w:p>
        </w:tc>
        <w:tc>
          <w:tcPr>
            <w:tcW w:w="1123" w:type="dxa"/>
            <w:tcBorders>
              <w:top w:val="single" w:sz="4" w:space="0" w:color="auto"/>
              <w:left w:val="nil"/>
              <w:bottom w:val="nil"/>
              <w:right w:val="single" w:sz="4" w:space="0" w:color="auto"/>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2012-13</w:t>
            </w:r>
          </w:p>
        </w:tc>
      </w:tr>
      <w:tr w:rsidR="000B4A1E" w:rsidRPr="008062DE" w:rsidTr="00517E51">
        <w:tc>
          <w:tcPr>
            <w:tcW w:w="7401" w:type="dxa"/>
            <w:tcBorders>
              <w:top w:val="nil"/>
              <w:left w:val="single" w:sz="4" w:space="0" w:color="auto"/>
              <w:bottom w:val="single" w:sz="4" w:space="0" w:color="auto"/>
              <w:right w:val="nil"/>
            </w:tcBorders>
            <w:shd w:val="clear" w:color="auto" w:fill="000000"/>
          </w:tcPr>
          <w:p w:rsidR="000B4A1E" w:rsidRPr="008062DE" w:rsidRDefault="000B4A1E" w:rsidP="00517E51">
            <w:pPr>
              <w:pStyle w:val="Tabletext"/>
              <w:rPr>
                <w:rFonts w:eastAsiaTheme="minorEastAsia"/>
                <w:lang w:eastAsia="en-AU"/>
              </w:rPr>
            </w:pPr>
            <w:r w:rsidRPr="008062DE">
              <w:rPr>
                <w:rFonts w:eastAsiaTheme="minorEastAsia"/>
                <w:lang w:eastAsia="en-AU"/>
              </w:rPr>
              <w:t xml:space="preserve"> </w:t>
            </w:r>
          </w:p>
        </w:tc>
        <w:tc>
          <w:tcPr>
            <w:tcW w:w="1123" w:type="dxa"/>
            <w:tcBorders>
              <w:top w:val="nil"/>
              <w:left w:val="nil"/>
              <w:bottom w:val="single" w:sz="4" w:space="0" w:color="auto"/>
              <w:right w:val="nil"/>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Budget</w:t>
            </w:r>
          </w:p>
        </w:tc>
        <w:tc>
          <w:tcPr>
            <w:tcW w:w="1123" w:type="dxa"/>
            <w:tcBorders>
              <w:top w:val="nil"/>
              <w:left w:val="nil"/>
              <w:bottom w:val="single" w:sz="4" w:space="0" w:color="auto"/>
              <w:right w:val="single" w:sz="4" w:space="0" w:color="auto"/>
            </w:tcBorders>
            <w:shd w:val="clear" w:color="auto" w:fill="000000"/>
          </w:tcPr>
          <w:p w:rsidR="000B4A1E" w:rsidRPr="008062DE" w:rsidRDefault="000B4A1E" w:rsidP="00517E51">
            <w:pPr>
              <w:pStyle w:val="Tabletextheading"/>
              <w:rPr>
                <w:rFonts w:eastAsiaTheme="minorEastAsia"/>
                <w:lang w:eastAsia="en-AU"/>
              </w:rPr>
            </w:pPr>
            <w:r w:rsidRPr="008062DE">
              <w:rPr>
                <w:rFonts w:eastAsiaTheme="minorEastAsia"/>
                <w:lang w:eastAsia="en-AU"/>
              </w:rPr>
              <w:t>Actual</w:t>
            </w:r>
          </w:p>
        </w:tc>
      </w:tr>
      <w:tr w:rsidR="000B4A1E" w:rsidRPr="008062DE" w:rsidTr="00517E51">
        <w:tc>
          <w:tcPr>
            <w:tcW w:w="7401" w:type="dxa"/>
            <w:tcBorders>
              <w:top w:val="single" w:sz="4" w:space="0" w:color="auto"/>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General government cash deficit</w:t>
            </w:r>
          </w:p>
        </w:tc>
        <w:tc>
          <w:tcPr>
            <w:tcW w:w="1123" w:type="dxa"/>
            <w:tcBorders>
              <w:top w:val="single" w:sz="4" w:space="0" w:color="auto"/>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971.3</w:t>
            </w:r>
          </w:p>
        </w:tc>
        <w:tc>
          <w:tcPr>
            <w:tcW w:w="1123" w:type="dxa"/>
            <w:tcBorders>
              <w:top w:val="single" w:sz="4" w:space="0" w:color="auto"/>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2 192.9</w:t>
            </w:r>
          </w:p>
        </w:tc>
      </w:tr>
      <w:tr w:rsidR="000B4A1E" w:rsidRPr="008062DE" w:rsidTr="00517E51">
        <w:tc>
          <w:tcPr>
            <w:tcW w:w="7401"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Public non-financial corporations sector cash deficit</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4 007.0</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2 789.9</w:t>
            </w:r>
          </w:p>
        </w:tc>
      </w:tr>
      <w:tr w:rsidR="000B4A1E" w:rsidRPr="005B25C3" w:rsidTr="00517E51">
        <w:tc>
          <w:tcPr>
            <w:tcW w:w="7401" w:type="dxa"/>
            <w:tcBorders>
              <w:top w:val="single" w:sz="6" w:space="0" w:color="auto"/>
              <w:left w:val="nil"/>
              <w:bottom w:val="nil"/>
              <w:right w:val="nil"/>
            </w:tcBorders>
          </w:tcPr>
          <w:p w:rsidR="000B4A1E" w:rsidRPr="005B25C3" w:rsidRDefault="000B4A1E" w:rsidP="00517E51">
            <w:pPr>
              <w:pStyle w:val="Tabletext"/>
              <w:rPr>
                <w:rFonts w:eastAsiaTheme="minorEastAsia"/>
                <w:b/>
                <w:lang w:eastAsia="en-AU"/>
              </w:rPr>
            </w:pPr>
            <w:r w:rsidRPr="005B25C3">
              <w:rPr>
                <w:rFonts w:eastAsiaTheme="minorEastAsia"/>
                <w:b/>
                <w:lang w:eastAsia="en-AU"/>
              </w:rPr>
              <w:t xml:space="preserve">Non-financial public sector cash deficit </w:t>
            </w:r>
            <w:r w:rsidRPr="005B25C3">
              <w:rPr>
                <w:rFonts w:eastAsiaTheme="minorEastAsia"/>
                <w:b/>
                <w:vertAlign w:val="superscript"/>
                <w:lang w:eastAsia="en-AU"/>
              </w:rPr>
              <w:t xml:space="preserve">(a) </w:t>
            </w:r>
          </w:p>
        </w:tc>
        <w:tc>
          <w:tcPr>
            <w:tcW w:w="1123" w:type="dxa"/>
            <w:tcBorders>
              <w:top w:val="single" w:sz="6" w:space="0" w:color="auto"/>
              <w:left w:val="nil"/>
              <w:bottom w:val="nil"/>
              <w:right w:val="nil"/>
            </w:tcBorders>
          </w:tcPr>
          <w:p w:rsidR="000B4A1E" w:rsidRPr="005B25C3" w:rsidRDefault="000B4A1E" w:rsidP="00517E51">
            <w:pPr>
              <w:pStyle w:val="TableofFigures"/>
              <w:rPr>
                <w:rFonts w:eastAsiaTheme="minorEastAsia"/>
                <w:b/>
                <w:lang w:eastAsia="en-AU"/>
              </w:rPr>
            </w:pPr>
            <w:r w:rsidRPr="005B25C3">
              <w:rPr>
                <w:rFonts w:eastAsiaTheme="minorEastAsia"/>
                <w:b/>
                <w:lang w:eastAsia="en-AU"/>
              </w:rPr>
              <w:t>4 978.3</w:t>
            </w:r>
          </w:p>
        </w:tc>
        <w:tc>
          <w:tcPr>
            <w:tcW w:w="1123" w:type="dxa"/>
            <w:tcBorders>
              <w:top w:val="single" w:sz="6" w:space="0" w:color="auto"/>
              <w:left w:val="nil"/>
              <w:bottom w:val="nil"/>
              <w:right w:val="nil"/>
            </w:tcBorders>
          </w:tcPr>
          <w:p w:rsidR="000B4A1E" w:rsidRPr="005B25C3" w:rsidRDefault="000B4A1E" w:rsidP="00517E51">
            <w:pPr>
              <w:pStyle w:val="TableofFigures"/>
              <w:rPr>
                <w:rFonts w:eastAsiaTheme="minorEastAsia"/>
                <w:b/>
                <w:lang w:eastAsia="en-AU"/>
              </w:rPr>
            </w:pPr>
            <w:r w:rsidRPr="005B25C3">
              <w:rPr>
                <w:rFonts w:eastAsiaTheme="minorEastAsia"/>
                <w:b/>
                <w:lang w:eastAsia="en-AU"/>
              </w:rPr>
              <w:t>4 914.7</w:t>
            </w:r>
          </w:p>
        </w:tc>
      </w:tr>
      <w:tr w:rsidR="000B4A1E" w:rsidRPr="008062DE" w:rsidTr="00517E51">
        <w:tc>
          <w:tcPr>
            <w:tcW w:w="7401" w:type="dxa"/>
            <w:tcBorders>
              <w:top w:val="nil"/>
              <w:left w:val="nil"/>
              <w:bottom w:val="nil"/>
              <w:right w:val="nil"/>
            </w:tcBorders>
          </w:tcPr>
          <w:p w:rsidR="000B4A1E" w:rsidRPr="008062DE" w:rsidRDefault="000B4A1E" w:rsidP="00517E51">
            <w:pPr>
              <w:pStyle w:val="Tabletext"/>
              <w:rPr>
                <w:rFonts w:eastAsiaTheme="minorEastAsia"/>
                <w:lang w:eastAsia="en-AU"/>
              </w:rPr>
            </w:pPr>
            <w:r w:rsidRPr="008062DE">
              <w:rPr>
                <w:rFonts w:eastAsiaTheme="minorEastAsia"/>
                <w:lang w:eastAsia="en-AU"/>
              </w:rPr>
              <w:t>Acquisitions under finance leases and similar arrangements</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4 966.3</w:t>
            </w:r>
          </w:p>
        </w:tc>
        <w:tc>
          <w:tcPr>
            <w:tcW w:w="1123" w:type="dxa"/>
            <w:tcBorders>
              <w:top w:val="nil"/>
              <w:left w:val="nil"/>
              <w:bottom w:val="nil"/>
              <w:right w:val="nil"/>
            </w:tcBorders>
          </w:tcPr>
          <w:p w:rsidR="000B4A1E" w:rsidRPr="008062DE" w:rsidRDefault="000B4A1E" w:rsidP="00517E51">
            <w:pPr>
              <w:pStyle w:val="TableofFigures"/>
              <w:rPr>
                <w:rFonts w:eastAsiaTheme="minorEastAsia" w:cs="Calibri"/>
                <w:szCs w:val="22"/>
                <w:lang w:eastAsia="en-AU"/>
              </w:rPr>
            </w:pPr>
            <w:r w:rsidRPr="008062DE">
              <w:rPr>
                <w:rFonts w:eastAsiaTheme="minorEastAsia"/>
                <w:lang w:eastAsia="en-AU"/>
              </w:rPr>
              <w:t>5 433.8</w:t>
            </w:r>
          </w:p>
        </w:tc>
      </w:tr>
      <w:tr w:rsidR="000B4A1E" w:rsidRPr="005B25C3" w:rsidTr="00517E51">
        <w:tc>
          <w:tcPr>
            <w:tcW w:w="7401" w:type="dxa"/>
            <w:tcBorders>
              <w:top w:val="single" w:sz="6" w:space="0" w:color="auto"/>
              <w:left w:val="nil"/>
              <w:bottom w:val="nil"/>
              <w:right w:val="nil"/>
            </w:tcBorders>
          </w:tcPr>
          <w:p w:rsidR="000B4A1E" w:rsidRPr="005B25C3" w:rsidRDefault="000B4A1E" w:rsidP="00517E51">
            <w:pPr>
              <w:pStyle w:val="Tabletext"/>
              <w:rPr>
                <w:rFonts w:eastAsiaTheme="minorEastAsia"/>
                <w:b/>
                <w:lang w:eastAsia="en-AU"/>
              </w:rPr>
            </w:pPr>
            <w:r w:rsidRPr="005B25C3">
              <w:rPr>
                <w:rFonts w:eastAsiaTheme="minorEastAsia"/>
                <w:b/>
                <w:lang w:eastAsia="en-AU"/>
              </w:rPr>
              <w:t>ABS GFS cash deficit</w:t>
            </w:r>
          </w:p>
        </w:tc>
        <w:tc>
          <w:tcPr>
            <w:tcW w:w="1123" w:type="dxa"/>
            <w:tcBorders>
              <w:top w:val="single" w:sz="6" w:space="0" w:color="auto"/>
              <w:left w:val="nil"/>
              <w:bottom w:val="nil"/>
              <w:right w:val="nil"/>
            </w:tcBorders>
          </w:tcPr>
          <w:p w:rsidR="000B4A1E" w:rsidRPr="005B25C3" w:rsidRDefault="000B4A1E" w:rsidP="00517E51">
            <w:pPr>
              <w:pStyle w:val="TableofFigures"/>
              <w:rPr>
                <w:rFonts w:eastAsiaTheme="minorEastAsia"/>
                <w:b/>
                <w:lang w:eastAsia="en-AU"/>
              </w:rPr>
            </w:pPr>
            <w:r w:rsidRPr="005B25C3">
              <w:rPr>
                <w:rFonts w:eastAsiaTheme="minorEastAsia"/>
                <w:b/>
                <w:lang w:eastAsia="en-AU"/>
              </w:rPr>
              <w:t>9 944.5</w:t>
            </w:r>
          </w:p>
        </w:tc>
        <w:tc>
          <w:tcPr>
            <w:tcW w:w="1123" w:type="dxa"/>
            <w:tcBorders>
              <w:top w:val="single" w:sz="6" w:space="0" w:color="auto"/>
              <w:left w:val="nil"/>
              <w:bottom w:val="nil"/>
              <w:right w:val="nil"/>
            </w:tcBorders>
          </w:tcPr>
          <w:p w:rsidR="000B4A1E" w:rsidRPr="005B25C3" w:rsidRDefault="000B4A1E" w:rsidP="00517E51">
            <w:pPr>
              <w:pStyle w:val="TableofFigures"/>
              <w:rPr>
                <w:rFonts w:eastAsiaTheme="minorEastAsia"/>
                <w:b/>
                <w:lang w:eastAsia="en-AU"/>
              </w:rPr>
            </w:pPr>
            <w:r w:rsidRPr="005B25C3">
              <w:rPr>
                <w:rFonts w:eastAsiaTheme="minorEastAsia"/>
                <w:b/>
                <w:lang w:eastAsia="en-AU"/>
              </w:rPr>
              <w:t>10 348.5</w:t>
            </w:r>
          </w:p>
        </w:tc>
      </w:tr>
      <w:tr w:rsidR="000B4A1E" w:rsidRPr="008062DE" w:rsidTr="00517E51">
        <w:tc>
          <w:tcPr>
            <w:tcW w:w="7401" w:type="dxa"/>
            <w:tcBorders>
              <w:top w:val="nil"/>
              <w:left w:val="nil"/>
              <w:bottom w:val="nil"/>
              <w:right w:val="nil"/>
            </w:tcBorders>
          </w:tcPr>
          <w:p w:rsidR="000B4A1E" w:rsidRPr="008062DE" w:rsidRDefault="000B4A1E" w:rsidP="00517E51">
            <w:pPr>
              <w:pStyle w:val="Tabletext"/>
              <w:rPr>
                <w:rFonts w:eastAsiaTheme="minorEastAsia"/>
                <w:i/>
                <w:iCs/>
                <w:lang w:eastAsia="en-AU"/>
              </w:rPr>
            </w:pPr>
            <w:r w:rsidRPr="008062DE">
              <w:rPr>
                <w:rFonts w:eastAsiaTheme="minorEastAsia"/>
                <w:i/>
                <w:iCs/>
                <w:lang w:eastAsia="en-AU"/>
              </w:rPr>
              <w:t xml:space="preserve">Less </w:t>
            </w:r>
            <w:r w:rsidRPr="008062DE">
              <w:rPr>
                <w:rFonts w:eastAsiaTheme="minorEastAsia"/>
                <w:iCs/>
                <w:lang w:eastAsia="en-AU"/>
              </w:rPr>
              <w:t xml:space="preserve">Net cash flows from investments in financial assets for policy purposes </w:t>
            </w:r>
            <w:r w:rsidRPr="008062DE">
              <w:rPr>
                <w:rFonts w:eastAsiaTheme="minorEastAsia"/>
                <w:iCs/>
                <w:vertAlign w:val="superscript"/>
                <w:lang w:eastAsia="en-AU"/>
              </w:rPr>
              <w:t>(b)</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( 23.8)</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319.2</w:t>
            </w:r>
          </w:p>
        </w:tc>
      </w:tr>
      <w:tr w:rsidR="000B4A1E" w:rsidRPr="008062DE" w:rsidTr="00517E51">
        <w:tc>
          <w:tcPr>
            <w:tcW w:w="7401" w:type="dxa"/>
            <w:tcBorders>
              <w:top w:val="nil"/>
              <w:left w:val="nil"/>
              <w:bottom w:val="nil"/>
              <w:right w:val="nil"/>
            </w:tcBorders>
          </w:tcPr>
          <w:p w:rsidR="000B4A1E" w:rsidRPr="008062DE" w:rsidRDefault="000B4A1E" w:rsidP="00517E51">
            <w:pPr>
              <w:pStyle w:val="Tabletext"/>
              <w:rPr>
                <w:rFonts w:eastAsiaTheme="minorEastAsia"/>
                <w:i/>
                <w:iCs/>
                <w:lang w:eastAsia="en-AU"/>
              </w:rPr>
            </w:pPr>
            <w:r w:rsidRPr="008062DE">
              <w:rPr>
                <w:rFonts w:eastAsiaTheme="minorEastAsia"/>
                <w:i/>
                <w:iCs/>
                <w:lang w:eastAsia="en-AU"/>
              </w:rPr>
              <w:t xml:space="preserve">Plus </w:t>
            </w:r>
            <w:r w:rsidRPr="008062DE">
              <w:rPr>
                <w:rFonts w:eastAsiaTheme="minorEastAsia"/>
                <w:iCs/>
                <w:lang w:eastAsia="en-AU"/>
              </w:rPr>
              <w:t xml:space="preserve">Memorandum items </w:t>
            </w:r>
            <w:r w:rsidRPr="008062DE">
              <w:rPr>
                <w:rFonts w:eastAsiaTheme="minorEastAsia"/>
                <w:iCs/>
                <w:vertAlign w:val="superscript"/>
                <w:lang w:eastAsia="en-AU"/>
              </w:rPr>
              <w:t>(c)</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360.4</w:t>
            </w:r>
          </w:p>
        </w:tc>
        <w:tc>
          <w:tcPr>
            <w:tcW w:w="1123" w:type="dxa"/>
            <w:tcBorders>
              <w:top w:val="nil"/>
              <w:left w:val="nil"/>
              <w:bottom w:val="nil"/>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 xml:space="preserve"> 76.3</w:t>
            </w:r>
          </w:p>
        </w:tc>
      </w:tr>
      <w:tr w:rsidR="000B4A1E" w:rsidRPr="008062DE" w:rsidTr="00517E51">
        <w:tc>
          <w:tcPr>
            <w:tcW w:w="7401" w:type="dxa"/>
            <w:tcBorders>
              <w:top w:val="single" w:sz="6" w:space="0" w:color="auto"/>
              <w:left w:val="nil"/>
              <w:bottom w:val="single" w:sz="6" w:space="0" w:color="auto"/>
              <w:right w:val="nil"/>
            </w:tcBorders>
          </w:tcPr>
          <w:p w:rsidR="000B4A1E" w:rsidRPr="008062DE" w:rsidRDefault="000B4A1E" w:rsidP="00517E51">
            <w:pPr>
              <w:pStyle w:val="Tabletext"/>
              <w:rPr>
                <w:rFonts w:eastAsiaTheme="minorEastAsia"/>
                <w:b/>
                <w:bCs/>
                <w:lang w:eastAsia="en-AU"/>
              </w:rPr>
            </w:pPr>
            <w:r w:rsidRPr="008062DE">
              <w:rPr>
                <w:rFonts w:eastAsiaTheme="minorEastAsia"/>
                <w:b/>
                <w:bCs/>
                <w:lang w:eastAsia="en-AU"/>
              </w:rPr>
              <w:t>Loan Council Allocation</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10 328.7</w:t>
            </w:r>
          </w:p>
        </w:tc>
        <w:tc>
          <w:tcPr>
            <w:tcW w:w="1123" w:type="dxa"/>
            <w:tcBorders>
              <w:top w:val="single" w:sz="6" w:space="0" w:color="auto"/>
              <w:left w:val="nil"/>
              <w:bottom w:val="single" w:sz="6" w:space="0" w:color="auto"/>
              <w:right w:val="nil"/>
            </w:tcBorders>
          </w:tcPr>
          <w:p w:rsidR="000B4A1E" w:rsidRPr="008062DE" w:rsidRDefault="000B4A1E" w:rsidP="00517E51">
            <w:pPr>
              <w:pStyle w:val="TableofFigures"/>
              <w:rPr>
                <w:rFonts w:eastAsiaTheme="minorEastAsia"/>
                <w:b/>
                <w:bCs/>
                <w:lang w:eastAsia="en-AU"/>
              </w:rPr>
            </w:pPr>
            <w:r w:rsidRPr="008062DE">
              <w:rPr>
                <w:rFonts w:eastAsiaTheme="minorEastAsia"/>
                <w:b/>
                <w:bCs/>
                <w:lang w:eastAsia="en-AU"/>
              </w:rPr>
              <w:t>10 105.6</w:t>
            </w:r>
          </w:p>
        </w:tc>
      </w:tr>
      <w:tr w:rsidR="000B4A1E" w:rsidRPr="008062DE" w:rsidTr="00517E51">
        <w:tc>
          <w:tcPr>
            <w:tcW w:w="7401" w:type="dxa"/>
            <w:tcBorders>
              <w:top w:val="single" w:sz="6" w:space="0" w:color="auto"/>
              <w:left w:val="nil"/>
              <w:bottom w:val="single" w:sz="12" w:space="0" w:color="auto"/>
              <w:right w:val="nil"/>
            </w:tcBorders>
          </w:tcPr>
          <w:p w:rsidR="000B4A1E" w:rsidRPr="008062DE" w:rsidRDefault="000B4A1E" w:rsidP="00517E51">
            <w:pPr>
              <w:pStyle w:val="Tabletext"/>
              <w:rPr>
                <w:rFonts w:eastAsiaTheme="minorEastAsia" w:cs="Calibri"/>
                <w:szCs w:val="22"/>
                <w:lang w:eastAsia="en-AU"/>
              </w:rPr>
            </w:pPr>
            <w:r w:rsidRPr="008062DE">
              <w:rPr>
                <w:rFonts w:eastAsiaTheme="minorEastAsia"/>
                <w:lang w:eastAsia="en-AU"/>
              </w:rPr>
              <w:t>Tolerance limit (2</w:t>
            </w:r>
            <w:r>
              <w:rPr>
                <w:rFonts w:eastAsiaTheme="minorEastAsia"/>
                <w:lang w:eastAsia="en-AU"/>
              </w:rPr>
              <w:t> per cent</w:t>
            </w:r>
            <w:r w:rsidRPr="008062DE">
              <w:rPr>
                <w:rFonts w:eastAsiaTheme="minorEastAsia"/>
                <w:lang w:eastAsia="en-AU"/>
              </w:rPr>
              <w:t xml:space="preserve"> of non-financial public sector cash receipts from operating activities)</w:t>
            </w:r>
            <w:r w:rsidRPr="008062DE">
              <w:rPr>
                <w:rFonts w:eastAsiaTheme="minorEastAsia"/>
                <w:vertAlign w:val="superscript"/>
                <w:lang w:eastAsia="en-AU"/>
              </w:rPr>
              <w:t xml:space="preserve"> (d</w:t>
            </w:r>
            <w:r w:rsidRPr="008062DE">
              <w:rPr>
                <w:rFonts w:eastAsiaTheme="minorEastAsia" w:cs="Calibri"/>
                <w:szCs w:val="22"/>
                <w:vertAlign w:val="superscript"/>
                <w:lang w:eastAsia="en-AU"/>
              </w:rPr>
              <w:t>)</w:t>
            </w:r>
          </w:p>
        </w:tc>
        <w:tc>
          <w:tcPr>
            <w:tcW w:w="1123"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1 033.9</w:t>
            </w:r>
          </w:p>
        </w:tc>
        <w:tc>
          <w:tcPr>
            <w:tcW w:w="1123" w:type="dxa"/>
            <w:tcBorders>
              <w:top w:val="single" w:sz="6" w:space="0" w:color="auto"/>
              <w:left w:val="nil"/>
              <w:bottom w:val="single" w:sz="12" w:space="0" w:color="auto"/>
              <w:right w:val="nil"/>
            </w:tcBorders>
          </w:tcPr>
          <w:p w:rsidR="000B4A1E" w:rsidRPr="008062DE" w:rsidRDefault="000B4A1E" w:rsidP="00517E51">
            <w:pPr>
              <w:pStyle w:val="TableofFigures"/>
              <w:rPr>
                <w:rFonts w:eastAsiaTheme="minorEastAsia"/>
                <w:lang w:eastAsia="en-AU"/>
              </w:rPr>
            </w:pPr>
            <w:r w:rsidRPr="008062DE">
              <w:rPr>
                <w:rFonts w:eastAsiaTheme="minorEastAsia"/>
                <w:lang w:eastAsia="en-AU"/>
              </w:rPr>
              <w:t>1 033.9</w:t>
            </w:r>
          </w:p>
        </w:tc>
      </w:tr>
    </w:tbl>
    <w:p w:rsidR="000B4A1E" w:rsidRPr="00B8251A" w:rsidRDefault="000B4A1E" w:rsidP="00517E51">
      <w:pPr>
        <w:pStyle w:val="Source"/>
      </w:pPr>
      <w:r w:rsidRPr="00B8251A">
        <w:t>Source: Department of Treasury and Finance</w:t>
      </w:r>
    </w:p>
    <w:p w:rsidR="000B4A1E" w:rsidRPr="00B8251A" w:rsidRDefault="000B4A1E" w:rsidP="00517E51">
      <w:pPr>
        <w:pStyle w:val="Notes"/>
      </w:pPr>
      <w:r w:rsidRPr="00B8251A">
        <w:t>Notes:</w:t>
      </w:r>
    </w:p>
    <w:p w:rsidR="000B4A1E" w:rsidRPr="00B8251A" w:rsidRDefault="000B4A1E" w:rsidP="00517E51">
      <w:pPr>
        <w:pStyle w:val="Notes"/>
        <w:rPr>
          <w:rFonts w:cs="Calibri"/>
        </w:rPr>
      </w:pPr>
      <w:r w:rsidRPr="00B8251A">
        <w:rPr>
          <w:rFonts w:cs="Calibri"/>
        </w:rPr>
        <w:t>(a)</w:t>
      </w:r>
      <w:r w:rsidRPr="00B8251A">
        <w:rPr>
          <w:rFonts w:cs="Calibri"/>
        </w:rPr>
        <w:tab/>
        <w:t>The sum of the deficit of the general government and public non</w:t>
      </w:r>
      <w:r w:rsidRPr="00B8251A">
        <w:rPr>
          <w:rFonts w:cs="Calibri"/>
        </w:rPr>
        <w:noBreakHyphen/>
        <w:t>financial corporation sector does not directly equal the non</w:t>
      </w:r>
      <w:r w:rsidRPr="00B8251A">
        <w:rPr>
          <w:rFonts w:cs="Calibri"/>
        </w:rPr>
        <w:noBreakHyphen/>
        <w:t>financial public sector cash deficit due to inter</w:t>
      </w:r>
      <w:r w:rsidRPr="00B8251A">
        <w:rPr>
          <w:rFonts w:cs="Calibri"/>
        </w:rPr>
        <w:noBreakHyphen/>
        <w:t>sectoral transfers, which are netted out in the calculation of the non</w:t>
      </w:r>
      <w:r w:rsidRPr="00B8251A">
        <w:rPr>
          <w:rFonts w:cs="Calibri"/>
        </w:rPr>
        <w:noBreakHyphen/>
        <w:t>financial public sector figure. The non</w:t>
      </w:r>
      <w:r w:rsidRPr="00B8251A">
        <w:rPr>
          <w:rFonts w:cs="Calibri"/>
        </w:rPr>
        <w:noBreakHyphen/>
        <w:t>financial public sector cash deficit excludes finance lease acquisitions.</w:t>
      </w:r>
    </w:p>
    <w:p w:rsidR="000B4A1E" w:rsidRPr="00B8251A" w:rsidRDefault="000B4A1E" w:rsidP="00517E51">
      <w:pPr>
        <w:pStyle w:val="Notes"/>
        <w:rPr>
          <w:rFonts w:cs="Calibri"/>
        </w:rPr>
      </w:pPr>
      <w:r w:rsidRPr="00B8251A">
        <w:rPr>
          <w:rFonts w:cs="Calibri"/>
        </w:rPr>
        <w:t>(b)</w:t>
      </w:r>
      <w:r w:rsidRPr="00B8251A">
        <w:rPr>
          <w:rFonts w:cs="Calibri"/>
        </w:rPr>
        <w:tab/>
        <w:t>The ABS GFS cash deficit is adjusted to include in the Loan Council Allocation the impact of net cash flows from investments in financial assets for policy purposes.</w:t>
      </w:r>
    </w:p>
    <w:p w:rsidR="000B4A1E" w:rsidRPr="00B8251A" w:rsidRDefault="000B4A1E" w:rsidP="00517E51">
      <w:pPr>
        <w:pStyle w:val="Notes"/>
        <w:rPr>
          <w:rFonts w:cs="Calibri"/>
        </w:rPr>
      </w:pPr>
      <w:r w:rsidRPr="00B8251A">
        <w:rPr>
          <w:rFonts w:cs="Calibri"/>
        </w:rPr>
        <w:t>(c)</w:t>
      </w:r>
      <w:r w:rsidRPr="00B8251A">
        <w:rPr>
          <w:rFonts w:cs="Calibri"/>
        </w:rPr>
        <w:tab/>
        <w:t>The ABS GFS cash deficit is adjusted to include in the Loan Council Allocation the impact of memorandum items, which include certain transactions that have many of the characteristics of public sector borrowings but do not constitute formal borrowings (e.g. operating leases). They also include, where appropriate, transactions that the Loan Council has agreed should not be included in the Loan Council Allocation (e.g. the over/under funding of employers’ emerging costs under public sector superannuation schemes, or borrowings by entities such as statutory marketing authorities).</w:t>
      </w:r>
    </w:p>
    <w:p w:rsidR="000B4A1E" w:rsidRPr="00B8251A" w:rsidRDefault="000B4A1E" w:rsidP="00517E51">
      <w:pPr>
        <w:pStyle w:val="Notes"/>
        <w:rPr>
          <w:rFonts w:cs="Calibri"/>
          <w:highlight w:val="yellow"/>
        </w:rPr>
      </w:pPr>
      <w:r w:rsidRPr="00B8251A">
        <w:rPr>
          <w:rFonts w:cs="Calibri"/>
        </w:rPr>
        <w:t>(d)</w:t>
      </w:r>
      <w:r w:rsidRPr="00B8251A">
        <w:rPr>
          <w:rFonts w:cs="Calibri"/>
        </w:rPr>
        <w:tab/>
        <w:t>A tolerance limit equal to 2</w:t>
      </w:r>
      <w:r>
        <w:rPr>
          <w:rFonts w:cs="Calibri"/>
        </w:rPr>
        <w:t> per cent</w:t>
      </w:r>
      <w:r w:rsidRPr="00B8251A">
        <w:rPr>
          <w:rFonts w:cs="Calibri"/>
        </w:rPr>
        <w:t xml:space="preserve"> of total non</w:t>
      </w:r>
      <w:r w:rsidRPr="00B8251A">
        <w:rPr>
          <w:rFonts w:cs="Calibri"/>
        </w:rPr>
        <w:noBreakHyphen/>
        <w:t xml:space="preserve">financial public sector cash receipt from operating activities applies to the movement between Loan Council Allocation budget estimate and Loan Council Allocation outcome (calculated using estimates in the </w:t>
      </w:r>
      <w:r w:rsidRPr="00B8251A">
        <w:rPr>
          <w:rFonts w:cs="Calibri"/>
          <w:i w:val="0"/>
        </w:rPr>
        <w:t>2012</w:t>
      </w:r>
      <w:r w:rsidRPr="00B8251A">
        <w:rPr>
          <w:rFonts w:cs="Calibri"/>
          <w:i w:val="0"/>
        </w:rPr>
        <w:noBreakHyphen/>
        <w:t>13 Budget</w:t>
      </w:r>
      <w:r w:rsidRPr="00B8251A">
        <w:rPr>
          <w:rFonts w:cs="Calibri"/>
        </w:rPr>
        <w:t>). The tolerance limit applying to the movement between Victoria’s 2012</w:t>
      </w:r>
      <w:r w:rsidRPr="00B8251A">
        <w:rPr>
          <w:rFonts w:cs="Calibri"/>
        </w:rPr>
        <w:noBreakHyphen/>
        <w:t>13 Loan Council Allocation budget estimate and its Loan Council Allocation outcome is $1 033.9</w:t>
      </w:r>
      <w:r>
        <w:rPr>
          <w:rFonts w:cs="Calibri"/>
        </w:rPr>
        <w:t> million</w:t>
      </w:r>
      <w:r w:rsidRPr="00B8251A">
        <w:rPr>
          <w:rFonts w:cs="Calibri"/>
        </w:rPr>
        <w:t xml:space="preserve"> (2</w:t>
      </w:r>
      <w:r>
        <w:rPr>
          <w:rFonts w:cs="Calibri"/>
        </w:rPr>
        <w:t> per cent</w:t>
      </w:r>
      <w:r w:rsidRPr="00B8251A">
        <w:rPr>
          <w:rFonts w:cs="Calibri"/>
        </w:rPr>
        <w:t xml:space="preserve"> of $51 696.0</w:t>
      </w:r>
      <w:r>
        <w:rPr>
          <w:rFonts w:cs="Calibri"/>
        </w:rPr>
        <w:t> million</w:t>
      </w:r>
      <w:r w:rsidRPr="00B8251A">
        <w:rPr>
          <w:rFonts w:cs="Calibri"/>
        </w:rPr>
        <w:t>).</w:t>
      </w:r>
    </w:p>
    <w:p w:rsidR="000B4A1E" w:rsidRPr="00B8251A" w:rsidRDefault="000B4A1E" w:rsidP="00517E51">
      <w:pPr>
        <w:pStyle w:val="Notes"/>
      </w:pPr>
    </w:p>
    <w:p w:rsidR="000B4A1E" w:rsidRPr="00B8251A" w:rsidRDefault="000B4A1E" w:rsidP="00517E51">
      <w:r w:rsidRPr="00B8251A">
        <w:t>As part of the Loan Council arrangements, the Council has agreed that if at any time a state or territory finds that it is likely to exceed its tolerance limit, in either direction, it is required to provide an explanation to the Council and, in line with the emphasis of increased transparency to make the explanation public. Victoria’s 2012</w:t>
      </w:r>
      <w:r w:rsidRPr="00B8251A">
        <w:noBreakHyphen/>
        <w:t xml:space="preserve">13 LCA outcome did not exceed the tolerance limit applied to Victoria’s budget time LCA and LCA outcome. </w:t>
      </w:r>
    </w:p>
    <w:p w:rsidR="000B4A1E" w:rsidRPr="00B8251A" w:rsidRDefault="000B4A1E" w:rsidP="00517E51">
      <w:r w:rsidRPr="00B8251A">
        <w:t xml:space="preserve">In the interest of transparency, the State is required to disclose the details of new infrastructure projects with private sector involvement that are expected to be contracted during the LCA year, and to report the full contingent exposure, if any. Exposure is to be measured by the Government’s termination liabilities in a case of private sector default and disclosed as a footnote to, rather than a component of the LCA. The amount payable will not exceed the fair market value of the project (which is usually calculated through independent valuation) less any costs incurred by the Government as a result of the default. </w:t>
      </w:r>
    </w:p>
    <w:p w:rsidR="000B4A1E" w:rsidRDefault="000B4A1E">
      <w:pPr>
        <w:spacing w:after="0"/>
      </w:pPr>
      <w:r>
        <w:br w:type="page"/>
      </w:r>
    </w:p>
    <w:p w:rsidR="000B4A1E" w:rsidRPr="00B8251A" w:rsidRDefault="000B4A1E" w:rsidP="00517E51">
      <w:r w:rsidRPr="00B8251A">
        <w:lastRenderedPageBreak/>
        <w:t>Below are details of the public private partnershi</w:t>
      </w:r>
      <w:r>
        <w:t>p project that was</w:t>
      </w:r>
      <w:r w:rsidRPr="00B8251A">
        <w:t xml:space="preserve"> contracted</w:t>
      </w:r>
      <w:r>
        <w:t xml:space="preserve"> in the 2012</w:t>
      </w:r>
      <w:r w:rsidRPr="00B8251A">
        <w:noBreakHyphen/>
      </w:r>
      <w:r>
        <w:t>13</w:t>
      </w:r>
      <w:r w:rsidRPr="00B8251A">
        <w:t xml:space="preserve"> financial year.</w:t>
      </w:r>
    </w:p>
    <w:p w:rsidR="000B4A1E" w:rsidRPr="00B8251A" w:rsidRDefault="000B4A1E" w:rsidP="00517E51">
      <w:pPr>
        <w:pStyle w:val="Heading5"/>
      </w:pPr>
      <w:r w:rsidRPr="00B8251A">
        <w:t>Bendigo Hospital project</w:t>
      </w:r>
    </w:p>
    <w:p w:rsidR="000B4A1E" w:rsidRPr="00B8251A" w:rsidRDefault="000B4A1E" w:rsidP="00517E51">
      <w:r w:rsidRPr="00B8251A">
        <w:t xml:space="preserve">The Bendigo Hospital project will deliver Victoria’s largest regional hospital to Bendigo and the Loddon Mallee region with 372 beds, 10 operating theatres, an integrated cancer centre and mental health unit, helipad and a new multi-storey car park. </w:t>
      </w:r>
    </w:p>
    <w:p w:rsidR="000B4A1E" w:rsidRDefault="000B4A1E" w:rsidP="00517E51">
      <w:r w:rsidRPr="00B8251A">
        <w:t xml:space="preserve">The tender process commenced in September 2011 and concluded in May 2013. The private consortium, Exemplar Health, will design, build, finance and maintain the new hospital, with responsibility for clinical services to be retained by Bendigo Health. Once operations commence, the Government will begin quarterly payments to the private consortium, which will be dependent on attainment of key performance indicators relating to ongoing service provision. The contract was executed in May 2013 and construction of the new hospital is expected to be completed by end 2016. </w:t>
      </w:r>
    </w:p>
    <w:p w:rsidR="000B4A1E" w:rsidRPr="00B8251A" w:rsidRDefault="000B4A1E" w:rsidP="00517E51"/>
    <w:p w:rsidR="000B4A1E" w:rsidRDefault="000B4A1E" w:rsidP="00EC7BE0"/>
    <w:p w:rsidR="000B4A1E" w:rsidRDefault="000B4A1E" w:rsidP="00FE76C7">
      <w:pPr>
        <w:sectPr w:rsidR="000B4A1E" w:rsidSect="00740862">
          <w:footerReference w:type="even" r:id="rId26"/>
          <w:footerReference w:type="default" r:id="rId27"/>
          <w:type w:val="oddPage"/>
          <w:pgSz w:w="11906" w:h="16838" w:code="9"/>
          <w:pgMar w:top="1152" w:right="1152" w:bottom="1152" w:left="1152" w:header="720" w:footer="576" w:gutter="0"/>
          <w:cols w:space="708"/>
          <w:docGrid w:linePitch="360"/>
        </w:sectPr>
      </w:pPr>
    </w:p>
    <w:p w:rsidR="000B4A1E" w:rsidRPr="00650475" w:rsidRDefault="000B4A1E" w:rsidP="00517E51">
      <w:pPr>
        <w:pStyle w:val="ChapterHeading"/>
      </w:pPr>
      <w:bookmarkStart w:id="208" w:name="_Toc367967902"/>
      <w:r w:rsidRPr="00650475">
        <w:lastRenderedPageBreak/>
        <w:t>Appendix A – General government sector quarterly financial report</w:t>
      </w:r>
      <w:bookmarkEnd w:id="208"/>
    </w:p>
    <w:p w:rsidR="000B4A1E" w:rsidRPr="00650475" w:rsidRDefault="000B4A1E" w:rsidP="00517E51">
      <w:pPr>
        <w:pStyle w:val="Tableheading"/>
      </w:pPr>
      <w:r w:rsidRPr="00650475">
        <w:t>Table A.1:</w:t>
      </w:r>
      <w:r w:rsidRPr="00650475">
        <w:tab/>
        <w:t>Operating statement for the past five quarters</w:t>
      </w:r>
    </w:p>
    <w:p w:rsidR="000B4A1E" w:rsidRPr="00FC2E25" w:rsidRDefault="000B4A1E" w:rsidP="00517E51">
      <w:pPr>
        <w:pStyle w:val="million"/>
        <w:rPr>
          <w:rFonts w:ascii="Times New Roman" w:hAnsi="Times New Roman"/>
          <w:lang w:eastAsia="en-AU"/>
        </w:rPr>
      </w:pPr>
      <w:r w:rsidRPr="00650475">
        <w:t>($</w:t>
      </w:r>
      <w:r>
        <w:t> million</w:t>
      </w:r>
      <w:r w:rsidRPr="00650475">
        <w:t>)</w:t>
      </w:r>
    </w:p>
    <w:tbl>
      <w:tblPr>
        <w:tblW w:w="9648" w:type="dxa"/>
        <w:tblInd w:w="29" w:type="dxa"/>
        <w:tblLayout w:type="fixed"/>
        <w:tblCellMar>
          <w:left w:w="43" w:type="dxa"/>
          <w:right w:w="43" w:type="dxa"/>
        </w:tblCellMar>
        <w:tblLook w:val="0000" w:firstRow="0" w:lastRow="0" w:firstColumn="0" w:lastColumn="0" w:noHBand="0" w:noVBand="0"/>
      </w:tblPr>
      <w:tblGrid>
        <w:gridCol w:w="4694"/>
        <w:gridCol w:w="180"/>
        <w:gridCol w:w="718"/>
        <w:gridCol w:w="236"/>
        <w:gridCol w:w="955"/>
        <w:gridCol w:w="955"/>
        <w:gridCol w:w="601"/>
        <w:gridCol w:w="354"/>
        <w:gridCol w:w="955"/>
      </w:tblGrid>
      <w:tr w:rsidR="000B4A1E" w:rsidRPr="00FC2E25" w:rsidTr="00517E51">
        <w:trPr>
          <w:cantSplit/>
          <w:tblHeader/>
        </w:trPr>
        <w:tc>
          <w:tcPr>
            <w:tcW w:w="4874" w:type="dxa"/>
            <w:gridSpan w:val="2"/>
            <w:tcBorders>
              <w:top w:val="single" w:sz="4" w:space="0" w:color="auto"/>
              <w:left w:val="single" w:sz="4" w:space="0" w:color="auto"/>
              <w:bottom w:val="nil"/>
              <w:right w:val="nil"/>
            </w:tcBorders>
            <w:shd w:val="clear" w:color="auto" w:fill="000000"/>
          </w:tcPr>
          <w:p w:rsidR="000B4A1E" w:rsidRPr="00FC2E25" w:rsidRDefault="000B4A1E" w:rsidP="00517E51">
            <w:pPr>
              <w:pStyle w:val="Tabletext"/>
              <w:rPr>
                <w:rFonts w:eastAsiaTheme="minorEastAsia"/>
                <w:lang w:eastAsia="en-AU"/>
              </w:rPr>
            </w:pPr>
          </w:p>
        </w:tc>
        <w:tc>
          <w:tcPr>
            <w:tcW w:w="954" w:type="dxa"/>
            <w:gridSpan w:val="2"/>
            <w:tcBorders>
              <w:top w:val="single" w:sz="4" w:space="0" w:color="auto"/>
              <w:left w:val="nil"/>
              <w:bottom w:val="nil"/>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2011-12</w:t>
            </w:r>
          </w:p>
        </w:tc>
        <w:tc>
          <w:tcPr>
            <w:tcW w:w="955" w:type="dxa"/>
            <w:tcBorders>
              <w:top w:val="single" w:sz="4" w:space="0" w:color="auto"/>
              <w:left w:val="nil"/>
              <w:bottom w:val="nil"/>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 xml:space="preserve"> </w:t>
            </w:r>
          </w:p>
        </w:tc>
        <w:tc>
          <w:tcPr>
            <w:tcW w:w="1556" w:type="dxa"/>
            <w:gridSpan w:val="2"/>
            <w:tcBorders>
              <w:top w:val="single" w:sz="4" w:space="0" w:color="auto"/>
              <w:left w:val="nil"/>
              <w:bottom w:val="nil"/>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2012-13</w:t>
            </w:r>
          </w:p>
        </w:tc>
        <w:tc>
          <w:tcPr>
            <w:tcW w:w="354" w:type="dxa"/>
            <w:tcBorders>
              <w:top w:val="single" w:sz="4" w:space="0" w:color="auto"/>
              <w:left w:val="nil"/>
              <w:bottom w:val="nil"/>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 xml:space="preserve"> </w:t>
            </w:r>
          </w:p>
        </w:tc>
        <w:tc>
          <w:tcPr>
            <w:tcW w:w="955" w:type="dxa"/>
            <w:tcBorders>
              <w:top w:val="single" w:sz="4" w:space="0" w:color="auto"/>
              <w:left w:val="nil"/>
              <w:bottom w:val="nil"/>
              <w:right w:val="single" w:sz="4" w:space="0" w:color="auto"/>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 xml:space="preserve">        </w:t>
            </w:r>
          </w:p>
        </w:tc>
      </w:tr>
      <w:tr w:rsidR="000B4A1E" w:rsidRPr="00FC2E25" w:rsidTr="00517E51">
        <w:trPr>
          <w:cantSplit/>
          <w:tblHeader/>
        </w:trPr>
        <w:tc>
          <w:tcPr>
            <w:tcW w:w="4874" w:type="dxa"/>
            <w:gridSpan w:val="2"/>
            <w:tcBorders>
              <w:top w:val="nil"/>
              <w:left w:val="single" w:sz="4" w:space="0" w:color="auto"/>
              <w:bottom w:val="single" w:sz="4" w:space="0" w:color="auto"/>
              <w:right w:val="nil"/>
            </w:tcBorders>
            <w:shd w:val="clear" w:color="auto" w:fill="000000"/>
          </w:tcPr>
          <w:p w:rsidR="000B4A1E" w:rsidRPr="00FC2E25" w:rsidRDefault="000B4A1E" w:rsidP="00517E51">
            <w:pPr>
              <w:pStyle w:val="Tabletext"/>
              <w:rPr>
                <w:rFonts w:eastAsiaTheme="minorEastAsia"/>
                <w:lang w:eastAsia="en-AU"/>
              </w:rPr>
            </w:pPr>
            <w:r w:rsidRPr="00FC2E25">
              <w:rPr>
                <w:rFonts w:eastAsiaTheme="minorEastAsia"/>
                <w:lang w:eastAsia="en-AU"/>
              </w:rPr>
              <w:t xml:space="preserve"> </w:t>
            </w:r>
          </w:p>
        </w:tc>
        <w:tc>
          <w:tcPr>
            <w:tcW w:w="954" w:type="dxa"/>
            <w:gridSpan w:val="2"/>
            <w:tcBorders>
              <w:top w:val="nil"/>
              <w:left w:val="nil"/>
              <w:bottom w:val="single" w:sz="4" w:space="0" w:color="auto"/>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Jun</w:t>
            </w:r>
          </w:p>
        </w:tc>
        <w:tc>
          <w:tcPr>
            <w:tcW w:w="955" w:type="dxa"/>
            <w:tcBorders>
              <w:top w:val="nil"/>
              <w:left w:val="nil"/>
              <w:bottom w:val="single" w:sz="4" w:space="0" w:color="auto"/>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Sept</w:t>
            </w:r>
          </w:p>
        </w:tc>
        <w:tc>
          <w:tcPr>
            <w:tcW w:w="955" w:type="dxa"/>
            <w:tcBorders>
              <w:top w:val="nil"/>
              <w:left w:val="nil"/>
              <w:bottom w:val="single" w:sz="4" w:space="0" w:color="auto"/>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Dec</w:t>
            </w:r>
          </w:p>
        </w:tc>
        <w:tc>
          <w:tcPr>
            <w:tcW w:w="955" w:type="dxa"/>
            <w:gridSpan w:val="2"/>
            <w:tcBorders>
              <w:top w:val="nil"/>
              <w:left w:val="nil"/>
              <w:bottom w:val="single" w:sz="4" w:space="0" w:color="auto"/>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Mar</w:t>
            </w:r>
          </w:p>
        </w:tc>
        <w:tc>
          <w:tcPr>
            <w:tcW w:w="955" w:type="dxa"/>
            <w:tcBorders>
              <w:top w:val="nil"/>
              <w:left w:val="nil"/>
              <w:bottom w:val="single" w:sz="4" w:space="0" w:color="auto"/>
              <w:right w:val="single" w:sz="4" w:space="0" w:color="auto"/>
            </w:tcBorders>
            <w:shd w:val="clear" w:color="auto" w:fill="000000"/>
          </w:tcPr>
          <w:p w:rsidR="000B4A1E" w:rsidRPr="00FC2E25" w:rsidRDefault="000B4A1E" w:rsidP="00517E51">
            <w:pPr>
              <w:pStyle w:val="Tabletextheading"/>
              <w:rPr>
                <w:rFonts w:eastAsiaTheme="minorEastAsia"/>
                <w:iCs/>
                <w:lang w:eastAsia="en-AU"/>
              </w:rPr>
            </w:pPr>
            <w:r w:rsidRPr="00FC2E25">
              <w:rPr>
                <w:rFonts w:eastAsiaTheme="minorEastAsia"/>
                <w:iCs/>
                <w:lang w:eastAsia="en-AU"/>
              </w:rPr>
              <w:t>Jun</w:t>
            </w:r>
          </w:p>
        </w:tc>
      </w:tr>
      <w:tr w:rsidR="000B4A1E" w:rsidRPr="00FC2E25" w:rsidTr="00517E51">
        <w:tc>
          <w:tcPr>
            <w:tcW w:w="4874" w:type="dxa"/>
            <w:gridSpan w:val="2"/>
            <w:tcBorders>
              <w:top w:val="single" w:sz="4" w:space="0" w:color="auto"/>
              <w:left w:val="nil"/>
              <w:bottom w:val="nil"/>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 xml:space="preserve">Revenue </w:t>
            </w:r>
          </w:p>
        </w:tc>
        <w:tc>
          <w:tcPr>
            <w:tcW w:w="954" w:type="dxa"/>
            <w:gridSpan w:val="2"/>
            <w:tcBorders>
              <w:top w:val="single" w:sz="4" w:space="0" w:color="auto"/>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w:t>
            </w:r>
          </w:p>
        </w:tc>
        <w:tc>
          <w:tcPr>
            <w:tcW w:w="955" w:type="dxa"/>
            <w:tcBorders>
              <w:top w:val="single" w:sz="4" w:space="0" w:color="auto"/>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w:t>
            </w:r>
          </w:p>
        </w:tc>
        <w:tc>
          <w:tcPr>
            <w:tcW w:w="955" w:type="dxa"/>
            <w:tcBorders>
              <w:top w:val="single" w:sz="4" w:space="0" w:color="auto"/>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w:t>
            </w:r>
          </w:p>
        </w:tc>
        <w:tc>
          <w:tcPr>
            <w:tcW w:w="955" w:type="dxa"/>
            <w:gridSpan w:val="2"/>
            <w:tcBorders>
              <w:top w:val="single" w:sz="4" w:space="0" w:color="auto"/>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w:t>
            </w:r>
          </w:p>
        </w:tc>
        <w:tc>
          <w:tcPr>
            <w:tcW w:w="955" w:type="dxa"/>
            <w:tcBorders>
              <w:top w:val="single" w:sz="4" w:space="0" w:color="auto"/>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Taxation revenue</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3 420.0</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3 634.7</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3 558.0</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4 791.6</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3 546.4</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 xml:space="preserve">Interest </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102.5</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96.4</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160.7</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229.0</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214.6</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Dividends and income tax equivalent and rate equivalent revenue</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215.0</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48.9</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648.8</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36.7</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607.3</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Sales of goods and services</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1 712.4</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1 568.6</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2 023.1</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1 598.7</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1 678.9</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Grants</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5 825.5</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5 039.8</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5 540.4</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5 976.2</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5 345.8</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Other revenue</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cs="Calibri"/>
                <w:szCs w:val="22"/>
                <w:lang w:eastAsia="en-AU"/>
              </w:rPr>
            </w:pPr>
            <w:r w:rsidRPr="00FC2E25">
              <w:rPr>
                <w:rFonts w:eastAsiaTheme="minorEastAsia"/>
                <w:lang w:eastAsia="en-AU"/>
              </w:rPr>
              <w:t>1 228.9</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517.6</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522.9</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501.7</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726.2</w:t>
            </w:r>
          </w:p>
        </w:tc>
      </w:tr>
      <w:tr w:rsidR="000B4A1E" w:rsidRPr="00FC2E25" w:rsidTr="00517E51">
        <w:tc>
          <w:tcPr>
            <w:tcW w:w="4874" w:type="dxa"/>
            <w:gridSpan w:val="2"/>
            <w:tcBorders>
              <w:top w:val="single" w:sz="6" w:space="0" w:color="auto"/>
              <w:left w:val="nil"/>
              <w:bottom w:val="nil"/>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 xml:space="preserve">Total revenue from transactions </w:t>
            </w:r>
          </w:p>
        </w:tc>
        <w:tc>
          <w:tcPr>
            <w:tcW w:w="954" w:type="dxa"/>
            <w:gridSpan w:val="2"/>
            <w:tcBorders>
              <w:top w:val="single" w:sz="6" w:space="0" w:color="auto"/>
              <w:left w:val="nil"/>
              <w:bottom w:val="nil"/>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12 504.2</w:t>
            </w:r>
          </w:p>
        </w:tc>
        <w:tc>
          <w:tcPr>
            <w:tcW w:w="955" w:type="dxa"/>
            <w:tcBorders>
              <w:top w:val="single" w:sz="6" w:space="0" w:color="auto"/>
              <w:left w:val="nil"/>
              <w:bottom w:val="nil"/>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10 906.1</w:t>
            </w:r>
          </w:p>
        </w:tc>
        <w:tc>
          <w:tcPr>
            <w:tcW w:w="955" w:type="dxa"/>
            <w:tcBorders>
              <w:top w:val="single" w:sz="6" w:space="0" w:color="auto"/>
              <w:left w:val="nil"/>
              <w:bottom w:val="nil"/>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12 453.9</w:t>
            </w:r>
          </w:p>
        </w:tc>
        <w:tc>
          <w:tcPr>
            <w:tcW w:w="955" w:type="dxa"/>
            <w:gridSpan w:val="2"/>
            <w:tcBorders>
              <w:top w:val="single" w:sz="6" w:space="0" w:color="auto"/>
              <w:left w:val="nil"/>
              <w:bottom w:val="nil"/>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13 133.7</w:t>
            </w:r>
          </w:p>
        </w:tc>
        <w:tc>
          <w:tcPr>
            <w:tcW w:w="955" w:type="dxa"/>
            <w:tcBorders>
              <w:top w:val="single" w:sz="6" w:space="0" w:color="auto"/>
              <w:left w:val="nil"/>
              <w:bottom w:val="nil"/>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12 119.2</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Expenses from transactions</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Employee expenses</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4 508.4</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4 334.0</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4 555.9</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4 279.6</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4 619.0</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Superannuation interest expense</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201.1</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183.8</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41.2</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110.1</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111.2</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 xml:space="preserve">Other superannuation expenses </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504.7</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458.7</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500.1</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491.0</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474.2</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Depreciation</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481.8</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552.3</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540.4</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556.9</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604.7</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Interest expense</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347.4</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326.6</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426.4</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488.3</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534.0</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Grants and other transfers</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1 628.9</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1 742.9</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2 115.9</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2 315.4</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1 839.7</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 xml:space="preserve">Other operating expenses </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4 918.0</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3 993.2</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3 937.1</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3 760.4</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4 403.4</w:t>
            </w:r>
          </w:p>
        </w:tc>
      </w:tr>
      <w:tr w:rsidR="000B4A1E" w:rsidRPr="00FC2E25" w:rsidTr="00517E51">
        <w:tc>
          <w:tcPr>
            <w:tcW w:w="4874" w:type="dxa"/>
            <w:gridSpan w:val="2"/>
            <w:tcBorders>
              <w:top w:val="single" w:sz="6" w:space="0" w:color="auto"/>
              <w:left w:val="nil"/>
              <w:bottom w:val="single" w:sz="6" w:space="0" w:color="auto"/>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Total expenses from transactions</w:t>
            </w:r>
          </w:p>
        </w:tc>
        <w:tc>
          <w:tcPr>
            <w:tcW w:w="954" w:type="dxa"/>
            <w:gridSpan w:val="2"/>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12 590.3</w:t>
            </w:r>
          </w:p>
        </w:tc>
        <w:tc>
          <w:tcPr>
            <w:tcW w:w="955"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11 591.5</w:t>
            </w:r>
          </w:p>
        </w:tc>
        <w:tc>
          <w:tcPr>
            <w:tcW w:w="955"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12 117.0</w:t>
            </w:r>
          </w:p>
        </w:tc>
        <w:tc>
          <w:tcPr>
            <w:tcW w:w="955" w:type="dxa"/>
            <w:gridSpan w:val="2"/>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12 001.6</w:t>
            </w:r>
          </w:p>
        </w:tc>
        <w:tc>
          <w:tcPr>
            <w:tcW w:w="955"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12 586.3</w:t>
            </w:r>
          </w:p>
        </w:tc>
      </w:tr>
      <w:tr w:rsidR="000B4A1E" w:rsidRPr="00FC2E25" w:rsidTr="00517E51">
        <w:tc>
          <w:tcPr>
            <w:tcW w:w="4874" w:type="dxa"/>
            <w:gridSpan w:val="2"/>
            <w:tcBorders>
              <w:top w:val="single" w:sz="6" w:space="0" w:color="auto"/>
              <w:left w:val="nil"/>
              <w:bottom w:val="single" w:sz="12" w:space="0" w:color="auto"/>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Net result from transactions</w:t>
            </w:r>
            <w:r>
              <w:rPr>
                <w:rFonts w:eastAsiaTheme="minorEastAsia"/>
                <w:b/>
                <w:bCs/>
                <w:lang w:eastAsia="en-AU"/>
              </w:rPr>
              <w:t xml:space="preserve"> – </w:t>
            </w:r>
            <w:r w:rsidRPr="00FC2E25">
              <w:rPr>
                <w:rFonts w:eastAsiaTheme="minorEastAsia"/>
                <w:b/>
                <w:bCs/>
                <w:lang w:eastAsia="en-AU"/>
              </w:rPr>
              <w:t>net operating balance</w:t>
            </w:r>
          </w:p>
        </w:tc>
        <w:tc>
          <w:tcPr>
            <w:tcW w:w="954" w:type="dxa"/>
            <w:gridSpan w:val="2"/>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( 86.1</w:t>
            </w:r>
            <w:r w:rsidRPr="00FC2E25">
              <w:rPr>
                <w:rFonts w:eastAsiaTheme="minorEastAsia" w:cs="Calibri"/>
                <w:b/>
                <w:bCs/>
                <w:szCs w:val="22"/>
                <w:lang w:eastAsia="en-AU"/>
              </w:rPr>
              <w:t>)</w:t>
            </w:r>
          </w:p>
        </w:tc>
        <w:tc>
          <w:tcPr>
            <w:tcW w:w="955"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( 685.4)</w:t>
            </w:r>
          </w:p>
        </w:tc>
        <w:tc>
          <w:tcPr>
            <w:tcW w:w="955"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 xml:space="preserve"> 336.9</w:t>
            </w:r>
          </w:p>
        </w:tc>
        <w:tc>
          <w:tcPr>
            <w:tcW w:w="955" w:type="dxa"/>
            <w:gridSpan w:val="2"/>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1 132.1</w:t>
            </w:r>
          </w:p>
        </w:tc>
        <w:tc>
          <w:tcPr>
            <w:tcW w:w="955"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( 467.0)</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Other economic flows included in net result</w:t>
            </w:r>
          </w:p>
        </w:tc>
        <w:tc>
          <w:tcPr>
            <w:tcW w:w="954" w:type="dxa"/>
            <w:gridSpan w:val="2"/>
            <w:tcBorders>
              <w:top w:val="single" w:sz="12" w:space="0" w:color="auto"/>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tcBorders>
              <w:top w:val="single" w:sz="12" w:space="0" w:color="auto"/>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tcBorders>
              <w:top w:val="single" w:sz="12" w:space="0" w:color="auto"/>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gridSpan w:val="2"/>
            <w:tcBorders>
              <w:top w:val="single" w:sz="12" w:space="0" w:color="auto"/>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tcBorders>
              <w:top w:val="single" w:sz="12" w:space="0" w:color="auto"/>
              <w:left w:val="nil"/>
              <w:bottom w:val="nil"/>
              <w:right w:val="nil"/>
            </w:tcBorders>
          </w:tcPr>
          <w:p w:rsidR="000B4A1E" w:rsidRPr="00FC2E25" w:rsidRDefault="000B4A1E" w:rsidP="00517E51">
            <w:pPr>
              <w:pStyle w:val="TableofFigures"/>
              <w:rPr>
                <w:rFonts w:eastAsiaTheme="minorEastAsia"/>
                <w:b/>
                <w:bCs/>
                <w:lang w:eastAsia="en-AU"/>
              </w:rPr>
            </w:pP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Net gain/(loss) on sale of non-financial assets</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( 42.0)</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2.2</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17.8</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2.8</w:t>
            </w:r>
          </w:p>
        </w:tc>
        <w:tc>
          <w:tcPr>
            <w:tcW w:w="955" w:type="dxa"/>
            <w:tcBorders>
              <w:top w:val="nil"/>
              <w:left w:val="nil"/>
              <w:bottom w:val="nil"/>
              <w:right w:val="nil"/>
            </w:tcBorders>
          </w:tcPr>
          <w:p w:rsidR="000B4A1E" w:rsidRPr="00FC2E25" w:rsidRDefault="000B4A1E" w:rsidP="00517E51">
            <w:pPr>
              <w:pStyle w:val="TableofFigures"/>
              <w:rPr>
                <w:rFonts w:eastAsiaTheme="minorEastAsia" w:cs="Calibri"/>
                <w:szCs w:val="22"/>
                <w:lang w:eastAsia="en-AU"/>
              </w:rPr>
            </w:pPr>
            <w:r w:rsidRPr="00FC2E25">
              <w:rPr>
                <w:rFonts w:eastAsiaTheme="minorEastAsia"/>
                <w:lang w:eastAsia="en-AU"/>
              </w:rPr>
              <w:t>( 2.0</w:t>
            </w:r>
            <w:r w:rsidRPr="00FC2E25">
              <w:rPr>
                <w:rFonts w:eastAsiaTheme="minorEastAsia" w:cs="Calibri"/>
                <w:szCs w:val="22"/>
                <w:lang w:eastAsia="en-AU"/>
              </w:rPr>
              <w:t>)</w:t>
            </w:r>
          </w:p>
        </w:tc>
      </w:tr>
      <w:tr w:rsidR="000B4A1E" w:rsidRPr="00FC2E25" w:rsidTr="00517E51">
        <w:tc>
          <w:tcPr>
            <w:tcW w:w="4694" w:type="dxa"/>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Net gain/(loss) on financial assets or liabilities at fair value</w:t>
            </w:r>
          </w:p>
        </w:tc>
        <w:tc>
          <w:tcPr>
            <w:tcW w:w="1134" w:type="dxa"/>
            <w:gridSpan w:val="3"/>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5.2</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0.8</w:t>
            </w:r>
          </w:p>
        </w:tc>
        <w:tc>
          <w:tcPr>
            <w:tcW w:w="955" w:type="dxa"/>
            <w:tcBorders>
              <w:top w:val="nil"/>
              <w:left w:val="nil"/>
              <w:bottom w:val="nil"/>
              <w:right w:val="nil"/>
            </w:tcBorders>
          </w:tcPr>
          <w:p w:rsidR="000B4A1E" w:rsidRPr="00FC2E25" w:rsidRDefault="000B4A1E" w:rsidP="00517E51">
            <w:pPr>
              <w:pStyle w:val="TableofFigures"/>
              <w:rPr>
                <w:rFonts w:eastAsiaTheme="minorEastAsia" w:cs="Calibri"/>
                <w:color w:val="0000FF"/>
                <w:szCs w:val="22"/>
                <w:lang w:eastAsia="en-AU"/>
              </w:rPr>
            </w:pPr>
            <w:r w:rsidRPr="00FC2E25">
              <w:rPr>
                <w:rFonts w:eastAsiaTheme="minorEastAsia"/>
                <w:lang w:eastAsia="en-AU"/>
              </w:rPr>
              <w:t xml:space="preserve">( </w:t>
            </w:r>
            <w:r w:rsidRPr="00FC2E25">
              <w:rPr>
                <w:rFonts w:eastAsiaTheme="minorEastAsia" w:cs="Calibri"/>
                <w:szCs w:val="22"/>
                <w:lang w:eastAsia="en-AU"/>
              </w:rPr>
              <w:t>0.0</w:t>
            </w:r>
            <w:r w:rsidRPr="00FC2E25">
              <w:rPr>
                <w:rFonts w:eastAsiaTheme="minorEastAsia" w:cs="Calibri"/>
                <w:color w:val="0000FF"/>
                <w:szCs w:val="22"/>
                <w:lang w:eastAsia="en-AU"/>
              </w:rPr>
              <w:t>)</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1.5</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17.1</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Net actuarial gain/(loss) on superannuation defined benefit plans</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cs="Calibri"/>
                <w:szCs w:val="22"/>
                <w:lang w:eastAsia="en-AU"/>
              </w:rPr>
            </w:pPr>
            <w:r w:rsidRPr="00FC2E25">
              <w:rPr>
                <w:rFonts w:eastAsiaTheme="minorEastAsia"/>
                <w:lang w:eastAsia="en-AU"/>
              </w:rPr>
              <w:t xml:space="preserve">(3 </w:t>
            </w:r>
            <w:r w:rsidRPr="00FC2E25">
              <w:rPr>
                <w:rFonts w:eastAsiaTheme="minorEastAsia" w:cs="Calibri"/>
                <w:szCs w:val="22"/>
                <w:lang w:eastAsia="en-AU"/>
              </w:rPr>
              <w:t>465.7)</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(1 077.5)</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1 969.8</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2 699.6</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3 722.9</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Share of net</w:t>
            </w:r>
            <w:r>
              <w:rPr>
                <w:rFonts w:eastAsiaTheme="minorEastAsia"/>
                <w:lang w:eastAsia="en-AU"/>
              </w:rPr>
              <w:t xml:space="preserve"> profit/(loss) from associates/</w:t>
            </w:r>
            <w:r w:rsidRPr="00FC2E25">
              <w:rPr>
                <w:rFonts w:eastAsiaTheme="minorEastAsia"/>
                <w:lang w:eastAsia="en-AU"/>
              </w:rPr>
              <w:t>joint venture entities, excluding dividends</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cs="Calibri"/>
                <w:szCs w:val="22"/>
                <w:lang w:eastAsia="en-AU"/>
              </w:rPr>
            </w:pPr>
            <w:r w:rsidRPr="00FC2E25">
              <w:rPr>
                <w:rFonts w:eastAsiaTheme="minorEastAsia"/>
                <w:lang w:eastAsia="en-AU"/>
              </w:rPr>
              <w:t>( 0.4</w:t>
            </w:r>
            <w:r w:rsidRPr="00FC2E25">
              <w:rPr>
                <w:rFonts w:eastAsiaTheme="minorEastAsia" w:cs="Calibri"/>
                <w:szCs w:val="22"/>
                <w:lang w:eastAsia="en-AU"/>
              </w:rPr>
              <w:t>)</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0.2</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4.6</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Other gains/(losses) from other economic flows</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cs="Calibri"/>
                <w:szCs w:val="22"/>
                <w:lang w:eastAsia="en-AU"/>
              </w:rPr>
            </w:pPr>
            <w:r w:rsidRPr="00FC2E25">
              <w:rPr>
                <w:rFonts w:eastAsiaTheme="minorEastAsia"/>
                <w:lang w:eastAsia="en-AU"/>
              </w:rPr>
              <w:t>( 442.8</w:t>
            </w:r>
            <w:r w:rsidRPr="00FC2E25">
              <w:rPr>
                <w:rFonts w:eastAsiaTheme="minorEastAsia" w:cs="Calibri"/>
                <w:szCs w:val="22"/>
                <w:lang w:eastAsia="en-AU"/>
              </w:rPr>
              <w:t>)</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( 87.2)</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( 87.1)</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( 120.5)</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32.6</w:t>
            </w:r>
          </w:p>
        </w:tc>
      </w:tr>
      <w:tr w:rsidR="000B4A1E" w:rsidRPr="00FC2E25" w:rsidTr="00517E51">
        <w:tc>
          <w:tcPr>
            <w:tcW w:w="4874" w:type="dxa"/>
            <w:gridSpan w:val="2"/>
            <w:tcBorders>
              <w:top w:val="single" w:sz="6" w:space="0" w:color="auto"/>
              <w:left w:val="nil"/>
              <w:bottom w:val="single" w:sz="6" w:space="0" w:color="auto"/>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Total other economic flows included in net result</w:t>
            </w:r>
          </w:p>
        </w:tc>
        <w:tc>
          <w:tcPr>
            <w:tcW w:w="954" w:type="dxa"/>
            <w:gridSpan w:val="2"/>
            <w:tcBorders>
              <w:top w:val="single" w:sz="6" w:space="0" w:color="auto"/>
              <w:left w:val="nil"/>
              <w:bottom w:val="nil"/>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 xml:space="preserve">(3 </w:t>
            </w:r>
            <w:r w:rsidRPr="00FC2E25">
              <w:rPr>
                <w:rFonts w:eastAsiaTheme="minorEastAsia" w:cs="Calibri"/>
                <w:b/>
                <w:bCs/>
                <w:szCs w:val="22"/>
                <w:lang w:eastAsia="en-AU"/>
              </w:rPr>
              <w:t>945.7)</w:t>
            </w:r>
          </w:p>
        </w:tc>
        <w:tc>
          <w:tcPr>
            <w:tcW w:w="955" w:type="dxa"/>
            <w:tcBorders>
              <w:top w:val="single" w:sz="6" w:space="0" w:color="auto"/>
              <w:left w:val="nil"/>
              <w:bottom w:val="nil"/>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(1 161.7)</w:t>
            </w:r>
          </w:p>
        </w:tc>
        <w:tc>
          <w:tcPr>
            <w:tcW w:w="955" w:type="dxa"/>
            <w:tcBorders>
              <w:top w:val="single" w:sz="6" w:space="0" w:color="auto"/>
              <w:left w:val="nil"/>
              <w:bottom w:val="nil"/>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1 900.6</w:t>
            </w:r>
          </w:p>
        </w:tc>
        <w:tc>
          <w:tcPr>
            <w:tcW w:w="955" w:type="dxa"/>
            <w:gridSpan w:val="2"/>
            <w:tcBorders>
              <w:top w:val="single" w:sz="6" w:space="0" w:color="auto"/>
              <w:left w:val="nil"/>
              <w:bottom w:val="nil"/>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2 583.4</w:t>
            </w:r>
          </w:p>
        </w:tc>
        <w:tc>
          <w:tcPr>
            <w:tcW w:w="955" w:type="dxa"/>
            <w:tcBorders>
              <w:top w:val="single" w:sz="6" w:space="0" w:color="auto"/>
              <w:left w:val="nil"/>
              <w:bottom w:val="nil"/>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3 775.2</w:t>
            </w:r>
          </w:p>
        </w:tc>
      </w:tr>
      <w:tr w:rsidR="000B4A1E" w:rsidRPr="00FC2E25" w:rsidTr="00517E51">
        <w:tc>
          <w:tcPr>
            <w:tcW w:w="4874" w:type="dxa"/>
            <w:gridSpan w:val="2"/>
            <w:tcBorders>
              <w:top w:val="single" w:sz="6" w:space="0" w:color="auto"/>
              <w:left w:val="nil"/>
              <w:bottom w:val="single" w:sz="6" w:space="0" w:color="auto"/>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Net result</w:t>
            </w:r>
          </w:p>
        </w:tc>
        <w:tc>
          <w:tcPr>
            <w:tcW w:w="954" w:type="dxa"/>
            <w:gridSpan w:val="2"/>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(4 031.8</w:t>
            </w:r>
            <w:r w:rsidRPr="00FC2E25">
              <w:rPr>
                <w:rFonts w:eastAsiaTheme="minorEastAsia" w:cs="Calibri"/>
                <w:b/>
                <w:bCs/>
                <w:szCs w:val="22"/>
                <w:lang w:eastAsia="en-AU"/>
              </w:rPr>
              <w:t>)</w:t>
            </w:r>
          </w:p>
        </w:tc>
        <w:tc>
          <w:tcPr>
            <w:tcW w:w="955"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(1 847.2)</w:t>
            </w:r>
          </w:p>
        </w:tc>
        <w:tc>
          <w:tcPr>
            <w:tcW w:w="955"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2 237.4</w:t>
            </w:r>
          </w:p>
        </w:tc>
        <w:tc>
          <w:tcPr>
            <w:tcW w:w="955" w:type="dxa"/>
            <w:gridSpan w:val="2"/>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3 715.4</w:t>
            </w:r>
          </w:p>
        </w:tc>
        <w:tc>
          <w:tcPr>
            <w:tcW w:w="955"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3 308.1</w:t>
            </w:r>
          </w:p>
        </w:tc>
      </w:tr>
      <w:tr w:rsidR="000B4A1E" w:rsidRPr="00FC2E25" w:rsidTr="00517E51">
        <w:tc>
          <w:tcPr>
            <w:tcW w:w="5592" w:type="dxa"/>
            <w:gridSpan w:val="3"/>
            <w:tcBorders>
              <w:top w:val="nil"/>
              <w:left w:val="nil"/>
              <w:bottom w:val="nil"/>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Other economic flows – other comprehensive income</w:t>
            </w:r>
          </w:p>
        </w:tc>
        <w:tc>
          <w:tcPr>
            <w:tcW w:w="236" w:type="dxa"/>
            <w:tcBorders>
              <w:top w:val="nil"/>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b/>
                <w:bCs/>
                <w:lang w:eastAsia="en-AU"/>
              </w:rPr>
            </w:pP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Items that will not be reclassified to net result</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b/>
                <w:bCs/>
                <w:lang w:eastAsia="en-AU"/>
              </w:rPr>
            </w:pPr>
          </w:p>
        </w:tc>
      </w:tr>
      <w:tr w:rsidR="000B4A1E" w:rsidRPr="00FC2E25" w:rsidTr="001C7CDE">
        <w:tc>
          <w:tcPr>
            <w:tcW w:w="4874" w:type="dxa"/>
            <w:gridSpan w:val="2"/>
            <w:tcBorders>
              <w:top w:val="nil"/>
              <w:left w:val="nil"/>
              <w:right w:val="nil"/>
            </w:tcBorders>
          </w:tcPr>
          <w:p w:rsidR="000B4A1E" w:rsidRPr="00FC2E25" w:rsidRDefault="000B4A1E" w:rsidP="00517E51">
            <w:pPr>
              <w:pStyle w:val="Tabletext"/>
              <w:rPr>
                <w:rFonts w:eastAsiaTheme="minorEastAsia" w:cs="Calibri"/>
                <w:szCs w:val="22"/>
                <w:lang w:eastAsia="en-AU"/>
              </w:rPr>
            </w:pPr>
            <w:r w:rsidRPr="00FC2E25">
              <w:rPr>
                <w:rFonts w:eastAsiaTheme="minorEastAsia"/>
                <w:lang w:eastAsia="en-AU"/>
              </w:rPr>
              <w:t xml:space="preserve">Changes in non-financial assets revaluation </w:t>
            </w:r>
            <w:r w:rsidRPr="00FC2E25">
              <w:rPr>
                <w:rFonts w:eastAsiaTheme="minorEastAsia" w:cs="Calibri"/>
                <w:szCs w:val="22"/>
                <w:lang w:eastAsia="en-AU"/>
              </w:rPr>
              <w:t>surplus</w:t>
            </w:r>
          </w:p>
        </w:tc>
        <w:tc>
          <w:tcPr>
            <w:tcW w:w="954" w:type="dxa"/>
            <w:gridSpan w:val="2"/>
            <w:tcBorders>
              <w:top w:val="nil"/>
              <w:left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1 989.4</w:t>
            </w:r>
          </w:p>
        </w:tc>
        <w:tc>
          <w:tcPr>
            <w:tcW w:w="955" w:type="dxa"/>
            <w:tcBorders>
              <w:top w:val="nil"/>
              <w:left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12.6</w:t>
            </w:r>
          </w:p>
        </w:tc>
        <w:tc>
          <w:tcPr>
            <w:tcW w:w="955" w:type="dxa"/>
            <w:tcBorders>
              <w:top w:val="nil"/>
              <w:left w:val="nil"/>
              <w:right w:val="nil"/>
            </w:tcBorders>
          </w:tcPr>
          <w:p w:rsidR="000B4A1E" w:rsidRPr="00FC2E25" w:rsidRDefault="000B4A1E" w:rsidP="00517E51">
            <w:pPr>
              <w:pStyle w:val="TableofFigures"/>
              <w:rPr>
                <w:rFonts w:eastAsiaTheme="minorEastAsia" w:cs="Calibri"/>
                <w:szCs w:val="22"/>
                <w:lang w:eastAsia="en-AU"/>
              </w:rPr>
            </w:pPr>
            <w:r w:rsidRPr="00FC2E25">
              <w:rPr>
                <w:rFonts w:eastAsiaTheme="minorEastAsia"/>
                <w:lang w:eastAsia="en-AU"/>
              </w:rPr>
              <w:t>( 2.1</w:t>
            </w:r>
            <w:r w:rsidRPr="00FC2E25">
              <w:rPr>
                <w:rFonts w:eastAsiaTheme="minorEastAsia" w:cs="Calibri"/>
                <w:szCs w:val="22"/>
                <w:lang w:eastAsia="en-AU"/>
              </w:rPr>
              <w:t>)</w:t>
            </w:r>
          </w:p>
        </w:tc>
        <w:tc>
          <w:tcPr>
            <w:tcW w:w="955" w:type="dxa"/>
            <w:gridSpan w:val="2"/>
            <w:tcBorders>
              <w:top w:val="nil"/>
              <w:left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0.1</w:t>
            </w:r>
          </w:p>
        </w:tc>
        <w:tc>
          <w:tcPr>
            <w:tcW w:w="955" w:type="dxa"/>
            <w:tcBorders>
              <w:top w:val="nil"/>
              <w:left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689.9</w:t>
            </w:r>
          </w:p>
        </w:tc>
      </w:tr>
      <w:tr w:rsidR="000B4A1E" w:rsidRPr="00FC2E25" w:rsidTr="001C7CDE">
        <w:tc>
          <w:tcPr>
            <w:tcW w:w="4874" w:type="dxa"/>
            <w:gridSpan w:val="2"/>
            <w:tcBorders>
              <w:top w:val="nil"/>
              <w:left w:val="nil"/>
              <w:bottom w:val="single" w:sz="12" w:space="0" w:color="auto"/>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Net gain/(loss) on equity investments in other sector entities at proportional share of net assets</w:t>
            </w:r>
          </w:p>
        </w:tc>
        <w:tc>
          <w:tcPr>
            <w:tcW w:w="954" w:type="dxa"/>
            <w:gridSpan w:val="2"/>
            <w:tcBorders>
              <w:top w:val="nil"/>
              <w:left w:val="nil"/>
              <w:bottom w:val="single" w:sz="12" w:space="0" w:color="auto"/>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( 414.6)</w:t>
            </w:r>
          </w:p>
        </w:tc>
        <w:tc>
          <w:tcPr>
            <w:tcW w:w="955" w:type="dxa"/>
            <w:tcBorders>
              <w:top w:val="nil"/>
              <w:left w:val="nil"/>
              <w:bottom w:val="single" w:sz="12" w:space="0" w:color="auto"/>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w:t>
            </w:r>
          </w:p>
        </w:tc>
        <w:tc>
          <w:tcPr>
            <w:tcW w:w="955" w:type="dxa"/>
            <w:tcBorders>
              <w:top w:val="nil"/>
              <w:left w:val="nil"/>
              <w:bottom w:val="single" w:sz="12" w:space="0" w:color="auto"/>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158.1</w:t>
            </w:r>
          </w:p>
        </w:tc>
        <w:tc>
          <w:tcPr>
            <w:tcW w:w="955" w:type="dxa"/>
            <w:gridSpan w:val="2"/>
            <w:tcBorders>
              <w:top w:val="nil"/>
              <w:left w:val="nil"/>
              <w:bottom w:val="single" w:sz="12" w:space="0" w:color="auto"/>
              <w:right w:val="nil"/>
            </w:tcBorders>
          </w:tcPr>
          <w:p w:rsidR="000B4A1E" w:rsidRPr="00FC2E25" w:rsidRDefault="000B4A1E" w:rsidP="00517E51">
            <w:pPr>
              <w:pStyle w:val="TableofFigures"/>
              <w:rPr>
                <w:rFonts w:eastAsiaTheme="minorEastAsia" w:cs="Calibri"/>
                <w:szCs w:val="22"/>
                <w:lang w:eastAsia="en-AU"/>
              </w:rPr>
            </w:pPr>
            <w:r w:rsidRPr="00FC2E25">
              <w:rPr>
                <w:rFonts w:eastAsiaTheme="minorEastAsia"/>
                <w:lang w:eastAsia="en-AU"/>
              </w:rPr>
              <w:t>1 150.4</w:t>
            </w:r>
          </w:p>
        </w:tc>
        <w:tc>
          <w:tcPr>
            <w:tcW w:w="955" w:type="dxa"/>
            <w:tcBorders>
              <w:top w:val="nil"/>
              <w:left w:val="nil"/>
              <w:bottom w:val="single" w:sz="12" w:space="0" w:color="auto"/>
              <w:right w:val="nil"/>
            </w:tcBorders>
          </w:tcPr>
          <w:p w:rsidR="000B4A1E" w:rsidRPr="00FC2E25" w:rsidRDefault="000B4A1E" w:rsidP="00517E51">
            <w:pPr>
              <w:pStyle w:val="TableofFigures"/>
              <w:rPr>
                <w:rFonts w:eastAsiaTheme="minorEastAsia" w:cs="Calibri"/>
                <w:szCs w:val="22"/>
                <w:lang w:eastAsia="en-AU"/>
              </w:rPr>
            </w:pPr>
            <w:r w:rsidRPr="00FC2E25">
              <w:rPr>
                <w:rFonts w:eastAsiaTheme="minorEastAsia"/>
                <w:lang w:eastAsia="en-AU"/>
              </w:rPr>
              <w:t>(2 118.8</w:t>
            </w:r>
            <w:r w:rsidRPr="00FC2E25">
              <w:rPr>
                <w:rFonts w:eastAsiaTheme="minorEastAsia" w:cs="Calibri"/>
                <w:szCs w:val="22"/>
                <w:lang w:eastAsia="en-AU"/>
              </w:rPr>
              <w:t>)</w:t>
            </w:r>
          </w:p>
        </w:tc>
      </w:tr>
    </w:tbl>
    <w:p w:rsidR="000B4A1E" w:rsidRDefault="000B4A1E">
      <w:r>
        <w:br w:type="page"/>
      </w:r>
    </w:p>
    <w:p w:rsidR="000B4A1E" w:rsidRPr="00812930" w:rsidRDefault="000B4A1E" w:rsidP="00517E51">
      <w:pPr>
        <w:pStyle w:val="Tableheading"/>
        <w:rPr>
          <w:i/>
        </w:rPr>
      </w:pPr>
      <w:r w:rsidRPr="00650475">
        <w:lastRenderedPageBreak/>
        <w:t>Table A.1:</w:t>
      </w:r>
      <w:r w:rsidRPr="00650475">
        <w:tab/>
        <w:t>Operating statement for the past five quarters</w:t>
      </w:r>
      <w:r>
        <w:t xml:space="preserve"> </w:t>
      </w:r>
      <w:r>
        <w:rPr>
          <w:i/>
        </w:rPr>
        <w:t>(continued)</w:t>
      </w:r>
    </w:p>
    <w:p w:rsidR="000B4A1E" w:rsidRDefault="000B4A1E" w:rsidP="00517E51">
      <w:pPr>
        <w:pStyle w:val="million"/>
      </w:pPr>
      <w:r>
        <w:t>($ million)</w:t>
      </w:r>
    </w:p>
    <w:tbl>
      <w:tblPr>
        <w:tblW w:w="9648" w:type="dxa"/>
        <w:tblInd w:w="29" w:type="dxa"/>
        <w:tblLayout w:type="fixed"/>
        <w:tblCellMar>
          <w:left w:w="43" w:type="dxa"/>
          <w:right w:w="43" w:type="dxa"/>
        </w:tblCellMar>
        <w:tblLook w:val="0000" w:firstRow="0" w:lastRow="0" w:firstColumn="0" w:lastColumn="0" w:noHBand="0" w:noVBand="0"/>
      </w:tblPr>
      <w:tblGrid>
        <w:gridCol w:w="4424"/>
        <w:gridCol w:w="450"/>
        <w:gridCol w:w="718"/>
        <w:gridCol w:w="236"/>
        <w:gridCol w:w="955"/>
        <w:gridCol w:w="955"/>
        <w:gridCol w:w="601"/>
        <w:gridCol w:w="354"/>
        <w:gridCol w:w="955"/>
      </w:tblGrid>
      <w:tr w:rsidR="000B4A1E" w:rsidRPr="00FC2E25" w:rsidTr="00517E51">
        <w:trPr>
          <w:cantSplit/>
          <w:tblHeader/>
        </w:trPr>
        <w:tc>
          <w:tcPr>
            <w:tcW w:w="4874" w:type="dxa"/>
            <w:gridSpan w:val="2"/>
            <w:tcBorders>
              <w:top w:val="single" w:sz="4" w:space="0" w:color="auto"/>
              <w:left w:val="single" w:sz="4" w:space="0" w:color="auto"/>
              <w:bottom w:val="nil"/>
              <w:right w:val="nil"/>
            </w:tcBorders>
            <w:shd w:val="clear" w:color="auto" w:fill="000000"/>
          </w:tcPr>
          <w:p w:rsidR="000B4A1E" w:rsidRPr="00FC2E25" w:rsidRDefault="000B4A1E" w:rsidP="00517E51">
            <w:pPr>
              <w:pStyle w:val="Tabletext"/>
              <w:rPr>
                <w:rFonts w:eastAsiaTheme="minorEastAsia"/>
                <w:lang w:eastAsia="en-AU"/>
              </w:rPr>
            </w:pPr>
          </w:p>
        </w:tc>
        <w:tc>
          <w:tcPr>
            <w:tcW w:w="954" w:type="dxa"/>
            <w:gridSpan w:val="2"/>
            <w:tcBorders>
              <w:top w:val="single" w:sz="4" w:space="0" w:color="auto"/>
              <w:left w:val="nil"/>
              <w:bottom w:val="nil"/>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2011-12</w:t>
            </w:r>
          </w:p>
        </w:tc>
        <w:tc>
          <w:tcPr>
            <w:tcW w:w="955" w:type="dxa"/>
            <w:tcBorders>
              <w:top w:val="single" w:sz="4" w:space="0" w:color="auto"/>
              <w:left w:val="nil"/>
              <w:bottom w:val="nil"/>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 xml:space="preserve"> </w:t>
            </w:r>
          </w:p>
        </w:tc>
        <w:tc>
          <w:tcPr>
            <w:tcW w:w="1556" w:type="dxa"/>
            <w:gridSpan w:val="2"/>
            <w:tcBorders>
              <w:top w:val="single" w:sz="4" w:space="0" w:color="auto"/>
              <w:left w:val="nil"/>
              <w:bottom w:val="nil"/>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2012-13</w:t>
            </w:r>
          </w:p>
        </w:tc>
        <w:tc>
          <w:tcPr>
            <w:tcW w:w="354" w:type="dxa"/>
            <w:tcBorders>
              <w:top w:val="single" w:sz="4" w:space="0" w:color="auto"/>
              <w:left w:val="nil"/>
              <w:bottom w:val="nil"/>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 xml:space="preserve"> </w:t>
            </w:r>
          </w:p>
        </w:tc>
        <w:tc>
          <w:tcPr>
            <w:tcW w:w="955" w:type="dxa"/>
            <w:tcBorders>
              <w:top w:val="single" w:sz="4" w:space="0" w:color="auto"/>
              <w:left w:val="nil"/>
              <w:bottom w:val="nil"/>
              <w:right w:val="single" w:sz="4" w:space="0" w:color="auto"/>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 xml:space="preserve">        </w:t>
            </w:r>
          </w:p>
        </w:tc>
      </w:tr>
      <w:tr w:rsidR="000B4A1E" w:rsidRPr="00FC2E25" w:rsidTr="00517E51">
        <w:trPr>
          <w:cantSplit/>
          <w:tblHeader/>
        </w:trPr>
        <w:tc>
          <w:tcPr>
            <w:tcW w:w="4874" w:type="dxa"/>
            <w:gridSpan w:val="2"/>
            <w:tcBorders>
              <w:top w:val="nil"/>
              <w:left w:val="single" w:sz="4" w:space="0" w:color="auto"/>
              <w:bottom w:val="single" w:sz="4" w:space="0" w:color="auto"/>
              <w:right w:val="nil"/>
            </w:tcBorders>
            <w:shd w:val="clear" w:color="auto" w:fill="000000"/>
          </w:tcPr>
          <w:p w:rsidR="000B4A1E" w:rsidRPr="00FC2E25" w:rsidRDefault="000B4A1E" w:rsidP="00517E51">
            <w:pPr>
              <w:pStyle w:val="Tabletext"/>
              <w:rPr>
                <w:rFonts w:eastAsiaTheme="minorEastAsia"/>
                <w:lang w:eastAsia="en-AU"/>
              </w:rPr>
            </w:pPr>
            <w:r w:rsidRPr="00FC2E25">
              <w:rPr>
                <w:rFonts w:eastAsiaTheme="minorEastAsia"/>
                <w:lang w:eastAsia="en-AU"/>
              </w:rPr>
              <w:t xml:space="preserve"> </w:t>
            </w:r>
          </w:p>
        </w:tc>
        <w:tc>
          <w:tcPr>
            <w:tcW w:w="954" w:type="dxa"/>
            <w:gridSpan w:val="2"/>
            <w:tcBorders>
              <w:top w:val="nil"/>
              <w:left w:val="nil"/>
              <w:bottom w:val="single" w:sz="4" w:space="0" w:color="auto"/>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Jun</w:t>
            </w:r>
          </w:p>
        </w:tc>
        <w:tc>
          <w:tcPr>
            <w:tcW w:w="955" w:type="dxa"/>
            <w:tcBorders>
              <w:top w:val="nil"/>
              <w:left w:val="nil"/>
              <w:bottom w:val="single" w:sz="4" w:space="0" w:color="auto"/>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Sept</w:t>
            </w:r>
          </w:p>
        </w:tc>
        <w:tc>
          <w:tcPr>
            <w:tcW w:w="955" w:type="dxa"/>
            <w:tcBorders>
              <w:top w:val="nil"/>
              <w:left w:val="nil"/>
              <w:bottom w:val="single" w:sz="4" w:space="0" w:color="auto"/>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Dec</w:t>
            </w:r>
          </w:p>
        </w:tc>
        <w:tc>
          <w:tcPr>
            <w:tcW w:w="955" w:type="dxa"/>
            <w:gridSpan w:val="2"/>
            <w:tcBorders>
              <w:top w:val="nil"/>
              <w:left w:val="nil"/>
              <w:bottom w:val="single" w:sz="4" w:space="0" w:color="auto"/>
              <w:right w:val="nil"/>
            </w:tcBorders>
            <w:shd w:val="clear" w:color="auto" w:fill="000000"/>
          </w:tcPr>
          <w:p w:rsidR="000B4A1E" w:rsidRPr="00FC2E25" w:rsidRDefault="000B4A1E" w:rsidP="00517E51">
            <w:pPr>
              <w:pStyle w:val="Tabletextheading"/>
              <w:rPr>
                <w:rFonts w:eastAsiaTheme="minorEastAsia"/>
                <w:lang w:eastAsia="en-AU"/>
              </w:rPr>
            </w:pPr>
            <w:r w:rsidRPr="00FC2E25">
              <w:rPr>
                <w:rFonts w:eastAsiaTheme="minorEastAsia"/>
                <w:lang w:eastAsia="en-AU"/>
              </w:rPr>
              <w:t>Mar</w:t>
            </w:r>
          </w:p>
        </w:tc>
        <w:tc>
          <w:tcPr>
            <w:tcW w:w="955" w:type="dxa"/>
            <w:tcBorders>
              <w:top w:val="nil"/>
              <w:left w:val="nil"/>
              <w:bottom w:val="single" w:sz="4" w:space="0" w:color="auto"/>
              <w:right w:val="single" w:sz="4" w:space="0" w:color="auto"/>
            </w:tcBorders>
            <w:shd w:val="clear" w:color="auto" w:fill="000000"/>
          </w:tcPr>
          <w:p w:rsidR="000B4A1E" w:rsidRPr="00FC2E25" w:rsidRDefault="000B4A1E" w:rsidP="00517E51">
            <w:pPr>
              <w:pStyle w:val="Tabletextheading"/>
              <w:rPr>
                <w:rFonts w:eastAsiaTheme="minorEastAsia"/>
                <w:iCs/>
                <w:lang w:eastAsia="en-AU"/>
              </w:rPr>
            </w:pPr>
            <w:r w:rsidRPr="00FC2E25">
              <w:rPr>
                <w:rFonts w:eastAsiaTheme="minorEastAsia"/>
                <w:iCs/>
                <w:lang w:eastAsia="en-AU"/>
              </w:rPr>
              <w:t>Jun</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ind w:left="187" w:hanging="187"/>
              <w:rPr>
                <w:rFonts w:eastAsiaTheme="minorEastAsia"/>
                <w:lang w:eastAsia="en-AU"/>
              </w:rPr>
            </w:pPr>
            <w:r w:rsidRPr="00FC2E25">
              <w:rPr>
                <w:rFonts w:eastAsiaTheme="minorEastAsia"/>
                <w:lang w:eastAsia="en-AU"/>
              </w:rPr>
              <w:t>Other movements in equity</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437.6</w:t>
            </w:r>
          </w:p>
        </w:tc>
        <w:tc>
          <w:tcPr>
            <w:tcW w:w="955" w:type="dxa"/>
            <w:tcBorders>
              <w:top w:val="nil"/>
              <w:left w:val="nil"/>
              <w:bottom w:val="nil"/>
              <w:right w:val="nil"/>
            </w:tcBorders>
          </w:tcPr>
          <w:p w:rsidR="000B4A1E" w:rsidRPr="00FC2E25" w:rsidRDefault="000B4A1E" w:rsidP="00517E51">
            <w:pPr>
              <w:pStyle w:val="TableofFigures"/>
              <w:rPr>
                <w:rFonts w:eastAsiaTheme="minorEastAsia" w:cs="Calibri"/>
                <w:szCs w:val="22"/>
                <w:lang w:eastAsia="en-AU"/>
              </w:rPr>
            </w:pPr>
            <w:r w:rsidRPr="00FC2E25">
              <w:rPr>
                <w:rFonts w:eastAsiaTheme="minorEastAsia"/>
                <w:lang w:eastAsia="en-AU"/>
              </w:rPr>
              <w:t>( 178.0</w:t>
            </w:r>
            <w:r w:rsidRPr="00FC2E25">
              <w:rPr>
                <w:rFonts w:eastAsiaTheme="minorEastAsia" w:cs="Calibri"/>
                <w:szCs w:val="22"/>
                <w:lang w:eastAsia="en-AU"/>
              </w:rPr>
              <w:t>)</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148.8</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cs="Calibri"/>
                <w:szCs w:val="22"/>
                <w:lang w:eastAsia="en-AU"/>
              </w:rPr>
            </w:pPr>
            <w:r w:rsidRPr="00FC2E25">
              <w:rPr>
                <w:rFonts w:eastAsiaTheme="minorEastAsia"/>
                <w:lang w:eastAsia="en-AU"/>
              </w:rPr>
              <w:t>( 8.6</w:t>
            </w:r>
            <w:r w:rsidRPr="00FC2E25">
              <w:rPr>
                <w:rFonts w:eastAsiaTheme="minorEastAsia" w:cs="Calibri"/>
                <w:szCs w:val="22"/>
                <w:lang w:eastAsia="en-AU"/>
              </w:rPr>
              <w:t>)</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907.2</w:t>
            </w:r>
          </w:p>
        </w:tc>
      </w:tr>
      <w:tr w:rsidR="000B4A1E" w:rsidRPr="00FC2E25" w:rsidTr="00517E51">
        <w:tc>
          <w:tcPr>
            <w:tcW w:w="5592" w:type="dxa"/>
            <w:gridSpan w:val="3"/>
            <w:tcBorders>
              <w:top w:val="nil"/>
              <w:left w:val="nil"/>
              <w:bottom w:val="nil"/>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Items that may be reclassified subsequently to net result</w:t>
            </w:r>
          </w:p>
        </w:tc>
        <w:tc>
          <w:tcPr>
            <w:tcW w:w="236" w:type="dxa"/>
            <w:tcBorders>
              <w:top w:val="nil"/>
              <w:left w:val="nil"/>
              <w:bottom w:val="nil"/>
              <w:right w:val="nil"/>
            </w:tcBorders>
          </w:tcPr>
          <w:p w:rsidR="000B4A1E" w:rsidRPr="00FC2E25" w:rsidRDefault="000B4A1E" w:rsidP="00517E51">
            <w:pPr>
              <w:pStyle w:val="TableofFigures"/>
              <w:rPr>
                <w:rFonts w:eastAsiaTheme="minorEastAsia"/>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Net gain/(loss) on financial assets at fair value</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cs="Calibri"/>
                <w:szCs w:val="22"/>
                <w:lang w:eastAsia="en-AU"/>
              </w:rPr>
            </w:pPr>
            <w:r w:rsidRPr="00FC2E25">
              <w:rPr>
                <w:rFonts w:eastAsiaTheme="minorEastAsia"/>
                <w:lang w:eastAsia="en-AU"/>
              </w:rPr>
              <w:t>( 5.6</w:t>
            </w:r>
            <w:r w:rsidRPr="00FC2E25">
              <w:rPr>
                <w:rFonts w:eastAsiaTheme="minorEastAsia" w:cs="Calibri"/>
                <w:szCs w:val="22"/>
                <w:lang w:eastAsia="en-AU"/>
              </w:rPr>
              <w:t>)</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2.0</w:t>
            </w:r>
          </w:p>
        </w:tc>
        <w:tc>
          <w:tcPr>
            <w:tcW w:w="955" w:type="dxa"/>
            <w:tcBorders>
              <w:top w:val="nil"/>
              <w:left w:val="nil"/>
              <w:bottom w:val="nil"/>
              <w:right w:val="nil"/>
            </w:tcBorders>
          </w:tcPr>
          <w:p w:rsidR="000B4A1E" w:rsidRPr="00FC2E25" w:rsidRDefault="000B4A1E" w:rsidP="00517E51">
            <w:pPr>
              <w:pStyle w:val="TableofFigures"/>
              <w:rPr>
                <w:rFonts w:eastAsiaTheme="minorEastAsia" w:cs="Calibri"/>
                <w:szCs w:val="22"/>
                <w:lang w:eastAsia="en-AU"/>
              </w:rPr>
            </w:pPr>
            <w:r w:rsidRPr="00FC2E25">
              <w:rPr>
                <w:rFonts w:eastAsiaTheme="minorEastAsia"/>
                <w:lang w:eastAsia="en-AU"/>
              </w:rPr>
              <w:t>( 6.2</w:t>
            </w:r>
            <w:r w:rsidRPr="00FC2E25">
              <w:rPr>
                <w:rFonts w:eastAsiaTheme="minorEastAsia" w:cs="Calibri"/>
                <w:szCs w:val="22"/>
                <w:lang w:eastAsia="en-AU"/>
              </w:rPr>
              <w:t>)</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2.8</w:t>
            </w:r>
          </w:p>
        </w:tc>
        <w:tc>
          <w:tcPr>
            <w:tcW w:w="955" w:type="dxa"/>
            <w:tcBorders>
              <w:top w:val="nil"/>
              <w:left w:val="nil"/>
              <w:bottom w:val="nil"/>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21.6</w:t>
            </w:r>
          </w:p>
        </w:tc>
      </w:tr>
      <w:tr w:rsidR="000B4A1E" w:rsidRPr="00FC2E25" w:rsidTr="00517E51">
        <w:tc>
          <w:tcPr>
            <w:tcW w:w="4874" w:type="dxa"/>
            <w:gridSpan w:val="2"/>
            <w:tcBorders>
              <w:top w:val="single" w:sz="6" w:space="0" w:color="auto"/>
              <w:left w:val="nil"/>
              <w:bottom w:val="single" w:sz="6" w:space="0" w:color="auto"/>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Total other economic flows – other comprehensive income</w:t>
            </w:r>
          </w:p>
        </w:tc>
        <w:tc>
          <w:tcPr>
            <w:tcW w:w="954" w:type="dxa"/>
            <w:gridSpan w:val="2"/>
            <w:tcBorders>
              <w:top w:val="single" w:sz="6" w:space="0" w:color="auto"/>
              <w:left w:val="nil"/>
              <w:bottom w:val="nil"/>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2 006.8</w:t>
            </w:r>
          </w:p>
        </w:tc>
        <w:tc>
          <w:tcPr>
            <w:tcW w:w="955" w:type="dxa"/>
            <w:tcBorders>
              <w:top w:val="single" w:sz="6" w:space="0" w:color="auto"/>
              <w:left w:val="nil"/>
              <w:bottom w:val="nil"/>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( 163.4)</w:t>
            </w:r>
          </w:p>
        </w:tc>
        <w:tc>
          <w:tcPr>
            <w:tcW w:w="955" w:type="dxa"/>
            <w:tcBorders>
              <w:top w:val="single" w:sz="6" w:space="0" w:color="auto"/>
              <w:left w:val="nil"/>
              <w:bottom w:val="nil"/>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 xml:space="preserve"> 298.5</w:t>
            </w:r>
          </w:p>
        </w:tc>
        <w:tc>
          <w:tcPr>
            <w:tcW w:w="955" w:type="dxa"/>
            <w:gridSpan w:val="2"/>
            <w:tcBorders>
              <w:top w:val="single" w:sz="6" w:space="0" w:color="auto"/>
              <w:left w:val="nil"/>
              <w:bottom w:val="nil"/>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1 144.7</w:t>
            </w:r>
          </w:p>
        </w:tc>
        <w:tc>
          <w:tcPr>
            <w:tcW w:w="955" w:type="dxa"/>
            <w:tcBorders>
              <w:top w:val="single" w:sz="6" w:space="0" w:color="auto"/>
              <w:left w:val="nil"/>
              <w:bottom w:val="nil"/>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( 500.1)</w:t>
            </w:r>
          </w:p>
        </w:tc>
      </w:tr>
      <w:tr w:rsidR="000B4A1E" w:rsidRPr="00FC2E25" w:rsidTr="00517E51">
        <w:tc>
          <w:tcPr>
            <w:tcW w:w="4874" w:type="dxa"/>
            <w:gridSpan w:val="2"/>
            <w:tcBorders>
              <w:top w:val="single" w:sz="6" w:space="0" w:color="auto"/>
              <w:left w:val="nil"/>
              <w:bottom w:val="single" w:sz="12" w:space="0" w:color="auto"/>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Comprehensive result – total change in net worth</w:t>
            </w:r>
          </w:p>
        </w:tc>
        <w:tc>
          <w:tcPr>
            <w:tcW w:w="954" w:type="dxa"/>
            <w:gridSpan w:val="2"/>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(2 025.0</w:t>
            </w:r>
            <w:r w:rsidRPr="00FC2E25">
              <w:rPr>
                <w:rFonts w:eastAsiaTheme="minorEastAsia" w:cs="Calibri"/>
                <w:b/>
                <w:bCs/>
                <w:szCs w:val="22"/>
                <w:lang w:eastAsia="en-AU"/>
              </w:rPr>
              <w:t>)</w:t>
            </w:r>
          </w:p>
        </w:tc>
        <w:tc>
          <w:tcPr>
            <w:tcW w:w="955" w:type="dxa"/>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(2 010.6)</w:t>
            </w:r>
          </w:p>
        </w:tc>
        <w:tc>
          <w:tcPr>
            <w:tcW w:w="955" w:type="dxa"/>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2 536.0</w:t>
            </w:r>
          </w:p>
        </w:tc>
        <w:tc>
          <w:tcPr>
            <w:tcW w:w="955" w:type="dxa"/>
            <w:gridSpan w:val="2"/>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4 860.2</w:t>
            </w:r>
          </w:p>
        </w:tc>
        <w:tc>
          <w:tcPr>
            <w:tcW w:w="955" w:type="dxa"/>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2 808.0</w:t>
            </w: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FISCAL AGGREGATES</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b/>
                <w:bCs/>
                <w:lang w:eastAsia="en-AU"/>
              </w:rPr>
            </w:pPr>
          </w:p>
        </w:tc>
        <w:tc>
          <w:tcPr>
            <w:tcW w:w="955" w:type="dxa"/>
            <w:tcBorders>
              <w:top w:val="nil"/>
              <w:left w:val="nil"/>
              <w:bottom w:val="nil"/>
              <w:right w:val="nil"/>
            </w:tcBorders>
          </w:tcPr>
          <w:p w:rsidR="000B4A1E" w:rsidRPr="00FC2E25" w:rsidRDefault="000B4A1E" w:rsidP="00517E51">
            <w:pPr>
              <w:pStyle w:val="TableofFigures"/>
              <w:rPr>
                <w:rFonts w:eastAsiaTheme="minorEastAsia"/>
                <w:b/>
                <w:bCs/>
                <w:lang w:eastAsia="en-AU"/>
              </w:rPr>
            </w:pPr>
          </w:p>
        </w:tc>
      </w:tr>
      <w:tr w:rsidR="000B4A1E" w:rsidRPr="00FC2E25" w:rsidTr="00517E51">
        <w:tc>
          <w:tcPr>
            <w:tcW w:w="4874" w:type="dxa"/>
            <w:gridSpan w:val="2"/>
            <w:tcBorders>
              <w:top w:val="nil"/>
              <w:left w:val="nil"/>
              <w:bottom w:val="nil"/>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Net operating balance</w:t>
            </w:r>
          </w:p>
        </w:tc>
        <w:tc>
          <w:tcPr>
            <w:tcW w:w="954" w:type="dxa"/>
            <w:gridSpan w:val="2"/>
            <w:tcBorders>
              <w:top w:val="nil"/>
              <w:left w:val="nil"/>
              <w:bottom w:val="nil"/>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( 86.1</w:t>
            </w:r>
            <w:r w:rsidRPr="00FC2E25">
              <w:rPr>
                <w:rFonts w:eastAsiaTheme="minorEastAsia" w:cs="Calibri"/>
                <w:b/>
                <w:bCs/>
                <w:szCs w:val="22"/>
                <w:lang w:eastAsia="en-AU"/>
              </w:rPr>
              <w:t>)</w:t>
            </w:r>
          </w:p>
        </w:tc>
        <w:tc>
          <w:tcPr>
            <w:tcW w:w="955" w:type="dxa"/>
            <w:tcBorders>
              <w:top w:val="nil"/>
              <w:left w:val="nil"/>
              <w:bottom w:val="nil"/>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( 685.4)</w:t>
            </w:r>
          </w:p>
        </w:tc>
        <w:tc>
          <w:tcPr>
            <w:tcW w:w="955" w:type="dxa"/>
            <w:tcBorders>
              <w:top w:val="nil"/>
              <w:left w:val="nil"/>
              <w:bottom w:val="nil"/>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 xml:space="preserve"> 336.9</w:t>
            </w:r>
          </w:p>
        </w:tc>
        <w:tc>
          <w:tcPr>
            <w:tcW w:w="955" w:type="dxa"/>
            <w:gridSpan w:val="2"/>
            <w:tcBorders>
              <w:top w:val="nil"/>
              <w:left w:val="nil"/>
              <w:bottom w:val="nil"/>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1 132.1</w:t>
            </w:r>
          </w:p>
        </w:tc>
        <w:tc>
          <w:tcPr>
            <w:tcW w:w="955" w:type="dxa"/>
            <w:tcBorders>
              <w:top w:val="nil"/>
              <w:left w:val="nil"/>
              <w:bottom w:val="nil"/>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( 467.0)</w:t>
            </w:r>
          </w:p>
        </w:tc>
      </w:tr>
      <w:tr w:rsidR="000B4A1E" w:rsidRPr="00FC2E25" w:rsidTr="00517E51">
        <w:tc>
          <w:tcPr>
            <w:tcW w:w="4424" w:type="dxa"/>
            <w:tcBorders>
              <w:top w:val="nil"/>
              <w:left w:val="nil"/>
              <w:bottom w:val="single" w:sz="6" w:space="0" w:color="auto"/>
              <w:right w:val="nil"/>
            </w:tcBorders>
          </w:tcPr>
          <w:p w:rsidR="000B4A1E" w:rsidRPr="00FC2E25" w:rsidRDefault="000B4A1E" w:rsidP="00517E51">
            <w:pPr>
              <w:pStyle w:val="Tabletext"/>
              <w:rPr>
                <w:rFonts w:eastAsiaTheme="minorEastAsia"/>
                <w:lang w:eastAsia="en-AU"/>
              </w:rPr>
            </w:pPr>
            <w:r w:rsidRPr="00FC2E25">
              <w:rPr>
                <w:rFonts w:eastAsiaTheme="minorEastAsia"/>
                <w:lang w:eastAsia="en-AU"/>
              </w:rPr>
              <w:t xml:space="preserve">Less: Net acquisition of non-financial assets from transactions </w:t>
            </w:r>
          </w:p>
        </w:tc>
        <w:tc>
          <w:tcPr>
            <w:tcW w:w="1404" w:type="dxa"/>
            <w:gridSpan w:val="3"/>
            <w:tcBorders>
              <w:top w:val="nil"/>
              <w:left w:val="nil"/>
              <w:bottom w:val="single" w:sz="6" w:space="0" w:color="auto"/>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203.3</w:t>
            </w:r>
          </w:p>
        </w:tc>
        <w:tc>
          <w:tcPr>
            <w:tcW w:w="955" w:type="dxa"/>
            <w:tcBorders>
              <w:top w:val="nil"/>
              <w:left w:val="nil"/>
              <w:bottom w:val="single" w:sz="6" w:space="0" w:color="auto"/>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186.3</w:t>
            </w:r>
          </w:p>
        </w:tc>
        <w:tc>
          <w:tcPr>
            <w:tcW w:w="955" w:type="dxa"/>
            <w:tcBorders>
              <w:top w:val="nil"/>
              <w:left w:val="nil"/>
              <w:bottom w:val="single" w:sz="6" w:space="0" w:color="auto"/>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 xml:space="preserve"> 238.6</w:t>
            </w:r>
          </w:p>
        </w:tc>
        <w:tc>
          <w:tcPr>
            <w:tcW w:w="955" w:type="dxa"/>
            <w:gridSpan w:val="2"/>
            <w:tcBorders>
              <w:top w:val="nil"/>
              <w:left w:val="nil"/>
              <w:bottom w:val="single" w:sz="6" w:space="0" w:color="auto"/>
              <w:right w:val="nil"/>
            </w:tcBorders>
          </w:tcPr>
          <w:p w:rsidR="000B4A1E" w:rsidRPr="00FC2E25" w:rsidRDefault="000B4A1E" w:rsidP="00517E51">
            <w:pPr>
              <w:pStyle w:val="TableofFigures"/>
              <w:rPr>
                <w:rFonts w:eastAsiaTheme="minorEastAsia"/>
                <w:lang w:eastAsia="en-AU"/>
              </w:rPr>
            </w:pPr>
            <w:r w:rsidRPr="00FC2E25">
              <w:rPr>
                <w:rFonts w:eastAsiaTheme="minorEastAsia"/>
                <w:lang w:eastAsia="en-AU"/>
              </w:rPr>
              <w:t>1 219.4</w:t>
            </w:r>
          </w:p>
        </w:tc>
        <w:tc>
          <w:tcPr>
            <w:tcW w:w="955" w:type="dxa"/>
            <w:tcBorders>
              <w:top w:val="nil"/>
              <w:left w:val="nil"/>
              <w:bottom w:val="single" w:sz="6" w:space="0" w:color="auto"/>
              <w:right w:val="nil"/>
            </w:tcBorders>
          </w:tcPr>
          <w:p w:rsidR="000B4A1E" w:rsidRPr="00FC2E25" w:rsidRDefault="000B4A1E" w:rsidP="00517E51">
            <w:pPr>
              <w:pStyle w:val="TableofFigures"/>
              <w:rPr>
                <w:rFonts w:eastAsiaTheme="minorEastAsia" w:cs="Calibri"/>
                <w:szCs w:val="22"/>
                <w:lang w:eastAsia="en-AU"/>
              </w:rPr>
            </w:pPr>
            <w:r w:rsidRPr="00FC2E25">
              <w:rPr>
                <w:rFonts w:eastAsiaTheme="minorEastAsia"/>
                <w:lang w:eastAsia="en-AU"/>
              </w:rPr>
              <w:t>1 039.8</w:t>
            </w:r>
          </w:p>
        </w:tc>
      </w:tr>
      <w:tr w:rsidR="000B4A1E" w:rsidRPr="00FC2E25" w:rsidTr="00517E51">
        <w:tc>
          <w:tcPr>
            <w:tcW w:w="4874" w:type="dxa"/>
            <w:gridSpan w:val="2"/>
            <w:tcBorders>
              <w:top w:val="single" w:sz="6" w:space="0" w:color="auto"/>
              <w:left w:val="nil"/>
              <w:bottom w:val="single" w:sz="12" w:space="0" w:color="auto"/>
              <w:right w:val="nil"/>
            </w:tcBorders>
          </w:tcPr>
          <w:p w:rsidR="000B4A1E" w:rsidRPr="00FC2E25" w:rsidRDefault="000B4A1E" w:rsidP="00517E51">
            <w:pPr>
              <w:pStyle w:val="Tabletext"/>
              <w:rPr>
                <w:rFonts w:eastAsiaTheme="minorEastAsia"/>
                <w:b/>
                <w:bCs/>
                <w:lang w:eastAsia="en-AU"/>
              </w:rPr>
            </w:pPr>
            <w:r w:rsidRPr="00FC2E25">
              <w:rPr>
                <w:rFonts w:eastAsiaTheme="minorEastAsia"/>
                <w:b/>
                <w:bCs/>
                <w:lang w:eastAsia="en-AU"/>
              </w:rPr>
              <w:t>Net lending/(borrowing)</w:t>
            </w:r>
          </w:p>
        </w:tc>
        <w:tc>
          <w:tcPr>
            <w:tcW w:w="954" w:type="dxa"/>
            <w:gridSpan w:val="2"/>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( 289.4</w:t>
            </w:r>
            <w:r w:rsidRPr="00FC2E25">
              <w:rPr>
                <w:rFonts w:eastAsiaTheme="minorEastAsia" w:cs="Calibri"/>
                <w:b/>
                <w:bCs/>
                <w:szCs w:val="22"/>
                <w:lang w:eastAsia="en-AU"/>
              </w:rPr>
              <w:t>)</w:t>
            </w:r>
          </w:p>
        </w:tc>
        <w:tc>
          <w:tcPr>
            <w:tcW w:w="955" w:type="dxa"/>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( 871.7)</w:t>
            </w:r>
          </w:p>
        </w:tc>
        <w:tc>
          <w:tcPr>
            <w:tcW w:w="955" w:type="dxa"/>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 xml:space="preserve"> 98.3</w:t>
            </w:r>
          </w:p>
        </w:tc>
        <w:tc>
          <w:tcPr>
            <w:tcW w:w="955" w:type="dxa"/>
            <w:gridSpan w:val="2"/>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b/>
                <w:bCs/>
                <w:lang w:eastAsia="en-AU"/>
              </w:rPr>
            </w:pPr>
            <w:r w:rsidRPr="00FC2E25">
              <w:rPr>
                <w:rFonts w:eastAsiaTheme="minorEastAsia"/>
                <w:b/>
                <w:bCs/>
                <w:lang w:eastAsia="en-AU"/>
              </w:rPr>
              <w:t>( 87.3)</w:t>
            </w:r>
          </w:p>
        </w:tc>
        <w:tc>
          <w:tcPr>
            <w:tcW w:w="955" w:type="dxa"/>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cs="Calibri"/>
                <w:b/>
                <w:bCs/>
                <w:szCs w:val="22"/>
                <w:lang w:eastAsia="en-AU"/>
              </w:rPr>
            </w:pPr>
            <w:r w:rsidRPr="00FC2E25">
              <w:rPr>
                <w:rFonts w:eastAsiaTheme="minorEastAsia"/>
                <w:b/>
                <w:bCs/>
                <w:lang w:eastAsia="en-AU"/>
              </w:rPr>
              <w:t xml:space="preserve">(1 </w:t>
            </w:r>
            <w:r w:rsidRPr="00FC2E25">
              <w:rPr>
                <w:rFonts w:eastAsiaTheme="minorEastAsia" w:cs="Calibri"/>
                <w:b/>
                <w:bCs/>
                <w:szCs w:val="22"/>
                <w:lang w:eastAsia="en-AU"/>
              </w:rPr>
              <w:t>506.8)</w:t>
            </w:r>
          </w:p>
        </w:tc>
      </w:tr>
    </w:tbl>
    <w:p w:rsidR="000B4A1E" w:rsidRPr="00650475" w:rsidRDefault="000B4A1E" w:rsidP="00517E51">
      <w:pPr>
        <w:pStyle w:val="Notes"/>
      </w:pPr>
    </w:p>
    <w:p w:rsidR="000B4A1E" w:rsidRPr="00650475" w:rsidRDefault="000B4A1E" w:rsidP="00517E51">
      <w:pPr>
        <w:spacing w:after="0"/>
        <w:rPr>
          <w:rFonts w:ascii="Calibri" w:hAnsi="Calibri"/>
          <w:b/>
          <w:sz w:val="25"/>
        </w:rPr>
      </w:pPr>
      <w:r w:rsidRPr="00650475">
        <w:br w:type="page"/>
      </w:r>
    </w:p>
    <w:p w:rsidR="000B4A1E" w:rsidRPr="00650475" w:rsidRDefault="000B4A1E" w:rsidP="00517E51">
      <w:pPr>
        <w:pStyle w:val="Tableheading"/>
      </w:pPr>
      <w:r w:rsidRPr="00650475">
        <w:lastRenderedPageBreak/>
        <w:t>Table A.2:</w:t>
      </w:r>
      <w:r w:rsidRPr="00650475">
        <w:tab/>
        <w:t>Balance sheet as at the end of the past five quarters</w:t>
      </w:r>
    </w:p>
    <w:p w:rsidR="000B4A1E" w:rsidRPr="00FC2E25" w:rsidRDefault="000B4A1E" w:rsidP="00517E51">
      <w:pPr>
        <w:pStyle w:val="million"/>
      </w:pPr>
      <w:r w:rsidRPr="00650475">
        <w:t>($</w:t>
      </w:r>
      <w:r>
        <w:t> million</w:t>
      </w:r>
      <w:r w:rsidRPr="00650475">
        <w:t>)</w:t>
      </w:r>
    </w:p>
    <w:tbl>
      <w:tblPr>
        <w:tblW w:w="9648" w:type="dxa"/>
        <w:tblInd w:w="29" w:type="dxa"/>
        <w:tblLayout w:type="fixed"/>
        <w:tblCellMar>
          <w:left w:w="43" w:type="dxa"/>
          <w:right w:w="43" w:type="dxa"/>
        </w:tblCellMar>
        <w:tblLook w:val="0000" w:firstRow="0" w:lastRow="0" w:firstColumn="0" w:lastColumn="0" w:noHBand="0" w:noVBand="0"/>
      </w:tblPr>
      <w:tblGrid>
        <w:gridCol w:w="4604"/>
        <w:gridCol w:w="1008"/>
        <w:gridCol w:w="1009"/>
        <w:gridCol w:w="1009"/>
        <w:gridCol w:w="601"/>
        <w:gridCol w:w="408"/>
        <w:gridCol w:w="1009"/>
      </w:tblGrid>
      <w:tr w:rsidR="000B4A1E" w:rsidRPr="00FC2E25" w:rsidTr="00517E51">
        <w:tc>
          <w:tcPr>
            <w:tcW w:w="4604" w:type="dxa"/>
            <w:tcBorders>
              <w:top w:val="single" w:sz="4" w:space="0" w:color="auto"/>
              <w:left w:val="single" w:sz="4" w:space="0" w:color="auto"/>
              <w:bottom w:val="nil"/>
              <w:right w:val="nil"/>
            </w:tcBorders>
            <w:shd w:val="clear" w:color="auto" w:fill="000000"/>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 xml:space="preserve"> </w:t>
            </w:r>
          </w:p>
        </w:tc>
        <w:tc>
          <w:tcPr>
            <w:tcW w:w="1008" w:type="dxa"/>
            <w:tcBorders>
              <w:top w:val="single" w:sz="4" w:space="0" w:color="auto"/>
              <w:left w:val="nil"/>
              <w:bottom w:val="nil"/>
              <w:right w:val="nil"/>
            </w:tcBorders>
            <w:shd w:val="clear" w:color="auto" w:fill="000000"/>
          </w:tcPr>
          <w:p w:rsidR="000B4A1E" w:rsidRPr="00FC2E25" w:rsidRDefault="000B4A1E" w:rsidP="00517E51">
            <w:pPr>
              <w:pStyle w:val="Tabletextheading"/>
              <w:rPr>
                <w:rFonts w:eastAsiaTheme="minorEastAsia"/>
                <w:sz w:val="21"/>
                <w:lang w:eastAsia="en-AU"/>
              </w:rPr>
            </w:pPr>
            <w:r w:rsidRPr="00FC2E25">
              <w:rPr>
                <w:rFonts w:eastAsiaTheme="minorEastAsia"/>
                <w:sz w:val="21"/>
                <w:lang w:eastAsia="en-AU"/>
              </w:rPr>
              <w:t>2011-12</w:t>
            </w:r>
          </w:p>
        </w:tc>
        <w:tc>
          <w:tcPr>
            <w:tcW w:w="1009" w:type="dxa"/>
            <w:tcBorders>
              <w:top w:val="single" w:sz="4" w:space="0" w:color="auto"/>
              <w:left w:val="nil"/>
              <w:bottom w:val="nil"/>
              <w:right w:val="nil"/>
            </w:tcBorders>
            <w:shd w:val="clear" w:color="auto" w:fill="000000"/>
          </w:tcPr>
          <w:p w:rsidR="000B4A1E" w:rsidRPr="00FC2E25" w:rsidRDefault="000B4A1E" w:rsidP="00517E51">
            <w:pPr>
              <w:pStyle w:val="Tabletextheading"/>
              <w:rPr>
                <w:rFonts w:eastAsiaTheme="minorEastAsia"/>
                <w:sz w:val="21"/>
                <w:lang w:eastAsia="en-AU"/>
              </w:rPr>
            </w:pPr>
            <w:r w:rsidRPr="00FC2E25">
              <w:rPr>
                <w:rFonts w:eastAsiaTheme="minorEastAsia"/>
                <w:sz w:val="21"/>
                <w:lang w:eastAsia="en-AU"/>
              </w:rPr>
              <w:t xml:space="preserve">  </w:t>
            </w:r>
          </w:p>
        </w:tc>
        <w:tc>
          <w:tcPr>
            <w:tcW w:w="1610" w:type="dxa"/>
            <w:gridSpan w:val="2"/>
            <w:tcBorders>
              <w:top w:val="single" w:sz="4" w:space="0" w:color="auto"/>
              <w:left w:val="nil"/>
              <w:bottom w:val="nil"/>
              <w:right w:val="nil"/>
            </w:tcBorders>
            <w:shd w:val="clear" w:color="auto" w:fill="000000"/>
          </w:tcPr>
          <w:p w:rsidR="000B4A1E" w:rsidRPr="00FC2E25" w:rsidRDefault="000B4A1E" w:rsidP="00517E51">
            <w:pPr>
              <w:pStyle w:val="Tabletextheading"/>
              <w:rPr>
                <w:rFonts w:eastAsiaTheme="minorEastAsia"/>
                <w:sz w:val="21"/>
                <w:lang w:eastAsia="en-AU"/>
              </w:rPr>
            </w:pPr>
            <w:r w:rsidRPr="00FC2E25">
              <w:rPr>
                <w:rFonts w:eastAsiaTheme="minorEastAsia"/>
                <w:sz w:val="21"/>
                <w:lang w:eastAsia="en-AU"/>
              </w:rPr>
              <w:t>2012-13</w:t>
            </w:r>
          </w:p>
        </w:tc>
        <w:tc>
          <w:tcPr>
            <w:tcW w:w="408" w:type="dxa"/>
            <w:tcBorders>
              <w:top w:val="single" w:sz="4" w:space="0" w:color="auto"/>
              <w:left w:val="nil"/>
              <w:bottom w:val="nil"/>
              <w:right w:val="nil"/>
            </w:tcBorders>
            <w:shd w:val="clear" w:color="auto" w:fill="000000"/>
          </w:tcPr>
          <w:p w:rsidR="000B4A1E" w:rsidRPr="00FC2E25" w:rsidRDefault="000B4A1E" w:rsidP="00517E51">
            <w:pPr>
              <w:pStyle w:val="Tabletextheading"/>
              <w:rPr>
                <w:rFonts w:eastAsiaTheme="minorEastAsia"/>
                <w:sz w:val="21"/>
                <w:lang w:eastAsia="en-AU"/>
              </w:rPr>
            </w:pPr>
            <w:r w:rsidRPr="00FC2E25">
              <w:rPr>
                <w:rFonts w:eastAsiaTheme="minorEastAsia"/>
                <w:sz w:val="21"/>
                <w:lang w:eastAsia="en-AU"/>
              </w:rPr>
              <w:t xml:space="preserve"> </w:t>
            </w:r>
          </w:p>
        </w:tc>
        <w:tc>
          <w:tcPr>
            <w:tcW w:w="1009" w:type="dxa"/>
            <w:tcBorders>
              <w:top w:val="single" w:sz="4" w:space="0" w:color="auto"/>
              <w:left w:val="nil"/>
              <w:bottom w:val="nil"/>
              <w:right w:val="single" w:sz="4" w:space="0" w:color="auto"/>
            </w:tcBorders>
            <w:shd w:val="clear" w:color="auto" w:fill="000000"/>
          </w:tcPr>
          <w:p w:rsidR="000B4A1E" w:rsidRPr="00FC2E25" w:rsidRDefault="000B4A1E" w:rsidP="00517E51">
            <w:pPr>
              <w:pStyle w:val="Tabletextheading"/>
              <w:rPr>
                <w:rFonts w:eastAsiaTheme="minorEastAsia"/>
                <w:sz w:val="21"/>
                <w:lang w:eastAsia="en-AU"/>
              </w:rPr>
            </w:pPr>
            <w:r w:rsidRPr="00FC2E25">
              <w:rPr>
                <w:rFonts w:eastAsiaTheme="minorEastAsia"/>
                <w:sz w:val="21"/>
                <w:lang w:eastAsia="en-AU"/>
              </w:rPr>
              <w:t xml:space="preserve"> </w:t>
            </w:r>
          </w:p>
        </w:tc>
      </w:tr>
      <w:tr w:rsidR="000B4A1E" w:rsidRPr="00FC2E25" w:rsidTr="00517E51">
        <w:tc>
          <w:tcPr>
            <w:tcW w:w="4604" w:type="dxa"/>
            <w:tcBorders>
              <w:top w:val="nil"/>
              <w:left w:val="single" w:sz="4" w:space="0" w:color="auto"/>
              <w:bottom w:val="single" w:sz="4" w:space="0" w:color="auto"/>
              <w:right w:val="nil"/>
            </w:tcBorders>
            <w:shd w:val="clear" w:color="auto" w:fill="000000"/>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 xml:space="preserve"> </w:t>
            </w:r>
          </w:p>
        </w:tc>
        <w:tc>
          <w:tcPr>
            <w:tcW w:w="1008" w:type="dxa"/>
            <w:tcBorders>
              <w:top w:val="nil"/>
              <w:left w:val="nil"/>
              <w:bottom w:val="single" w:sz="4" w:space="0" w:color="auto"/>
              <w:right w:val="nil"/>
            </w:tcBorders>
            <w:shd w:val="clear" w:color="auto" w:fill="000000"/>
          </w:tcPr>
          <w:p w:rsidR="000B4A1E" w:rsidRPr="00FC2E25" w:rsidRDefault="000B4A1E" w:rsidP="00517E51">
            <w:pPr>
              <w:pStyle w:val="Tabletextheading"/>
              <w:rPr>
                <w:rFonts w:eastAsiaTheme="minorEastAsia" w:cs="Calibri"/>
                <w:iCs/>
                <w:sz w:val="21"/>
                <w:szCs w:val="22"/>
                <w:vertAlign w:val="superscript"/>
                <w:lang w:eastAsia="en-AU"/>
              </w:rPr>
            </w:pPr>
            <w:r w:rsidRPr="00FC2E25">
              <w:rPr>
                <w:rFonts w:eastAsiaTheme="minorEastAsia"/>
                <w:sz w:val="21"/>
                <w:lang w:eastAsia="en-AU"/>
              </w:rPr>
              <w:t xml:space="preserve">Jun </w:t>
            </w:r>
            <w:r w:rsidRPr="00FC2E25">
              <w:rPr>
                <w:rFonts w:eastAsiaTheme="minorEastAsia" w:cs="Calibri"/>
                <w:iCs/>
                <w:sz w:val="21"/>
                <w:szCs w:val="22"/>
                <w:vertAlign w:val="superscript"/>
                <w:lang w:eastAsia="en-AU"/>
              </w:rPr>
              <w:t>(a)</w:t>
            </w:r>
          </w:p>
        </w:tc>
        <w:tc>
          <w:tcPr>
            <w:tcW w:w="1009" w:type="dxa"/>
            <w:tcBorders>
              <w:top w:val="nil"/>
              <w:left w:val="nil"/>
              <w:bottom w:val="single" w:sz="4" w:space="0" w:color="auto"/>
              <w:right w:val="nil"/>
            </w:tcBorders>
            <w:shd w:val="clear" w:color="auto" w:fill="000000"/>
          </w:tcPr>
          <w:p w:rsidR="000B4A1E" w:rsidRPr="00FC2E25" w:rsidRDefault="000B4A1E" w:rsidP="00517E51">
            <w:pPr>
              <w:pStyle w:val="Tabletextheading"/>
              <w:rPr>
                <w:rFonts w:eastAsiaTheme="minorEastAsia" w:cs="Calibri"/>
                <w:iCs/>
                <w:sz w:val="21"/>
                <w:szCs w:val="22"/>
                <w:vertAlign w:val="superscript"/>
                <w:lang w:eastAsia="en-AU"/>
              </w:rPr>
            </w:pPr>
            <w:r w:rsidRPr="00FC2E25">
              <w:rPr>
                <w:rFonts w:eastAsiaTheme="minorEastAsia"/>
                <w:sz w:val="21"/>
                <w:lang w:eastAsia="en-AU"/>
              </w:rPr>
              <w:t xml:space="preserve">Sept </w:t>
            </w:r>
            <w:r w:rsidRPr="00FC2E25">
              <w:rPr>
                <w:rFonts w:eastAsiaTheme="minorEastAsia" w:cs="Calibri"/>
                <w:iCs/>
                <w:sz w:val="21"/>
                <w:szCs w:val="22"/>
                <w:vertAlign w:val="superscript"/>
                <w:lang w:eastAsia="en-AU"/>
              </w:rPr>
              <w:t>(a)</w:t>
            </w:r>
          </w:p>
        </w:tc>
        <w:tc>
          <w:tcPr>
            <w:tcW w:w="1009" w:type="dxa"/>
            <w:tcBorders>
              <w:top w:val="nil"/>
              <w:left w:val="nil"/>
              <w:bottom w:val="single" w:sz="4" w:space="0" w:color="auto"/>
              <w:right w:val="nil"/>
            </w:tcBorders>
            <w:shd w:val="clear" w:color="auto" w:fill="000000"/>
          </w:tcPr>
          <w:p w:rsidR="000B4A1E" w:rsidRPr="00FC2E25" w:rsidRDefault="000B4A1E" w:rsidP="00517E51">
            <w:pPr>
              <w:pStyle w:val="Tabletextheading"/>
              <w:rPr>
                <w:rFonts w:eastAsiaTheme="minorEastAsia" w:cs="Calibri"/>
                <w:iCs/>
                <w:sz w:val="21"/>
                <w:szCs w:val="22"/>
                <w:vertAlign w:val="superscript"/>
                <w:lang w:eastAsia="en-AU"/>
              </w:rPr>
            </w:pPr>
            <w:r w:rsidRPr="00FC2E25">
              <w:rPr>
                <w:rFonts w:eastAsiaTheme="minorEastAsia"/>
                <w:sz w:val="21"/>
                <w:lang w:eastAsia="en-AU"/>
              </w:rPr>
              <w:t xml:space="preserve">Dec </w:t>
            </w:r>
            <w:r w:rsidRPr="00FC2E25">
              <w:rPr>
                <w:rFonts w:eastAsiaTheme="minorEastAsia" w:cs="Calibri"/>
                <w:iCs/>
                <w:sz w:val="21"/>
                <w:szCs w:val="22"/>
                <w:vertAlign w:val="superscript"/>
                <w:lang w:eastAsia="en-AU"/>
              </w:rPr>
              <w:t>(a)</w:t>
            </w:r>
          </w:p>
        </w:tc>
        <w:tc>
          <w:tcPr>
            <w:tcW w:w="1009" w:type="dxa"/>
            <w:gridSpan w:val="2"/>
            <w:tcBorders>
              <w:top w:val="nil"/>
              <w:left w:val="nil"/>
              <w:bottom w:val="single" w:sz="4" w:space="0" w:color="auto"/>
              <w:right w:val="nil"/>
            </w:tcBorders>
            <w:shd w:val="clear" w:color="auto" w:fill="000000"/>
          </w:tcPr>
          <w:p w:rsidR="000B4A1E" w:rsidRPr="00FC2E25" w:rsidRDefault="000B4A1E" w:rsidP="00517E51">
            <w:pPr>
              <w:pStyle w:val="Tabletextheading"/>
              <w:rPr>
                <w:rFonts w:eastAsiaTheme="minorEastAsia" w:cs="Calibri"/>
                <w:iCs/>
                <w:sz w:val="21"/>
                <w:szCs w:val="22"/>
                <w:vertAlign w:val="superscript"/>
                <w:lang w:eastAsia="en-AU"/>
              </w:rPr>
            </w:pPr>
            <w:r w:rsidRPr="00FC2E25">
              <w:rPr>
                <w:rFonts w:eastAsiaTheme="minorEastAsia"/>
                <w:sz w:val="21"/>
                <w:lang w:eastAsia="en-AU"/>
              </w:rPr>
              <w:t xml:space="preserve">Mar </w:t>
            </w:r>
            <w:r w:rsidRPr="00FC2E25">
              <w:rPr>
                <w:rFonts w:eastAsiaTheme="minorEastAsia" w:cs="Calibri"/>
                <w:iCs/>
                <w:sz w:val="21"/>
                <w:szCs w:val="22"/>
                <w:vertAlign w:val="superscript"/>
                <w:lang w:eastAsia="en-AU"/>
              </w:rPr>
              <w:t>(a)</w:t>
            </w:r>
          </w:p>
        </w:tc>
        <w:tc>
          <w:tcPr>
            <w:tcW w:w="1009" w:type="dxa"/>
            <w:tcBorders>
              <w:top w:val="nil"/>
              <w:left w:val="nil"/>
              <w:bottom w:val="single" w:sz="4" w:space="0" w:color="auto"/>
              <w:right w:val="single" w:sz="4" w:space="0" w:color="auto"/>
            </w:tcBorders>
            <w:shd w:val="clear" w:color="auto" w:fill="000000"/>
          </w:tcPr>
          <w:p w:rsidR="000B4A1E" w:rsidRPr="00FC2E25" w:rsidRDefault="000B4A1E" w:rsidP="00517E51">
            <w:pPr>
              <w:pStyle w:val="Tabletextheading"/>
              <w:rPr>
                <w:rFonts w:eastAsiaTheme="minorEastAsia"/>
                <w:iCs/>
                <w:sz w:val="21"/>
                <w:lang w:eastAsia="en-AU"/>
              </w:rPr>
            </w:pPr>
            <w:r w:rsidRPr="00FC2E25">
              <w:rPr>
                <w:rFonts w:eastAsiaTheme="minorEastAsia"/>
                <w:iCs/>
                <w:sz w:val="21"/>
                <w:lang w:eastAsia="en-AU"/>
              </w:rPr>
              <w:t>Jun</w:t>
            </w:r>
          </w:p>
        </w:tc>
      </w:tr>
      <w:tr w:rsidR="000B4A1E" w:rsidRPr="00FC2E25" w:rsidTr="00517E51">
        <w:tc>
          <w:tcPr>
            <w:tcW w:w="4604" w:type="dxa"/>
            <w:tcBorders>
              <w:top w:val="single" w:sz="4" w:space="0" w:color="auto"/>
              <w:left w:val="nil"/>
              <w:bottom w:val="nil"/>
              <w:right w:val="nil"/>
            </w:tcBorders>
          </w:tcPr>
          <w:p w:rsidR="000B4A1E" w:rsidRPr="00FC2E25" w:rsidRDefault="000B4A1E" w:rsidP="00517E51">
            <w:pPr>
              <w:pStyle w:val="Tabletext"/>
              <w:rPr>
                <w:rFonts w:eastAsiaTheme="minorEastAsia"/>
                <w:b/>
                <w:bCs/>
                <w:sz w:val="21"/>
                <w:lang w:eastAsia="en-AU"/>
              </w:rPr>
            </w:pPr>
            <w:r w:rsidRPr="00FC2E25">
              <w:rPr>
                <w:rFonts w:eastAsiaTheme="minorEastAsia"/>
                <w:b/>
                <w:bCs/>
                <w:sz w:val="21"/>
                <w:lang w:eastAsia="en-AU"/>
              </w:rPr>
              <w:t>Assets</w:t>
            </w:r>
          </w:p>
        </w:tc>
        <w:tc>
          <w:tcPr>
            <w:tcW w:w="1008" w:type="dxa"/>
            <w:tcBorders>
              <w:top w:val="single" w:sz="4" w:space="0" w:color="auto"/>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w:t>
            </w:r>
          </w:p>
        </w:tc>
        <w:tc>
          <w:tcPr>
            <w:tcW w:w="1009" w:type="dxa"/>
            <w:tcBorders>
              <w:top w:val="single" w:sz="4" w:space="0" w:color="auto"/>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w:t>
            </w:r>
          </w:p>
        </w:tc>
        <w:tc>
          <w:tcPr>
            <w:tcW w:w="1009" w:type="dxa"/>
            <w:tcBorders>
              <w:top w:val="single" w:sz="4" w:space="0" w:color="auto"/>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w:t>
            </w:r>
          </w:p>
        </w:tc>
        <w:tc>
          <w:tcPr>
            <w:tcW w:w="1009" w:type="dxa"/>
            <w:gridSpan w:val="2"/>
            <w:tcBorders>
              <w:top w:val="single" w:sz="4" w:space="0" w:color="auto"/>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w:t>
            </w:r>
          </w:p>
        </w:tc>
        <w:tc>
          <w:tcPr>
            <w:tcW w:w="1009" w:type="dxa"/>
            <w:tcBorders>
              <w:top w:val="single" w:sz="4" w:space="0" w:color="auto"/>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b/>
                <w:bCs/>
                <w:sz w:val="21"/>
                <w:lang w:eastAsia="en-AU"/>
              </w:rPr>
            </w:pPr>
            <w:r w:rsidRPr="00FC2E25">
              <w:rPr>
                <w:rFonts w:eastAsiaTheme="minorEastAsia"/>
                <w:b/>
                <w:bCs/>
                <w:sz w:val="21"/>
                <w:lang w:eastAsia="en-AU"/>
              </w:rPr>
              <w:t>Financial assets</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cs="Calibri"/>
                <w:color w:val="000000"/>
                <w:sz w:val="21"/>
                <w:szCs w:val="22"/>
                <w:vertAlign w:val="superscript"/>
                <w:lang w:eastAsia="en-AU"/>
              </w:rPr>
            </w:pPr>
            <w:r w:rsidRPr="00FC2E25">
              <w:rPr>
                <w:rFonts w:eastAsiaTheme="minorEastAsia"/>
                <w:sz w:val="21"/>
                <w:lang w:eastAsia="en-AU"/>
              </w:rPr>
              <w:t xml:space="preserve">Cash and deposits </w:t>
            </w:r>
            <w:r w:rsidRPr="00FC2E25">
              <w:rPr>
                <w:rFonts w:eastAsiaTheme="minorEastAsia" w:cs="Calibri"/>
                <w:color w:val="000000"/>
                <w:sz w:val="21"/>
                <w:szCs w:val="22"/>
                <w:vertAlign w:val="superscript"/>
                <w:lang w:eastAsia="en-AU"/>
              </w:rPr>
              <w:t>(b)</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5 001.3</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3 549.1</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4 850.8</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4 004.6</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3 962.0</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Advances paid</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301.0</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300.9</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4 640.1</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4 631.9</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4 626.8</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Receivables</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3 833.5</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4 430.1</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4 792.8</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5 730.3</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5 061.0</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cs="Calibri"/>
                <w:color w:val="000000"/>
                <w:sz w:val="21"/>
                <w:szCs w:val="22"/>
                <w:vertAlign w:val="superscript"/>
                <w:lang w:eastAsia="en-AU"/>
              </w:rPr>
            </w:pPr>
            <w:r w:rsidRPr="00FC2E25">
              <w:rPr>
                <w:rFonts w:eastAsiaTheme="minorEastAsia"/>
                <w:sz w:val="21"/>
                <w:lang w:eastAsia="en-AU"/>
              </w:rPr>
              <w:t xml:space="preserve">Investments, loans and placements </w:t>
            </w:r>
            <w:r w:rsidRPr="00FC2E25">
              <w:rPr>
                <w:rFonts w:eastAsiaTheme="minorEastAsia" w:cs="Calibri"/>
                <w:color w:val="000000"/>
                <w:sz w:val="21"/>
                <w:szCs w:val="22"/>
                <w:vertAlign w:val="superscript"/>
                <w:lang w:eastAsia="en-AU"/>
              </w:rPr>
              <w:t>(b)</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2 220.8</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2 253.7</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2 389.2</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2 468.9</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3 383.4</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Investments accounted for using equity method</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44.3</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44.3</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45.6</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45.6</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49.4</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Investments in other sector entities</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67 513.8</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67 988.8</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68 957.6</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70 382.7</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69 489.5</w:t>
            </w:r>
          </w:p>
        </w:tc>
      </w:tr>
      <w:tr w:rsidR="000B4A1E" w:rsidRPr="00FC2E25" w:rsidTr="00517E51">
        <w:tc>
          <w:tcPr>
            <w:tcW w:w="4604" w:type="dxa"/>
            <w:tcBorders>
              <w:top w:val="single" w:sz="6" w:space="0" w:color="auto"/>
              <w:left w:val="nil"/>
              <w:bottom w:val="single" w:sz="6" w:space="0" w:color="auto"/>
              <w:right w:val="nil"/>
            </w:tcBorders>
          </w:tcPr>
          <w:p w:rsidR="000B4A1E" w:rsidRPr="00FC2E25" w:rsidRDefault="000B4A1E" w:rsidP="00517E51">
            <w:pPr>
              <w:pStyle w:val="Tabletext"/>
              <w:rPr>
                <w:rFonts w:eastAsiaTheme="minorEastAsia"/>
                <w:b/>
                <w:bCs/>
                <w:sz w:val="21"/>
                <w:lang w:eastAsia="en-AU"/>
              </w:rPr>
            </w:pPr>
            <w:r w:rsidRPr="00FC2E25">
              <w:rPr>
                <w:rFonts w:eastAsiaTheme="minorEastAsia"/>
                <w:b/>
                <w:bCs/>
                <w:sz w:val="21"/>
                <w:lang w:eastAsia="en-AU"/>
              </w:rPr>
              <w:t>Total financial assets</w:t>
            </w:r>
          </w:p>
        </w:tc>
        <w:tc>
          <w:tcPr>
            <w:tcW w:w="1008"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78 914.7</w:t>
            </w:r>
          </w:p>
        </w:tc>
        <w:tc>
          <w:tcPr>
            <w:tcW w:w="1009"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78 566.8</w:t>
            </w:r>
          </w:p>
        </w:tc>
        <w:tc>
          <w:tcPr>
            <w:tcW w:w="1009"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85 676.2</w:t>
            </w:r>
          </w:p>
        </w:tc>
        <w:tc>
          <w:tcPr>
            <w:tcW w:w="1009" w:type="dxa"/>
            <w:gridSpan w:val="2"/>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87 264.0</w:t>
            </w:r>
          </w:p>
        </w:tc>
        <w:tc>
          <w:tcPr>
            <w:tcW w:w="1009"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86 572.1</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b/>
                <w:bCs/>
                <w:sz w:val="21"/>
                <w:lang w:eastAsia="en-AU"/>
              </w:rPr>
            </w:pPr>
            <w:r w:rsidRPr="00FC2E25">
              <w:rPr>
                <w:rFonts w:eastAsiaTheme="minorEastAsia"/>
                <w:b/>
                <w:bCs/>
                <w:sz w:val="21"/>
                <w:lang w:eastAsia="en-AU"/>
              </w:rPr>
              <w:t>Non-financial assets</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Inventories</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296.2</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230.6</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235.8</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236.4</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192.1</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Non-financial assets held for sale</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149.2</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131.6</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127.2</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123.6</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142.1</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Land, buildings, infrastructure, plant and equipment</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97 796.6</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97 734.7</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98 036.4</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99 254.6</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100 804.0</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Other non-financial assets</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744.0</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1 108.9</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1 045.3</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933.2</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954.3</w:t>
            </w:r>
          </w:p>
        </w:tc>
      </w:tr>
      <w:tr w:rsidR="000B4A1E" w:rsidRPr="00FC2E25" w:rsidTr="00517E51">
        <w:tc>
          <w:tcPr>
            <w:tcW w:w="4604" w:type="dxa"/>
            <w:tcBorders>
              <w:top w:val="single" w:sz="6" w:space="0" w:color="auto"/>
              <w:left w:val="nil"/>
              <w:bottom w:val="single" w:sz="6" w:space="0" w:color="auto"/>
              <w:right w:val="nil"/>
            </w:tcBorders>
          </w:tcPr>
          <w:p w:rsidR="000B4A1E" w:rsidRPr="00FC2E25" w:rsidRDefault="000B4A1E" w:rsidP="00517E51">
            <w:pPr>
              <w:pStyle w:val="Tabletext"/>
              <w:rPr>
                <w:rFonts w:eastAsiaTheme="minorEastAsia"/>
                <w:b/>
                <w:bCs/>
                <w:sz w:val="21"/>
                <w:lang w:eastAsia="en-AU"/>
              </w:rPr>
            </w:pPr>
            <w:r w:rsidRPr="00FC2E25">
              <w:rPr>
                <w:rFonts w:eastAsiaTheme="minorEastAsia"/>
                <w:b/>
                <w:bCs/>
                <w:sz w:val="21"/>
                <w:lang w:eastAsia="en-AU"/>
              </w:rPr>
              <w:t>Total non-financial assets</w:t>
            </w:r>
          </w:p>
        </w:tc>
        <w:tc>
          <w:tcPr>
            <w:tcW w:w="1008"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98 986.0</w:t>
            </w:r>
          </w:p>
        </w:tc>
        <w:tc>
          <w:tcPr>
            <w:tcW w:w="1009"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99 205.9</w:t>
            </w:r>
          </w:p>
        </w:tc>
        <w:tc>
          <w:tcPr>
            <w:tcW w:w="1009"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99 444.7</w:t>
            </w:r>
          </w:p>
        </w:tc>
        <w:tc>
          <w:tcPr>
            <w:tcW w:w="1009" w:type="dxa"/>
            <w:gridSpan w:val="2"/>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100 547.8</w:t>
            </w:r>
          </w:p>
        </w:tc>
        <w:tc>
          <w:tcPr>
            <w:tcW w:w="1009"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102 092.5</w:t>
            </w:r>
          </w:p>
        </w:tc>
      </w:tr>
      <w:tr w:rsidR="000B4A1E" w:rsidRPr="00FC2E25" w:rsidTr="00517E51">
        <w:tc>
          <w:tcPr>
            <w:tcW w:w="4604" w:type="dxa"/>
            <w:tcBorders>
              <w:top w:val="single" w:sz="6" w:space="0" w:color="auto"/>
              <w:left w:val="nil"/>
              <w:bottom w:val="single" w:sz="6" w:space="0" w:color="auto"/>
              <w:right w:val="nil"/>
            </w:tcBorders>
          </w:tcPr>
          <w:p w:rsidR="000B4A1E" w:rsidRPr="00FC2E25" w:rsidRDefault="000B4A1E" w:rsidP="00517E51">
            <w:pPr>
              <w:pStyle w:val="Tabletext"/>
              <w:rPr>
                <w:rFonts w:eastAsiaTheme="minorEastAsia"/>
                <w:b/>
                <w:bCs/>
                <w:sz w:val="21"/>
                <w:lang w:eastAsia="en-AU"/>
              </w:rPr>
            </w:pPr>
            <w:r w:rsidRPr="00FC2E25">
              <w:rPr>
                <w:rFonts w:eastAsiaTheme="minorEastAsia"/>
                <w:b/>
                <w:bCs/>
                <w:sz w:val="21"/>
                <w:lang w:eastAsia="en-AU"/>
              </w:rPr>
              <w:t>Total assets</w:t>
            </w:r>
          </w:p>
        </w:tc>
        <w:tc>
          <w:tcPr>
            <w:tcW w:w="1008"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177 900.7</w:t>
            </w:r>
          </w:p>
        </w:tc>
        <w:tc>
          <w:tcPr>
            <w:tcW w:w="1009"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177 772.7</w:t>
            </w:r>
          </w:p>
        </w:tc>
        <w:tc>
          <w:tcPr>
            <w:tcW w:w="1009"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185 121.0</w:t>
            </w:r>
          </w:p>
        </w:tc>
        <w:tc>
          <w:tcPr>
            <w:tcW w:w="1009" w:type="dxa"/>
            <w:gridSpan w:val="2"/>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187 811.8</w:t>
            </w:r>
          </w:p>
        </w:tc>
        <w:tc>
          <w:tcPr>
            <w:tcW w:w="1009"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188 664.6</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b/>
                <w:bCs/>
                <w:sz w:val="21"/>
                <w:lang w:eastAsia="en-AU"/>
              </w:rPr>
            </w:pPr>
            <w:r w:rsidRPr="00FC2E25">
              <w:rPr>
                <w:rFonts w:eastAsiaTheme="minorEastAsia"/>
                <w:b/>
                <w:bCs/>
                <w:sz w:val="21"/>
                <w:lang w:eastAsia="en-AU"/>
              </w:rPr>
              <w:t>Liabilities</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 xml:space="preserve">Deposits held and advances received </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366.2</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404.8</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380.1</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402.3</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449.0</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Payables</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5 100.8</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5 347.9</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5 774.8</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5 329.5</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5 958.4</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 xml:space="preserve">Borrowings </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22 393.9</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22 671.5</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29 414.0</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30 161.3</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31 345.3</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Employee benefits</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5 043.2</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5 294.2</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5 034.3</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5 152.9</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5 208.8</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Superannuation</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32 597.5</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33 685.0</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31 635.1</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28 902.2</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25 142.5</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Other provisions</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635.5</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616.0</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593.6</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714.4</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603.3</w:t>
            </w:r>
          </w:p>
        </w:tc>
      </w:tr>
      <w:tr w:rsidR="000B4A1E" w:rsidRPr="00FC2E25" w:rsidTr="00517E51">
        <w:tc>
          <w:tcPr>
            <w:tcW w:w="4604" w:type="dxa"/>
            <w:tcBorders>
              <w:top w:val="single" w:sz="6" w:space="0" w:color="auto"/>
              <w:left w:val="nil"/>
              <w:bottom w:val="single" w:sz="6" w:space="0" w:color="auto"/>
              <w:right w:val="nil"/>
            </w:tcBorders>
          </w:tcPr>
          <w:p w:rsidR="000B4A1E" w:rsidRPr="00FC2E25" w:rsidRDefault="000B4A1E" w:rsidP="00517E51">
            <w:pPr>
              <w:pStyle w:val="Tabletext"/>
              <w:rPr>
                <w:rFonts w:eastAsiaTheme="minorEastAsia"/>
                <w:b/>
                <w:bCs/>
                <w:sz w:val="21"/>
                <w:lang w:eastAsia="en-AU"/>
              </w:rPr>
            </w:pPr>
            <w:r w:rsidRPr="00FC2E25">
              <w:rPr>
                <w:rFonts w:eastAsiaTheme="minorEastAsia"/>
                <w:b/>
                <w:bCs/>
                <w:sz w:val="21"/>
                <w:lang w:eastAsia="en-AU"/>
              </w:rPr>
              <w:t>Total liabilities</w:t>
            </w:r>
          </w:p>
        </w:tc>
        <w:tc>
          <w:tcPr>
            <w:tcW w:w="1008"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66 137.0</w:t>
            </w:r>
          </w:p>
        </w:tc>
        <w:tc>
          <w:tcPr>
            <w:tcW w:w="1009"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68 019.4</w:t>
            </w:r>
          </w:p>
        </w:tc>
        <w:tc>
          <w:tcPr>
            <w:tcW w:w="1009"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72 831.9</w:t>
            </w:r>
          </w:p>
        </w:tc>
        <w:tc>
          <w:tcPr>
            <w:tcW w:w="1009" w:type="dxa"/>
            <w:gridSpan w:val="2"/>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70 662.6</w:t>
            </w:r>
          </w:p>
        </w:tc>
        <w:tc>
          <w:tcPr>
            <w:tcW w:w="1009" w:type="dxa"/>
            <w:tcBorders>
              <w:top w:val="single" w:sz="6" w:space="0" w:color="auto"/>
              <w:left w:val="nil"/>
              <w:bottom w:val="single" w:sz="6"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68 707.4</w:t>
            </w:r>
          </w:p>
        </w:tc>
      </w:tr>
      <w:tr w:rsidR="000B4A1E" w:rsidRPr="00FC2E25" w:rsidTr="00517E51">
        <w:tc>
          <w:tcPr>
            <w:tcW w:w="4604" w:type="dxa"/>
            <w:tcBorders>
              <w:top w:val="nil"/>
              <w:left w:val="nil"/>
              <w:bottom w:val="single" w:sz="12" w:space="0" w:color="auto"/>
              <w:right w:val="nil"/>
            </w:tcBorders>
          </w:tcPr>
          <w:p w:rsidR="000B4A1E" w:rsidRPr="00FC2E25" w:rsidRDefault="000B4A1E" w:rsidP="00517E51">
            <w:pPr>
              <w:pStyle w:val="Tabletext"/>
              <w:rPr>
                <w:rFonts w:eastAsiaTheme="minorEastAsia"/>
                <w:b/>
                <w:bCs/>
                <w:sz w:val="21"/>
                <w:lang w:eastAsia="en-AU"/>
              </w:rPr>
            </w:pPr>
            <w:r w:rsidRPr="00FC2E25">
              <w:rPr>
                <w:rFonts w:eastAsiaTheme="minorEastAsia"/>
                <w:b/>
                <w:bCs/>
                <w:sz w:val="21"/>
                <w:lang w:eastAsia="en-AU"/>
              </w:rPr>
              <w:t>Net assets</w:t>
            </w:r>
          </w:p>
        </w:tc>
        <w:tc>
          <w:tcPr>
            <w:tcW w:w="1008" w:type="dxa"/>
            <w:tcBorders>
              <w:top w:val="nil"/>
              <w:left w:val="nil"/>
              <w:bottom w:val="single" w:sz="12"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111 763.7</w:t>
            </w:r>
          </w:p>
        </w:tc>
        <w:tc>
          <w:tcPr>
            <w:tcW w:w="1009" w:type="dxa"/>
            <w:tcBorders>
              <w:top w:val="nil"/>
              <w:left w:val="nil"/>
              <w:bottom w:val="single" w:sz="12"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109 753.4</w:t>
            </w:r>
          </w:p>
        </w:tc>
        <w:tc>
          <w:tcPr>
            <w:tcW w:w="1009" w:type="dxa"/>
            <w:tcBorders>
              <w:top w:val="nil"/>
              <w:left w:val="nil"/>
              <w:bottom w:val="single" w:sz="12"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112 289.0</w:t>
            </w:r>
          </w:p>
        </w:tc>
        <w:tc>
          <w:tcPr>
            <w:tcW w:w="1009" w:type="dxa"/>
            <w:gridSpan w:val="2"/>
            <w:tcBorders>
              <w:top w:val="nil"/>
              <w:left w:val="nil"/>
              <w:bottom w:val="single" w:sz="12"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117 149.2</w:t>
            </w:r>
          </w:p>
        </w:tc>
        <w:tc>
          <w:tcPr>
            <w:tcW w:w="1009" w:type="dxa"/>
            <w:tcBorders>
              <w:top w:val="nil"/>
              <w:left w:val="nil"/>
              <w:bottom w:val="single" w:sz="12"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119 957.2</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Accumulated surplus/(deficit)</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34 808.2</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32 808.3</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35 161.0</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38 855.7</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43 174.7</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Reserves</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76 905.5</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76 895.2</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77 078.0</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78 243.5</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76 732.5</w:t>
            </w:r>
          </w:p>
        </w:tc>
      </w:tr>
      <w:tr w:rsidR="000B4A1E" w:rsidRPr="00FC2E25" w:rsidTr="00517E51">
        <w:tc>
          <w:tcPr>
            <w:tcW w:w="4604" w:type="dxa"/>
            <w:tcBorders>
              <w:top w:val="nil"/>
              <w:left w:val="nil"/>
              <w:bottom w:val="single" w:sz="6" w:space="0" w:color="auto"/>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 xml:space="preserve">Non-controlling interest </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50.0</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50.0</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50.0</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50.0</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 xml:space="preserve"> 50.0</w:t>
            </w:r>
          </w:p>
        </w:tc>
      </w:tr>
      <w:tr w:rsidR="000B4A1E" w:rsidRPr="00FC2E25" w:rsidTr="00517E51">
        <w:tc>
          <w:tcPr>
            <w:tcW w:w="4604" w:type="dxa"/>
            <w:tcBorders>
              <w:top w:val="single" w:sz="6" w:space="0" w:color="auto"/>
              <w:left w:val="nil"/>
              <w:bottom w:val="single" w:sz="12" w:space="0" w:color="auto"/>
              <w:right w:val="nil"/>
            </w:tcBorders>
          </w:tcPr>
          <w:p w:rsidR="000B4A1E" w:rsidRPr="00FC2E25" w:rsidRDefault="000B4A1E" w:rsidP="00517E51">
            <w:pPr>
              <w:pStyle w:val="Tabletext"/>
              <w:rPr>
                <w:rFonts w:eastAsiaTheme="minorEastAsia"/>
                <w:b/>
                <w:bCs/>
                <w:sz w:val="21"/>
                <w:lang w:eastAsia="en-AU"/>
              </w:rPr>
            </w:pPr>
            <w:r w:rsidRPr="00FC2E25">
              <w:rPr>
                <w:rFonts w:eastAsiaTheme="minorEastAsia"/>
                <w:b/>
                <w:bCs/>
                <w:sz w:val="21"/>
                <w:lang w:eastAsia="en-AU"/>
              </w:rPr>
              <w:t>Net worth</w:t>
            </w:r>
          </w:p>
        </w:tc>
        <w:tc>
          <w:tcPr>
            <w:tcW w:w="1008" w:type="dxa"/>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111 763.7</w:t>
            </w:r>
          </w:p>
        </w:tc>
        <w:tc>
          <w:tcPr>
            <w:tcW w:w="1009" w:type="dxa"/>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109 753.4</w:t>
            </w:r>
          </w:p>
        </w:tc>
        <w:tc>
          <w:tcPr>
            <w:tcW w:w="1009" w:type="dxa"/>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112 289.0</w:t>
            </w:r>
          </w:p>
        </w:tc>
        <w:tc>
          <w:tcPr>
            <w:tcW w:w="1009" w:type="dxa"/>
            <w:gridSpan w:val="2"/>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117 149.2</w:t>
            </w:r>
          </w:p>
        </w:tc>
        <w:tc>
          <w:tcPr>
            <w:tcW w:w="1009" w:type="dxa"/>
            <w:tcBorders>
              <w:top w:val="single" w:sz="6" w:space="0" w:color="auto"/>
              <w:left w:val="nil"/>
              <w:bottom w:val="single" w:sz="12" w:space="0" w:color="auto"/>
              <w:right w:val="nil"/>
            </w:tcBorders>
          </w:tcPr>
          <w:p w:rsidR="000B4A1E" w:rsidRPr="00FC2E25" w:rsidRDefault="000B4A1E" w:rsidP="00517E51">
            <w:pPr>
              <w:pStyle w:val="TableofFigures"/>
              <w:rPr>
                <w:rFonts w:eastAsiaTheme="minorEastAsia"/>
                <w:b/>
                <w:bCs/>
                <w:sz w:val="21"/>
                <w:lang w:eastAsia="en-AU"/>
              </w:rPr>
            </w:pPr>
            <w:r w:rsidRPr="00FC2E25">
              <w:rPr>
                <w:rFonts w:eastAsiaTheme="minorEastAsia"/>
                <w:b/>
                <w:bCs/>
                <w:sz w:val="21"/>
                <w:lang w:eastAsia="en-AU"/>
              </w:rPr>
              <w:t>119 957.2</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b/>
                <w:bCs/>
                <w:sz w:val="21"/>
                <w:lang w:eastAsia="en-AU"/>
              </w:rPr>
            </w:pPr>
            <w:r w:rsidRPr="00FC2E25">
              <w:rPr>
                <w:rFonts w:eastAsiaTheme="minorEastAsia"/>
                <w:b/>
                <w:bCs/>
                <w:sz w:val="21"/>
                <w:lang w:eastAsia="en-AU"/>
              </w:rPr>
              <w:t>FISCAL AGGREGATES</w:t>
            </w:r>
          </w:p>
        </w:tc>
        <w:tc>
          <w:tcPr>
            <w:tcW w:w="1008" w:type="dxa"/>
            <w:tcBorders>
              <w:top w:val="nil"/>
              <w:left w:val="nil"/>
              <w:bottom w:val="nil"/>
              <w:right w:val="nil"/>
            </w:tcBorders>
          </w:tcPr>
          <w:p w:rsidR="000B4A1E" w:rsidRPr="00FC2E25" w:rsidRDefault="000B4A1E" w:rsidP="00517E51">
            <w:pPr>
              <w:pStyle w:val="TableofFigures"/>
              <w:rPr>
                <w:rFonts w:eastAsiaTheme="minorEastAsia"/>
                <w:b/>
                <w:bCs/>
                <w:sz w:val="21"/>
                <w:lang w:eastAsia="en-AU"/>
              </w:rPr>
            </w:pP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 xml:space="preserve">Net financial worth </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12 777.7</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10 547.5</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12 844.3</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16 601.4</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17 864.7</w:t>
            </w:r>
          </w:p>
        </w:tc>
      </w:tr>
      <w:tr w:rsidR="000B4A1E" w:rsidRPr="00FC2E25" w:rsidTr="00517E51">
        <w:tc>
          <w:tcPr>
            <w:tcW w:w="4604" w:type="dxa"/>
            <w:tcBorders>
              <w:top w:val="nil"/>
              <w:left w:val="nil"/>
              <w:bottom w:val="nil"/>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Net financial liabilities</w:t>
            </w:r>
          </w:p>
        </w:tc>
        <w:tc>
          <w:tcPr>
            <w:tcW w:w="1008"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54 736.1</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57 441.3</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56 113.3</w:t>
            </w:r>
          </w:p>
        </w:tc>
        <w:tc>
          <w:tcPr>
            <w:tcW w:w="1009" w:type="dxa"/>
            <w:gridSpan w:val="2"/>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53 781.3</w:t>
            </w:r>
          </w:p>
        </w:tc>
        <w:tc>
          <w:tcPr>
            <w:tcW w:w="1009" w:type="dxa"/>
            <w:tcBorders>
              <w:top w:val="nil"/>
              <w:left w:val="nil"/>
              <w:bottom w:val="nil"/>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51 624.7</w:t>
            </w:r>
          </w:p>
        </w:tc>
      </w:tr>
      <w:tr w:rsidR="000B4A1E" w:rsidRPr="00FC2E25" w:rsidTr="00517E51">
        <w:tc>
          <w:tcPr>
            <w:tcW w:w="4604" w:type="dxa"/>
            <w:tcBorders>
              <w:top w:val="nil"/>
              <w:left w:val="nil"/>
              <w:bottom w:val="single" w:sz="12" w:space="0" w:color="auto"/>
              <w:right w:val="nil"/>
            </w:tcBorders>
          </w:tcPr>
          <w:p w:rsidR="000B4A1E" w:rsidRPr="00FC2E25" w:rsidRDefault="000B4A1E" w:rsidP="00517E51">
            <w:pPr>
              <w:pStyle w:val="Tabletext"/>
              <w:rPr>
                <w:rFonts w:eastAsiaTheme="minorEastAsia"/>
                <w:sz w:val="21"/>
                <w:lang w:eastAsia="en-AU"/>
              </w:rPr>
            </w:pPr>
            <w:r w:rsidRPr="00FC2E25">
              <w:rPr>
                <w:rFonts w:eastAsiaTheme="minorEastAsia"/>
                <w:sz w:val="21"/>
                <w:lang w:eastAsia="en-AU"/>
              </w:rPr>
              <w:t>Net debt</w:t>
            </w:r>
          </w:p>
        </w:tc>
        <w:tc>
          <w:tcPr>
            <w:tcW w:w="1008" w:type="dxa"/>
            <w:tcBorders>
              <w:top w:val="nil"/>
              <w:left w:val="nil"/>
              <w:bottom w:val="single" w:sz="12" w:space="0" w:color="auto"/>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15 236.9</w:t>
            </w:r>
          </w:p>
        </w:tc>
        <w:tc>
          <w:tcPr>
            <w:tcW w:w="1009" w:type="dxa"/>
            <w:tcBorders>
              <w:top w:val="nil"/>
              <w:left w:val="nil"/>
              <w:bottom w:val="single" w:sz="12" w:space="0" w:color="auto"/>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16 972.6</w:t>
            </w:r>
          </w:p>
        </w:tc>
        <w:tc>
          <w:tcPr>
            <w:tcW w:w="1009" w:type="dxa"/>
            <w:tcBorders>
              <w:top w:val="nil"/>
              <w:left w:val="nil"/>
              <w:bottom w:val="single" w:sz="12" w:space="0" w:color="auto"/>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17 914.0</w:t>
            </w:r>
          </w:p>
        </w:tc>
        <w:tc>
          <w:tcPr>
            <w:tcW w:w="1009" w:type="dxa"/>
            <w:gridSpan w:val="2"/>
            <w:tcBorders>
              <w:top w:val="nil"/>
              <w:left w:val="nil"/>
              <w:bottom w:val="single" w:sz="12" w:space="0" w:color="auto"/>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19 458.1</w:t>
            </w:r>
          </w:p>
        </w:tc>
        <w:tc>
          <w:tcPr>
            <w:tcW w:w="1009" w:type="dxa"/>
            <w:tcBorders>
              <w:top w:val="nil"/>
              <w:left w:val="nil"/>
              <w:bottom w:val="single" w:sz="12" w:space="0" w:color="auto"/>
              <w:right w:val="nil"/>
            </w:tcBorders>
          </w:tcPr>
          <w:p w:rsidR="000B4A1E" w:rsidRPr="00FC2E25" w:rsidRDefault="000B4A1E" w:rsidP="00517E51">
            <w:pPr>
              <w:pStyle w:val="TableofFigures"/>
              <w:rPr>
                <w:rFonts w:eastAsiaTheme="minorEastAsia"/>
                <w:sz w:val="21"/>
                <w:lang w:eastAsia="en-AU"/>
              </w:rPr>
            </w:pPr>
            <w:r w:rsidRPr="00FC2E25">
              <w:rPr>
                <w:rFonts w:eastAsiaTheme="minorEastAsia"/>
                <w:sz w:val="21"/>
                <w:lang w:eastAsia="en-AU"/>
              </w:rPr>
              <w:t>19 822.1</w:t>
            </w:r>
          </w:p>
        </w:tc>
      </w:tr>
    </w:tbl>
    <w:p w:rsidR="000B4A1E" w:rsidRPr="00650475" w:rsidRDefault="000B4A1E" w:rsidP="00517E51">
      <w:pPr>
        <w:pStyle w:val="Notes"/>
      </w:pPr>
      <w:r w:rsidRPr="00650475">
        <w:t>Note</w:t>
      </w:r>
      <w:r>
        <w:t>s</w:t>
      </w:r>
      <w:r w:rsidRPr="00650475">
        <w:t>:</w:t>
      </w:r>
    </w:p>
    <w:p w:rsidR="000B4A1E" w:rsidRDefault="000B4A1E" w:rsidP="00517E51">
      <w:pPr>
        <w:pStyle w:val="Notes"/>
        <w:numPr>
          <w:ilvl w:val="0"/>
          <w:numId w:val="45"/>
        </w:numPr>
        <w:ind w:left="360"/>
      </w:pPr>
      <w:r w:rsidRPr="00650475">
        <w:t xml:space="preserve">Restated balances at 30 June 2012. </w:t>
      </w:r>
      <w:r w:rsidR="005B0F2C" w:rsidRPr="005A7432">
        <w:t>Refer to Note 36</w:t>
      </w:r>
      <w:r w:rsidR="005B0F2C">
        <w:t xml:space="preserve">, Chapter 4 </w:t>
      </w:r>
      <w:r w:rsidR="005B0F2C">
        <w:rPr>
          <w:i w:val="0"/>
        </w:rPr>
        <w:t>Annual Financial Report</w:t>
      </w:r>
      <w:r w:rsidR="005B0F2C" w:rsidRPr="005A7432">
        <w:t>.</w:t>
      </w:r>
    </w:p>
    <w:p w:rsidR="000B4A1E" w:rsidRPr="00650475" w:rsidRDefault="000B4A1E" w:rsidP="00517E51">
      <w:pPr>
        <w:pStyle w:val="Notes"/>
        <w:numPr>
          <w:ilvl w:val="0"/>
          <w:numId w:val="45"/>
        </w:numPr>
        <w:ind w:left="360"/>
      </w:pPr>
      <w:r w:rsidRPr="00F828A8">
        <w:t>Review of Cash Investments in 2012-13 has reclassified some Australian Dollar Term Deposits held in 2011-12 to Cash and Deposits.</w:t>
      </w:r>
    </w:p>
    <w:p w:rsidR="000B4A1E" w:rsidRPr="00650475" w:rsidRDefault="000B4A1E" w:rsidP="00517E51">
      <w:pPr>
        <w:pStyle w:val="Tableheading"/>
      </w:pPr>
      <w:r w:rsidRPr="00650475">
        <w:br w:type="page"/>
      </w:r>
      <w:r w:rsidRPr="00650475">
        <w:lastRenderedPageBreak/>
        <w:t>Table A.3:</w:t>
      </w:r>
      <w:r w:rsidRPr="00650475">
        <w:tab/>
        <w:t>Statement of cash flows for the past five quarters</w:t>
      </w:r>
    </w:p>
    <w:p w:rsidR="000B4A1E" w:rsidRPr="002364FC" w:rsidRDefault="000B4A1E" w:rsidP="002364FC">
      <w:pPr>
        <w:pStyle w:val="million"/>
      </w:pPr>
      <w:r w:rsidRPr="00650475">
        <w:t>($</w:t>
      </w:r>
      <w:r>
        <w:t> million</w:t>
      </w:r>
      <w:r w:rsidRPr="00650475">
        <w:t>)</w:t>
      </w:r>
    </w:p>
    <w:tbl>
      <w:tblPr>
        <w:tblW w:w="9648" w:type="dxa"/>
        <w:tblInd w:w="29" w:type="dxa"/>
        <w:tblLayout w:type="fixed"/>
        <w:tblCellMar>
          <w:left w:w="43" w:type="dxa"/>
          <w:right w:w="43" w:type="dxa"/>
        </w:tblCellMar>
        <w:tblLook w:val="0000" w:firstRow="0" w:lastRow="0" w:firstColumn="0" w:lastColumn="0" w:noHBand="0" w:noVBand="0"/>
      </w:tblPr>
      <w:tblGrid>
        <w:gridCol w:w="4424"/>
        <w:gridCol w:w="180"/>
        <w:gridCol w:w="864"/>
        <w:gridCol w:w="1045"/>
        <w:gridCol w:w="1045"/>
        <w:gridCol w:w="601"/>
        <w:gridCol w:w="444"/>
        <w:gridCol w:w="1045"/>
      </w:tblGrid>
      <w:tr w:rsidR="000B4A1E" w:rsidRPr="002364FC" w:rsidTr="002364FC">
        <w:tc>
          <w:tcPr>
            <w:tcW w:w="4424" w:type="dxa"/>
            <w:tcBorders>
              <w:top w:val="single" w:sz="4" w:space="0" w:color="auto"/>
              <w:left w:val="single" w:sz="4" w:space="0" w:color="auto"/>
              <w:bottom w:val="single" w:sz="6" w:space="0" w:color="auto"/>
              <w:right w:val="nil"/>
            </w:tcBorders>
            <w:shd w:val="clear" w:color="auto" w:fill="000000"/>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 xml:space="preserve"> </w:t>
            </w:r>
          </w:p>
        </w:tc>
        <w:tc>
          <w:tcPr>
            <w:tcW w:w="1044" w:type="dxa"/>
            <w:gridSpan w:val="2"/>
            <w:tcBorders>
              <w:top w:val="single" w:sz="4" w:space="0" w:color="auto"/>
              <w:left w:val="nil"/>
              <w:bottom w:val="single" w:sz="6" w:space="0" w:color="auto"/>
              <w:right w:val="nil"/>
            </w:tcBorders>
            <w:shd w:val="clear" w:color="auto" w:fill="000000"/>
          </w:tcPr>
          <w:p w:rsidR="000B4A1E" w:rsidRPr="002364FC" w:rsidRDefault="000B4A1E" w:rsidP="002364FC">
            <w:pPr>
              <w:pStyle w:val="Tabletextheading"/>
              <w:rPr>
                <w:rFonts w:eastAsiaTheme="minorEastAsia"/>
                <w:sz w:val="21"/>
                <w:lang w:eastAsia="en-AU"/>
              </w:rPr>
            </w:pPr>
            <w:r w:rsidRPr="002364FC">
              <w:rPr>
                <w:rFonts w:eastAsiaTheme="minorEastAsia"/>
                <w:sz w:val="21"/>
                <w:lang w:eastAsia="en-AU"/>
              </w:rPr>
              <w:t>2011-12</w:t>
            </w:r>
          </w:p>
        </w:tc>
        <w:tc>
          <w:tcPr>
            <w:tcW w:w="1045" w:type="dxa"/>
            <w:tcBorders>
              <w:top w:val="single" w:sz="4" w:space="0" w:color="auto"/>
              <w:left w:val="nil"/>
              <w:bottom w:val="single" w:sz="6" w:space="0" w:color="auto"/>
              <w:right w:val="nil"/>
            </w:tcBorders>
            <w:shd w:val="clear" w:color="auto" w:fill="000000"/>
          </w:tcPr>
          <w:p w:rsidR="000B4A1E" w:rsidRPr="002364FC" w:rsidRDefault="000B4A1E" w:rsidP="002364FC">
            <w:pPr>
              <w:pStyle w:val="Tabletextheading"/>
              <w:rPr>
                <w:rFonts w:eastAsiaTheme="minorEastAsia"/>
                <w:sz w:val="21"/>
                <w:lang w:eastAsia="en-AU"/>
              </w:rPr>
            </w:pPr>
            <w:r w:rsidRPr="002364FC">
              <w:rPr>
                <w:rFonts w:eastAsiaTheme="minorEastAsia"/>
                <w:sz w:val="21"/>
                <w:lang w:eastAsia="en-AU"/>
              </w:rPr>
              <w:t xml:space="preserve"> </w:t>
            </w:r>
          </w:p>
        </w:tc>
        <w:tc>
          <w:tcPr>
            <w:tcW w:w="1646" w:type="dxa"/>
            <w:gridSpan w:val="2"/>
            <w:tcBorders>
              <w:top w:val="single" w:sz="4" w:space="0" w:color="auto"/>
              <w:left w:val="nil"/>
              <w:bottom w:val="single" w:sz="6" w:space="0" w:color="auto"/>
              <w:right w:val="nil"/>
            </w:tcBorders>
            <w:shd w:val="clear" w:color="auto" w:fill="000000"/>
          </w:tcPr>
          <w:p w:rsidR="000B4A1E" w:rsidRPr="002364FC" w:rsidRDefault="000B4A1E" w:rsidP="002364FC">
            <w:pPr>
              <w:pStyle w:val="Tabletextheading"/>
              <w:rPr>
                <w:rFonts w:eastAsiaTheme="minorEastAsia"/>
                <w:sz w:val="21"/>
                <w:lang w:eastAsia="en-AU"/>
              </w:rPr>
            </w:pPr>
            <w:r w:rsidRPr="002364FC">
              <w:rPr>
                <w:rFonts w:eastAsiaTheme="minorEastAsia"/>
                <w:sz w:val="21"/>
                <w:lang w:eastAsia="en-AU"/>
              </w:rPr>
              <w:t>2012-13</w:t>
            </w:r>
          </w:p>
        </w:tc>
        <w:tc>
          <w:tcPr>
            <w:tcW w:w="444" w:type="dxa"/>
            <w:tcBorders>
              <w:top w:val="single" w:sz="4" w:space="0" w:color="auto"/>
              <w:left w:val="nil"/>
              <w:bottom w:val="single" w:sz="6" w:space="0" w:color="auto"/>
              <w:right w:val="nil"/>
            </w:tcBorders>
            <w:shd w:val="clear" w:color="auto" w:fill="000000"/>
          </w:tcPr>
          <w:p w:rsidR="000B4A1E" w:rsidRPr="002364FC" w:rsidRDefault="000B4A1E" w:rsidP="002364FC">
            <w:pPr>
              <w:pStyle w:val="Tabletextheading"/>
              <w:rPr>
                <w:rFonts w:eastAsiaTheme="minorEastAsia"/>
                <w:sz w:val="21"/>
                <w:lang w:eastAsia="en-AU"/>
              </w:rPr>
            </w:pPr>
            <w:r w:rsidRPr="002364FC">
              <w:rPr>
                <w:rFonts w:eastAsiaTheme="minorEastAsia"/>
                <w:sz w:val="21"/>
                <w:lang w:eastAsia="en-AU"/>
              </w:rPr>
              <w:t xml:space="preserve"> </w:t>
            </w:r>
          </w:p>
        </w:tc>
        <w:tc>
          <w:tcPr>
            <w:tcW w:w="1045" w:type="dxa"/>
            <w:tcBorders>
              <w:top w:val="single" w:sz="4" w:space="0" w:color="auto"/>
              <w:left w:val="nil"/>
              <w:bottom w:val="single" w:sz="6" w:space="0" w:color="auto"/>
              <w:right w:val="single" w:sz="4" w:space="0" w:color="auto"/>
            </w:tcBorders>
            <w:shd w:val="clear" w:color="auto" w:fill="000000"/>
          </w:tcPr>
          <w:p w:rsidR="000B4A1E" w:rsidRPr="002364FC" w:rsidRDefault="000B4A1E" w:rsidP="002364FC">
            <w:pPr>
              <w:pStyle w:val="Tabletextheading"/>
              <w:rPr>
                <w:rFonts w:eastAsiaTheme="minorEastAsia"/>
                <w:sz w:val="21"/>
                <w:lang w:eastAsia="en-AU"/>
              </w:rPr>
            </w:pPr>
            <w:r w:rsidRPr="002364FC">
              <w:rPr>
                <w:rFonts w:eastAsiaTheme="minorEastAsia"/>
                <w:sz w:val="21"/>
                <w:lang w:eastAsia="en-AU"/>
              </w:rPr>
              <w:t xml:space="preserve">         </w:t>
            </w:r>
          </w:p>
        </w:tc>
      </w:tr>
      <w:tr w:rsidR="000B4A1E" w:rsidRPr="002364FC" w:rsidTr="002364FC">
        <w:tc>
          <w:tcPr>
            <w:tcW w:w="4424" w:type="dxa"/>
            <w:tcBorders>
              <w:top w:val="single" w:sz="6" w:space="0" w:color="auto"/>
              <w:left w:val="single" w:sz="4" w:space="0" w:color="auto"/>
              <w:bottom w:val="single" w:sz="4" w:space="0" w:color="auto"/>
              <w:right w:val="nil"/>
            </w:tcBorders>
            <w:shd w:val="clear" w:color="auto" w:fill="000000"/>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 xml:space="preserve"> </w:t>
            </w:r>
          </w:p>
        </w:tc>
        <w:tc>
          <w:tcPr>
            <w:tcW w:w="1044" w:type="dxa"/>
            <w:gridSpan w:val="2"/>
            <w:tcBorders>
              <w:top w:val="single" w:sz="6" w:space="0" w:color="auto"/>
              <w:left w:val="nil"/>
              <w:bottom w:val="single" w:sz="4" w:space="0" w:color="auto"/>
              <w:right w:val="nil"/>
            </w:tcBorders>
            <w:shd w:val="clear" w:color="auto" w:fill="000000"/>
          </w:tcPr>
          <w:p w:rsidR="000B4A1E" w:rsidRPr="002364FC" w:rsidRDefault="000B4A1E" w:rsidP="002364FC">
            <w:pPr>
              <w:pStyle w:val="Tabletextheading"/>
              <w:rPr>
                <w:rFonts w:eastAsiaTheme="minorEastAsia"/>
                <w:sz w:val="21"/>
                <w:lang w:eastAsia="en-AU"/>
              </w:rPr>
            </w:pPr>
            <w:r w:rsidRPr="002364FC">
              <w:rPr>
                <w:rFonts w:eastAsiaTheme="minorEastAsia"/>
                <w:sz w:val="21"/>
                <w:lang w:eastAsia="en-AU"/>
              </w:rPr>
              <w:t>Jun</w:t>
            </w:r>
          </w:p>
        </w:tc>
        <w:tc>
          <w:tcPr>
            <w:tcW w:w="1045" w:type="dxa"/>
            <w:tcBorders>
              <w:top w:val="single" w:sz="6" w:space="0" w:color="auto"/>
              <w:left w:val="nil"/>
              <w:bottom w:val="single" w:sz="4" w:space="0" w:color="auto"/>
              <w:right w:val="nil"/>
            </w:tcBorders>
            <w:shd w:val="clear" w:color="auto" w:fill="000000"/>
          </w:tcPr>
          <w:p w:rsidR="000B4A1E" w:rsidRPr="002364FC" w:rsidRDefault="000B4A1E" w:rsidP="002364FC">
            <w:pPr>
              <w:pStyle w:val="Tabletextheading"/>
              <w:rPr>
                <w:rFonts w:eastAsiaTheme="minorEastAsia"/>
                <w:sz w:val="21"/>
                <w:lang w:eastAsia="en-AU"/>
              </w:rPr>
            </w:pPr>
            <w:r w:rsidRPr="002364FC">
              <w:rPr>
                <w:rFonts w:eastAsiaTheme="minorEastAsia"/>
                <w:sz w:val="21"/>
                <w:lang w:eastAsia="en-AU"/>
              </w:rPr>
              <w:t>Sep</w:t>
            </w:r>
          </w:p>
        </w:tc>
        <w:tc>
          <w:tcPr>
            <w:tcW w:w="1045" w:type="dxa"/>
            <w:tcBorders>
              <w:top w:val="single" w:sz="6" w:space="0" w:color="auto"/>
              <w:left w:val="nil"/>
              <w:bottom w:val="single" w:sz="4" w:space="0" w:color="auto"/>
              <w:right w:val="nil"/>
            </w:tcBorders>
            <w:shd w:val="clear" w:color="auto" w:fill="000000"/>
          </w:tcPr>
          <w:p w:rsidR="000B4A1E" w:rsidRPr="002364FC" w:rsidRDefault="000B4A1E" w:rsidP="002364FC">
            <w:pPr>
              <w:pStyle w:val="Tabletextheading"/>
              <w:rPr>
                <w:rFonts w:eastAsiaTheme="minorEastAsia"/>
                <w:sz w:val="21"/>
                <w:lang w:eastAsia="en-AU"/>
              </w:rPr>
            </w:pPr>
            <w:r w:rsidRPr="002364FC">
              <w:rPr>
                <w:rFonts w:eastAsiaTheme="minorEastAsia"/>
                <w:sz w:val="21"/>
                <w:lang w:eastAsia="en-AU"/>
              </w:rPr>
              <w:t>Dec</w:t>
            </w:r>
          </w:p>
        </w:tc>
        <w:tc>
          <w:tcPr>
            <w:tcW w:w="1045" w:type="dxa"/>
            <w:gridSpan w:val="2"/>
            <w:tcBorders>
              <w:top w:val="single" w:sz="6" w:space="0" w:color="auto"/>
              <w:left w:val="nil"/>
              <w:bottom w:val="single" w:sz="4" w:space="0" w:color="auto"/>
              <w:right w:val="nil"/>
            </w:tcBorders>
            <w:shd w:val="clear" w:color="auto" w:fill="000000"/>
          </w:tcPr>
          <w:p w:rsidR="000B4A1E" w:rsidRPr="002364FC" w:rsidRDefault="000B4A1E" w:rsidP="002364FC">
            <w:pPr>
              <w:pStyle w:val="Tabletextheading"/>
              <w:rPr>
                <w:rFonts w:eastAsiaTheme="minorEastAsia"/>
                <w:sz w:val="21"/>
                <w:lang w:eastAsia="en-AU"/>
              </w:rPr>
            </w:pPr>
            <w:r w:rsidRPr="002364FC">
              <w:rPr>
                <w:rFonts w:eastAsiaTheme="minorEastAsia"/>
                <w:sz w:val="21"/>
                <w:lang w:eastAsia="en-AU"/>
              </w:rPr>
              <w:t>Mar</w:t>
            </w:r>
          </w:p>
        </w:tc>
        <w:tc>
          <w:tcPr>
            <w:tcW w:w="1045" w:type="dxa"/>
            <w:tcBorders>
              <w:top w:val="single" w:sz="6" w:space="0" w:color="auto"/>
              <w:left w:val="nil"/>
              <w:bottom w:val="single" w:sz="4" w:space="0" w:color="auto"/>
              <w:right w:val="single" w:sz="4" w:space="0" w:color="auto"/>
            </w:tcBorders>
            <w:shd w:val="clear" w:color="auto" w:fill="000000"/>
          </w:tcPr>
          <w:p w:rsidR="000B4A1E" w:rsidRPr="002364FC" w:rsidRDefault="000B4A1E" w:rsidP="002364FC">
            <w:pPr>
              <w:pStyle w:val="Tabletextheading"/>
              <w:rPr>
                <w:rFonts w:eastAsiaTheme="minorEastAsia"/>
                <w:sz w:val="21"/>
                <w:lang w:eastAsia="en-AU"/>
              </w:rPr>
            </w:pPr>
            <w:r w:rsidRPr="002364FC">
              <w:rPr>
                <w:rFonts w:eastAsiaTheme="minorEastAsia"/>
                <w:sz w:val="21"/>
                <w:lang w:eastAsia="en-AU"/>
              </w:rPr>
              <w:t>Jun</w:t>
            </w:r>
          </w:p>
        </w:tc>
      </w:tr>
      <w:tr w:rsidR="000B4A1E" w:rsidRPr="002364FC" w:rsidTr="002364FC">
        <w:tc>
          <w:tcPr>
            <w:tcW w:w="4424" w:type="dxa"/>
            <w:tcBorders>
              <w:top w:val="single" w:sz="4" w:space="0" w:color="auto"/>
              <w:left w:val="nil"/>
              <w:bottom w:val="nil"/>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Cash flows from operating activities</w:t>
            </w:r>
          </w:p>
        </w:tc>
        <w:tc>
          <w:tcPr>
            <w:tcW w:w="1044" w:type="dxa"/>
            <w:gridSpan w:val="2"/>
            <w:tcBorders>
              <w:top w:val="single" w:sz="4" w:space="0" w:color="auto"/>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w:t>
            </w:r>
          </w:p>
        </w:tc>
        <w:tc>
          <w:tcPr>
            <w:tcW w:w="1045" w:type="dxa"/>
            <w:tcBorders>
              <w:top w:val="single" w:sz="4" w:space="0" w:color="auto"/>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w:t>
            </w:r>
          </w:p>
        </w:tc>
        <w:tc>
          <w:tcPr>
            <w:tcW w:w="1045" w:type="dxa"/>
            <w:tcBorders>
              <w:top w:val="single" w:sz="4" w:space="0" w:color="auto"/>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w:t>
            </w:r>
          </w:p>
        </w:tc>
        <w:tc>
          <w:tcPr>
            <w:tcW w:w="1045" w:type="dxa"/>
            <w:gridSpan w:val="2"/>
            <w:tcBorders>
              <w:top w:val="single" w:sz="4" w:space="0" w:color="auto"/>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w:t>
            </w:r>
          </w:p>
        </w:tc>
        <w:tc>
          <w:tcPr>
            <w:tcW w:w="1045" w:type="dxa"/>
            <w:tcBorders>
              <w:top w:val="single" w:sz="4" w:space="0" w:color="auto"/>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Receipts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Taxes received</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4 011.1</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3 969.8</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3 662.9</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3 471.2</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4 128.0</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Grants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5 852.6</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5 011.5</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5 538.5</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5 976.8</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5 465.1</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cs="Calibri"/>
                <w:szCs w:val="22"/>
                <w:vertAlign w:val="superscript"/>
                <w:lang w:eastAsia="en-AU"/>
              </w:rPr>
            </w:pPr>
            <w:r w:rsidRPr="002364FC">
              <w:rPr>
                <w:rFonts w:eastAsiaTheme="minorEastAsia"/>
                <w:sz w:val="21"/>
                <w:lang w:eastAsia="en-AU"/>
              </w:rPr>
              <w:t xml:space="preserve">Sales of goods and services </w:t>
            </w:r>
            <w:r w:rsidRPr="002364FC">
              <w:rPr>
                <w:rFonts w:eastAsiaTheme="minorEastAsia"/>
                <w:sz w:val="21"/>
                <w:vertAlign w:val="superscript"/>
                <w:lang w:eastAsia="en-AU"/>
              </w:rPr>
              <w:t>(a)(</w:t>
            </w:r>
            <w:r w:rsidRPr="002364FC">
              <w:rPr>
                <w:rFonts w:eastAsiaTheme="minorEastAsia" w:cs="Calibri"/>
                <w:szCs w:val="22"/>
                <w:vertAlign w:val="superscript"/>
                <w:lang w:eastAsia="en-AU"/>
              </w:rPr>
              <w:t>b)</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1 991.1</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1 715.1</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1 796.1</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1 674.2</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1 947.0</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Interest received</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105.9</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98.1</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150.7</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204.4</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221.6</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Dividends and income tax equivalent and rate equivalent receipts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212.9</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72.7</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660.3</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31.1</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434.9</w:t>
            </w:r>
          </w:p>
        </w:tc>
      </w:tr>
      <w:tr w:rsidR="000B4A1E" w:rsidRPr="002364FC" w:rsidTr="002364FC">
        <w:tc>
          <w:tcPr>
            <w:tcW w:w="4424" w:type="dxa"/>
            <w:tcBorders>
              <w:top w:val="nil"/>
              <w:left w:val="nil"/>
              <w:bottom w:val="single" w:sz="6" w:space="0" w:color="auto"/>
              <w:right w:val="nil"/>
            </w:tcBorders>
          </w:tcPr>
          <w:p w:rsidR="000B4A1E" w:rsidRPr="002364FC" w:rsidRDefault="000B4A1E" w:rsidP="002364FC">
            <w:pPr>
              <w:pStyle w:val="Tabletext"/>
              <w:rPr>
                <w:rFonts w:eastAsiaTheme="minorEastAsia" w:cs="Calibri"/>
                <w:sz w:val="21"/>
                <w:szCs w:val="22"/>
                <w:vertAlign w:val="superscript"/>
                <w:lang w:eastAsia="en-AU"/>
              </w:rPr>
            </w:pPr>
            <w:r w:rsidRPr="002364FC">
              <w:rPr>
                <w:rFonts w:eastAsiaTheme="minorEastAsia"/>
                <w:sz w:val="21"/>
                <w:lang w:eastAsia="en-AU"/>
              </w:rPr>
              <w:t xml:space="preserve">Other receipts </w:t>
            </w:r>
            <w:r w:rsidRPr="002364FC">
              <w:rPr>
                <w:rFonts w:eastAsiaTheme="minorEastAsia" w:cs="Calibri"/>
                <w:sz w:val="21"/>
                <w:szCs w:val="22"/>
                <w:vertAlign w:val="superscript"/>
                <w:lang w:eastAsia="en-AU"/>
              </w:rPr>
              <w:t>(b)</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289.0</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282.2</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494.4</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799.4</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152.8</w:t>
            </w:r>
          </w:p>
        </w:tc>
      </w:tr>
      <w:tr w:rsidR="000B4A1E" w:rsidRPr="002364FC" w:rsidTr="002364FC">
        <w:tc>
          <w:tcPr>
            <w:tcW w:w="4424" w:type="dxa"/>
            <w:tcBorders>
              <w:top w:val="single" w:sz="6" w:space="0" w:color="auto"/>
              <w:left w:val="nil"/>
              <w:bottom w:val="nil"/>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Total receipts</w:t>
            </w:r>
          </w:p>
        </w:tc>
        <w:tc>
          <w:tcPr>
            <w:tcW w:w="1044" w:type="dxa"/>
            <w:gridSpan w:val="2"/>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12 462.6</w:t>
            </w:r>
          </w:p>
        </w:tc>
        <w:tc>
          <w:tcPr>
            <w:tcW w:w="1045" w:type="dxa"/>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11 149.4</w:t>
            </w:r>
          </w:p>
        </w:tc>
        <w:tc>
          <w:tcPr>
            <w:tcW w:w="1045" w:type="dxa"/>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12 302.8</w:t>
            </w:r>
          </w:p>
        </w:tc>
        <w:tc>
          <w:tcPr>
            <w:tcW w:w="1045" w:type="dxa"/>
            <w:gridSpan w:val="2"/>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12 157.0</w:t>
            </w:r>
          </w:p>
        </w:tc>
        <w:tc>
          <w:tcPr>
            <w:tcW w:w="1045" w:type="dxa"/>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12 349.4</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Payments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Payments for employees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(4 482.7)</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(4 085.6)</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(4 795.5)</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(4 150.3)</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(4 532.1)</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Superannuation</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( 537.8)</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( 632.4)</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( 621.5)</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( 634.4)</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( 622.2)</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Interest paid</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( 329.0)</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( 325.6)</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( 400.5)</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( 476.0)</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( 500.5)</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cs="Calibri"/>
                <w:szCs w:val="22"/>
                <w:vertAlign w:val="superscript"/>
                <w:lang w:eastAsia="en-AU"/>
              </w:rPr>
            </w:pPr>
            <w:r w:rsidRPr="002364FC">
              <w:rPr>
                <w:rFonts w:eastAsiaTheme="minorEastAsia"/>
                <w:sz w:val="21"/>
                <w:lang w:eastAsia="en-AU"/>
              </w:rPr>
              <w:t xml:space="preserve">Grants and subsidies </w:t>
            </w:r>
            <w:r w:rsidRPr="002364FC">
              <w:rPr>
                <w:rFonts w:eastAsiaTheme="minorEastAsia" w:cs="Calibri"/>
                <w:szCs w:val="22"/>
                <w:vertAlign w:val="superscript"/>
                <w:lang w:eastAsia="en-AU"/>
              </w:rPr>
              <w:t>(b)</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(1 238.5)</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(2 041.0)</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(2 144.6)</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(2 675.4)</w:t>
            </w:r>
          </w:p>
        </w:tc>
        <w:tc>
          <w:tcPr>
            <w:tcW w:w="1045" w:type="dxa"/>
            <w:tcBorders>
              <w:top w:val="nil"/>
              <w:left w:val="nil"/>
              <w:bottom w:val="nil"/>
              <w:right w:val="nil"/>
            </w:tcBorders>
          </w:tcPr>
          <w:p w:rsidR="000B4A1E" w:rsidRPr="002364FC" w:rsidRDefault="000B4A1E" w:rsidP="002364FC">
            <w:pPr>
              <w:pStyle w:val="TableofFigures"/>
              <w:rPr>
                <w:rFonts w:eastAsiaTheme="minorEastAsia" w:cs="Calibri"/>
                <w:sz w:val="21"/>
                <w:szCs w:val="22"/>
                <w:lang w:eastAsia="en-AU"/>
              </w:rPr>
            </w:pPr>
            <w:r w:rsidRPr="002364FC">
              <w:rPr>
                <w:rFonts w:eastAsiaTheme="minorEastAsia"/>
                <w:sz w:val="21"/>
                <w:lang w:eastAsia="en-AU"/>
              </w:rPr>
              <w:t>(1 335.6)</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vertAlign w:val="superscript"/>
                <w:lang w:eastAsia="en-AU"/>
              </w:rPr>
            </w:pPr>
            <w:r w:rsidRPr="002364FC">
              <w:rPr>
                <w:rFonts w:eastAsiaTheme="minorEastAsia"/>
                <w:sz w:val="21"/>
                <w:lang w:eastAsia="en-AU"/>
              </w:rPr>
              <w:t xml:space="preserve">Goods and services </w:t>
            </w:r>
            <w:r w:rsidRPr="002364FC">
              <w:rPr>
                <w:rFonts w:eastAsiaTheme="minorEastAsia"/>
                <w:sz w:val="21"/>
                <w:vertAlign w:val="superscript"/>
                <w:lang w:eastAsia="en-AU"/>
              </w:rPr>
              <w:t>(a)</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(4 787.9)</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(4 432.0)</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(3 810.2)</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(3 380.2)</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(4 069.7)</w:t>
            </w:r>
          </w:p>
        </w:tc>
      </w:tr>
      <w:tr w:rsidR="000B4A1E" w:rsidRPr="002364FC" w:rsidTr="002364FC">
        <w:tc>
          <w:tcPr>
            <w:tcW w:w="4424" w:type="dxa"/>
            <w:tcBorders>
              <w:top w:val="nil"/>
              <w:left w:val="nil"/>
              <w:bottom w:val="single" w:sz="6" w:space="0" w:color="auto"/>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Other payments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( 71.8)</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( 181.1)</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( 153.1)</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( 133.8)</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( 133.1)</w:t>
            </w:r>
          </w:p>
        </w:tc>
      </w:tr>
      <w:tr w:rsidR="000B4A1E" w:rsidRPr="002364FC" w:rsidTr="002364FC">
        <w:tc>
          <w:tcPr>
            <w:tcW w:w="4424" w:type="dxa"/>
            <w:tcBorders>
              <w:top w:val="single" w:sz="6" w:space="0" w:color="auto"/>
              <w:left w:val="nil"/>
              <w:bottom w:val="single" w:sz="6" w:space="0" w:color="auto"/>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Total payments</w:t>
            </w:r>
          </w:p>
        </w:tc>
        <w:tc>
          <w:tcPr>
            <w:tcW w:w="1044" w:type="dxa"/>
            <w:gridSpan w:val="2"/>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(11 447.7)</w:t>
            </w:r>
          </w:p>
        </w:tc>
        <w:tc>
          <w:tcPr>
            <w:tcW w:w="1045" w:type="dxa"/>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(11 697.7)</w:t>
            </w:r>
          </w:p>
        </w:tc>
        <w:tc>
          <w:tcPr>
            <w:tcW w:w="1045" w:type="dxa"/>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(11 925.4)</w:t>
            </w:r>
          </w:p>
        </w:tc>
        <w:tc>
          <w:tcPr>
            <w:tcW w:w="1045" w:type="dxa"/>
            <w:gridSpan w:val="2"/>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(11 450.0)</w:t>
            </w:r>
          </w:p>
        </w:tc>
        <w:tc>
          <w:tcPr>
            <w:tcW w:w="1045" w:type="dxa"/>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(11 193.3)</w:t>
            </w:r>
          </w:p>
        </w:tc>
      </w:tr>
      <w:tr w:rsidR="000B4A1E" w:rsidRPr="002364FC" w:rsidTr="002364FC">
        <w:tc>
          <w:tcPr>
            <w:tcW w:w="4424" w:type="dxa"/>
            <w:tcBorders>
              <w:top w:val="single" w:sz="6" w:space="0" w:color="auto"/>
              <w:left w:val="nil"/>
              <w:bottom w:val="nil"/>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Net cash flows from operating activities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1 014.9</w:t>
            </w: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( 548.2)</w:t>
            </w: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xml:space="preserve"> 377.5</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xml:space="preserve"> 707.0</w:t>
            </w: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1 156.1</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Cash flows from investing activities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Purchases of non-financial assets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( 792.5)</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( 764.5)</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( 681.9)</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(1 031.5)</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(1 655.2)</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Sales of non-financial assets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83.3</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25.9</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46.4</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44.9</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130.8</w:t>
            </w:r>
          </w:p>
        </w:tc>
      </w:tr>
      <w:tr w:rsidR="000B4A1E" w:rsidRPr="002364FC" w:rsidTr="002364FC">
        <w:tc>
          <w:tcPr>
            <w:tcW w:w="4604" w:type="dxa"/>
            <w:gridSpan w:val="2"/>
            <w:tcBorders>
              <w:top w:val="single" w:sz="6" w:space="0" w:color="auto"/>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Cash flows from investments in non-financial assets</w:t>
            </w:r>
          </w:p>
        </w:tc>
        <w:tc>
          <w:tcPr>
            <w:tcW w:w="864" w:type="dxa"/>
            <w:tcBorders>
              <w:top w:val="single" w:sz="6" w:space="0" w:color="auto"/>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( 709.2)</w:t>
            </w:r>
          </w:p>
        </w:tc>
        <w:tc>
          <w:tcPr>
            <w:tcW w:w="1045" w:type="dxa"/>
            <w:tcBorders>
              <w:top w:val="single" w:sz="6" w:space="0" w:color="auto"/>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( 738.6)</w:t>
            </w:r>
          </w:p>
        </w:tc>
        <w:tc>
          <w:tcPr>
            <w:tcW w:w="1045" w:type="dxa"/>
            <w:tcBorders>
              <w:top w:val="single" w:sz="6" w:space="0" w:color="auto"/>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( 635.5)</w:t>
            </w:r>
          </w:p>
        </w:tc>
        <w:tc>
          <w:tcPr>
            <w:tcW w:w="1045" w:type="dxa"/>
            <w:gridSpan w:val="2"/>
            <w:tcBorders>
              <w:top w:val="single" w:sz="6" w:space="0" w:color="auto"/>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( 986.6)</w:t>
            </w:r>
          </w:p>
        </w:tc>
        <w:tc>
          <w:tcPr>
            <w:tcW w:w="1045" w:type="dxa"/>
            <w:tcBorders>
              <w:top w:val="single" w:sz="6" w:space="0" w:color="auto"/>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(1 524.5)</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Net cash flows from investments in financial assets for policy purposes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( 495.0)</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( 450.5)</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( 505.4)</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( 508.7)</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147.8</w:t>
            </w:r>
          </w:p>
        </w:tc>
      </w:tr>
      <w:tr w:rsidR="000B4A1E" w:rsidRPr="002364FC" w:rsidTr="002364FC">
        <w:tc>
          <w:tcPr>
            <w:tcW w:w="4424" w:type="dxa"/>
            <w:tcBorders>
              <w:top w:val="single" w:sz="6" w:space="0" w:color="auto"/>
              <w:left w:val="nil"/>
              <w:bottom w:val="nil"/>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Sub-total</w:t>
            </w:r>
          </w:p>
        </w:tc>
        <w:tc>
          <w:tcPr>
            <w:tcW w:w="1044" w:type="dxa"/>
            <w:gridSpan w:val="2"/>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(1 204.2)</w:t>
            </w:r>
          </w:p>
        </w:tc>
        <w:tc>
          <w:tcPr>
            <w:tcW w:w="1045" w:type="dxa"/>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(1 189.1)</w:t>
            </w:r>
          </w:p>
        </w:tc>
        <w:tc>
          <w:tcPr>
            <w:tcW w:w="1045" w:type="dxa"/>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(1 141.0)</w:t>
            </w:r>
          </w:p>
        </w:tc>
        <w:tc>
          <w:tcPr>
            <w:tcW w:w="1045" w:type="dxa"/>
            <w:gridSpan w:val="2"/>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(1 495.2)</w:t>
            </w:r>
          </w:p>
        </w:tc>
        <w:tc>
          <w:tcPr>
            <w:tcW w:w="1045" w:type="dxa"/>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(1 376.7)</w:t>
            </w:r>
          </w:p>
        </w:tc>
      </w:tr>
      <w:tr w:rsidR="000B4A1E" w:rsidRPr="002364FC" w:rsidTr="002364FC">
        <w:tc>
          <w:tcPr>
            <w:tcW w:w="4424" w:type="dxa"/>
            <w:tcBorders>
              <w:top w:val="nil"/>
              <w:left w:val="nil"/>
              <w:bottom w:val="single" w:sz="6" w:space="0" w:color="auto"/>
              <w:right w:val="nil"/>
            </w:tcBorders>
          </w:tcPr>
          <w:p w:rsidR="000B4A1E" w:rsidRPr="002364FC" w:rsidRDefault="000B4A1E" w:rsidP="002364FC">
            <w:pPr>
              <w:pStyle w:val="Tabletext"/>
              <w:rPr>
                <w:rFonts w:eastAsiaTheme="minorEastAsia" w:cs="Calibri"/>
                <w:sz w:val="21"/>
                <w:szCs w:val="22"/>
                <w:vertAlign w:val="superscript"/>
                <w:lang w:eastAsia="en-AU"/>
              </w:rPr>
            </w:pPr>
            <w:r w:rsidRPr="002364FC">
              <w:rPr>
                <w:rFonts w:eastAsiaTheme="minorEastAsia"/>
                <w:sz w:val="21"/>
                <w:lang w:eastAsia="en-AU"/>
              </w:rPr>
              <w:t xml:space="preserve">Net cash flows from investments in financial assets for liquidity management purposes </w:t>
            </w:r>
            <w:r w:rsidRPr="002364FC">
              <w:rPr>
                <w:rFonts w:eastAsiaTheme="minorEastAsia" w:cs="Calibri"/>
                <w:sz w:val="21"/>
                <w:szCs w:val="22"/>
                <w:vertAlign w:val="superscript"/>
                <w:lang w:eastAsia="en-AU"/>
              </w:rPr>
              <w:t>(c)</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496.4</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( 30.1)</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( 157.0)</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( 81.1)</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( 905.7)</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Net cash flows from investing activities</w:t>
            </w:r>
          </w:p>
        </w:tc>
        <w:tc>
          <w:tcPr>
            <w:tcW w:w="1044" w:type="dxa"/>
            <w:gridSpan w:val="2"/>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( 707.7)</w:t>
            </w:r>
          </w:p>
        </w:tc>
        <w:tc>
          <w:tcPr>
            <w:tcW w:w="1045" w:type="dxa"/>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(1 219.2)</w:t>
            </w:r>
          </w:p>
        </w:tc>
        <w:tc>
          <w:tcPr>
            <w:tcW w:w="1045" w:type="dxa"/>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(1 298.0)</w:t>
            </w:r>
          </w:p>
        </w:tc>
        <w:tc>
          <w:tcPr>
            <w:tcW w:w="1045" w:type="dxa"/>
            <w:gridSpan w:val="2"/>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(1 576.4)</w:t>
            </w:r>
          </w:p>
        </w:tc>
        <w:tc>
          <w:tcPr>
            <w:tcW w:w="1045" w:type="dxa"/>
            <w:tcBorders>
              <w:top w:val="single" w:sz="6" w:space="0" w:color="auto"/>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(2 282.3)</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Cash flows from financing activities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Advances received (net)</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( 0.9)</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9.5</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( 4.8)</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( 1.9)</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( 3.0)</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Net borrowings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1 930.9</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76.6</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2 447.0</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1.0</w:t>
            </w:r>
          </w:p>
        </w:tc>
        <w:tc>
          <w:tcPr>
            <w:tcW w:w="1045" w:type="dxa"/>
            <w:tcBorders>
              <w:top w:val="nil"/>
              <w:left w:val="nil"/>
              <w:bottom w:val="nil"/>
              <w:right w:val="nil"/>
            </w:tcBorders>
          </w:tcPr>
          <w:p w:rsidR="000B4A1E" w:rsidRPr="002364FC" w:rsidRDefault="000B4A1E" w:rsidP="002364FC">
            <w:pPr>
              <w:pStyle w:val="TableofFigures"/>
              <w:rPr>
                <w:rFonts w:eastAsiaTheme="minorEastAsia" w:cs="Calibri"/>
                <w:sz w:val="21"/>
                <w:szCs w:val="22"/>
                <w:lang w:eastAsia="en-AU"/>
              </w:rPr>
            </w:pPr>
            <w:r w:rsidRPr="002364FC">
              <w:rPr>
                <w:rFonts w:eastAsiaTheme="minorEastAsia"/>
                <w:sz w:val="21"/>
                <w:lang w:eastAsia="en-AU"/>
              </w:rPr>
              <w:t>1 036.9</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Deposits received (net)</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( 58.5)</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29.1</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( 19.9)</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24.1</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 xml:space="preserve"> 49.7</w:t>
            </w:r>
          </w:p>
        </w:tc>
      </w:tr>
      <w:tr w:rsidR="000B4A1E" w:rsidRPr="002364FC" w:rsidTr="002364FC">
        <w:tc>
          <w:tcPr>
            <w:tcW w:w="4424" w:type="dxa"/>
            <w:tcBorders>
              <w:top w:val="single" w:sz="6" w:space="0" w:color="auto"/>
              <w:left w:val="nil"/>
              <w:bottom w:val="single" w:sz="6" w:space="0" w:color="auto"/>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Net cash flows from financing activities</w:t>
            </w:r>
          </w:p>
        </w:tc>
        <w:tc>
          <w:tcPr>
            <w:tcW w:w="1044" w:type="dxa"/>
            <w:gridSpan w:val="2"/>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1 871.6</w:t>
            </w:r>
          </w:p>
        </w:tc>
        <w:tc>
          <w:tcPr>
            <w:tcW w:w="1045" w:type="dxa"/>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xml:space="preserve"> 115.1</w:t>
            </w:r>
          </w:p>
        </w:tc>
        <w:tc>
          <w:tcPr>
            <w:tcW w:w="1045" w:type="dxa"/>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2 422.3</w:t>
            </w:r>
          </w:p>
        </w:tc>
        <w:tc>
          <w:tcPr>
            <w:tcW w:w="1045" w:type="dxa"/>
            <w:gridSpan w:val="2"/>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xml:space="preserve"> 23.2</w:t>
            </w:r>
          </w:p>
        </w:tc>
        <w:tc>
          <w:tcPr>
            <w:tcW w:w="1045" w:type="dxa"/>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cs="Calibri"/>
                <w:b/>
                <w:bCs/>
                <w:sz w:val="21"/>
                <w:szCs w:val="22"/>
                <w:lang w:eastAsia="en-AU"/>
              </w:rPr>
            </w:pPr>
            <w:r w:rsidRPr="002364FC">
              <w:rPr>
                <w:rFonts w:eastAsiaTheme="minorEastAsia"/>
                <w:b/>
                <w:bCs/>
                <w:sz w:val="21"/>
                <w:lang w:eastAsia="en-AU"/>
              </w:rPr>
              <w:t>1 083.6</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Net increase/(decrease) in cash and cash equivalents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2 178.8</w:t>
            </w: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(1 652.3)</w:t>
            </w: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1 501.8</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( 846.2)</w:t>
            </w:r>
          </w:p>
        </w:tc>
        <w:tc>
          <w:tcPr>
            <w:tcW w:w="1045" w:type="dxa"/>
            <w:tcBorders>
              <w:top w:val="nil"/>
              <w:left w:val="nil"/>
              <w:bottom w:val="nil"/>
              <w:right w:val="nil"/>
            </w:tcBorders>
          </w:tcPr>
          <w:p w:rsidR="000B4A1E" w:rsidRPr="002364FC" w:rsidRDefault="000B4A1E" w:rsidP="002364FC">
            <w:pPr>
              <w:pStyle w:val="TableofFigures"/>
              <w:rPr>
                <w:rFonts w:eastAsiaTheme="minorEastAsia" w:cs="Calibri"/>
                <w:b/>
                <w:bCs/>
                <w:sz w:val="21"/>
                <w:szCs w:val="22"/>
                <w:lang w:eastAsia="en-AU"/>
              </w:rPr>
            </w:pPr>
            <w:r w:rsidRPr="002364FC">
              <w:rPr>
                <w:rFonts w:eastAsiaTheme="minorEastAsia"/>
                <w:b/>
                <w:bCs/>
                <w:sz w:val="21"/>
                <w:lang w:eastAsia="en-AU"/>
              </w:rPr>
              <w:t>( 42.6</w:t>
            </w:r>
            <w:r w:rsidRPr="002364FC">
              <w:rPr>
                <w:rFonts w:eastAsiaTheme="minorEastAsia" w:cs="Calibri"/>
                <w:b/>
                <w:bCs/>
                <w:sz w:val="21"/>
                <w:szCs w:val="22"/>
                <w:lang w:eastAsia="en-AU"/>
              </w:rPr>
              <w:t>)</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Cash and cash equivalents at beginning of reporting period</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2 822.6</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5 001.3</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3 349.0</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4 850.8</w:t>
            </w:r>
          </w:p>
        </w:tc>
        <w:tc>
          <w:tcPr>
            <w:tcW w:w="1045" w:type="dxa"/>
            <w:tcBorders>
              <w:top w:val="nil"/>
              <w:left w:val="nil"/>
              <w:bottom w:val="nil"/>
              <w:right w:val="nil"/>
            </w:tcBorders>
          </w:tcPr>
          <w:p w:rsidR="000B4A1E" w:rsidRPr="002364FC" w:rsidRDefault="000B4A1E" w:rsidP="002364FC">
            <w:pPr>
              <w:pStyle w:val="TableofFigures"/>
              <w:rPr>
                <w:rFonts w:eastAsiaTheme="minorEastAsia"/>
                <w:sz w:val="21"/>
                <w:lang w:eastAsia="en-AU"/>
              </w:rPr>
            </w:pPr>
            <w:r w:rsidRPr="002364FC">
              <w:rPr>
                <w:rFonts w:eastAsiaTheme="minorEastAsia"/>
                <w:sz w:val="21"/>
                <w:lang w:eastAsia="en-AU"/>
              </w:rPr>
              <w:t>4 004.6</w:t>
            </w:r>
          </w:p>
        </w:tc>
      </w:tr>
      <w:tr w:rsidR="000B4A1E" w:rsidRPr="002364FC" w:rsidTr="002364FC">
        <w:tc>
          <w:tcPr>
            <w:tcW w:w="4424" w:type="dxa"/>
            <w:tcBorders>
              <w:top w:val="single" w:sz="6" w:space="0" w:color="auto"/>
              <w:left w:val="nil"/>
              <w:bottom w:val="single" w:sz="6" w:space="0" w:color="auto"/>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Cash and cash equivalents at end of reporting period</w:t>
            </w:r>
          </w:p>
        </w:tc>
        <w:tc>
          <w:tcPr>
            <w:tcW w:w="1044" w:type="dxa"/>
            <w:gridSpan w:val="2"/>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5 001.3</w:t>
            </w:r>
          </w:p>
        </w:tc>
        <w:tc>
          <w:tcPr>
            <w:tcW w:w="1045" w:type="dxa"/>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3 349.0</w:t>
            </w:r>
          </w:p>
        </w:tc>
        <w:tc>
          <w:tcPr>
            <w:tcW w:w="1045" w:type="dxa"/>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4 850.8</w:t>
            </w:r>
          </w:p>
        </w:tc>
        <w:tc>
          <w:tcPr>
            <w:tcW w:w="1045" w:type="dxa"/>
            <w:gridSpan w:val="2"/>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4 004.6</w:t>
            </w:r>
          </w:p>
        </w:tc>
        <w:tc>
          <w:tcPr>
            <w:tcW w:w="1045" w:type="dxa"/>
            <w:tcBorders>
              <w:top w:val="single" w:sz="6" w:space="0" w:color="auto"/>
              <w:left w:val="nil"/>
              <w:bottom w:val="single" w:sz="6"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3 962.0</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FISCAL AGGREGATES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Net cash flows from operating activities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1 014.9</w:t>
            </w: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( 548.2)</w:t>
            </w: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xml:space="preserve"> 377.5</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xml:space="preserve"> 707.0</w:t>
            </w: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1 156.1</w:t>
            </w:r>
          </w:p>
        </w:tc>
      </w:tr>
      <w:tr w:rsidR="000B4A1E" w:rsidRPr="002364FC" w:rsidTr="002364FC">
        <w:tc>
          <w:tcPr>
            <w:tcW w:w="4424" w:type="dxa"/>
            <w:tcBorders>
              <w:top w:val="nil"/>
              <w:left w:val="nil"/>
              <w:bottom w:val="nil"/>
              <w:right w:val="nil"/>
            </w:tcBorders>
          </w:tcPr>
          <w:p w:rsidR="000B4A1E" w:rsidRPr="002364FC" w:rsidRDefault="000B4A1E" w:rsidP="002364FC">
            <w:pPr>
              <w:pStyle w:val="Tabletext"/>
              <w:rPr>
                <w:rFonts w:eastAsiaTheme="minorEastAsia"/>
                <w:sz w:val="21"/>
                <w:lang w:eastAsia="en-AU"/>
              </w:rPr>
            </w:pPr>
            <w:r w:rsidRPr="002364FC">
              <w:rPr>
                <w:rFonts w:eastAsiaTheme="minorEastAsia"/>
                <w:sz w:val="21"/>
                <w:lang w:eastAsia="en-AU"/>
              </w:rPr>
              <w:t>Net cash flows from investments in non-financial assets</w:t>
            </w:r>
          </w:p>
        </w:tc>
        <w:tc>
          <w:tcPr>
            <w:tcW w:w="1044"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( 709.2)</w:t>
            </w: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( 738.6)</w:t>
            </w: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( 635.5)</w:t>
            </w:r>
          </w:p>
        </w:tc>
        <w:tc>
          <w:tcPr>
            <w:tcW w:w="1045" w:type="dxa"/>
            <w:gridSpan w:val="2"/>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( 986.6)</w:t>
            </w:r>
          </w:p>
        </w:tc>
        <w:tc>
          <w:tcPr>
            <w:tcW w:w="1045" w:type="dxa"/>
            <w:tcBorders>
              <w:top w:val="nil"/>
              <w:left w:val="nil"/>
              <w:bottom w:val="nil"/>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(1 524.5)</w:t>
            </w:r>
          </w:p>
        </w:tc>
      </w:tr>
      <w:tr w:rsidR="000B4A1E" w:rsidRPr="002364FC" w:rsidTr="002364FC">
        <w:tc>
          <w:tcPr>
            <w:tcW w:w="4424" w:type="dxa"/>
            <w:tcBorders>
              <w:top w:val="single" w:sz="6" w:space="0" w:color="auto"/>
              <w:left w:val="nil"/>
              <w:bottom w:val="single" w:sz="12" w:space="0" w:color="auto"/>
              <w:right w:val="nil"/>
            </w:tcBorders>
          </w:tcPr>
          <w:p w:rsidR="000B4A1E" w:rsidRPr="002364FC" w:rsidRDefault="000B4A1E" w:rsidP="002364FC">
            <w:pPr>
              <w:pStyle w:val="Tabletext"/>
              <w:rPr>
                <w:rFonts w:eastAsiaTheme="minorEastAsia"/>
                <w:b/>
                <w:bCs/>
                <w:sz w:val="21"/>
                <w:lang w:eastAsia="en-AU"/>
              </w:rPr>
            </w:pPr>
            <w:r w:rsidRPr="002364FC">
              <w:rPr>
                <w:rFonts w:eastAsiaTheme="minorEastAsia"/>
                <w:b/>
                <w:bCs/>
                <w:sz w:val="21"/>
                <w:lang w:eastAsia="en-AU"/>
              </w:rPr>
              <w:t>Cash surplus/(deficit)</w:t>
            </w:r>
          </w:p>
        </w:tc>
        <w:tc>
          <w:tcPr>
            <w:tcW w:w="1044" w:type="dxa"/>
            <w:gridSpan w:val="2"/>
            <w:tcBorders>
              <w:top w:val="single" w:sz="6" w:space="0" w:color="auto"/>
              <w:left w:val="nil"/>
              <w:bottom w:val="single" w:sz="12"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xml:space="preserve"> 305.7</w:t>
            </w:r>
          </w:p>
        </w:tc>
        <w:tc>
          <w:tcPr>
            <w:tcW w:w="1045" w:type="dxa"/>
            <w:tcBorders>
              <w:top w:val="single" w:sz="6" w:space="0" w:color="auto"/>
              <w:left w:val="nil"/>
              <w:bottom w:val="single" w:sz="12"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(1 286.8)</w:t>
            </w:r>
          </w:p>
        </w:tc>
        <w:tc>
          <w:tcPr>
            <w:tcW w:w="1045" w:type="dxa"/>
            <w:tcBorders>
              <w:top w:val="single" w:sz="6" w:space="0" w:color="auto"/>
              <w:left w:val="nil"/>
              <w:bottom w:val="single" w:sz="12"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( 258.1)</w:t>
            </w:r>
          </w:p>
        </w:tc>
        <w:tc>
          <w:tcPr>
            <w:tcW w:w="1045" w:type="dxa"/>
            <w:gridSpan w:val="2"/>
            <w:tcBorders>
              <w:top w:val="single" w:sz="6" w:space="0" w:color="auto"/>
              <w:left w:val="nil"/>
              <w:bottom w:val="single" w:sz="12" w:space="0" w:color="auto"/>
              <w:right w:val="nil"/>
            </w:tcBorders>
          </w:tcPr>
          <w:p w:rsidR="000B4A1E" w:rsidRPr="002364FC" w:rsidRDefault="000B4A1E" w:rsidP="002364FC">
            <w:pPr>
              <w:pStyle w:val="TableofFigures"/>
              <w:rPr>
                <w:rFonts w:eastAsiaTheme="minorEastAsia"/>
                <w:b/>
                <w:bCs/>
                <w:sz w:val="21"/>
                <w:lang w:eastAsia="en-AU"/>
              </w:rPr>
            </w:pPr>
            <w:r w:rsidRPr="002364FC">
              <w:rPr>
                <w:rFonts w:eastAsiaTheme="minorEastAsia"/>
                <w:b/>
                <w:bCs/>
                <w:sz w:val="21"/>
                <w:lang w:eastAsia="en-AU"/>
              </w:rPr>
              <w:t>( 279.6)</w:t>
            </w:r>
          </w:p>
        </w:tc>
        <w:tc>
          <w:tcPr>
            <w:tcW w:w="1045" w:type="dxa"/>
            <w:tcBorders>
              <w:top w:val="single" w:sz="6" w:space="0" w:color="auto"/>
              <w:left w:val="nil"/>
              <w:bottom w:val="single" w:sz="12" w:space="0" w:color="auto"/>
              <w:right w:val="nil"/>
            </w:tcBorders>
          </w:tcPr>
          <w:p w:rsidR="000B4A1E" w:rsidRPr="002364FC" w:rsidRDefault="000B4A1E" w:rsidP="002364FC">
            <w:pPr>
              <w:pStyle w:val="TableofFigures"/>
              <w:rPr>
                <w:rFonts w:eastAsiaTheme="minorEastAsia" w:cs="Calibri"/>
                <w:b/>
                <w:bCs/>
                <w:sz w:val="21"/>
                <w:szCs w:val="22"/>
                <w:lang w:eastAsia="en-AU"/>
              </w:rPr>
            </w:pPr>
            <w:r w:rsidRPr="002364FC">
              <w:rPr>
                <w:rFonts w:eastAsiaTheme="minorEastAsia"/>
                <w:b/>
                <w:bCs/>
                <w:sz w:val="21"/>
                <w:lang w:eastAsia="en-AU"/>
              </w:rPr>
              <w:t>( 368.4</w:t>
            </w:r>
            <w:r w:rsidRPr="002364FC">
              <w:rPr>
                <w:rFonts w:eastAsiaTheme="minorEastAsia" w:cs="Calibri"/>
                <w:b/>
                <w:bCs/>
                <w:sz w:val="21"/>
                <w:szCs w:val="22"/>
                <w:lang w:eastAsia="en-AU"/>
              </w:rPr>
              <w:t>)</w:t>
            </w:r>
          </w:p>
        </w:tc>
      </w:tr>
    </w:tbl>
    <w:p w:rsidR="000B4A1E" w:rsidRDefault="000B4A1E" w:rsidP="00517E51">
      <w:pPr>
        <w:pStyle w:val="Notes"/>
      </w:pPr>
      <w:r w:rsidRPr="00650475">
        <w:t>Note</w:t>
      </w:r>
      <w:r>
        <w:t>s</w:t>
      </w:r>
      <w:r w:rsidRPr="00650475">
        <w:t>:</w:t>
      </w:r>
    </w:p>
    <w:p w:rsidR="000B4A1E" w:rsidRDefault="000B4A1E" w:rsidP="002364FC">
      <w:pPr>
        <w:pStyle w:val="Notes"/>
      </w:pPr>
      <w:r>
        <w:t xml:space="preserve">(a) </w:t>
      </w:r>
      <w:r>
        <w:tab/>
        <w:t>These items are inclusive of goods and services tax.</w:t>
      </w:r>
    </w:p>
    <w:p w:rsidR="005B0F2C" w:rsidRDefault="000B4A1E" w:rsidP="002364FC">
      <w:pPr>
        <w:pStyle w:val="Notes"/>
      </w:pPr>
      <w:r>
        <w:t xml:space="preserve">(b) </w:t>
      </w:r>
      <w:r>
        <w:tab/>
        <w:t xml:space="preserve">Restatement of previously published information relates to restated balances at 30 June 2012 and 1 July 2011. </w:t>
      </w:r>
      <w:r w:rsidR="005B0F2C" w:rsidRPr="005A7432">
        <w:t>Refer to Note 36</w:t>
      </w:r>
      <w:r w:rsidR="005B0F2C">
        <w:t xml:space="preserve">, Chapter 4 </w:t>
      </w:r>
      <w:r w:rsidR="005B0F2C">
        <w:rPr>
          <w:i w:val="0"/>
        </w:rPr>
        <w:t>Annual Financial Report</w:t>
      </w:r>
      <w:r w:rsidR="005B0F2C" w:rsidRPr="005A7432">
        <w:t>.</w:t>
      </w:r>
    </w:p>
    <w:p w:rsidR="000B4A1E" w:rsidRPr="00650475" w:rsidRDefault="000B4A1E" w:rsidP="002364FC">
      <w:pPr>
        <w:pStyle w:val="Notes"/>
      </w:pPr>
      <w:r>
        <w:t xml:space="preserve">(c) </w:t>
      </w:r>
      <w:r>
        <w:tab/>
        <w:t>Review of Cash Investments in 2012</w:t>
      </w:r>
      <w:r>
        <w:noBreakHyphen/>
        <w:t>13 has reclassified some Australian Dollar Term Deposits held in 2011</w:t>
      </w:r>
      <w:r>
        <w:noBreakHyphen/>
        <w:t>12 to Cash and Deposits.</w:t>
      </w:r>
    </w:p>
    <w:p w:rsidR="000B4A1E" w:rsidRDefault="000B4A1E" w:rsidP="00EC7BE0"/>
    <w:p w:rsidR="000B4A1E" w:rsidRDefault="000B4A1E" w:rsidP="00FE76C7">
      <w:pPr>
        <w:sectPr w:rsidR="000B4A1E" w:rsidSect="00740862">
          <w:footerReference w:type="even" r:id="rId28"/>
          <w:footerReference w:type="default" r:id="rId29"/>
          <w:type w:val="oddPage"/>
          <w:pgSz w:w="11906" w:h="16838" w:code="9"/>
          <w:pgMar w:top="1152" w:right="1152" w:bottom="1152" w:left="1152" w:header="720" w:footer="576" w:gutter="0"/>
          <w:cols w:space="708"/>
          <w:docGrid w:linePitch="360"/>
        </w:sectPr>
      </w:pPr>
    </w:p>
    <w:p w:rsidR="000B4A1E" w:rsidRDefault="000B4A1E" w:rsidP="00517E51">
      <w:pPr>
        <w:pStyle w:val="ChapterHeading"/>
      </w:pPr>
      <w:bookmarkStart w:id="209" w:name="_Toc367967903"/>
      <w:r>
        <w:lastRenderedPageBreak/>
        <w:t xml:space="preserve">Appendix B – </w:t>
      </w:r>
      <w:r w:rsidRPr="00354981">
        <w:rPr>
          <w:i/>
        </w:rPr>
        <w:t xml:space="preserve">Financial Management Act 1994 </w:t>
      </w:r>
      <w:r>
        <w:t>– Compliance index</w:t>
      </w:r>
      <w:bookmarkEnd w:id="209"/>
    </w:p>
    <w:p w:rsidR="000B4A1E" w:rsidRPr="00BF6C95" w:rsidRDefault="000B4A1E" w:rsidP="00517E51">
      <w:pPr>
        <w:rPr>
          <w:i/>
        </w:rPr>
      </w:pPr>
      <w:r w:rsidRPr="00BF6C95">
        <w:t xml:space="preserve">The </w:t>
      </w:r>
      <w:r w:rsidRPr="00BF6C95">
        <w:rPr>
          <w:i/>
        </w:rPr>
        <w:t>Financial Management Act 1994</w:t>
      </w:r>
      <w:r w:rsidRPr="00BF6C95">
        <w:t xml:space="preserve"> requires the Minister to prepare an audited annual financial report for tabling in the Parliament</w:t>
      </w:r>
      <w:r>
        <w:t xml:space="preserve">. </w:t>
      </w:r>
      <w:r w:rsidRPr="00BF6C95">
        <w:t xml:space="preserve">This report has been prepared in accordance with applicable Australian Accounting Standards and the </w:t>
      </w:r>
      <w:r w:rsidRPr="00BF6C95">
        <w:rPr>
          <w:i/>
        </w:rPr>
        <w:t>Financial Management Act 1994.</w:t>
      </w:r>
    </w:p>
    <w:p w:rsidR="000B4A1E" w:rsidRPr="00BF6C95" w:rsidRDefault="000B4A1E" w:rsidP="00517E51">
      <w:r w:rsidRPr="00BF6C95">
        <w:t xml:space="preserve">The </w:t>
      </w:r>
      <w:r w:rsidRPr="00BF6C95">
        <w:rPr>
          <w:i/>
        </w:rPr>
        <w:t>Financial Management Act 1994</w:t>
      </w:r>
      <w:r w:rsidRPr="00BF6C95">
        <w:t xml:space="preserve"> also requires the annual financial report to meet certain requirements</w:t>
      </w:r>
      <w:r>
        <w:t xml:space="preserve">. </w:t>
      </w:r>
      <w:r w:rsidRPr="00BF6C95">
        <w:t>The following compliance index explains how these requirements are met, together with appropriate references in this document.</w:t>
      </w:r>
    </w:p>
    <w:tbl>
      <w:tblPr>
        <w:tblW w:w="9673" w:type="dxa"/>
        <w:tblInd w:w="43" w:type="dxa"/>
        <w:tblCellMar>
          <w:left w:w="43" w:type="dxa"/>
          <w:right w:w="43" w:type="dxa"/>
        </w:tblCellMar>
        <w:tblLook w:val="01E0" w:firstRow="1" w:lastRow="1" w:firstColumn="1" w:lastColumn="1" w:noHBand="0" w:noVBand="0"/>
      </w:tblPr>
      <w:tblGrid>
        <w:gridCol w:w="2250"/>
        <w:gridCol w:w="4183"/>
        <w:gridCol w:w="3240"/>
      </w:tblGrid>
      <w:tr w:rsidR="000B4A1E" w:rsidRPr="00BF6C95" w:rsidTr="00517E51">
        <w:trPr>
          <w:cantSplit/>
          <w:tblHeader/>
        </w:trPr>
        <w:tc>
          <w:tcPr>
            <w:tcW w:w="2250" w:type="dxa"/>
            <w:tcBorders>
              <w:top w:val="single" w:sz="4" w:space="0" w:color="auto"/>
              <w:bottom w:val="single" w:sz="4" w:space="0" w:color="auto"/>
            </w:tcBorders>
            <w:shd w:val="clear" w:color="auto" w:fill="000000"/>
          </w:tcPr>
          <w:p w:rsidR="000B4A1E" w:rsidRPr="00BF6C95" w:rsidRDefault="000B4A1E" w:rsidP="00517E51">
            <w:pPr>
              <w:pStyle w:val="TabletextheadingLeft"/>
            </w:pPr>
            <w:r w:rsidRPr="00BF6C95">
              <w:t>Financial Management Act 1994 reference</w:t>
            </w:r>
          </w:p>
        </w:tc>
        <w:tc>
          <w:tcPr>
            <w:tcW w:w="4183" w:type="dxa"/>
            <w:tcBorders>
              <w:top w:val="single" w:sz="4" w:space="0" w:color="auto"/>
              <w:bottom w:val="single" w:sz="4" w:space="0" w:color="auto"/>
            </w:tcBorders>
            <w:shd w:val="clear" w:color="auto" w:fill="000000"/>
          </w:tcPr>
          <w:p w:rsidR="000B4A1E" w:rsidRPr="00BF6C95" w:rsidRDefault="000B4A1E" w:rsidP="00517E51">
            <w:pPr>
              <w:pStyle w:val="TabletextheadingLeft"/>
            </w:pPr>
            <w:r w:rsidRPr="00BF6C95">
              <w:t>Requirement</w:t>
            </w:r>
          </w:p>
        </w:tc>
        <w:tc>
          <w:tcPr>
            <w:tcW w:w="3240" w:type="dxa"/>
            <w:tcBorders>
              <w:top w:val="single" w:sz="4" w:space="0" w:color="auto"/>
              <w:bottom w:val="single" w:sz="4" w:space="0" w:color="auto"/>
            </w:tcBorders>
            <w:shd w:val="clear" w:color="auto" w:fill="000000"/>
          </w:tcPr>
          <w:p w:rsidR="000B4A1E" w:rsidRPr="00BF6C95" w:rsidRDefault="000B4A1E" w:rsidP="00517E51">
            <w:pPr>
              <w:pStyle w:val="TabletextheadingLeft"/>
            </w:pPr>
            <w:r w:rsidRPr="00BF6C95">
              <w:t>Comments/reference</w:t>
            </w:r>
          </w:p>
        </w:tc>
      </w:tr>
      <w:tr w:rsidR="000B4A1E" w:rsidRPr="0060297A" w:rsidTr="00517E51">
        <w:trPr>
          <w:cantSplit/>
        </w:trPr>
        <w:tc>
          <w:tcPr>
            <w:tcW w:w="2250" w:type="dxa"/>
            <w:tcBorders>
              <w:top w:val="single" w:sz="4" w:space="0" w:color="auto"/>
            </w:tcBorders>
            <w:shd w:val="clear" w:color="auto" w:fill="auto"/>
          </w:tcPr>
          <w:p w:rsidR="000B4A1E" w:rsidRPr="0060297A" w:rsidRDefault="000B4A1E" w:rsidP="00517E51">
            <w:pPr>
              <w:pStyle w:val="Tabletext"/>
              <w:spacing w:after="40"/>
            </w:pPr>
            <w:r w:rsidRPr="0060297A">
              <w:t xml:space="preserve">Section 24(1) </w:t>
            </w:r>
          </w:p>
        </w:tc>
        <w:tc>
          <w:tcPr>
            <w:tcW w:w="4183" w:type="dxa"/>
            <w:tcBorders>
              <w:top w:val="single" w:sz="4" w:space="0" w:color="auto"/>
            </w:tcBorders>
            <w:shd w:val="clear" w:color="auto" w:fill="auto"/>
          </w:tcPr>
          <w:p w:rsidR="000B4A1E" w:rsidRPr="0060297A" w:rsidRDefault="000B4A1E" w:rsidP="00517E51">
            <w:pPr>
              <w:pStyle w:val="Tabletext"/>
              <w:spacing w:after="40"/>
              <w:ind w:left="0" w:firstLine="0"/>
            </w:pPr>
            <w:r w:rsidRPr="0060297A">
              <w:t>The Minister must prepare an annual financial report for each financial year.</w:t>
            </w:r>
          </w:p>
        </w:tc>
        <w:tc>
          <w:tcPr>
            <w:tcW w:w="3240" w:type="dxa"/>
            <w:tcBorders>
              <w:top w:val="single" w:sz="4" w:space="0" w:color="auto"/>
            </w:tcBorders>
            <w:shd w:val="clear" w:color="auto" w:fill="auto"/>
          </w:tcPr>
          <w:p w:rsidR="000B4A1E" w:rsidRPr="0060297A" w:rsidRDefault="000B4A1E" w:rsidP="00517E51">
            <w:pPr>
              <w:pStyle w:val="Tabletext"/>
              <w:spacing w:after="40"/>
              <w:ind w:left="0" w:firstLine="0"/>
            </w:pPr>
            <w:r w:rsidRPr="0060297A">
              <w:t xml:space="preserve">Refer to </w:t>
            </w:r>
            <w:r w:rsidRPr="00645E54">
              <w:t>Chapter 4</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r w:rsidRPr="0060297A">
              <w:t>Section 24(2)</w:t>
            </w:r>
          </w:p>
        </w:tc>
        <w:tc>
          <w:tcPr>
            <w:tcW w:w="4183" w:type="dxa"/>
            <w:shd w:val="clear" w:color="auto" w:fill="auto"/>
          </w:tcPr>
          <w:p w:rsidR="000B4A1E" w:rsidRPr="0060297A" w:rsidRDefault="000B4A1E" w:rsidP="00517E51">
            <w:pPr>
              <w:pStyle w:val="Tabletext"/>
              <w:spacing w:after="40"/>
              <w:ind w:left="0" w:firstLine="0"/>
            </w:pPr>
            <w:r w:rsidRPr="0060297A">
              <w:t>The annual financial report:</w:t>
            </w:r>
          </w:p>
          <w:p w:rsidR="000B4A1E" w:rsidRPr="0060297A" w:rsidRDefault="000B4A1E" w:rsidP="00517E51">
            <w:pPr>
              <w:pStyle w:val="Tabletext"/>
              <w:tabs>
                <w:tab w:val="left" w:pos="344"/>
              </w:tabs>
              <w:spacing w:after="40"/>
              <w:ind w:left="362" w:hanging="362"/>
            </w:pPr>
            <w:r w:rsidRPr="0060297A">
              <w:t>(a)</w:t>
            </w:r>
            <w:r w:rsidRPr="0060297A">
              <w:tab/>
              <w:t>must be prepared in the manner and form determined by the Minister, having regard to appropriate financial reporting frameworks;</w:t>
            </w:r>
          </w:p>
        </w:tc>
        <w:tc>
          <w:tcPr>
            <w:tcW w:w="3240" w:type="dxa"/>
            <w:shd w:val="clear" w:color="auto" w:fill="auto"/>
          </w:tcPr>
          <w:p w:rsidR="000B4A1E" w:rsidRPr="006D06A3" w:rsidRDefault="000B4A1E" w:rsidP="00517E51">
            <w:pPr>
              <w:pStyle w:val="Tabletext"/>
              <w:spacing w:after="40"/>
              <w:ind w:left="0" w:firstLine="0"/>
            </w:pPr>
            <w:r w:rsidRPr="006D06A3">
              <w:t>Manner is in accordance with Australian Accounting Standards and Ministerial Directions. Form is consolidated comprehensive operating statement, consolidated balance sheet, consolidated cash flow statement, consolidated statement of changes in equity and accompanying notes. Refer to Chapter 4</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360" w:hanging="360"/>
            </w:pPr>
            <w:r w:rsidRPr="0060297A">
              <w:t>(b)</w:t>
            </w:r>
            <w:r w:rsidRPr="0060297A">
              <w:tab/>
              <w:t>must present fairly the financial position of the State and the Victorian general government sector at the end of the financial year; and</w:t>
            </w:r>
          </w:p>
        </w:tc>
        <w:tc>
          <w:tcPr>
            <w:tcW w:w="3240" w:type="dxa"/>
            <w:shd w:val="clear" w:color="auto" w:fill="auto"/>
          </w:tcPr>
          <w:p w:rsidR="000B4A1E" w:rsidRPr="006D06A3" w:rsidRDefault="000B4A1E" w:rsidP="00517E51">
            <w:pPr>
              <w:pStyle w:val="Tabletext"/>
              <w:spacing w:after="40"/>
              <w:ind w:left="0" w:firstLine="0"/>
            </w:pPr>
            <w:r w:rsidRPr="006D06A3">
              <w:t>Consolidated balance sheet, page 27</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indent"/>
              <w:spacing w:after="40"/>
              <w:ind w:left="720" w:hanging="360"/>
            </w:pPr>
            <w:r w:rsidRPr="0060297A">
              <w:t>(i)</w:t>
            </w:r>
            <w:r w:rsidRPr="0060297A">
              <w:tab/>
              <w:t>the transactions on the Public Account;</w:t>
            </w:r>
          </w:p>
        </w:tc>
        <w:tc>
          <w:tcPr>
            <w:tcW w:w="3240" w:type="dxa"/>
            <w:shd w:val="clear" w:color="auto" w:fill="auto"/>
          </w:tcPr>
          <w:p w:rsidR="000B4A1E" w:rsidRPr="006D06A3" w:rsidRDefault="000B4A1E" w:rsidP="00517E51">
            <w:pPr>
              <w:pStyle w:val="Tabletext"/>
              <w:spacing w:after="40"/>
              <w:ind w:left="0" w:firstLine="0"/>
            </w:pPr>
            <w:r w:rsidRPr="006D06A3">
              <w:t>Refer Chapter 4, Note 38 pages 157–187</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45E54" w:rsidRDefault="000B4A1E" w:rsidP="00517E51">
            <w:pPr>
              <w:pStyle w:val="TableTextindent"/>
              <w:spacing w:after="40"/>
              <w:ind w:left="720" w:hanging="360"/>
            </w:pPr>
            <w:r w:rsidRPr="00645E54">
              <w:t>(ii)</w:t>
            </w:r>
            <w:r w:rsidRPr="00645E54">
              <w:tab/>
              <w:t>the transactions of the Victorian general government sector; and</w:t>
            </w:r>
          </w:p>
        </w:tc>
        <w:tc>
          <w:tcPr>
            <w:tcW w:w="3240" w:type="dxa"/>
            <w:shd w:val="clear" w:color="auto" w:fill="auto"/>
          </w:tcPr>
          <w:p w:rsidR="000B4A1E" w:rsidRPr="006D06A3" w:rsidRDefault="000B4A1E" w:rsidP="00517E51">
            <w:pPr>
              <w:pStyle w:val="Tabletext"/>
              <w:spacing w:after="40"/>
              <w:ind w:left="0" w:firstLine="0"/>
            </w:pPr>
            <w:r w:rsidRPr="006D06A3">
              <w:t>Refer Chapter 4, consolidated comprehensive operating statement pages 25–26, consolidated cash flow statement pages 28–29 and selected notes</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indent"/>
              <w:spacing w:after="40"/>
              <w:ind w:left="720" w:hanging="360"/>
            </w:pPr>
            <w:r w:rsidRPr="0060297A">
              <w:t>(iii)</w:t>
            </w:r>
            <w:r w:rsidRPr="0060297A">
              <w:tab/>
              <w:t>other financial transactions of the State;</w:t>
            </w:r>
          </w:p>
        </w:tc>
        <w:tc>
          <w:tcPr>
            <w:tcW w:w="3240" w:type="dxa"/>
            <w:shd w:val="clear" w:color="auto" w:fill="auto"/>
          </w:tcPr>
          <w:p w:rsidR="000B4A1E" w:rsidRPr="006D06A3" w:rsidRDefault="000B4A1E" w:rsidP="00517E51">
            <w:pPr>
              <w:pStyle w:val="Tabletext"/>
              <w:spacing w:after="40"/>
              <w:ind w:left="0" w:firstLine="0"/>
            </w:pPr>
            <w:r w:rsidRPr="006D06A3">
              <w:t>Refer Chapter 4, consolidated comprehensive operating statement pages 25–26, consolidated cash flow statement pages 28–29 and Notes 2–38, pages 58–187</w:t>
            </w:r>
          </w:p>
        </w:tc>
      </w:tr>
      <w:tr w:rsidR="000B4A1E" w:rsidRPr="0060297A" w:rsidTr="00517E51">
        <w:trPr>
          <w:cantSplit/>
        </w:trPr>
        <w:tc>
          <w:tcPr>
            <w:tcW w:w="2250" w:type="dxa"/>
            <w:shd w:val="clear" w:color="auto" w:fill="auto"/>
          </w:tcPr>
          <w:p w:rsidR="000B4A1E" w:rsidRPr="0060297A" w:rsidRDefault="000B4A1E" w:rsidP="00517E51">
            <w:pPr>
              <w:pStyle w:val="Tabletext"/>
              <w:pageBreakBefore/>
              <w:spacing w:after="40"/>
              <w:ind w:left="187" w:hanging="187"/>
            </w:pPr>
          </w:p>
        </w:tc>
        <w:tc>
          <w:tcPr>
            <w:tcW w:w="4183" w:type="dxa"/>
            <w:shd w:val="clear" w:color="auto" w:fill="auto"/>
          </w:tcPr>
          <w:p w:rsidR="000B4A1E" w:rsidRPr="0060297A" w:rsidRDefault="000B4A1E" w:rsidP="00517E51">
            <w:pPr>
              <w:pStyle w:val="Tabletext"/>
              <w:spacing w:after="40"/>
              <w:ind w:left="0" w:firstLine="0"/>
            </w:pPr>
            <w:r w:rsidRPr="0060297A">
              <w:t>in respect of the financial year;</w:t>
            </w:r>
          </w:p>
        </w:tc>
        <w:tc>
          <w:tcPr>
            <w:tcW w:w="3240" w:type="dxa"/>
            <w:shd w:val="clear" w:color="auto" w:fill="auto"/>
          </w:tcPr>
          <w:p w:rsidR="000B4A1E" w:rsidRPr="006D06A3" w:rsidRDefault="000B4A1E" w:rsidP="00517E51">
            <w:pPr>
              <w:pStyle w:val="Tabletext"/>
              <w:spacing w:after="40"/>
              <w:ind w:left="0" w:firstLine="0"/>
            </w:pP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362" w:hanging="362"/>
            </w:pPr>
            <w:r w:rsidRPr="0060297A">
              <w:t>(c)</w:t>
            </w:r>
            <w:r w:rsidRPr="0060297A">
              <w:tab/>
              <w:t>must include details of amounts paid into working accounts under Section 23;</w:t>
            </w:r>
          </w:p>
        </w:tc>
        <w:tc>
          <w:tcPr>
            <w:tcW w:w="3240" w:type="dxa"/>
            <w:shd w:val="clear" w:color="auto" w:fill="auto"/>
          </w:tcPr>
          <w:p w:rsidR="000B4A1E" w:rsidRPr="006D06A3" w:rsidRDefault="000B4A1E" w:rsidP="00517E51">
            <w:pPr>
              <w:pStyle w:val="Tabletext"/>
              <w:spacing w:after="40"/>
              <w:ind w:left="0" w:firstLine="0"/>
            </w:pPr>
            <w:r w:rsidRPr="006D06A3">
              <w:t>Refer Chapter 4, Note 38 Table (g), page 164</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362" w:hanging="362"/>
            </w:pPr>
            <w:r w:rsidRPr="0060297A">
              <w:t>(d)</w:t>
            </w:r>
            <w:r w:rsidRPr="0060297A">
              <w:tab/>
              <w:t>must include details of amounts allocated to departments during the financial year under Section 28;</w:t>
            </w:r>
          </w:p>
        </w:tc>
        <w:tc>
          <w:tcPr>
            <w:tcW w:w="3240" w:type="dxa"/>
            <w:shd w:val="clear" w:color="auto" w:fill="auto"/>
          </w:tcPr>
          <w:p w:rsidR="000B4A1E" w:rsidRPr="006D06A3" w:rsidRDefault="000B4A1E" w:rsidP="00517E51">
            <w:pPr>
              <w:pStyle w:val="Tabletext"/>
              <w:spacing w:after="40"/>
              <w:ind w:left="0" w:firstLine="0"/>
            </w:pPr>
            <w:r w:rsidRPr="006D06A3">
              <w:t>Refer Chapter 4, Note 38 Table (h), page 164</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362" w:hanging="362"/>
            </w:pPr>
            <w:r w:rsidRPr="0060297A">
              <w:t>(e)</w:t>
            </w:r>
            <w:r w:rsidRPr="0060297A">
              <w:tab/>
              <w:t>must include details of money credited under Section 29 to an item in a schedule to an appropriation Act for that financial year;</w:t>
            </w:r>
          </w:p>
        </w:tc>
        <w:tc>
          <w:tcPr>
            <w:tcW w:w="3240" w:type="dxa"/>
            <w:shd w:val="clear" w:color="auto" w:fill="auto"/>
          </w:tcPr>
          <w:p w:rsidR="000B4A1E" w:rsidRPr="006D06A3" w:rsidRDefault="000B4A1E" w:rsidP="00517E51">
            <w:pPr>
              <w:pStyle w:val="Tabletext"/>
              <w:spacing w:after="40"/>
              <w:ind w:left="0" w:firstLine="0"/>
            </w:pPr>
            <w:r w:rsidRPr="006D06A3">
              <w:t>Refer Chapter 4, Note 38 Table (j), page 167</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362" w:hanging="362"/>
            </w:pPr>
            <w:r w:rsidRPr="0060297A">
              <w:t>(f)</w:t>
            </w:r>
            <w:r w:rsidRPr="0060297A">
              <w:tab/>
              <w:t>must include particulars of amounts transferred in accordance with determinations under Section 30 or 31;</w:t>
            </w:r>
          </w:p>
        </w:tc>
        <w:tc>
          <w:tcPr>
            <w:tcW w:w="3240" w:type="dxa"/>
            <w:shd w:val="clear" w:color="auto" w:fill="auto"/>
          </w:tcPr>
          <w:p w:rsidR="000B4A1E" w:rsidRPr="006D06A3" w:rsidRDefault="000B4A1E" w:rsidP="00517E51">
            <w:pPr>
              <w:pStyle w:val="Tabletext"/>
              <w:spacing w:after="40"/>
              <w:ind w:left="0" w:firstLine="0"/>
            </w:pPr>
            <w:r w:rsidRPr="006D06A3">
              <w:t>Refer Chapter 4, Note 38 Table (i), page 166</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362" w:hanging="362"/>
            </w:pPr>
            <w:r w:rsidRPr="0060297A">
              <w:t>(g)</w:t>
            </w:r>
            <w:r w:rsidRPr="0060297A">
              <w:tab/>
              <w:t>must include details of;</w:t>
            </w:r>
          </w:p>
        </w:tc>
        <w:tc>
          <w:tcPr>
            <w:tcW w:w="3240" w:type="dxa"/>
            <w:shd w:val="clear" w:color="auto" w:fill="auto"/>
          </w:tcPr>
          <w:p w:rsidR="000B4A1E" w:rsidRPr="006D06A3" w:rsidRDefault="000B4A1E" w:rsidP="00517E51">
            <w:pPr>
              <w:pStyle w:val="Tabletext"/>
              <w:spacing w:after="40"/>
              <w:ind w:left="0" w:firstLine="0"/>
            </w:pP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indent"/>
              <w:spacing w:after="40"/>
              <w:ind w:left="720" w:hanging="360"/>
            </w:pPr>
            <w:r w:rsidRPr="0060297A">
              <w:t>(i)</w:t>
            </w:r>
            <w:r w:rsidRPr="0060297A">
              <w:tab/>
              <w:t>amounts appropriated in respect of the financial year as a result of a determination under Section 32 in respect of unused appropriation for the preceding financial year;</w:t>
            </w:r>
          </w:p>
        </w:tc>
        <w:tc>
          <w:tcPr>
            <w:tcW w:w="3240" w:type="dxa"/>
            <w:shd w:val="clear" w:color="auto" w:fill="auto"/>
          </w:tcPr>
          <w:p w:rsidR="000B4A1E" w:rsidRPr="006D06A3" w:rsidRDefault="000B4A1E" w:rsidP="00517E51">
            <w:pPr>
              <w:pStyle w:val="Tabletext"/>
              <w:spacing w:after="40"/>
              <w:ind w:left="0" w:firstLine="0"/>
            </w:pPr>
            <w:r w:rsidRPr="006D06A3">
              <w:t>Refer Chapter 4, Note 38 Table (k), page 168</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indent"/>
              <w:spacing w:after="40"/>
              <w:ind w:left="720" w:hanging="360"/>
            </w:pPr>
            <w:r w:rsidRPr="0060297A">
              <w:t>(ii)</w:t>
            </w:r>
            <w:r w:rsidRPr="0060297A">
              <w:tab/>
              <w:t>the application during the financial year of amounts referred to in sub</w:t>
            </w:r>
            <w:r>
              <w:noBreakHyphen/>
            </w:r>
            <w:r w:rsidRPr="0060297A">
              <w:t>paragraph (i); and</w:t>
            </w:r>
          </w:p>
        </w:tc>
        <w:tc>
          <w:tcPr>
            <w:tcW w:w="3240" w:type="dxa"/>
            <w:shd w:val="clear" w:color="auto" w:fill="auto"/>
          </w:tcPr>
          <w:p w:rsidR="000B4A1E" w:rsidRPr="006D06A3" w:rsidRDefault="000B4A1E" w:rsidP="00517E51">
            <w:pPr>
              <w:pStyle w:val="Tabletext"/>
              <w:spacing w:after="40"/>
              <w:ind w:left="0" w:firstLine="0"/>
            </w:pPr>
            <w:r w:rsidRPr="006D06A3">
              <w:t>Refer Chapter 4, Note 38 Table (k), page 168</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indent"/>
              <w:spacing w:after="40"/>
              <w:ind w:left="720" w:hanging="360"/>
            </w:pPr>
            <w:r w:rsidRPr="0060297A">
              <w:t>(iii)</w:t>
            </w:r>
            <w:r w:rsidRPr="0060297A">
              <w:tab/>
              <w:t>amounts appropriated in respect of the next financial year as a result of a determination under Section 32 in respect of unused appropriation for the financial year;</w:t>
            </w:r>
          </w:p>
        </w:tc>
        <w:tc>
          <w:tcPr>
            <w:tcW w:w="3240" w:type="dxa"/>
            <w:shd w:val="clear" w:color="auto" w:fill="auto"/>
          </w:tcPr>
          <w:p w:rsidR="000B4A1E" w:rsidRPr="006D06A3" w:rsidRDefault="000B4A1E" w:rsidP="00517E51">
            <w:pPr>
              <w:pStyle w:val="Tabletext"/>
              <w:spacing w:after="40"/>
              <w:ind w:left="0" w:firstLine="0"/>
            </w:pPr>
            <w:r w:rsidRPr="006D06A3">
              <w:t>Refer Chapter 4, Note 38 Table (k), page 169</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ind w:left="187" w:hanging="187"/>
            </w:pPr>
          </w:p>
        </w:tc>
        <w:tc>
          <w:tcPr>
            <w:tcW w:w="4183" w:type="dxa"/>
            <w:shd w:val="clear" w:color="auto" w:fill="auto"/>
          </w:tcPr>
          <w:p w:rsidR="000B4A1E" w:rsidRPr="0060297A" w:rsidRDefault="000B4A1E" w:rsidP="00517E51">
            <w:pPr>
              <w:pStyle w:val="Tabletext"/>
              <w:tabs>
                <w:tab w:val="left" w:pos="344"/>
              </w:tabs>
              <w:spacing w:after="40"/>
              <w:ind w:left="362" w:hanging="362"/>
            </w:pPr>
            <w:r w:rsidRPr="0060297A">
              <w:t>(h)</w:t>
            </w:r>
            <w:r w:rsidRPr="0060297A">
              <w:tab/>
              <w:t>must include;</w:t>
            </w:r>
          </w:p>
        </w:tc>
        <w:tc>
          <w:tcPr>
            <w:tcW w:w="3240" w:type="dxa"/>
            <w:shd w:val="clear" w:color="auto" w:fill="auto"/>
          </w:tcPr>
          <w:p w:rsidR="000B4A1E" w:rsidRPr="006D06A3" w:rsidRDefault="000B4A1E" w:rsidP="00517E51">
            <w:pPr>
              <w:pStyle w:val="Tabletext"/>
              <w:spacing w:after="40"/>
              <w:ind w:left="0" w:firstLine="0"/>
            </w:pP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706" w:hanging="362"/>
            </w:pPr>
            <w:r w:rsidRPr="0060297A">
              <w:t>(i)</w:t>
            </w:r>
            <w:r w:rsidRPr="0060297A">
              <w:tab/>
              <w:t>details of expenses and obligations met from money advanced to the Minister under Section 35(1) during the financial year; and</w:t>
            </w:r>
          </w:p>
        </w:tc>
        <w:tc>
          <w:tcPr>
            <w:tcW w:w="3240" w:type="dxa"/>
            <w:shd w:val="clear" w:color="auto" w:fill="auto"/>
          </w:tcPr>
          <w:p w:rsidR="000B4A1E" w:rsidRPr="006D06A3" w:rsidRDefault="000B4A1E" w:rsidP="00517E51">
            <w:pPr>
              <w:pStyle w:val="Tabletext"/>
              <w:spacing w:after="40"/>
              <w:ind w:left="0" w:firstLine="0"/>
            </w:pPr>
            <w:r w:rsidRPr="006D06A3">
              <w:t>Refer Chapter 4, Note 38 Table (m), page 172</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706" w:hanging="362"/>
            </w:pPr>
            <w:r w:rsidRPr="0060297A">
              <w:t>(ii)</w:t>
            </w:r>
            <w:r w:rsidRPr="0060297A">
              <w:tab/>
              <w:t>a statement of the reasons for carrying forward any part of an unused advance to the next financial year under Section 35(4);</w:t>
            </w:r>
          </w:p>
        </w:tc>
        <w:tc>
          <w:tcPr>
            <w:tcW w:w="3240" w:type="dxa"/>
            <w:shd w:val="clear" w:color="auto" w:fill="auto"/>
          </w:tcPr>
          <w:p w:rsidR="000B4A1E" w:rsidRPr="006D06A3" w:rsidRDefault="000B4A1E" w:rsidP="00517E51">
            <w:pPr>
              <w:pStyle w:val="Tabletext"/>
              <w:spacing w:after="40"/>
              <w:ind w:left="0" w:firstLine="0"/>
            </w:pPr>
            <w:r w:rsidRPr="006D06A3">
              <w:t>Refer Chapter 4, Note 38 see (n), page 172</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362" w:hanging="362"/>
            </w:pPr>
            <w:r w:rsidRPr="0060297A">
              <w:t>(i)</w:t>
            </w:r>
            <w:r w:rsidRPr="0060297A">
              <w:tab/>
              <w:t>must include details of payments made during the financial year out of money advanced to the Treasurer</w:t>
            </w:r>
            <w:r>
              <w:t xml:space="preserve"> in an annual appropriation Act </w:t>
            </w:r>
            <w:r w:rsidRPr="0060297A">
              <w:t>for that year to meet urgent claims;</w:t>
            </w:r>
          </w:p>
        </w:tc>
        <w:tc>
          <w:tcPr>
            <w:tcW w:w="3240" w:type="dxa"/>
            <w:shd w:val="clear" w:color="auto" w:fill="auto"/>
          </w:tcPr>
          <w:p w:rsidR="000B4A1E" w:rsidRPr="006D06A3" w:rsidRDefault="000B4A1E" w:rsidP="00517E51">
            <w:pPr>
              <w:pStyle w:val="Tabletext"/>
              <w:spacing w:after="40"/>
              <w:ind w:left="0" w:firstLine="0"/>
            </w:pPr>
            <w:r w:rsidRPr="006D06A3">
              <w:t>Refer Chapter 4, Note 38 Table (l), pages 170–171</w:t>
            </w:r>
          </w:p>
        </w:tc>
      </w:tr>
      <w:tr w:rsidR="000B4A1E" w:rsidRPr="0060297A" w:rsidTr="00517E51">
        <w:trPr>
          <w:cantSplit/>
        </w:trPr>
        <w:tc>
          <w:tcPr>
            <w:tcW w:w="2250" w:type="dxa"/>
            <w:shd w:val="clear" w:color="auto" w:fill="auto"/>
          </w:tcPr>
          <w:p w:rsidR="000B4A1E" w:rsidRPr="0060297A" w:rsidRDefault="000B4A1E" w:rsidP="00517E51">
            <w:pPr>
              <w:pStyle w:val="Tabletext"/>
              <w:pageBreakBefore/>
              <w:ind w:left="187" w:hanging="187"/>
            </w:pPr>
          </w:p>
        </w:tc>
        <w:tc>
          <w:tcPr>
            <w:tcW w:w="4183" w:type="dxa"/>
            <w:shd w:val="clear" w:color="auto" w:fill="auto"/>
          </w:tcPr>
          <w:p w:rsidR="000B4A1E" w:rsidRPr="0060297A" w:rsidRDefault="000B4A1E" w:rsidP="00517E51">
            <w:pPr>
              <w:pStyle w:val="Tabletext"/>
              <w:tabs>
                <w:tab w:val="left" w:pos="344"/>
              </w:tabs>
              <w:ind w:left="362" w:hanging="362"/>
            </w:pPr>
            <w:r w:rsidRPr="0060297A">
              <w:t>(j)</w:t>
            </w:r>
            <w:r w:rsidRPr="0060297A">
              <w:tab/>
              <w:t>must include details of;</w:t>
            </w:r>
          </w:p>
        </w:tc>
        <w:tc>
          <w:tcPr>
            <w:tcW w:w="3240" w:type="dxa"/>
            <w:shd w:val="clear" w:color="auto" w:fill="auto"/>
          </w:tcPr>
          <w:p w:rsidR="000B4A1E" w:rsidRPr="006D06A3" w:rsidRDefault="000B4A1E" w:rsidP="00517E51">
            <w:pPr>
              <w:pStyle w:val="Tabletext"/>
              <w:ind w:left="0" w:firstLine="0"/>
            </w:pPr>
          </w:p>
        </w:tc>
      </w:tr>
      <w:tr w:rsidR="000B4A1E" w:rsidRPr="0060297A" w:rsidTr="00517E51">
        <w:trPr>
          <w:cantSplit/>
        </w:trPr>
        <w:tc>
          <w:tcPr>
            <w:tcW w:w="2250" w:type="dxa"/>
            <w:shd w:val="clear" w:color="auto" w:fill="auto"/>
          </w:tcPr>
          <w:p w:rsidR="000B4A1E" w:rsidRPr="00B06225"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706" w:hanging="362"/>
            </w:pPr>
            <w:r w:rsidRPr="0060297A">
              <w:t>(i)</w:t>
            </w:r>
            <w:r w:rsidRPr="0060297A">
              <w:tab/>
              <w:t>payments made during the financial year in fulfilment of any guarantee by the Government under any Act; and</w:t>
            </w:r>
          </w:p>
        </w:tc>
        <w:tc>
          <w:tcPr>
            <w:tcW w:w="3240" w:type="dxa"/>
            <w:shd w:val="clear" w:color="auto" w:fill="auto"/>
          </w:tcPr>
          <w:p w:rsidR="000B4A1E" w:rsidRPr="006D06A3" w:rsidRDefault="000B4A1E" w:rsidP="00517E51">
            <w:pPr>
              <w:pStyle w:val="Tabletext"/>
              <w:spacing w:after="40"/>
              <w:ind w:left="0" w:firstLine="0"/>
            </w:pPr>
            <w:r w:rsidRPr="006D06A3">
              <w:t>Refer Chapter 4, Note 38, see (aa), page 187</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706" w:hanging="362"/>
            </w:pPr>
            <w:r w:rsidRPr="0060297A">
              <w:t>(ii)</w:t>
            </w:r>
            <w:r w:rsidRPr="0060297A">
              <w:tab/>
              <w:t>money received or recovered by the Minister or Treasurer during the financial year in respect of any guarantee payments;</w:t>
            </w:r>
          </w:p>
        </w:tc>
        <w:tc>
          <w:tcPr>
            <w:tcW w:w="3240" w:type="dxa"/>
            <w:shd w:val="clear" w:color="auto" w:fill="auto"/>
          </w:tcPr>
          <w:p w:rsidR="000B4A1E" w:rsidRPr="006D06A3" w:rsidRDefault="000B4A1E" w:rsidP="00517E51">
            <w:pPr>
              <w:pStyle w:val="Tabletext"/>
              <w:spacing w:after="40"/>
              <w:ind w:left="0" w:firstLine="0"/>
            </w:pPr>
            <w:r w:rsidRPr="006D06A3">
              <w:t>Refer Chapter 4, Note 38, see (aa), page 187</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ind w:left="187" w:hanging="187"/>
            </w:pPr>
            <w:r w:rsidRPr="0060297A">
              <w:br w:type="page"/>
            </w:r>
          </w:p>
        </w:tc>
        <w:tc>
          <w:tcPr>
            <w:tcW w:w="4183" w:type="dxa"/>
            <w:shd w:val="clear" w:color="auto" w:fill="auto"/>
          </w:tcPr>
          <w:p w:rsidR="000B4A1E" w:rsidRPr="0060297A" w:rsidRDefault="000B4A1E" w:rsidP="00517E51">
            <w:pPr>
              <w:pStyle w:val="Tabletext"/>
              <w:tabs>
                <w:tab w:val="left" w:pos="344"/>
              </w:tabs>
              <w:spacing w:after="40"/>
              <w:ind w:left="362" w:hanging="362"/>
            </w:pPr>
            <w:r w:rsidRPr="0060297A">
              <w:t>(k)</w:t>
            </w:r>
            <w:r w:rsidRPr="0060297A">
              <w:tab/>
              <w:t>must include details, as at the end of the financial year, of;</w:t>
            </w:r>
          </w:p>
        </w:tc>
        <w:tc>
          <w:tcPr>
            <w:tcW w:w="3240" w:type="dxa"/>
            <w:shd w:val="clear" w:color="auto" w:fill="auto"/>
          </w:tcPr>
          <w:p w:rsidR="000B4A1E" w:rsidRPr="006D06A3" w:rsidRDefault="000B4A1E" w:rsidP="00517E51">
            <w:pPr>
              <w:pStyle w:val="Tabletext"/>
              <w:spacing w:after="40"/>
              <w:ind w:left="0" w:firstLine="0"/>
            </w:pP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706" w:hanging="362"/>
            </w:pPr>
            <w:r w:rsidRPr="0060297A">
              <w:t>(i)</w:t>
            </w:r>
            <w:r w:rsidRPr="0060297A">
              <w:tab/>
              <w:t>the liabilities (including contingent liabilities under guarantees and indemnities or in respect of superannuation payments and all other contingent liabilities) and assets of the State; and</w:t>
            </w:r>
          </w:p>
        </w:tc>
        <w:tc>
          <w:tcPr>
            <w:tcW w:w="3240" w:type="dxa"/>
            <w:shd w:val="clear" w:color="auto" w:fill="auto"/>
          </w:tcPr>
          <w:p w:rsidR="000B4A1E" w:rsidRPr="006D06A3" w:rsidRDefault="000B4A1E" w:rsidP="00517E51">
            <w:pPr>
              <w:pStyle w:val="Tabletext"/>
              <w:spacing w:after="40"/>
              <w:ind w:left="0" w:firstLine="0"/>
            </w:pPr>
            <w:r w:rsidRPr="006D06A3">
              <w:t>Refer Chapter 4, Note 34 pages 147–185, Note 8 pages </w:t>
            </w:r>
            <w:r w:rsidRPr="006D06A3">
              <w:br/>
              <w:t>71–74 and consolidated balance sheet page 27</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706" w:hanging="362"/>
            </w:pPr>
            <w:r w:rsidRPr="0060297A">
              <w:t>(ii)</w:t>
            </w:r>
            <w:r w:rsidRPr="0060297A">
              <w:tab/>
              <w:t>prescribed assets and prescribed liabilities of prescribed bodies;</w:t>
            </w:r>
          </w:p>
        </w:tc>
        <w:tc>
          <w:tcPr>
            <w:tcW w:w="3240" w:type="dxa"/>
            <w:shd w:val="clear" w:color="auto" w:fill="auto"/>
          </w:tcPr>
          <w:p w:rsidR="000B4A1E" w:rsidRPr="006D06A3" w:rsidRDefault="000B4A1E" w:rsidP="00517E51">
            <w:pPr>
              <w:pStyle w:val="Tabletext"/>
              <w:spacing w:after="40"/>
              <w:ind w:left="0" w:firstLine="0"/>
            </w:pPr>
            <w:r w:rsidRPr="006D06A3">
              <w:t>Refer Chapter 4, Note 2 pages </w:t>
            </w:r>
            <w:r w:rsidRPr="006D06A3">
              <w:br/>
              <w:t>58–67, Refer Chapter 5, Table 5.2 page 208</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ind w:left="187" w:hanging="187"/>
            </w:pPr>
          </w:p>
        </w:tc>
        <w:tc>
          <w:tcPr>
            <w:tcW w:w="4183" w:type="dxa"/>
            <w:shd w:val="clear" w:color="auto" w:fill="auto"/>
          </w:tcPr>
          <w:p w:rsidR="000B4A1E" w:rsidRPr="0060297A" w:rsidRDefault="000B4A1E" w:rsidP="00517E51">
            <w:pPr>
              <w:pStyle w:val="Tabletext"/>
              <w:tabs>
                <w:tab w:val="left" w:pos="344"/>
              </w:tabs>
              <w:spacing w:after="40"/>
              <w:ind w:left="362" w:hanging="362"/>
            </w:pPr>
            <w:r w:rsidRPr="0060297A">
              <w:t>(m) must be audited by the Auditor</w:t>
            </w:r>
            <w:r>
              <w:noBreakHyphen/>
            </w:r>
            <w:r w:rsidRPr="0060297A">
              <w:t>General.</w:t>
            </w:r>
          </w:p>
        </w:tc>
        <w:tc>
          <w:tcPr>
            <w:tcW w:w="3240" w:type="dxa"/>
            <w:shd w:val="clear" w:color="auto" w:fill="auto"/>
          </w:tcPr>
          <w:p w:rsidR="000B4A1E" w:rsidRPr="006D06A3" w:rsidRDefault="000B4A1E" w:rsidP="00517E51">
            <w:pPr>
              <w:pStyle w:val="Tabletext"/>
              <w:spacing w:after="40"/>
              <w:ind w:left="0" w:firstLine="0"/>
            </w:pPr>
            <w:r w:rsidRPr="006D06A3">
              <w:t>Refer Chapter 4, Report of the Auditor</w:t>
            </w:r>
            <w:r w:rsidRPr="006D06A3">
              <w:noBreakHyphen/>
              <w:t>General, pages 22–23</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r w:rsidRPr="0060297A">
              <w:t>Section 26(1)</w:t>
            </w:r>
          </w:p>
        </w:tc>
        <w:tc>
          <w:tcPr>
            <w:tcW w:w="4183" w:type="dxa"/>
            <w:shd w:val="clear" w:color="auto" w:fill="auto"/>
          </w:tcPr>
          <w:p w:rsidR="000B4A1E" w:rsidRPr="0060297A" w:rsidRDefault="000B4A1E" w:rsidP="00517E51">
            <w:pPr>
              <w:pStyle w:val="Tabletext"/>
              <w:spacing w:after="40"/>
              <w:ind w:left="0" w:firstLine="0"/>
            </w:pPr>
            <w:r w:rsidRPr="0060297A">
              <w:t xml:space="preserve">The Minister must prepare a </w:t>
            </w:r>
            <w:r w:rsidRPr="0060297A">
              <w:rPr>
                <w:szCs w:val="24"/>
              </w:rPr>
              <w:t>quarterly</w:t>
            </w:r>
            <w:r w:rsidRPr="0060297A">
              <w:t xml:space="preserve"> financial report for each quarter of each financial year.</w:t>
            </w:r>
          </w:p>
        </w:tc>
        <w:tc>
          <w:tcPr>
            <w:tcW w:w="3240" w:type="dxa"/>
            <w:shd w:val="clear" w:color="auto" w:fill="auto"/>
          </w:tcPr>
          <w:p w:rsidR="000B4A1E" w:rsidRPr="006D06A3" w:rsidRDefault="000B4A1E" w:rsidP="00517E51">
            <w:pPr>
              <w:pStyle w:val="Tabletext"/>
              <w:spacing w:after="40"/>
              <w:ind w:left="0" w:firstLine="0"/>
            </w:pPr>
            <w:r w:rsidRPr="006D06A3">
              <w:t xml:space="preserve">Refer Appendix A, pages </w:t>
            </w:r>
            <w:r w:rsidRPr="006D06A3">
              <w:br/>
              <w:t>217–220</w:t>
            </w:r>
          </w:p>
        </w:tc>
      </w:tr>
      <w:tr w:rsidR="000B4A1E" w:rsidRPr="0060297A" w:rsidTr="00517E51">
        <w:trPr>
          <w:cantSplit/>
        </w:trPr>
        <w:tc>
          <w:tcPr>
            <w:tcW w:w="2250" w:type="dxa"/>
            <w:shd w:val="clear" w:color="auto" w:fill="auto"/>
          </w:tcPr>
          <w:p w:rsidR="000B4A1E" w:rsidRPr="0060297A" w:rsidRDefault="000B4A1E" w:rsidP="00517E51">
            <w:pPr>
              <w:pStyle w:val="Tabletext"/>
            </w:pPr>
            <w:r w:rsidRPr="0060297A">
              <w:t>Section 26(2)</w:t>
            </w:r>
          </w:p>
        </w:tc>
        <w:tc>
          <w:tcPr>
            <w:tcW w:w="4183" w:type="dxa"/>
            <w:shd w:val="clear" w:color="auto" w:fill="auto"/>
          </w:tcPr>
          <w:p w:rsidR="000B4A1E" w:rsidRPr="0060297A" w:rsidRDefault="000B4A1E" w:rsidP="00517E51">
            <w:pPr>
              <w:pStyle w:val="Tabletext"/>
              <w:ind w:left="0" w:firstLine="0"/>
            </w:pPr>
            <w:r w:rsidRPr="0060297A">
              <w:t>A quarterly financial report comprises:</w:t>
            </w:r>
          </w:p>
        </w:tc>
        <w:tc>
          <w:tcPr>
            <w:tcW w:w="3240" w:type="dxa"/>
            <w:shd w:val="clear" w:color="auto" w:fill="auto"/>
          </w:tcPr>
          <w:p w:rsidR="000B4A1E" w:rsidRPr="006D06A3" w:rsidRDefault="000B4A1E" w:rsidP="00517E51">
            <w:pPr>
              <w:pStyle w:val="Tabletext"/>
              <w:ind w:left="0" w:firstLine="0"/>
            </w:pP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362" w:hanging="362"/>
            </w:pPr>
            <w:r w:rsidRPr="0060297A">
              <w:t>(a)</w:t>
            </w:r>
            <w:r w:rsidRPr="0060297A">
              <w:tab/>
              <w:t>a statement of financial performance of the Victorian general government sector for the quarter;</w:t>
            </w:r>
          </w:p>
        </w:tc>
        <w:tc>
          <w:tcPr>
            <w:tcW w:w="3240" w:type="dxa"/>
            <w:shd w:val="clear" w:color="auto" w:fill="auto"/>
          </w:tcPr>
          <w:p w:rsidR="000B4A1E" w:rsidRPr="006D06A3" w:rsidRDefault="000B4A1E" w:rsidP="00517E51">
            <w:pPr>
              <w:pStyle w:val="Tabletext"/>
              <w:spacing w:after="40"/>
              <w:ind w:left="0" w:firstLine="0"/>
            </w:pPr>
            <w:r w:rsidRPr="006D06A3">
              <w:t>Refer Appendix A, pages</w:t>
            </w:r>
            <w:r w:rsidRPr="006D06A3">
              <w:br/>
              <w:t>217</w:t>
            </w:r>
            <w:r>
              <w:t>–</w:t>
            </w:r>
            <w:r w:rsidRPr="006D06A3">
              <w:t>218</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362" w:hanging="362"/>
            </w:pPr>
            <w:r w:rsidRPr="0060297A">
              <w:t>(b)</w:t>
            </w:r>
            <w:r w:rsidRPr="0060297A">
              <w:tab/>
              <w:t>a statement of financial position of the Victorian general government sector at the end of the quarter;</w:t>
            </w:r>
          </w:p>
        </w:tc>
        <w:tc>
          <w:tcPr>
            <w:tcW w:w="3240" w:type="dxa"/>
            <w:shd w:val="clear" w:color="auto" w:fill="auto"/>
          </w:tcPr>
          <w:p w:rsidR="000B4A1E" w:rsidRPr="006D06A3" w:rsidRDefault="000B4A1E" w:rsidP="00517E51">
            <w:pPr>
              <w:pStyle w:val="Tabletext"/>
              <w:spacing w:after="40"/>
              <w:ind w:left="0" w:firstLine="0"/>
            </w:pPr>
            <w:r w:rsidRPr="006D06A3">
              <w:t>Refer Appendix A, page 219</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362" w:hanging="362"/>
            </w:pPr>
            <w:r w:rsidRPr="0060297A">
              <w:t>(c)</w:t>
            </w:r>
            <w:r w:rsidRPr="0060297A">
              <w:tab/>
              <w:t>a statement of cash flows of the Victorian general government sector for the quarter; and</w:t>
            </w:r>
          </w:p>
        </w:tc>
        <w:tc>
          <w:tcPr>
            <w:tcW w:w="3240" w:type="dxa"/>
            <w:shd w:val="clear" w:color="auto" w:fill="auto"/>
          </w:tcPr>
          <w:p w:rsidR="000B4A1E" w:rsidRPr="006D06A3" w:rsidRDefault="000B4A1E" w:rsidP="00517E51">
            <w:pPr>
              <w:pStyle w:val="Tabletext"/>
              <w:spacing w:after="40"/>
              <w:ind w:left="0" w:firstLine="0"/>
            </w:pPr>
            <w:r w:rsidRPr="006D06A3">
              <w:t>Refer Appendix A, page 220</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p>
        </w:tc>
        <w:tc>
          <w:tcPr>
            <w:tcW w:w="4183" w:type="dxa"/>
            <w:shd w:val="clear" w:color="auto" w:fill="auto"/>
          </w:tcPr>
          <w:p w:rsidR="000B4A1E" w:rsidRPr="0060297A" w:rsidRDefault="000B4A1E" w:rsidP="00517E51">
            <w:pPr>
              <w:pStyle w:val="Tabletext"/>
              <w:tabs>
                <w:tab w:val="left" w:pos="344"/>
              </w:tabs>
              <w:spacing w:after="40"/>
              <w:ind w:left="362" w:hanging="362"/>
            </w:pPr>
            <w:r w:rsidRPr="0060297A">
              <w:t>(d)</w:t>
            </w:r>
            <w:r w:rsidRPr="0060297A">
              <w:tab/>
              <w:t>a statement of the accounting policies on which the statements required by paragraphs (a), (b) and (c) are based.</w:t>
            </w:r>
          </w:p>
        </w:tc>
        <w:tc>
          <w:tcPr>
            <w:tcW w:w="3240" w:type="dxa"/>
            <w:shd w:val="clear" w:color="auto" w:fill="auto"/>
          </w:tcPr>
          <w:p w:rsidR="000B4A1E" w:rsidRPr="006D06A3" w:rsidRDefault="000B4A1E" w:rsidP="00517E51">
            <w:pPr>
              <w:pStyle w:val="Tabletext"/>
              <w:spacing w:after="40"/>
              <w:ind w:left="0" w:firstLine="0"/>
            </w:pPr>
            <w:r w:rsidRPr="006D06A3">
              <w:t xml:space="preserve">Refer Chapter 4, Note 1 pages </w:t>
            </w:r>
            <w:r w:rsidRPr="006D06A3">
              <w:br/>
              <w:t>33–57</w:t>
            </w:r>
          </w:p>
        </w:tc>
      </w:tr>
      <w:tr w:rsidR="000B4A1E" w:rsidRPr="0060297A" w:rsidTr="00517E51">
        <w:trPr>
          <w:cantSplit/>
        </w:trPr>
        <w:tc>
          <w:tcPr>
            <w:tcW w:w="2250" w:type="dxa"/>
            <w:shd w:val="clear" w:color="auto" w:fill="auto"/>
          </w:tcPr>
          <w:p w:rsidR="000B4A1E" w:rsidRPr="0060297A" w:rsidRDefault="000B4A1E" w:rsidP="00517E51">
            <w:pPr>
              <w:pStyle w:val="Tabletext"/>
              <w:spacing w:after="40"/>
            </w:pPr>
            <w:r w:rsidRPr="0060297A">
              <w:t>Section 26(2A)</w:t>
            </w:r>
          </w:p>
        </w:tc>
        <w:tc>
          <w:tcPr>
            <w:tcW w:w="4183" w:type="dxa"/>
            <w:shd w:val="clear" w:color="auto" w:fill="auto"/>
          </w:tcPr>
          <w:p w:rsidR="000B4A1E" w:rsidRPr="0060297A" w:rsidRDefault="000B4A1E" w:rsidP="00517E51">
            <w:pPr>
              <w:pStyle w:val="Tabletext"/>
              <w:spacing w:after="40"/>
              <w:ind w:left="0" w:firstLine="0"/>
            </w:pPr>
            <w:r w:rsidRPr="0060297A">
              <w:t>A quarterly financial report must be prepared in the manner and form determined by the Minister, having regard to appropriate financial reporting frameworks.</w:t>
            </w:r>
          </w:p>
        </w:tc>
        <w:tc>
          <w:tcPr>
            <w:tcW w:w="3240" w:type="dxa"/>
            <w:shd w:val="clear" w:color="auto" w:fill="auto"/>
          </w:tcPr>
          <w:p w:rsidR="000B4A1E" w:rsidRPr="006D06A3" w:rsidRDefault="000B4A1E" w:rsidP="00517E51">
            <w:pPr>
              <w:pStyle w:val="Tabletext"/>
              <w:spacing w:after="40"/>
              <w:ind w:left="0" w:firstLine="0"/>
            </w:pPr>
            <w:r w:rsidRPr="006D06A3">
              <w:t>Refer to Appendix A for agreed form, pages 217–220</w:t>
            </w:r>
          </w:p>
        </w:tc>
      </w:tr>
      <w:tr w:rsidR="000B4A1E" w:rsidRPr="0060297A" w:rsidTr="00517E51">
        <w:trPr>
          <w:cantSplit/>
        </w:trPr>
        <w:tc>
          <w:tcPr>
            <w:tcW w:w="2250" w:type="dxa"/>
            <w:tcBorders>
              <w:bottom w:val="single" w:sz="12" w:space="0" w:color="auto"/>
            </w:tcBorders>
            <w:shd w:val="clear" w:color="auto" w:fill="auto"/>
          </w:tcPr>
          <w:p w:rsidR="000B4A1E" w:rsidRPr="0060297A" w:rsidRDefault="000B4A1E" w:rsidP="00517E51">
            <w:pPr>
              <w:pStyle w:val="Tabletext"/>
              <w:spacing w:after="40"/>
              <w:ind w:left="187" w:hanging="187"/>
            </w:pPr>
            <w:r w:rsidRPr="0060297A">
              <w:t>Section 26(3A)</w:t>
            </w:r>
          </w:p>
        </w:tc>
        <w:tc>
          <w:tcPr>
            <w:tcW w:w="4183" w:type="dxa"/>
            <w:tcBorders>
              <w:bottom w:val="single" w:sz="12" w:space="0" w:color="auto"/>
            </w:tcBorders>
            <w:shd w:val="clear" w:color="auto" w:fill="auto"/>
          </w:tcPr>
          <w:p w:rsidR="000B4A1E" w:rsidRPr="0060297A" w:rsidRDefault="000B4A1E" w:rsidP="00517E51">
            <w:pPr>
              <w:pStyle w:val="Tabletext"/>
              <w:spacing w:after="40"/>
              <w:ind w:left="0" w:firstLine="0"/>
            </w:pPr>
            <w:r w:rsidRPr="0060297A">
              <w:t>The quarterly financial report for the quarter ending on 30 June in a financial year must include, in addition to the statements referred to in sub</w:t>
            </w:r>
            <w:r>
              <w:noBreakHyphen/>
            </w:r>
            <w:r w:rsidRPr="0060297A">
              <w:t>Section (2)(a) to (d) for that quarter, those statements for the period of 12 months ending on that 30 June.</w:t>
            </w:r>
          </w:p>
        </w:tc>
        <w:tc>
          <w:tcPr>
            <w:tcW w:w="3240" w:type="dxa"/>
            <w:tcBorders>
              <w:bottom w:val="single" w:sz="12" w:space="0" w:color="auto"/>
            </w:tcBorders>
            <w:shd w:val="clear" w:color="auto" w:fill="auto"/>
          </w:tcPr>
          <w:p w:rsidR="000B4A1E" w:rsidRPr="006D06A3" w:rsidRDefault="000B4A1E" w:rsidP="00517E51">
            <w:pPr>
              <w:pStyle w:val="Tabletext"/>
              <w:spacing w:after="40"/>
              <w:ind w:left="0" w:firstLine="0"/>
            </w:pPr>
            <w:r w:rsidRPr="006D06A3">
              <w:t>Refer to Chapter 4, consolidated comprehensive operating statement pages 25–26, consolidated balance sheet page 27, consolidated cash flow statement pages 28–29 and selected notes</w:t>
            </w:r>
          </w:p>
        </w:tc>
      </w:tr>
    </w:tbl>
    <w:p w:rsidR="000B4A1E" w:rsidRDefault="000B4A1E" w:rsidP="00517E51"/>
    <w:p w:rsidR="000B4A1E" w:rsidRDefault="000B4A1E" w:rsidP="00517E51"/>
    <w:p w:rsidR="000B4A1E" w:rsidRDefault="000B4A1E" w:rsidP="00EC7BE0"/>
    <w:p w:rsidR="000B4A1E" w:rsidRDefault="000B4A1E" w:rsidP="00FE76C7">
      <w:pPr>
        <w:sectPr w:rsidR="000B4A1E" w:rsidSect="00740862">
          <w:footerReference w:type="even" r:id="rId30"/>
          <w:footerReference w:type="default" r:id="rId31"/>
          <w:type w:val="oddPage"/>
          <w:pgSz w:w="11906" w:h="16838" w:code="9"/>
          <w:pgMar w:top="1152" w:right="1152" w:bottom="1152" w:left="1152" w:header="720" w:footer="576" w:gutter="0"/>
          <w:cols w:space="708"/>
          <w:docGrid w:linePitch="360"/>
        </w:sectPr>
      </w:pPr>
    </w:p>
    <w:p w:rsidR="000B4A1E" w:rsidRPr="00853083" w:rsidRDefault="000B4A1E" w:rsidP="00517E51">
      <w:pPr>
        <w:pStyle w:val="ChapterHeading"/>
      </w:pPr>
      <w:bookmarkStart w:id="210" w:name="_Toc367967904"/>
      <w:r w:rsidRPr="00853083">
        <w:lastRenderedPageBreak/>
        <w:t>Appendix C – Scope and style conventions</w:t>
      </w:r>
      <w:bookmarkEnd w:id="210"/>
    </w:p>
    <w:p w:rsidR="000B4A1E" w:rsidRDefault="000B4A1E" w:rsidP="00517E51">
      <w:pPr>
        <w:pStyle w:val="Heading2"/>
      </w:pPr>
      <w:r>
        <w:t>Scope of the Financial Report for the State of Victoria</w:t>
      </w:r>
    </w:p>
    <w:p w:rsidR="000B4A1E" w:rsidRDefault="000B4A1E" w:rsidP="00517E51">
      <w:pPr>
        <w:pStyle w:val="BulletText"/>
      </w:pPr>
      <w:r>
        <w:t>The state financial outcome reflects the consolidation of all entities that are controlled by the Victorian State Government. Entities included in the state outcome include all government departments and other organisations which are legally constituted bodies that are controlled by the State.</w:t>
      </w:r>
    </w:p>
    <w:p w:rsidR="000B4A1E" w:rsidRDefault="000B4A1E" w:rsidP="00517E51">
      <w:pPr>
        <w:pStyle w:val="BulletText"/>
      </w:pPr>
      <w:r>
        <w:t xml:space="preserve">The reporting structure for the entities reported in the </w:t>
      </w:r>
      <w:r w:rsidRPr="00467CBE">
        <w:rPr>
          <w:i/>
        </w:rPr>
        <w:t>Annual Financial Report for the State of Victoria</w:t>
      </w:r>
      <w:r>
        <w:t xml:space="preserve"> is based on that used in the System of National Accounts (SNA), and classifies each entity into either the general government sector, the public non</w:t>
      </w:r>
      <w:r>
        <w:noBreakHyphen/>
        <w:t xml:space="preserve">financial corporation sector or the public financial corporation sector. The chart below provides an overview of this reporting structure as applied in Victoria. </w:t>
      </w:r>
    </w:p>
    <w:p w:rsidR="000B4A1E" w:rsidRDefault="000B4A1E" w:rsidP="00517E51">
      <w:pPr>
        <w:pStyle w:val="Chartheading"/>
      </w:pPr>
      <w:r>
        <w:t>Chart C.1:</w:t>
      </w:r>
      <w:r>
        <w:tab/>
        <w:t>Entity framework for the State of Victoria</w:t>
      </w:r>
    </w:p>
    <w:p w:rsidR="000B4A1E" w:rsidRDefault="000B4A1E" w:rsidP="00517E51">
      <w:r>
        <w:rPr>
          <w:noProof/>
          <w:lang w:eastAsia="en-AU"/>
        </w:rPr>
        <mc:AlternateContent>
          <mc:Choice Requires="wpc">
            <w:drawing>
              <wp:inline distT="0" distB="0" distL="0" distR="0" wp14:anchorId="4DA0194E" wp14:editId="11F7B50F">
                <wp:extent cx="5581015" cy="2098040"/>
                <wp:effectExtent l="7620" t="11430" r="12065"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Rectangle 4"/>
                        <wps:cNvSpPr>
                          <a:spLocks noChangeArrowheads="1"/>
                        </wps:cNvSpPr>
                        <wps:spPr bwMode="auto">
                          <a:xfrm>
                            <a:off x="158115" y="991235"/>
                            <a:ext cx="1645920" cy="380365"/>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8" name="Rectangle 5"/>
                        <wps:cNvSpPr>
                          <a:spLocks noChangeArrowheads="1"/>
                        </wps:cNvSpPr>
                        <wps:spPr bwMode="auto">
                          <a:xfrm>
                            <a:off x="422910" y="1070610"/>
                            <a:ext cx="117538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F3E" w:rsidRPr="00480053" w:rsidRDefault="00103F3E" w:rsidP="00517E51">
                              <w:pPr>
                                <w:rPr>
                                  <w:rFonts w:ascii="Calibri" w:hAnsi="Calibri"/>
                                </w:rPr>
                              </w:pPr>
                              <w:r>
                                <w:rPr>
                                  <w:rFonts w:ascii="Calibri" w:hAnsi="Calibri" w:cs="Arial"/>
                                  <w:color w:val="000000"/>
                                  <w:sz w:val="22"/>
                                  <w:szCs w:val="22"/>
                                  <w:lang w:val="en-US"/>
                                </w:rPr>
                                <w:t>General g</w:t>
                              </w:r>
                              <w:r w:rsidRPr="00480053">
                                <w:rPr>
                                  <w:rFonts w:ascii="Calibri" w:hAnsi="Calibri" w:cs="Arial"/>
                                  <w:color w:val="000000"/>
                                  <w:sz w:val="22"/>
                                  <w:szCs w:val="22"/>
                                  <w:lang w:val="en-US"/>
                                </w:rPr>
                                <w:t xml:space="preserve">overnment </w:t>
                              </w:r>
                            </w:p>
                          </w:txbxContent>
                        </wps:txbx>
                        <wps:bodyPr rot="0" vert="horz" wrap="none" lIns="0" tIns="0" rIns="0" bIns="0" anchor="t" anchorCtr="0" upright="1">
                          <a:noAutofit/>
                        </wps:bodyPr>
                      </wps:wsp>
                      <wps:wsp>
                        <wps:cNvPr id="9" name="Rectangle 6"/>
                        <wps:cNvSpPr>
                          <a:spLocks noChangeArrowheads="1"/>
                        </wps:cNvSpPr>
                        <wps:spPr bwMode="auto">
                          <a:xfrm>
                            <a:off x="1933575" y="991235"/>
                            <a:ext cx="1612265" cy="380365"/>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10" name="Rectangle 7"/>
                        <wps:cNvSpPr>
                          <a:spLocks noChangeArrowheads="1"/>
                        </wps:cNvSpPr>
                        <wps:spPr bwMode="auto">
                          <a:xfrm>
                            <a:off x="2199005" y="1028700"/>
                            <a:ext cx="111569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F3E" w:rsidRPr="00480053" w:rsidRDefault="00103F3E" w:rsidP="00517E51">
                              <w:pPr>
                                <w:rPr>
                                  <w:rFonts w:ascii="Calibri" w:hAnsi="Calibri"/>
                                </w:rPr>
                              </w:pPr>
                              <w:r>
                                <w:rPr>
                                  <w:rFonts w:ascii="Calibri" w:hAnsi="Calibri" w:cs="Arial"/>
                                  <w:color w:val="000000"/>
                                  <w:sz w:val="22"/>
                                  <w:szCs w:val="22"/>
                                  <w:lang w:val="en-US"/>
                                </w:rPr>
                                <w:t>Public non</w:t>
                              </w:r>
                              <w:r>
                                <w:rPr>
                                  <w:rFonts w:ascii="Calibri" w:hAnsi="Calibri" w:cs="Arial"/>
                                  <w:color w:val="000000"/>
                                  <w:sz w:val="22"/>
                                  <w:szCs w:val="22"/>
                                  <w:lang w:val="en-US"/>
                                </w:rPr>
                                <w:noBreakHyphen/>
                                <w:t>f</w:t>
                              </w:r>
                              <w:r w:rsidRPr="00480053">
                                <w:rPr>
                                  <w:rFonts w:ascii="Calibri" w:hAnsi="Calibri" w:cs="Arial"/>
                                  <w:color w:val="000000"/>
                                  <w:sz w:val="22"/>
                                  <w:szCs w:val="22"/>
                                  <w:lang w:val="en-US"/>
                                </w:rPr>
                                <w:t xml:space="preserve">inancial </w:t>
                              </w:r>
                            </w:p>
                          </w:txbxContent>
                        </wps:txbx>
                        <wps:bodyPr rot="0" vert="horz" wrap="none" lIns="0" tIns="0" rIns="0" bIns="0" anchor="t" anchorCtr="0" upright="1">
                          <a:noAutofit/>
                        </wps:bodyPr>
                      </wps:wsp>
                      <wps:wsp>
                        <wps:cNvPr id="11" name="Rectangle 8"/>
                        <wps:cNvSpPr>
                          <a:spLocks noChangeArrowheads="1"/>
                        </wps:cNvSpPr>
                        <wps:spPr bwMode="auto">
                          <a:xfrm>
                            <a:off x="2400300" y="1143000"/>
                            <a:ext cx="72517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F3E" w:rsidRDefault="00103F3E" w:rsidP="00517E51">
                              <w:r>
                                <w:rPr>
                                  <w:rFonts w:ascii="Calibri" w:hAnsi="Calibri" w:cs="Arial"/>
                                  <w:color w:val="000000"/>
                                  <w:sz w:val="22"/>
                                  <w:szCs w:val="22"/>
                                  <w:lang w:val="en-US"/>
                                </w:rPr>
                                <w:t>c</w:t>
                              </w:r>
                              <w:r w:rsidRPr="00480053">
                                <w:rPr>
                                  <w:rFonts w:ascii="Calibri" w:hAnsi="Calibri" w:cs="Arial"/>
                                  <w:color w:val="000000"/>
                                  <w:sz w:val="22"/>
                                  <w:szCs w:val="22"/>
                                  <w:lang w:val="en-US"/>
                                </w:rPr>
                                <w:t>orporations</w:t>
                              </w:r>
                              <w:r>
                                <w:rPr>
                                  <w:rFonts w:ascii="Arial" w:hAnsi="Arial" w:cs="Arial"/>
                                  <w:color w:val="000000"/>
                                  <w:sz w:val="22"/>
                                  <w:szCs w:val="22"/>
                                  <w:lang w:val="en-US"/>
                                </w:rPr>
                                <w:t xml:space="preserve"> </w:t>
                              </w:r>
                            </w:p>
                          </w:txbxContent>
                        </wps:txbx>
                        <wps:bodyPr rot="0" vert="horz" wrap="none" lIns="0" tIns="0" rIns="0" bIns="0" anchor="t" anchorCtr="0" upright="1">
                          <a:noAutofit/>
                        </wps:bodyPr>
                      </wps:wsp>
                      <wps:wsp>
                        <wps:cNvPr id="12" name="Rectangle 9"/>
                        <wps:cNvSpPr>
                          <a:spLocks noChangeArrowheads="1"/>
                        </wps:cNvSpPr>
                        <wps:spPr bwMode="auto">
                          <a:xfrm>
                            <a:off x="3665220" y="991235"/>
                            <a:ext cx="1706880" cy="380365"/>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13" name="Rectangle 10"/>
                        <wps:cNvSpPr>
                          <a:spLocks noChangeArrowheads="1"/>
                        </wps:cNvSpPr>
                        <wps:spPr bwMode="auto">
                          <a:xfrm>
                            <a:off x="4058920" y="1028700"/>
                            <a:ext cx="85598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F3E" w:rsidRDefault="00103F3E" w:rsidP="00517E51">
                              <w:r w:rsidRPr="00480053">
                                <w:rPr>
                                  <w:rFonts w:ascii="Calibri" w:hAnsi="Calibri" w:cs="Arial"/>
                                  <w:color w:val="000000"/>
                                  <w:sz w:val="22"/>
                                  <w:szCs w:val="22"/>
                                  <w:lang w:val="en-US"/>
                                </w:rPr>
                                <w:t>Public</w:t>
                              </w:r>
                              <w:r>
                                <w:rPr>
                                  <w:rFonts w:ascii="Arial" w:hAnsi="Arial" w:cs="Arial"/>
                                  <w:color w:val="000000"/>
                                  <w:sz w:val="22"/>
                                  <w:szCs w:val="22"/>
                                  <w:lang w:val="en-US"/>
                                </w:rPr>
                                <w:t xml:space="preserve"> f</w:t>
                              </w:r>
                              <w:r w:rsidRPr="00480053">
                                <w:rPr>
                                  <w:rFonts w:ascii="Calibri" w:hAnsi="Calibri" w:cs="Arial"/>
                                  <w:color w:val="000000"/>
                                  <w:sz w:val="22"/>
                                  <w:szCs w:val="22"/>
                                  <w:lang w:val="en-US"/>
                                </w:rPr>
                                <w:t>inancial</w:t>
                              </w:r>
                              <w:r>
                                <w:rPr>
                                  <w:rFonts w:ascii="Arial" w:hAnsi="Arial" w:cs="Arial"/>
                                  <w:color w:val="000000"/>
                                  <w:sz w:val="22"/>
                                  <w:szCs w:val="22"/>
                                  <w:lang w:val="en-US"/>
                                </w:rPr>
                                <w:t xml:space="preserve"> </w:t>
                              </w:r>
                            </w:p>
                          </w:txbxContent>
                        </wps:txbx>
                        <wps:bodyPr rot="0" vert="horz" wrap="none" lIns="0" tIns="0" rIns="0" bIns="0" anchor="t" anchorCtr="0" upright="1">
                          <a:noAutofit/>
                        </wps:bodyPr>
                      </wps:wsp>
                      <wps:wsp>
                        <wps:cNvPr id="14" name="Rectangle 11"/>
                        <wps:cNvSpPr>
                          <a:spLocks noChangeArrowheads="1"/>
                        </wps:cNvSpPr>
                        <wps:spPr bwMode="auto">
                          <a:xfrm>
                            <a:off x="4114800" y="1143000"/>
                            <a:ext cx="7251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F3E" w:rsidRDefault="00103F3E" w:rsidP="00517E51">
                              <w:r>
                                <w:rPr>
                                  <w:rFonts w:ascii="Calibri" w:hAnsi="Calibri" w:cs="Arial"/>
                                  <w:color w:val="000000"/>
                                  <w:sz w:val="22"/>
                                  <w:szCs w:val="22"/>
                                  <w:lang w:val="en-US"/>
                                </w:rPr>
                                <w:t>c</w:t>
                              </w:r>
                              <w:r w:rsidRPr="00480053">
                                <w:rPr>
                                  <w:rFonts w:ascii="Calibri" w:hAnsi="Calibri" w:cs="Arial"/>
                                  <w:color w:val="000000"/>
                                  <w:sz w:val="22"/>
                                  <w:szCs w:val="22"/>
                                  <w:lang w:val="en-US"/>
                                </w:rPr>
                                <w:t>orporations</w:t>
                              </w:r>
                              <w:r>
                                <w:rPr>
                                  <w:rFonts w:ascii="Arial" w:hAnsi="Arial" w:cs="Arial"/>
                                  <w:color w:val="000000"/>
                                  <w:sz w:val="22"/>
                                  <w:szCs w:val="22"/>
                                  <w:lang w:val="en-US"/>
                                </w:rPr>
                                <w:t xml:space="preserve"> </w:t>
                              </w:r>
                            </w:p>
                          </w:txbxContent>
                        </wps:txbx>
                        <wps:bodyPr rot="0" vert="horz" wrap="none" lIns="0" tIns="0" rIns="0" bIns="0" anchor="t" anchorCtr="0" upright="1">
                          <a:noAutofit/>
                        </wps:bodyPr>
                      </wps:wsp>
                      <wps:wsp>
                        <wps:cNvPr id="15" name="Rectangle 12"/>
                        <wps:cNvSpPr>
                          <a:spLocks noChangeArrowheads="1"/>
                        </wps:cNvSpPr>
                        <wps:spPr bwMode="auto">
                          <a:xfrm>
                            <a:off x="0" y="1600200"/>
                            <a:ext cx="1112520" cy="400685"/>
                          </a:xfrm>
                          <a:prstGeom prst="rect">
                            <a:avLst/>
                          </a:prstGeom>
                          <a:solidFill>
                            <a:srgbClr val="DDDDDD"/>
                          </a:solidFill>
                          <a:ln w="10160">
                            <a:solidFill>
                              <a:srgbClr val="000000"/>
                            </a:solidFill>
                            <a:miter lim="800000"/>
                            <a:headEnd/>
                            <a:tailEnd/>
                          </a:ln>
                        </wps:spPr>
                        <wps:bodyPr rot="0" vert="horz" wrap="square" lIns="91440" tIns="45720" rIns="91440" bIns="45720" anchor="t" anchorCtr="0" upright="1">
                          <a:noAutofit/>
                        </wps:bodyPr>
                      </wps:wsp>
                      <wps:wsp>
                        <wps:cNvPr id="16" name="Rectangle 13"/>
                        <wps:cNvSpPr>
                          <a:spLocks noChangeArrowheads="1"/>
                        </wps:cNvSpPr>
                        <wps:spPr bwMode="auto">
                          <a:xfrm>
                            <a:off x="203835" y="1714500"/>
                            <a:ext cx="74739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F3E" w:rsidRDefault="00103F3E" w:rsidP="00517E51">
                              <w:r w:rsidRPr="00480053">
                                <w:rPr>
                                  <w:rFonts w:ascii="Calibri" w:hAnsi="Calibri" w:cs="Arial"/>
                                  <w:color w:val="000000"/>
                                  <w:sz w:val="22"/>
                                  <w:szCs w:val="22"/>
                                  <w:lang w:val="en-US"/>
                                </w:rPr>
                                <w:t>Departments</w:t>
                              </w:r>
                            </w:p>
                          </w:txbxContent>
                        </wps:txbx>
                        <wps:bodyPr rot="0" vert="horz" wrap="none" lIns="0" tIns="0" rIns="0" bIns="0" anchor="t" anchorCtr="0" upright="1">
                          <a:noAutofit/>
                        </wps:bodyPr>
                      </wps:wsp>
                      <wps:wsp>
                        <wps:cNvPr id="17" name="Rectangle 14"/>
                        <wps:cNvSpPr>
                          <a:spLocks noChangeArrowheads="1"/>
                        </wps:cNvSpPr>
                        <wps:spPr bwMode="auto">
                          <a:xfrm>
                            <a:off x="1102360" y="1600200"/>
                            <a:ext cx="4478655" cy="400685"/>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18" name="Rectangle 15"/>
                        <wps:cNvSpPr>
                          <a:spLocks noChangeArrowheads="1"/>
                        </wps:cNvSpPr>
                        <wps:spPr bwMode="auto">
                          <a:xfrm>
                            <a:off x="1420495" y="1714500"/>
                            <a:ext cx="383730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F3E" w:rsidRPr="00480053" w:rsidRDefault="00103F3E" w:rsidP="00517E51">
                              <w:pPr>
                                <w:rPr>
                                  <w:rFonts w:ascii="Calibri" w:hAnsi="Calibri"/>
                                </w:rPr>
                              </w:pPr>
                              <w:r w:rsidRPr="00480053">
                                <w:rPr>
                                  <w:rFonts w:ascii="Calibri" w:hAnsi="Calibri" w:cs="Arial"/>
                                  <w:color w:val="000000"/>
                                  <w:sz w:val="22"/>
                                  <w:szCs w:val="22"/>
                                  <w:lang w:val="en-US"/>
                                </w:rPr>
                                <w:t>Statutory Authorities and other agencies controlled by Government</w:t>
                              </w:r>
                            </w:p>
                          </w:txbxContent>
                        </wps:txbx>
                        <wps:bodyPr rot="0" vert="horz" wrap="none" lIns="0" tIns="0" rIns="0" bIns="0" anchor="t" anchorCtr="0" upright="1">
                          <a:noAutofit/>
                        </wps:bodyPr>
                      </wps:wsp>
                      <wps:wsp>
                        <wps:cNvPr id="19" name="Rectangle 16"/>
                        <wps:cNvSpPr>
                          <a:spLocks noChangeArrowheads="1"/>
                        </wps:cNvSpPr>
                        <wps:spPr bwMode="auto">
                          <a:xfrm>
                            <a:off x="571500" y="544830"/>
                            <a:ext cx="2400300" cy="215900"/>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20" name="Rectangle 17"/>
                        <wps:cNvSpPr>
                          <a:spLocks noChangeArrowheads="1"/>
                        </wps:cNvSpPr>
                        <wps:spPr bwMode="auto">
                          <a:xfrm>
                            <a:off x="914400" y="554990"/>
                            <a:ext cx="154432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F3E" w:rsidRPr="00480053" w:rsidRDefault="00103F3E" w:rsidP="00517E51">
                              <w:pPr>
                                <w:rPr>
                                  <w:rFonts w:ascii="Calibri" w:hAnsi="Calibri"/>
                                </w:rPr>
                              </w:pPr>
                              <w:r>
                                <w:rPr>
                                  <w:rFonts w:ascii="Calibri" w:hAnsi="Calibri" w:cs="Arial"/>
                                  <w:color w:val="000000"/>
                                  <w:sz w:val="22"/>
                                  <w:szCs w:val="22"/>
                                  <w:lang w:val="en-US"/>
                                </w:rPr>
                                <w:t>Non–f</w:t>
                              </w:r>
                              <w:r w:rsidRPr="00480053">
                                <w:rPr>
                                  <w:rFonts w:ascii="Calibri" w:hAnsi="Calibri" w:cs="Arial"/>
                                  <w:color w:val="000000"/>
                                  <w:sz w:val="22"/>
                                  <w:szCs w:val="22"/>
                                  <w:lang w:val="en-US"/>
                                </w:rPr>
                                <w:t xml:space="preserve">inancial </w:t>
                              </w:r>
                              <w:r>
                                <w:rPr>
                                  <w:rFonts w:ascii="Calibri" w:hAnsi="Calibri" w:cs="Arial"/>
                                  <w:color w:val="000000"/>
                                  <w:sz w:val="22"/>
                                  <w:szCs w:val="22"/>
                                  <w:lang w:val="en-US"/>
                                </w:rPr>
                                <w:t>public s</w:t>
                              </w:r>
                              <w:r w:rsidRPr="00480053">
                                <w:rPr>
                                  <w:rFonts w:ascii="Calibri" w:hAnsi="Calibri" w:cs="Arial"/>
                                  <w:color w:val="000000"/>
                                  <w:sz w:val="22"/>
                                  <w:szCs w:val="22"/>
                                  <w:lang w:val="en-US"/>
                                </w:rPr>
                                <w:t>ector</w:t>
                              </w:r>
                            </w:p>
                          </w:txbxContent>
                        </wps:txbx>
                        <wps:bodyPr rot="0" vert="horz" wrap="none" lIns="0" tIns="0" rIns="0" bIns="0" anchor="t" anchorCtr="0" upright="1">
                          <a:noAutofit/>
                        </wps:bodyPr>
                      </wps:wsp>
                      <wps:wsp>
                        <wps:cNvPr id="21" name="Rectangle 18"/>
                        <wps:cNvSpPr>
                          <a:spLocks noChangeArrowheads="1"/>
                        </wps:cNvSpPr>
                        <wps:spPr bwMode="auto">
                          <a:xfrm>
                            <a:off x="0" y="0"/>
                            <a:ext cx="5581015" cy="328930"/>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22" name="Rectangle 19"/>
                        <wps:cNvSpPr>
                          <a:spLocks noChangeArrowheads="1"/>
                        </wps:cNvSpPr>
                        <wps:spPr bwMode="auto">
                          <a:xfrm>
                            <a:off x="2287905" y="82550"/>
                            <a:ext cx="91249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F3E" w:rsidRPr="00480053" w:rsidRDefault="00103F3E" w:rsidP="00517E51">
                              <w:pPr>
                                <w:rPr>
                                  <w:rFonts w:ascii="Calibri" w:hAnsi="Calibri"/>
                                </w:rPr>
                              </w:pPr>
                              <w:r w:rsidRPr="00480053">
                                <w:rPr>
                                  <w:rFonts w:ascii="Calibri" w:hAnsi="Calibri" w:cs="Arial"/>
                                  <w:color w:val="000000"/>
                                  <w:sz w:val="22"/>
                                  <w:szCs w:val="22"/>
                                  <w:lang w:val="en-US"/>
                                </w:rPr>
                                <w:t xml:space="preserve">State of </w:t>
                              </w:r>
                              <w:smartTag w:uri="urn:schemas-microsoft-com:office:smarttags" w:element="place">
                                <w:smartTag w:uri="urn:schemas-microsoft-com:office:smarttags" w:element="State">
                                  <w:r w:rsidRPr="00480053">
                                    <w:rPr>
                                      <w:rFonts w:ascii="Calibri" w:hAnsi="Calibri" w:cs="Arial"/>
                                      <w:color w:val="000000"/>
                                      <w:sz w:val="22"/>
                                      <w:szCs w:val="22"/>
                                      <w:lang w:val="en-US"/>
                                    </w:rPr>
                                    <w:t>Victoria</w:t>
                                  </w:r>
                                </w:smartTag>
                              </w:smartTag>
                              <w:r w:rsidRPr="00480053">
                                <w:rPr>
                                  <w:rFonts w:ascii="Calibri" w:hAnsi="Calibri" w:cs="Arial"/>
                                  <w:color w:val="000000"/>
                                  <w:sz w:val="22"/>
                                  <w:szCs w:val="22"/>
                                  <w:lang w:val="en-US"/>
                                </w:rPr>
                                <w:t xml:space="preserve">  </w:t>
                              </w:r>
                            </w:p>
                          </w:txbxContent>
                        </wps:txbx>
                        <wps:bodyPr rot="0" vert="horz" wrap="none" lIns="0" tIns="0" rIns="0" bIns="0" anchor="t" anchorCtr="0" upright="1">
                          <a:spAutoFit/>
                        </wps:bodyPr>
                      </wps:wsp>
                      <wps:wsp>
                        <wps:cNvPr id="23" name="Line 20"/>
                        <wps:cNvCnPr/>
                        <wps:spPr bwMode="auto">
                          <a:xfrm flipV="1">
                            <a:off x="1052830" y="74803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1"/>
                        <wps:cNvCnPr/>
                        <wps:spPr bwMode="auto">
                          <a:xfrm flipV="1">
                            <a:off x="2627630" y="75184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2"/>
                        <wps:cNvCnPr/>
                        <wps:spPr bwMode="auto">
                          <a:xfrm flipH="1" flipV="1">
                            <a:off x="4500880" y="338455"/>
                            <a:ext cx="635" cy="639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3"/>
                        <wps:cNvCnPr/>
                        <wps:spPr bwMode="auto">
                          <a:xfrm flipV="1">
                            <a:off x="1776730" y="32893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4"/>
                        <wps:cNvCnPr/>
                        <wps:spPr bwMode="auto">
                          <a:xfrm flipV="1">
                            <a:off x="640080" y="137985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5"/>
                        <wps:cNvCnPr/>
                        <wps:spPr bwMode="auto">
                          <a:xfrm flipV="1">
                            <a:off x="2660650" y="13716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6"/>
                        <wps:cNvCnPr/>
                        <wps:spPr bwMode="auto">
                          <a:xfrm flipV="1">
                            <a:off x="4509770" y="137287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7"/>
                        <wps:cNvCnPr/>
                        <wps:spPr bwMode="auto">
                          <a:xfrm flipV="1">
                            <a:off x="1365885" y="13716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26" editas="canvas" style="width:439.45pt;height:165.2pt;mso-position-horizontal-relative:char;mso-position-vertical-relative:line" coordsize="55810,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">
                <v:shape id="_x0000_s1027" type="#_x0000_t75" style="position:absolute;width:55810;height:20980;visibility:visible;mso-wrap-style:square">
                  <v:fill o:detectmouseclick="t"/>
                  <v:path o:connecttype="none"/>
                </v:shape>
                <v:rect id="Rectangle 4" o:spid="_x0000_s1028" style="position:absolute;left:1581;top:9912;width:16459;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RcMA&#10;AADaAAAADwAAAGRycy9kb3ducmV2LnhtbESPQWsCMRSE7wX/Q3hCL0WzFbSyGqWUCr0ouNuDx8fm&#10;maxuXpZN1O2/bwTB4zAz3zDLde8acaUu1J4VvI8zEMSV1zUbBb/lZjQHESKyxsYzKfijAOvV4GWJ&#10;ufY33tO1iEYkCIccFdgY21zKUFlyGMa+JU7e0XcOY5KdkbrDW4K7Rk6ybCYd1pwWLLb0Zak6Fxen&#10;4ODltDRvxeTyYTY7tz3Z70PcK/U67D8XICL18Rl+tH+0ghncr6Qb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RcMAAADaAAAADwAAAAAAAAAAAAAAAACYAgAAZHJzL2Rv&#10;d25yZXYueG1sUEsFBgAAAAAEAAQA9QAAAIgDAAAAAA==&#10;" strokeweight=".8pt"/>
                <v:rect id="Rectangle 5" o:spid="_x0000_s1029" style="position:absolute;left:4229;top:10706;width:11753;height:23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PhL8A&#10;AADaAAAADwAAAGRycy9kb3ducmV2LnhtbERPy4rCMBTdD/gP4QruxrSDiFaj6MCgCC58fMCluTbV&#10;5qaTRO38/WQhuDyc93zZ2UY8yIfasYJ8mIEgLp2uuVJwPv18TkCEiKyxcUwK/ijActH7mGOh3ZMP&#10;9DjGSqQQDgUqMDG2hZShNGQxDF1LnLiL8xZjgr6S2uMzhdtGfmXZWFqsOTUYbOnbUHk73q0CWm8O&#10;0+sqmL30ecj3u/F0tPlVatDvVjMQkbr4Fr/cW60gbU1X0g2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k+EvwAAANoAAAAPAAAAAAAAAAAAAAAAAJgCAABkcnMvZG93bnJl&#10;di54bWxQSwUGAAAAAAQABAD1AAAAhAMAAAAA&#10;" filled="f" stroked="f">
                  <v:textbox inset="0,0,0,0">
                    <w:txbxContent>
                      <w:p w:rsidR="00103F3E" w:rsidRPr="00480053" w:rsidRDefault="00103F3E" w:rsidP="00517E51">
                        <w:pPr>
                          <w:rPr>
                            <w:rFonts w:ascii="Calibri" w:hAnsi="Calibri"/>
                          </w:rPr>
                        </w:pPr>
                        <w:r>
                          <w:rPr>
                            <w:rFonts w:ascii="Calibri" w:hAnsi="Calibri" w:cs="Arial"/>
                            <w:color w:val="000000"/>
                            <w:sz w:val="22"/>
                            <w:szCs w:val="22"/>
                            <w:lang w:val="en-US"/>
                          </w:rPr>
                          <w:t>General g</w:t>
                        </w:r>
                        <w:r w:rsidRPr="00480053">
                          <w:rPr>
                            <w:rFonts w:ascii="Calibri" w:hAnsi="Calibri" w:cs="Arial"/>
                            <w:color w:val="000000"/>
                            <w:sz w:val="22"/>
                            <w:szCs w:val="22"/>
                            <w:lang w:val="en-US"/>
                          </w:rPr>
                          <w:t xml:space="preserve">overnment </w:t>
                        </w:r>
                      </w:p>
                    </w:txbxContent>
                  </v:textbox>
                </v:rect>
                <v:rect id="Rectangle 6" o:spid="_x0000_s1030" style="position:absolute;left:19335;top:9912;width:16123;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qN8MA&#10;AADaAAAADwAAAGRycy9kb3ducmV2LnhtbESPQWsCMRSE70L/Q3gFL1KzCtp2axQRBS8Krj14fGxe&#10;k9XNy7KJuv57Uyj0OMzMN8xs0bla3KgNlWcFo2EGgrj0umKj4Pu4efsAESKyxtozKXhQgMX8pTfD&#10;XPs7H+hWRCMShEOOCmyMTS5lKC05DEPfECfvx7cOY5KtkbrFe4K7Wo6zbCodVpwWLDa0slReiqtT&#10;cPJycjSDYnx9N5u9253t+hQPSvVfu+UXiEhd/A//tbdawSf8Xkk3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dqN8MAAADaAAAADwAAAAAAAAAAAAAAAACYAgAAZHJzL2Rv&#10;d25yZXYueG1sUEsFBgAAAAAEAAQA9QAAAIgDAAAAAA==&#10;" strokeweight=".8pt"/>
                <v:rect id="Rectangle 7" o:spid="_x0000_s1031" style="position:absolute;left:21990;top:10287;width:11157;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3YsQA&#10;AADbAAAADwAAAGRycy9kb3ducmV2LnhtbESPQWsCMRCF74X+hzBCbzW7pYhujWILxSJ4UPsDhs24&#10;Wd1Mtkmq23/fOQjeZnhv3vtmvhx8py4UUxvYQDkuQBHXwbbcGPg+fD5PQaWMbLELTAb+KMFy8fgw&#10;x8qGK+/oss+NkhBOFRpwOfeV1ql25DGNQ08s2jFEj1nW2Ggb8SrhvtMvRTHRHluWBoc9fTiqz/tf&#10;b4De17vZaZXcVscyldvNZPa6/jHmaTSs3kBlGvLdfLv+soIv9PKLD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92LEAAAA2wAAAA8AAAAAAAAAAAAAAAAAmAIAAGRycy9k&#10;b3ducmV2LnhtbFBLBQYAAAAABAAEAPUAAACJAwAAAAA=&#10;" filled="f" stroked="f">
                  <v:textbox inset="0,0,0,0">
                    <w:txbxContent>
                      <w:p w:rsidR="00103F3E" w:rsidRPr="00480053" w:rsidRDefault="00103F3E" w:rsidP="00517E51">
                        <w:pPr>
                          <w:rPr>
                            <w:rFonts w:ascii="Calibri" w:hAnsi="Calibri"/>
                          </w:rPr>
                        </w:pPr>
                        <w:r>
                          <w:rPr>
                            <w:rFonts w:ascii="Calibri" w:hAnsi="Calibri" w:cs="Arial"/>
                            <w:color w:val="000000"/>
                            <w:sz w:val="22"/>
                            <w:szCs w:val="22"/>
                            <w:lang w:val="en-US"/>
                          </w:rPr>
                          <w:t>Public non</w:t>
                        </w:r>
                        <w:r>
                          <w:rPr>
                            <w:rFonts w:ascii="Calibri" w:hAnsi="Calibri" w:cs="Arial"/>
                            <w:color w:val="000000"/>
                            <w:sz w:val="22"/>
                            <w:szCs w:val="22"/>
                            <w:lang w:val="en-US"/>
                          </w:rPr>
                          <w:noBreakHyphen/>
                          <w:t>f</w:t>
                        </w:r>
                        <w:r w:rsidRPr="00480053">
                          <w:rPr>
                            <w:rFonts w:ascii="Calibri" w:hAnsi="Calibri" w:cs="Arial"/>
                            <w:color w:val="000000"/>
                            <w:sz w:val="22"/>
                            <w:szCs w:val="22"/>
                            <w:lang w:val="en-US"/>
                          </w:rPr>
                          <w:t xml:space="preserve">inancial </w:t>
                        </w:r>
                      </w:p>
                    </w:txbxContent>
                  </v:textbox>
                </v:rect>
                <v:rect id="Rectangle 8" o:spid="_x0000_s1032" style="position:absolute;left:24003;top:11430;width:7251;height:2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S+cEA&#10;AADbAAAADwAAAGRycy9kb3ducmV2LnhtbERP3WrCMBS+H/gO4QjezbRDRDtjqQNxDLzQ7QEOzVnT&#10;rTmpSdTu7RdB8O58fL9nVQ62ExfyoXWsIJ9mIIhrp1tuFHx9bp8XIEJE1tg5JgV/FKBcj55WWGh3&#10;5QNdjrERKYRDgQpMjH0hZagNWQxT1xMn7tt5izFB30jt8ZrCbSdfsmwuLbacGgz29Gao/j2erQLa&#10;7A7LnyqYvfR5yPcf8+Vsd1JqMh6qVxCRhvgQ393vOs3P4fZLO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bUvnBAAAA2wAAAA8AAAAAAAAAAAAAAAAAmAIAAGRycy9kb3du&#10;cmV2LnhtbFBLBQYAAAAABAAEAPUAAACGAwAAAAA=&#10;" filled="f" stroked="f">
                  <v:textbox inset="0,0,0,0">
                    <w:txbxContent>
                      <w:p w:rsidR="00103F3E" w:rsidRDefault="00103F3E" w:rsidP="00517E51">
                        <w:r>
                          <w:rPr>
                            <w:rFonts w:ascii="Calibri" w:hAnsi="Calibri" w:cs="Arial"/>
                            <w:color w:val="000000"/>
                            <w:sz w:val="22"/>
                            <w:szCs w:val="22"/>
                            <w:lang w:val="en-US"/>
                          </w:rPr>
                          <w:t>c</w:t>
                        </w:r>
                        <w:r w:rsidRPr="00480053">
                          <w:rPr>
                            <w:rFonts w:ascii="Calibri" w:hAnsi="Calibri" w:cs="Arial"/>
                            <w:color w:val="000000"/>
                            <w:sz w:val="22"/>
                            <w:szCs w:val="22"/>
                            <w:lang w:val="en-US"/>
                          </w:rPr>
                          <w:t>orporations</w:t>
                        </w:r>
                        <w:r>
                          <w:rPr>
                            <w:rFonts w:ascii="Arial" w:hAnsi="Arial" w:cs="Arial"/>
                            <w:color w:val="000000"/>
                            <w:sz w:val="22"/>
                            <w:szCs w:val="22"/>
                            <w:lang w:val="en-US"/>
                          </w:rPr>
                          <w:t xml:space="preserve"> </w:t>
                        </w:r>
                      </w:p>
                    </w:txbxContent>
                  </v:textbox>
                </v:rect>
                <v:rect id="Rectangle 9" o:spid="_x0000_s1033" style="position:absolute;left:36652;top:9912;width:17069;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i58IA&#10;AADbAAAADwAAAGRycy9kb3ducmV2LnhtbERPS2sCMRC+F/wPYQq9lJrtgg+2RpFSoRcFVw8eh82Y&#10;rN1Mlk3U7b83guBtPr7nzBa9a8SFulB7VvA5zEAQV17XbBTsd6uPKYgQkTU2nknBPwVYzAcvMyy0&#10;v/KWLmU0IoVwKFCBjbEtpAyVJYdh6FvixB195zAm2BmpO7ymcNfIPMvG0mHNqcFiS9+Wqr/y7BQc&#10;vBztzHuZnydmtXHrk/05xK1Sb6/98gtEpD4+xQ/3r07zc7j/kg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S+LnwgAAANsAAAAPAAAAAAAAAAAAAAAAAJgCAABkcnMvZG93&#10;bnJldi54bWxQSwUGAAAAAAQABAD1AAAAhwMAAAAA&#10;" strokeweight=".8pt"/>
                <v:rect id="Rectangle 10" o:spid="_x0000_s1034" style="position:absolute;left:40589;top:10287;width:8560;height:2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pFcEA&#10;AADbAAAADwAAAGRycy9kb3ducmV2LnhtbERP22oCMRB9L/gPYYS+1ezWIroaxQpiKfjg5QOGzbhZ&#10;3UzWJOr275tCwbc5nOvMFp1txJ18qB0ryAcZCOLS6ZorBcfD+m0MIkRkjY1jUvBDARbz3ssMC+0e&#10;vKP7PlYihXAoUIGJsS2kDKUhi2HgWuLEnZy3GBP0ldQeHyncNvI9y0bSYs2pwWBLK0PlZX+zCuhz&#10;s5ucl8Fspc9Dvv0eTT42V6Ve+91yCiJSF5/if/eXTvOH8PdLO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FaRXBAAAA2wAAAA8AAAAAAAAAAAAAAAAAmAIAAGRycy9kb3du&#10;cmV2LnhtbFBLBQYAAAAABAAEAPUAAACGAwAAAAA=&#10;" filled="f" stroked="f">
                  <v:textbox inset="0,0,0,0">
                    <w:txbxContent>
                      <w:p w:rsidR="00103F3E" w:rsidRDefault="00103F3E" w:rsidP="00517E51">
                        <w:r w:rsidRPr="00480053">
                          <w:rPr>
                            <w:rFonts w:ascii="Calibri" w:hAnsi="Calibri" w:cs="Arial"/>
                            <w:color w:val="000000"/>
                            <w:sz w:val="22"/>
                            <w:szCs w:val="22"/>
                            <w:lang w:val="en-US"/>
                          </w:rPr>
                          <w:t>Public</w:t>
                        </w:r>
                        <w:r>
                          <w:rPr>
                            <w:rFonts w:ascii="Arial" w:hAnsi="Arial" w:cs="Arial"/>
                            <w:color w:val="000000"/>
                            <w:sz w:val="22"/>
                            <w:szCs w:val="22"/>
                            <w:lang w:val="en-US"/>
                          </w:rPr>
                          <w:t xml:space="preserve"> f</w:t>
                        </w:r>
                        <w:r w:rsidRPr="00480053">
                          <w:rPr>
                            <w:rFonts w:ascii="Calibri" w:hAnsi="Calibri" w:cs="Arial"/>
                            <w:color w:val="000000"/>
                            <w:sz w:val="22"/>
                            <w:szCs w:val="22"/>
                            <w:lang w:val="en-US"/>
                          </w:rPr>
                          <w:t>inancial</w:t>
                        </w:r>
                        <w:r>
                          <w:rPr>
                            <w:rFonts w:ascii="Arial" w:hAnsi="Arial" w:cs="Arial"/>
                            <w:color w:val="000000"/>
                            <w:sz w:val="22"/>
                            <w:szCs w:val="22"/>
                            <w:lang w:val="en-US"/>
                          </w:rPr>
                          <w:t xml:space="preserve"> </w:t>
                        </w:r>
                      </w:p>
                    </w:txbxContent>
                  </v:textbox>
                </v:rect>
                <v:rect id="Rectangle 11" o:spid="_x0000_s1035" style="position:absolute;left:41148;top:11430;width:7251;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xYcAA&#10;AADbAAAADwAAAGRycy9kb3ducmV2LnhtbERPzWoCMRC+C32HMIXeNLsiUrdGsYIogge1DzBsxs3a&#10;zWRNUl3f3ghCb/Px/c503tlGXMmH2rGCfJCBIC6drrlS8HNc9T9BhIissXFMCu4UYD57602x0O7G&#10;e7oeYiVSCIcCFZgY20LKUBqyGAauJU7cyXmLMUFfSe3xlsJtI4dZNpYWa04NBltaGip/D39WAX2v&#10;95PzIpid9HnId9vxZLS+KPXx3i2+QETq4r/45d7oNH8Ez1/S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zxYcAAAADbAAAADwAAAAAAAAAAAAAAAACYAgAAZHJzL2Rvd25y&#10;ZXYueG1sUEsFBgAAAAAEAAQA9QAAAIUDAAAAAA==&#10;" filled="f" stroked="f">
                  <v:textbox inset="0,0,0,0">
                    <w:txbxContent>
                      <w:p w:rsidR="00103F3E" w:rsidRDefault="00103F3E" w:rsidP="00517E51">
                        <w:r>
                          <w:rPr>
                            <w:rFonts w:ascii="Calibri" w:hAnsi="Calibri" w:cs="Arial"/>
                            <w:color w:val="000000"/>
                            <w:sz w:val="22"/>
                            <w:szCs w:val="22"/>
                            <w:lang w:val="en-US"/>
                          </w:rPr>
                          <w:t>c</w:t>
                        </w:r>
                        <w:r w:rsidRPr="00480053">
                          <w:rPr>
                            <w:rFonts w:ascii="Calibri" w:hAnsi="Calibri" w:cs="Arial"/>
                            <w:color w:val="000000"/>
                            <w:sz w:val="22"/>
                            <w:szCs w:val="22"/>
                            <w:lang w:val="en-US"/>
                          </w:rPr>
                          <w:t>orporations</w:t>
                        </w:r>
                        <w:r>
                          <w:rPr>
                            <w:rFonts w:ascii="Arial" w:hAnsi="Arial" w:cs="Arial"/>
                            <w:color w:val="000000"/>
                            <w:sz w:val="22"/>
                            <w:szCs w:val="22"/>
                            <w:lang w:val="en-US"/>
                          </w:rPr>
                          <w:t xml:space="preserve"> </w:t>
                        </w:r>
                      </w:p>
                    </w:txbxContent>
                  </v:textbox>
                </v:rect>
                <v:rect id="Rectangle 12" o:spid="_x0000_s1036" style="position:absolute;top:16002;width:11125;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9/MIA&#10;AADbAAAADwAAAGRycy9kb3ducmV2LnhtbERPS2vCQBC+C/0PyxR6000LFUldxQaKFnqosZfexuw0&#10;CWZnQ3bz/PVuQfA2H99z1tvBVKKjxpWWFTwvIhDEmdUl5wp+Th/zFQjnkTVWlknBSA62m4fZGmNt&#10;ez5Sl/pchBB2MSoovK9jKV1WkEG3sDVx4P5sY9AH2ORSN9iHcFPJlyhaSoMlh4YCa0oKyi5paxRM&#10;X8fzPs2cb3+TKHn/Pp/Gz3ZS6ulx2L2B8DT4u/jmPugw/xX+fwkH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b38wgAAANsAAAAPAAAAAAAAAAAAAAAAAJgCAABkcnMvZG93&#10;bnJldi54bWxQSwUGAAAAAAQABAD1AAAAhwMAAAAA&#10;" fillcolor="#ddd" strokeweight=".8pt"/>
                <v:rect id="Rectangle 13" o:spid="_x0000_s1037" style="position:absolute;left:2038;top:17145;width:7474;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KjcEA&#10;AADbAAAADwAAAGRycy9kb3ducmV2LnhtbERPzWoCMRC+F3yHMIK3mt0ii65G0YJYCh60fYBhM25W&#10;N5M1ibp9+6ZQ8DYf3+8sVr1txZ18aBwryMcZCOLK6YZrBd9f29cpiBCRNbaOScEPBVgtBy8LLLV7&#10;8IHux1iLFMKhRAUmxq6UMlSGLIax64gTd3LeYkzQ11J7fKRw28q3LCukxYZTg8GO3g1Vl+PNKqDN&#10;7jA7r4PZS5+HfP9ZzCa7q1KjYb+eg4jUx6f43/2h0/wC/n5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yyo3BAAAA2wAAAA8AAAAAAAAAAAAAAAAAmAIAAGRycy9kb3du&#10;cmV2LnhtbFBLBQYAAAAABAAEAPUAAACGAwAAAAA=&#10;" filled="f" stroked="f">
                  <v:textbox inset="0,0,0,0">
                    <w:txbxContent>
                      <w:p w:rsidR="00103F3E" w:rsidRDefault="00103F3E" w:rsidP="00517E51">
                        <w:r w:rsidRPr="00480053">
                          <w:rPr>
                            <w:rFonts w:ascii="Calibri" w:hAnsi="Calibri" w:cs="Arial"/>
                            <w:color w:val="000000"/>
                            <w:sz w:val="22"/>
                            <w:szCs w:val="22"/>
                            <w:lang w:val="en-US"/>
                          </w:rPr>
                          <w:t>Departments</w:t>
                        </w:r>
                      </w:p>
                    </w:txbxContent>
                  </v:textbox>
                </v:rect>
                <v:rect id="Rectangle 14" o:spid="_x0000_s1038" style="position:absolute;left:11023;top:16002;width:44787;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Bf8IA&#10;AADbAAAADwAAAGRycy9kb3ducmV2LnhtbERPTWsCMRC9C/6HMIIXqVmF1rI1u4goeGnBtQePw2aa&#10;bN1Mlk3U9d83hUJv83ifsy4H14ob9aHxrGAxz0AQ1143bBR8nvZPryBCRNbYeiYFDwpQFuPRGnPt&#10;73ykWxWNSCEcclRgY+xyKUNtyWGY+444cV++dxgT7I3UPd5TuGvlMstepMOGU4PFjraW6kt1dQrO&#10;Xj6fzKxaXldm/+Hev+3uHI9KTSfD5g1EpCH+i//cB53mr+D3l3S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EF/wgAAANsAAAAPAAAAAAAAAAAAAAAAAJgCAABkcnMvZG93&#10;bnJldi54bWxQSwUGAAAAAAQABAD1AAAAhwMAAAAA&#10;" strokeweight=".8pt"/>
                <v:rect id="Rectangle 15" o:spid="_x0000_s1039" style="position:absolute;left:14204;top:17145;width:38374;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7ZMQA&#10;AADbAAAADwAAAGRycy9kb3ducmV2LnhtbESPQWsCMRCF74X+hzBCbzW7pYhujWILxSJ4UPsDhs24&#10;Wd1Mtkmq23/fOQjeZnhv3vtmvhx8py4UUxvYQDkuQBHXwbbcGPg+fD5PQaWMbLELTAb+KMFy8fgw&#10;x8qGK+/oss+NkhBOFRpwOfeV1ql25DGNQ08s2jFEj1nW2Ggb8SrhvtMvRTHRHluWBoc9fTiqz/tf&#10;b4De17vZaZXcVscyldvNZPa6/jHmaTSs3kBlGvLdfLv+soIvsPKLD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2TEAAAA2wAAAA8AAAAAAAAAAAAAAAAAmAIAAGRycy9k&#10;b3ducmV2LnhtbFBLBQYAAAAABAAEAPUAAACJAwAAAAA=&#10;" filled="f" stroked="f">
                  <v:textbox inset="0,0,0,0">
                    <w:txbxContent>
                      <w:p w:rsidR="00103F3E" w:rsidRPr="00480053" w:rsidRDefault="00103F3E" w:rsidP="00517E51">
                        <w:pPr>
                          <w:rPr>
                            <w:rFonts w:ascii="Calibri" w:hAnsi="Calibri"/>
                          </w:rPr>
                        </w:pPr>
                        <w:r w:rsidRPr="00480053">
                          <w:rPr>
                            <w:rFonts w:ascii="Calibri" w:hAnsi="Calibri" w:cs="Arial"/>
                            <w:color w:val="000000"/>
                            <w:sz w:val="22"/>
                            <w:szCs w:val="22"/>
                            <w:lang w:val="en-US"/>
                          </w:rPr>
                          <w:t>Statutory Authorities and other agencies controlled by Government</w:t>
                        </w:r>
                      </w:p>
                    </w:txbxContent>
                  </v:textbox>
                </v:rect>
                <v:rect id="Rectangle 16" o:spid="_x0000_s1040" style="position:absolute;left:5715;top:5448;width:2400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lsIA&#10;AADbAAAADwAAAGRycy9kb3ducmV2LnhtbERPTWsCMRC9F/wPYYReimYrtOpqdimlQi8tuHrwOGzG&#10;ZNvNZNlE3f77RhC8zeN9zrocXCvO1IfGs4LnaQaCuPa6YaNgv9tMFiBCRNbYeiYFfxSgLEYPa8y1&#10;v/CWzlU0IoVwyFGBjbHLpQy1JYdh6jvixB197zAm2Bupe7ykcNfKWZa9SocNpwaLHb1bqn+rk1Nw&#10;8PJlZ56q2WluNt/u68d+HOJWqcfx8LYCEWmId/HN/anT/CVcf0kH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3CWwgAAANsAAAAPAAAAAAAAAAAAAAAAAJgCAABkcnMvZG93&#10;bnJldi54bWxQSwUGAAAAAAQABAD1AAAAhwMAAAAA&#10;" strokeweight=".8pt"/>
                <v:rect id="Rectangle 17" o:spid="_x0000_s1041" style="position:absolute;left:9144;top:5549;width:15443;height:19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38EA&#10;AADbAAAADwAAAGRycy9kb3ducmV2LnhtbERPS2rDMBDdB3oHMYXuYtmhmMa1EtJASClkkc8BBmtq&#10;ubVGrqTGzu2jRaHLx/vX68n24ko+dI4VFFkOgrhxuuNWweW8m7+ACBFZY++YFNwowHr1MKux0m7k&#10;I11PsRUphEOFCkyMQyVlaAxZDJkbiBP36bzFmKBvpfY4pnDby0Wel9Jix6nB4EBbQ8336dcqoLf9&#10;cfm1CeYgfRGKw0e5fN7/KPX0OG1eQUSa4r/4z/2uFSzS+vQl/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Pd/BAAAA2wAAAA8AAAAAAAAAAAAAAAAAmAIAAGRycy9kb3du&#10;cmV2LnhtbFBLBQYAAAAABAAEAPUAAACGAwAAAAA=&#10;" filled="f" stroked="f">
                  <v:textbox inset="0,0,0,0">
                    <w:txbxContent>
                      <w:p w:rsidR="00103F3E" w:rsidRPr="00480053" w:rsidRDefault="00103F3E" w:rsidP="00517E51">
                        <w:pPr>
                          <w:rPr>
                            <w:rFonts w:ascii="Calibri" w:hAnsi="Calibri"/>
                          </w:rPr>
                        </w:pPr>
                        <w:r>
                          <w:rPr>
                            <w:rFonts w:ascii="Calibri" w:hAnsi="Calibri" w:cs="Arial"/>
                            <w:color w:val="000000"/>
                            <w:sz w:val="22"/>
                            <w:szCs w:val="22"/>
                            <w:lang w:val="en-US"/>
                          </w:rPr>
                          <w:t>Non–f</w:t>
                        </w:r>
                        <w:r w:rsidRPr="00480053">
                          <w:rPr>
                            <w:rFonts w:ascii="Calibri" w:hAnsi="Calibri" w:cs="Arial"/>
                            <w:color w:val="000000"/>
                            <w:sz w:val="22"/>
                            <w:szCs w:val="22"/>
                            <w:lang w:val="en-US"/>
                          </w:rPr>
                          <w:t xml:space="preserve">inancial </w:t>
                        </w:r>
                        <w:r>
                          <w:rPr>
                            <w:rFonts w:ascii="Calibri" w:hAnsi="Calibri" w:cs="Arial"/>
                            <w:color w:val="000000"/>
                            <w:sz w:val="22"/>
                            <w:szCs w:val="22"/>
                            <w:lang w:val="en-US"/>
                          </w:rPr>
                          <w:t>public s</w:t>
                        </w:r>
                        <w:r w:rsidRPr="00480053">
                          <w:rPr>
                            <w:rFonts w:ascii="Calibri" w:hAnsi="Calibri" w:cs="Arial"/>
                            <w:color w:val="000000"/>
                            <w:sz w:val="22"/>
                            <w:szCs w:val="22"/>
                            <w:lang w:val="en-US"/>
                          </w:rPr>
                          <w:t>ector</w:t>
                        </w:r>
                      </w:p>
                    </w:txbxContent>
                  </v:textbox>
                </v:rect>
                <v:rect id="Rectangle 18" o:spid="_x0000_s1042" style="position:absolute;width:5581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LcQA&#10;AADbAAAADwAAAGRycy9kb3ducmV2LnhtbESPQWvCQBSE74L/YXlCL1I3BmpLdBNEKvTSgrEHj4/s&#10;czdt9m3Irpr++26h4HGYmW+YTTW6TlxpCK1nBctFBoK48bplo+DzuH98AREissbOMyn4oQBVOZ1s&#10;sND+xge61tGIBOFQoAIbY19IGRpLDsPC98TJO/vBYUxyMFIPeEtw18k8y1bSYctpwWJPO0vNd31x&#10;Ck5ePh3NvM4vz2b/4d6/7OspHpR6mI3bNYhIY7yH/9tvWkG+hL8v6Qf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1ti3EAAAA2wAAAA8AAAAAAAAAAAAAAAAAmAIAAGRycy9k&#10;b3ducmV2LnhtbFBLBQYAAAAABAAEAPUAAACJAwAAAAA=&#10;" strokeweight=".8pt"/>
                <v:rect id="Rectangle 19" o:spid="_x0000_s1043" style="position:absolute;left:22879;top:825;width:9125;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103F3E" w:rsidRPr="00480053" w:rsidRDefault="00103F3E" w:rsidP="00517E51">
                        <w:pPr>
                          <w:rPr>
                            <w:rFonts w:ascii="Calibri" w:hAnsi="Calibri"/>
                          </w:rPr>
                        </w:pPr>
                        <w:r w:rsidRPr="00480053">
                          <w:rPr>
                            <w:rFonts w:ascii="Calibri" w:hAnsi="Calibri" w:cs="Arial"/>
                            <w:color w:val="000000"/>
                            <w:sz w:val="22"/>
                            <w:szCs w:val="22"/>
                            <w:lang w:val="en-US"/>
                          </w:rPr>
                          <w:t xml:space="preserve">State of </w:t>
                        </w:r>
                        <w:smartTag w:uri="urn:schemas-microsoft-com:office:smarttags" w:element="place">
                          <w:smartTag w:uri="urn:schemas-microsoft-com:office:smarttags" w:element="State">
                            <w:r w:rsidRPr="00480053">
                              <w:rPr>
                                <w:rFonts w:ascii="Calibri" w:hAnsi="Calibri" w:cs="Arial"/>
                                <w:color w:val="000000"/>
                                <w:sz w:val="22"/>
                                <w:szCs w:val="22"/>
                                <w:lang w:val="en-US"/>
                              </w:rPr>
                              <w:t>Victoria</w:t>
                            </w:r>
                          </w:smartTag>
                        </w:smartTag>
                        <w:r w:rsidRPr="00480053">
                          <w:rPr>
                            <w:rFonts w:ascii="Calibri" w:hAnsi="Calibri" w:cs="Arial"/>
                            <w:color w:val="000000"/>
                            <w:sz w:val="22"/>
                            <w:szCs w:val="22"/>
                            <w:lang w:val="en-US"/>
                          </w:rPr>
                          <w:t xml:space="preserve">  </w:t>
                        </w:r>
                      </w:p>
                    </w:txbxContent>
                  </v:textbox>
                </v:rect>
                <v:line id="Line 20" o:spid="_x0000_s1044" style="position:absolute;flip:y;visibility:visible;mso-wrap-style:square" from="10528,7480" to="10534,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v:line id="Line 21" o:spid="_x0000_s1045" style="position:absolute;flip:y;visibility:visible;mso-wrap-style:square" from="26276,7518" to="26282,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line id="Line 22" o:spid="_x0000_s1046" style="position:absolute;flip:x y;visibility:visible;mso-wrap-style:square" from="45008,3384" to="45015,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HcQAAADbAAAADwAAAGRycy9kb3ducmV2LnhtbESPQWvCQBSE70L/w/IEb7pRUGzqKiIU&#10;PHjRlvb6kn1mo9m3SXaN8d+7QqHHYWa+YVab3laio9aXjhVMJwkI4tzpkgsF31+f4yUIH5A1Vo5J&#10;wYM8bNZvgxWm2t35SN0pFCJC2KeowIRQp1L63JBFP3E1cfTOrrUYomwLqVu8R7it5CxJFtJiyXHB&#10;YE07Q/n1dLMKuuw2vfwcjlef/Tbv2dI0u0OzUGo07LcfIAL14T/8195rBbM5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RIdxAAAANsAAAAPAAAAAAAAAAAA&#10;AAAAAKECAABkcnMvZG93bnJldi54bWxQSwUGAAAAAAQABAD5AAAAkgMAAAAA&#10;">
                  <v:stroke endarrow="block"/>
                </v:line>
                <v:line id="Line 23" o:spid="_x0000_s1047" style="position:absolute;flip:y;visibility:visible;mso-wrap-style:square" from="17767,3289" to="17773,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24" o:spid="_x0000_s1048" style="position:absolute;flip:y;visibility:visible;mso-wrap-style:square" from="6400,13798" to="6407,1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25" o:spid="_x0000_s1049" style="position:absolute;flip:y;visibility:visible;mso-wrap-style:square" from="26606,13716" to="2661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26" o:spid="_x0000_s1050" style="position:absolute;flip:y;visibility:visible;mso-wrap-style:square" from="45097,13728" to="45104,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27" o:spid="_x0000_s1051" style="position:absolute;flip:y;visibility:visible;mso-wrap-style:square" from="13658,13716" to="1366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w10:anchorlock/>
              </v:group>
            </w:pict>
          </mc:Fallback>
        </mc:AlternateContent>
      </w:r>
    </w:p>
    <w:p w:rsidR="000B4A1E" w:rsidRPr="007B4060" w:rsidRDefault="000B4A1E" w:rsidP="00517E51">
      <w:pPr>
        <w:pStyle w:val="Source"/>
      </w:pPr>
      <w:r w:rsidRPr="007B4060">
        <w:t xml:space="preserve">Source: </w:t>
      </w:r>
      <w:r w:rsidRPr="00467CBE">
        <w:t>Department</w:t>
      </w:r>
      <w:r w:rsidRPr="007B4060">
        <w:t xml:space="preserve"> of Treasury and Finance</w:t>
      </w:r>
    </w:p>
    <w:p w:rsidR="000B4A1E" w:rsidRPr="00467CBE" w:rsidRDefault="000B4A1E" w:rsidP="00517E51">
      <w:pPr>
        <w:pStyle w:val="Notes"/>
      </w:pPr>
    </w:p>
    <w:p w:rsidR="000B4A1E" w:rsidRPr="007B4060" w:rsidRDefault="000B4A1E" w:rsidP="00517E51">
      <w:pPr>
        <w:pStyle w:val="BulletText"/>
      </w:pPr>
      <w:r w:rsidRPr="007B4060">
        <w:t xml:space="preserve">The general government sector comprises all government departments, offices and other government bodies engaged in providing public services free of charge or at prices significantly below the cost of production. Some of these entities may also earn revenue from commercial activities, </w:t>
      </w:r>
      <w:r w:rsidRPr="00467CBE">
        <w:t>however</w:t>
      </w:r>
      <w:r w:rsidRPr="007B4060">
        <w:t xml:space="preserve"> such revenue represents less than half of their total revenue.</w:t>
      </w:r>
    </w:p>
    <w:p w:rsidR="000B4A1E" w:rsidRPr="007B4060" w:rsidRDefault="000B4A1E" w:rsidP="00517E51">
      <w:pPr>
        <w:pStyle w:val="BulletText"/>
      </w:pPr>
      <w:r w:rsidRPr="007B4060">
        <w:t>The public non</w:t>
      </w:r>
      <w:r>
        <w:noBreakHyphen/>
      </w:r>
      <w:r w:rsidRPr="007B4060">
        <w:t>financial corporation sector provides goods and services (of a non</w:t>
      </w:r>
      <w:r>
        <w:noBreakHyphen/>
      </w:r>
      <w:r w:rsidRPr="007B4060">
        <w:t>financial nature) within a competitive market, such as water authorities.</w:t>
      </w:r>
    </w:p>
    <w:p w:rsidR="000B4A1E" w:rsidRPr="007B4060" w:rsidRDefault="000B4A1E" w:rsidP="00517E51">
      <w:pPr>
        <w:pStyle w:val="BulletText"/>
      </w:pPr>
      <w:r w:rsidRPr="007B4060">
        <w:t xml:space="preserve">The public financial corporation sector comprises entities primarily engaged in the provision of financial services, including the Treasury Corporation of Victoria and the Transport Accident Commission. </w:t>
      </w:r>
    </w:p>
    <w:p w:rsidR="000B4A1E" w:rsidRDefault="000B4A1E" w:rsidP="00517E51"/>
    <w:p w:rsidR="000B4A1E" w:rsidRDefault="000B4A1E" w:rsidP="00517E51">
      <w:pPr>
        <w:pStyle w:val="Heading2"/>
      </w:pPr>
      <w:r>
        <w:br w:type="page"/>
      </w:r>
      <w:r w:rsidRPr="00467CBE">
        <w:lastRenderedPageBreak/>
        <w:t>Style conventions</w:t>
      </w:r>
    </w:p>
    <w:p w:rsidR="000B4A1E" w:rsidRPr="00467CBE" w:rsidRDefault="000B4A1E" w:rsidP="00517E51">
      <w:r w:rsidRPr="00467CBE">
        <w:t>Figures in the tables and in the text have been rounded. Discrepancies in tables between totals and sums of components reflect rounding. Percentage variations in all tables are based on the underlying unrounded amounts.</w:t>
      </w:r>
    </w:p>
    <w:p w:rsidR="000B4A1E" w:rsidRPr="00467CBE" w:rsidRDefault="000B4A1E" w:rsidP="00517E51">
      <w:r w:rsidRPr="00467CBE">
        <w:t>The notation used in the tables is as follows:</w:t>
      </w:r>
    </w:p>
    <w:p w:rsidR="000B4A1E" w:rsidRPr="00467CBE" w:rsidRDefault="000B4A1E" w:rsidP="00517E51">
      <w:pPr>
        <w:ind w:left="2700" w:hanging="1980"/>
      </w:pPr>
      <w:r w:rsidRPr="00467CBE">
        <w:t>n.a.</w:t>
      </w:r>
      <w:r>
        <w:t xml:space="preserve"> or n/a</w:t>
      </w:r>
      <w:r w:rsidRPr="00467CBE">
        <w:tab/>
        <w:t>not available or not applicable</w:t>
      </w:r>
    </w:p>
    <w:p w:rsidR="000B4A1E" w:rsidRPr="00467CBE" w:rsidRDefault="000B4A1E" w:rsidP="00517E51">
      <w:pPr>
        <w:ind w:left="2700" w:hanging="1980"/>
      </w:pPr>
      <w:r w:rsidRPr="00467CBE">
        <w:t>..</w:t>
      </w:r>
      <w:r w:rsidRPr="00467CBE">
        <w:tab/>
        <w:t>zero, or rounded to zero</w:t>
      </w:r>
    </w:p>
    <w:p w:rsidR="000B4A1E" w:rsidRPr="00467CBE" w:rsidRDefault="000B4A1E" w:rsidP="00517E51">
      <w:pPr>
        <w:ind w:left="2700" w:hanging="1980"/>
      </w:pPr>
      <w:r w:rsidRPr="00467CBE">
        <w:t>(xxx.x)</w:t>
      </w:r>
      <w:r w:rsidRPr="00467CBE">
        <w:tab/>
        <w:t>negative numbers</w:t>
      </w:r>
    </w:p>
    <w:p w:rsidR="000B4A1E" w:rsidRPr="00467CBE" w:rsidRDefault="000B4A1E" w:rsidP="00517E51">
      <w:pPr>
        <w:ind w:left="2700" w:hanging="1980"/>
      </w:pPr>
      <w:r w:rsidRPr="00467CBE">
        <w:t>200x</w:t>
      </w:r>
      <w:r w:rsidRPr="00467CBE">
        <w:tab/>
        <w:t>year period (Chapter 4)</w:t>
      </w:r>
    </w:p>
    <w:p w:rsidR="000B4A1E" w:rsidRPr="00467CBE" w:rsidRDefault="000B4A1E" w:rsidP="00517E51">
      <w:pPr>
        <w:ind w:left="2700" w:hanging="1980"/>
      </w:pPr>
      <w:r w:rsidRPr="00467CBE">
        <w:t>200x – 0x</w:t>
      </w:r>
      <w:r w:rsidRPr="00467CBE">
        <w:tab/>
        <w:t>year period (other than in Chapter 4)</w:t>
      </w:r>
    </w:p>
    <w:p w:rsidR="000B4A1E" w:rsidRPr="00467CBE" w:rsidRDefault="000B4A1E" w:rsidP="00517E51"/>
    <w:p w:rsidR="000B4A1E" w:rsidRPr="00467CBE" w:rsidRDefault="000B4A1E" w:rsidP="00517E51">
      <w:r w:rsidRPr="00467CBE">
        <w:t xml:space="preserve">The Annual Financial Report is based on the style set in the example of a general purpose financial report for a government in illustrative example A of AASB 1049 </w:t>
      </w:r>
      <w:r w:rsidRPr="00467CBE">
        <w:rPr>
          <w:i/>
        </w:rPr>
        <w:t>Whole of Government and General Government Sector Financial Reporting</w:t>
      </w:r>
      <w:r w:rsidRPr="00467CBE">
        <w:t>. The styles used in other chapters of this document are generally consistent with those used in other publications relating to the annual budget papers.</w:t>
      </w:r>
    </w:p>
    <w:p w:rsidR="000B4A1E" w:rsidRDefault="000B4A1E" w:rsidP="00517E51"/>
    <w:p w:rsidR="000B4A1E" w:rsidRPr="008F7516" w:rsidRDefault="000B4A1E" w:rsidP="00517E51"/>
    <w:p w:rsidR="000B4A1E" w:rsidRDefault="000B4A1E" w:rsidP="00EC7BE0"/>
    <w:p w:rsidR="000B4A1E" w:rsidRDefault="000B4A1E" w:rsidP="00EC7BE0"/>
    <w:p w:rsidR="000B4A1E" w:rsidRPr="00696339" w:rsidRDefault="000B4A1E" w:rsidP="00EC7BE0"/>
    <w:sectPr w:rsidR="000B4A1E" w:rsidRPr="00696339" w:rsidSect="00740862">
      <w:footerReference w:type="even" r:id="rId32"/>
      <w:footerReference w:type="default" r:id="rId33"/>
      <w:type w:val="oddPage"/>
      <w:pgSz w:w="11906" w:h="16838" w:code="9"/>
      <w:pgMar w:top="1152" w:right="1152" w:bottom="1152" w:left="1152" w:header="720"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F3E" w:rsidRDefault="00103F3E" w:rsidP="000B4A1E">
      <w:pPr>
        <w:spacing w:after="0"/>
      </w:pPr>
      <w:r>
        <w:separator/>
      </w:r>
    </w:p>
  </w:endnote>
  <w:endnote w:type="continuationSeparator" w:id="0">
    <w:p w:rsidR="00103F3E" w:rsidRDefault="00103F3E" w:rsidP="000B4A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vantGarde Bk BT">
    <w:charset w:val="00"/>
    <w:family w:val="swiss"/>
    <w:pitch w:val="variable"/>
    <w:sig w:usb0="00000087" w:usb1="00000000" w:usb2="00000000" w:usb3="00000000" w:csb0="0000001B"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93184E">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5940"/>
        <w:tab w:val="right" w:pos="9630"/>
      </w:tabs>
      <w:spacing w:after="0"/>
      <w:rPr>
        <w:rStyle w:val="PageNumber"/>
      </w:rPr>
    </w:pPr>
    <w:r>
      <w:t>2012</w:t>
    </w:r>
    <w:r>
      <w:noBreakHyphen/>
      <w:t>13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33</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206</w:t>
    </w:r>
    <w:r>
      <w:rPr>
        <w:rStyle w:val="PageNumber"/>
      </w:rPr>
      <w:fldChar w:fldCharType="end"/>
    </w:r>
    <w:r>
      <w:tab/>
      <w:t>Chapter 5</w:t>
    </w:r>
    <w:r>
      <w:tab/>
      <w:t>2012</w:t>
    </w:r>
    <w:r>
      <w:noBreakHyphen/>
      <w:t>13 Financial Report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5940"/>
        <w:tab w:val="right" w:pos="9630"/>
      </w:tabs>
      <w:spacing w:after="0"/>
      <w:rPr>
        <w:rStyle w:val="PageNumber"/>
      </w:rPr>
    </w:pPr>
    <w:r>
      <w:t>2012</w:t>
    </w:r>
    <w:r>
      <w:noBreakHyphen/>
      <w:t>13 Financial Report</w:t>
    </w:r>
    <w:r>
      <w:tab/>
      <w:t>Chapter 5</w:t>
    </w:r>
    <w:r>
      <w:tab/>
    </w: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205</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218</w:t>
    </w:r>
    <w:r>
      <w:rPr>
        <w:rStyle w:val="PageNumber"/>
      </w:rPr>
      <w:fldChar w:fldCharType="end"/>
    </w:r>
    <w:r>
      <w:tab/>
      <w:t>Appendix A</w:t>
    </w:r>
    <w:r>
      <w:tab/>
      <w:t>2012</w:t>
    </w:r>
    <w:r>
      <w:noBreakHyphen/>
      <w:t>13 Financial Report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5940"/>
        <w:tab w:val="right" w:pos="9630"/>
      </w:tabs>
      <w:spacing w:after="0"/>
      <w:rPr>
        <w:rStyle w:val="PageNumber"/>
      </w:rPr>
    </w:pPr>
    <w:r>
      <w:t>2012</w:t>
    </w:r>
    <w:r>
      <w:noBreakHyphen/>
      <w:t>13 Financial Report</w:t>
    </w:r>
    <w:r>
      <w:tab/>
      <w:t>Appendix A</w:t>
    </w:r>
    <w:r>
      <w:tab/>
    </w: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217</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3690"/>
        <w:tab w:val="right" w:pos="9630"/>
      </w:tabs>
      <w:spacing w:after="0"/>
    </w:pPr>
    <w:r>
      <w:fldChar w:fldCharType="begin"/>
    </w:r>
    <w:r>
      <w:instrText xml:space="preserve"> page </w:instrText>
    </w:r>
    <w:r>
      <w:fldChar w:fldCharType="separate"/>
    </w:r>
    <w:r w:rsidR="001A6345">
      <w:rPr>
        <w:noProof/>
      </w:rPr>
      <w:t>222</w:t>
    </w:r>
    <w:r>
      <w:fldChar w:fldCharType="end"/>
    </w:r>
    <w:r>
      <w:tab/>
      <w:t>Appendix B</w:t>
    </w:r>
    <w:r>
      <w:tab/>
      <w:t>2012</w:t>
    </w:r>
    <w:r>
      <w:noBreakHyphen/>
      <w:t>13 Financial Report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5940"/>
        <w:tab w:val="right" w:pos="9630"/>
      </w:tabs>
      <w:spacing w:after="0"/>
      <w:rPr>
        <w:rStyle w:val="PageNumber"/>
      </w:rPr>
    </w:pPr>
    <w:r>
      <w:t>2012</w:t>
    </w:r>
    <w:r>
      <w:noBreakHyphen/>
      <w:t>13 Financial Report</w:t>
    </w:r>
    <w:r>
      <w:tab/>
      <w:t>Appendix B</w:t>
    </w:r>
    <w:r>
      <w:tab/>
    </w:r>
    <w:r>
      <w:fldChar w:fldCharType="begin"/>
    </w:r>
    <w:r>
      <w:instrText xml:space="preserve"> page </w:instrText>
    </w:r>
    <w:r>
      <w:fldChar w:fldCharType="separate"/>
    </w:r>
    <w:r w:rsidR="001A6345">
      <w:rPr>
        <w:noProof/>
      </w:rPr>
      <w:t>221</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226</w:t>
    </w:r>
    <w:r>
      <w:rPr>
        <w:rStyle w:val="PageNumber"/>
      </w:rPr>
      <w:fldChar w:fldCharType="end"/>
    </w:r>
    <w:r>
      <w:tab/>
      <w:t>Appendix C</w:t>
    </w:r>
    <w:r>
      <w:tab/>
      <w:t>2012</w:t>
    </w:r>
    <w:r>
      <w:noBreakHyphen/>
      <w:t>13 Financial Report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5940"/>
        <w:tab w:val="right" w:pos="9630"/>
      </w:tabs>
      <w:spacing w:after="0"/>
      <w:rPr>
        <w:rStyle w:val="PageNumber"/>
      </w:rPr>
    </w:pPr>
    <w:r>
      <w:t>2012</w:t>
    </w:r>
    <w:r>
      <w:noBreakHyphen/>
      <w:t>13 Financial Report</w:t>
    </w:r>
    <w:r>
      <w:tab/>
      <w:t>Appendix C</w:t>
    </w:r>
    <w:r>
      <w:tab/>
    </w: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225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5947D8">
    <w:pPr>
      <w:pStyle w:val="Footer"/>
      <w:pBdr>
        <w:top w:val="none" w:sz="0" w:space="0" w:color="auto"/>
      </w:pBdr>
      <w:jc w:val="right"/>
    </w:pPr>
    <w:r>
      <w:fldChar w:fldCharType="begin"/>
    </w:r>
    <w:r>
      <w:instrText xml:space="preserve"> page </w:instrText>
    </w:r>
    <w:r>
      <w:fldChar w:fldCharType="separate"/>
    </w:r>
    <w:r w:rsidR="001A6345">
      <w:rPr>
        <w:noProof/>
      </w:rP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5947D8">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2</w:t>
    </w:r>
    <w:r>
      <w:rPr>
        <w:rStyle w:val="PageNumber"/>
      </w:rPr>
      <w:fldChar w:fldCharType="end"/>
    </w:r>
    <w:r>
      <w:tab/>
      <w:t>Chapter 1</w:t>
    </w:r>
    <w:r>
      <w:tab/>
      <w:t>2012</w:t>
    </w:r>
    <w:r>
      <w:noBreakHyphen/>
      <w:t>13 Financial Report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5947D8">
    <w:pPr>
      <w:pStyle w:val="Footer"/>
      <w:tabs>
        <w:tab w:val="clear" w:pos="7085"/>
        <w:tab w:val="center" w:pos="5940"/>
        <w:tab w:val="right" w:pos="9630"/>
      </w:tabs>
      <w:spacing w:after="0"/>
      <w:rPr>
        <w:rStyle w:val="PageNumber"/>
      </w:rPr>
    </w:pPr>
    <w:r>
      <w:t>2012</w:t>
    </w:r>
    <w:r>
      <w:noBreakHyphen/>
      <w:t>13 Financial Report</w:t>
    </w:r>
    <w:r>
      <w:tab/>
      <w:t>Chapter 1</w:t>
    </w:r>
    <w:r>
      <w:tab/>
    </w: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1</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12</w:t>
    </w:r>
    <w:r>
      <w:rPr>
        <w:rStyle w:val="PageNumber"/>
      </w:rPr>
      <w:fldChar w:fldCharType="end"/>
    </w:r>
    <w:r>
      <w:tab/>
      <w:t>Chapter 2</w:t>
    </w:r>
    <w:r>
      <w:tab/>
      <w:t>2012</w:t>
    </w:r>
    <w:r>
      <w:noBreakHyphen/>
      <w:t>13 Financial Report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5940"/>
        <w:tab w:val="right" w:pos="9630"/>
      </w:tabs>
      <w:spacing w:after="0"/>
      <w:rPr>
        <w:rStyle w:val="PageNumber"/>
      </w:rPr>
    </w:pPr>
    <w:r>
      <w:t>2012</w:t>
    </w:r>
    <w:r>
      <w:noBreakHyphen/>
      <w:t>13 Financial Report</w:t>
    </w:r>
    <w:r>
      <w:tab/>
      <w:t>Chapter 2</w:t>
    </w:r>
    <w:r>
      <w:tab/>
    </w: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11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20</w:t>
    </w:r>
    <w:r>
      <w:rPr>
        <w:rStyle w:val="PageNumber"/>
      </w:rPr>
      <w:fldChar w:fldCharType="end"/>
    </w:r>
    <w:r>
      <w:tab/>
      <w:t>Chapter 3</w:t>
    </w:r>
    <w:r>
      <w:tab/>
      <w:t>2012</w:t>
    </w:r>
    <w:r>
      <w:noBreakHyphen/>
      <w:t>13 Financial Report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5940"/>
        <w:tab w:val="right" w:pos="9630"/>
      </w:tabs>
      <w:spacing w:after="0"/>
      <w:rPr>
        <w:rStyle w:val="PageNumber"/>
      </w:rPr>
    </w:pPr>
    <w:r>
      <w:t>2012</w:t>
    </w:r>
    <w:r>
      <w:noBreakHyphen/>
      <w:t>13 Financial Report</w:t>
    </w:r>
    <w:r>
      <w:tab/>
      <w:t>Chapter 3</w:t>
    </w:r>
    <w:r>
      <w:tab/>
    </w: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19</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3E" w:rsidRDefault="00103F3E"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1A6345">
      <w:rPr>
        <w:rStyle w:val="PageNumber"/>
        <w:noProof/>
      </w:rPr>
      <w:t>32</w:t>
    </w:r>
    <w:r>
      <w:rPr>
        <w:rStyle w:val="PageNumber"/>
      </w:rPr>
      <w:fldChar w:fldCharType="end"/>
    </w:r>
    <w:r>
      <w:tab/>
      <w:t>Chapter 4</w:t>
    </w:r>
    <w:r>
      <w:tab/>
      <w:t>2012</w:t>
    </w:r>
    <w:r>
      <w:noBreakHyphen/>
      <w:t>13 Financial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F3E" w:rsidRDefault="00103F3E" w:rsidP="000B4A1E">
      <w:pPr>
        <w:spacing w:after="0"/>
      </w:pPr>
      <w:r>
        <w:separator/>
      </w:r>
    </w:p>
  </w:footnote>
  <w:footnote w:type="continuationSeparator" w:id="0">
    <w:p w:rsidR="00103F3E" w:rsidRDefault="00103F3E" w:rsidP="000B4A1E">
      <w:pPr>
        <w:spacing w:after="0"/>
      </w:pPr>
      <w:r>
        <w:continuationSeparator/>
      </w:r>
    </w:p>
  </w:footnote>
  <w:footnote w:id="1">
    <w:p w:rsidR="00103F3E" w:rsidRDefault="00103F3E">
      <w:pPr>
        <w:pStyle w:val="FootnoteText"/>
      </w:pPr>
      <w:r>
        <w:rPr>
          <w:rStyle w:val="FootnoteReference"/>
        </w:rPr>
        <w:footnoteRef/>
      </w:r>
      <w:r>
        <w:t xml:space="preserve"> The ratio to GSP for 2012-13 is calculated using an estimate of nominal GSP prepared for the </w:t>
      </w:r>
      <w:r>
        <w:rPr>
          <w:i/>
          <w:iCs/>
        </w:rPr>
        <w:t>2013-14 Budget</w:t>
      </w:r>
      <w:r>
        <w:t xml:space="preserve">. Future publications may show revised ratios following release of actual 2012-13 GSP outcomes by the Australian Bureau of Statistics.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826D50"/>
    <w:lvl w:ilvl="0">
      <w:start w:val="1"/>
      <w:numFmt w:val="decimal"/>
      <w:lvlText w:val="%1."/>
      <w:lvlJc w:val="left"/>
      <w:pPr>
        <w:tabs>
          <w:tab w:val="num" w:pos="1492"/>
        </w:tabs>
        <w:ind w:left="1492" w:hanging="360"/>
      </w:pPr>
    </w:lvl>
  </w:abstractNum>
  <w:abstractNum w:abstractNumId="1">
    <w:nsid w:val="FFFFFF7D"/>
    <w:multiLevelType w:val="singleLevel"/>
    <w:tmpl w:val="00922794"/>
    <w:lvl w:ilvl="0">
      <w:start w:val="1"/>
      <w:numFmt w:val="decimal"/>
      <w:lvlText w:val="%1."/>
      <w:lvlJc w:val="left"/>
      <w:pPr>
        <w:tabs>
          <w:tab w:val="num" w:pos="1209"/>
        </w:tabs>
        <w:ind w:left="1209" w:hanging="360"/>
      </w:pPr>
    </w:lvl>
  </w:abstractNum>
  <w:abstractNum w:abstractNumId="2">
    <w:nsid w:val="FFFFFF7E"/>
    <w:multiLevelType w:val="singleLevel"/>
    <w:tmpl w:val="53508342"/>
    <w:lvl w:ilvl="0">
      <w:start w:val="1"/>
      <w:numFmt w:val="decimal"/>
      <w:lvlText w:val="%1."/>
      <w:lvlJc w:val="left"/>
      <w:pPr>
        <w:tabs>
          <w:tab w:val="num" w:pos="926"/>
        </w:tabs>
        <w:ind w:left="926" w:hanging="360"/>
      </w:pPr>
    </w:lvl>
  </w:abstractNum>
  <w:abstractNum w:abstractNumId="3">
    <w:nsid w:val="FFFFFF7F"/>
    <w:multiLevelType w:val="singleLevel"/>
    <w:tmpl w:val="D6C248FC"/>
    <w:lvl w:ilvl="0">
      <w:start w:val="1"/>
      <w:numFmt w:val="decimal"/>
      <w:lvlText w:val="%1."/>
      <w:lvlJc w:val="left"/>
      <w:pPr>
        <w:tabs>
          <w:tab w:val="num" w:pos="643"/>
        </w:tabs>
        <w:ind w:left="643" w:hanging="360"/>
      </w:pPr>
    </w:lvl>
  </w:abstractNum>
  <w:abstractNum w:abstractNumId="4">
    <w:nsid w:val="FFFFFF80"/>
    <w:multiLevelType w:val="singleLevel"/>
    <w:tmpl w:val="311A16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7BE44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369BB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6FCE28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06B156"/>
    <w:lvl w:ilvl="0">
      <w:start w:val="1"/>
      <w:numFmt w:val="decimal"/>
      <w:lvlText w:val="%1."/>
      <w:lvlJc w:val="left"/>
      <w:pPr>
        <w:tabs>
          <w:tab w:val="num" w:pos="360"/>
        </w:tabs>
        <w:ind w:left="360" w:hanging="360"/>
      </w:pPr>
    </w:lvl>
  </w:abstractNum>
  <w:abstractNum w:abstractNumId="9">
    <w:nsid w:val="FFFFFF89"/>
    <w:multiLevelType w:val="singleLevel"/>
    <w:tmpl w:val="0C2EB262"/>
    <w:lvl w:ilvl="0">
      <w:start w:val="1"/>
      <w:numFmt w:val="bullet"/>
      <w:lvlText w:val=""/>
      <w:lvlJc w:val="left"/>
      <w:pPr>
        <w:tabs>
          <w:tab w:val="num" w:pos="360"/>
        </w:tabs>
        <w:ind w:left="360" w:hanging="360"/>
      </w:pPr>
      <w:rPr>
        <w:rFonts w:ascii="Symbol" w:hAnsi="Symbol" w:hint="default"/>
      </w:rPr>
    </w:lvl>
  </w:abstractNum>
  <w:abstractNum w:abstractNumId="10">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11">
    <w:nsid w:val="0A7B4952"/>
    <w:multiLevelType w:val="multilevel"/>
    <w:tmpl w:val="CFA0AB76"/>
    <w:lvl w:ilvl="0">
      <w:start w:val="1"/>
      <w:numFmt w:val="upp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CE9098C"/>
    <w:multiLevelType w:val="multilevel"/>
    <w:tmpl w:val="F8FC7B5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1367AAC"/>
    <w:multiLevelType w:val="hybridMultilevel"/>
    <w:tmpl w:val="3DD44E62"/>
    <w:lvl w:ilvl="0" w:tplc="85D82D52">
      <w:start w:val="1"/>
      <w:numFmt w:val="bullet"/>
      <w:pStyle w:val="OGTabBullet"/>
      <w:lvlText w:val=""/>
      <w:lvlJc w:val="left"/>
      <w:pPr>
        <w:tabs>
          <w:tab w:val="num" w:pos="605"/>
        </w:tabs>
        <w:ind w:left="605"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33A4341"/>
    <w:multiLevelType w:val="hybridMultilevel"/>
    <w:tmpl w:val="B1EE6E78"/>
    <w:lvl w:ilvl="0" w:tplc="4508DA84">
      <w:start w:val="1"/>
      <w:numFmt w:val="lowerLetter"/>
      <w:lvlText w:val="(%1)"/>
      <w:lvlJc w:val="left"/>
      <w:pPr>
        <w:ind w:left="450" w:hanging="45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142D45DB"/>
    <w:multiLevelType w:val="hybridMultilevel"/>
    <w:tmpl w:val="A016EF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6737B4A"/>
    <w:multiLevelType w:val="hybridMultilevel"/>
    <w:tmpl w:val="2A5ED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D297112"/>
    <w:multiLevelType w:val="multilevel"/>
    <w:tmpl w:val="E66C4E04"/>
    <w:lvl w:ilvl="0">
      <w:start w:val="1"/>
      <w:numFmt w:val="bullet"/>
      <w:lvlText w:val=""/>
      <w:lvlJc w:val="left"/>
      <w:pPr>
        <w:tabs>
          <w:tab w:val="num" w:pos="86"/>
        </w:tabs>
        <w:ind w:left="446" w:firstLine="0"/>
      </w:pPr>
      <w:rPr>
        <w:rFonts w:ascii="Symbol" w:hAnsi="Symbol" w:hint="default"/>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213105A0"/>
    <w:multiLevelType w:val="hybridMultilevel"/>
    <w:tmpl w:val="14B00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1A32F9A"/>
    <w:multiLevelType w:val="hybridMultilevel"/>
    <w:tmpl w:val="A3C40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3494EDF"/>
    <w:multiLevelType w:val="multilevel"/>
    <w:tmpl w:val="812C00D2"/>
    <w:lvl w:ilvl="0">
      <w:start w:val="1"/>
      <w:numFmt w:val="upperLetter"/>
      <w:lvlText w:val="(%1)"/>
      <w:lvlJc w:val="left"/>
      <w:pPr>
        <w:tabs>
          <w:tab w:val="num" w:pos="86"/>
        </w:tabs>
        <w:ind w:left="720" w:hanging="720"/>
      </w:pPr>
      <w:rPr>
        <w:rFonts w:hint="default"/>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246A3D1C"/>
    <w:multiLevelType w:val="multilevel"/>
    <w:tmpl w:val="D4CE75F8"/>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6A54181"/>
    <w:multiLevelType w:val="singleLevel"/>
    <w:tmpl w:val="22D246C6"/>
    <w:lvl w:ilvl="0">
      <w:start w:val="1"/>
      <w:numFmt w:val="bullet"/>
      <w:lvlText w:val=""/>
      <w:lvlJc w:val="left"/>
      <w:pPr>
        <w:tabs>
          <w:tab w:val="num" w:pos="360"/>
        </w:tabs>
        <w:ind w:left="360" w:hanging="360"/>
      </w:pPr>
      <w:rPr>
        <w:rFonts w:ascii="Symbol" w:hAnsi="Symbol" w:hint="default"/>
        <w:sz w:val="16"/>
      </w:rPr>
    </w:lvl>
  </w:abstractNum>
  <w:abstractNum w:abstractNumId="23">
    <w:nsid w:val="283B293C"/>
    <w:multiLevelType w:val="hybridMultilevel"/>
    <w:tmpl w:val="B540C8D6"/>
    <w:lvl w:ilvl="0" w:tplc="BF24713E">
      <w:start w:val="1"/>
      <w:numFmt w:val="bullet"/>
      <w:pStyle w:val="VAGOBullet"/>
      <w:lvlText w:val=""/>
      <w:lvlJc w:val="left"/>
      <w:pPr>
        <w:tabs>
          <w:tab w:val="num" w:pos="426"/>
        </w:tabs>
        <w:ind w:left="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285C08AE"/>
    <w:multiLevelType w:val="multilevel"/>
    <w:tmpl w:val="86BA075E"/>
    <w:lvl w:ilvl="0">
      <w:start w:val="1"/>
      <w:numFmt w:val="bullet"/>
      <w:pStyle w:val="BulletText"/>
      <w:lvlText w:val=""/>
      <w:lvlJc w:val="left"/>
      <w:pPr>
        <w:tabs>
          <w:tab w:val="num" w:pos="360"/>
        </w:tabs>
        <w:ind w:left="360" w:hanging="360"/>
      </w:pPr>
      <w:rPr>
        <w:rFonts w:ascii="Symbol" w:hAnsi="Symbol" w:hint="default"/>
        <w:sz w:val="18"/>
        <w:szCs w:val="18"/>
      </w:rPr>
    </w:lvl>
    <w:lvl w:ilvl="1">
      <w:start w:val="1"/>
      <w:numFmt w:val="bullet"/>
      <w:pStyle w:val="DashText"/>
      <w:lvlText w:val=""/>
      <w:lvlJc w:val="left"/>
      <w:pPr>
        <w:tabs>
          <w:tab w:val="num" w:pos="720"/>
        </w:tabs>
        <w:ind w:left="72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
    <w:nsid w:val="2E900AA4"/>
    <w:multiLevelType w:val="singleLevel"/>
    <w:tmpl w:val="0C090001"/>
    <w:lvl w:ilvl="0">
      <w:start w:val="1"/>
      <w:numFmt w:val="bullet"/>
      <w:lvlText w:val=""/>
      <w:lvlJc w:val="left"/>
      <w:pPr>
        <w:ind w:left="720" w:hanging="360"/>
      </w:pPr>
      <w:rPr>
        <w:rFonts w:ascii="Symbol" w:hAnsi="Symbol" w:hint="default"/>
      </w:rPr>
    </w:lvl>
  </w:abstractNum>
  <w:abstractNum w:abstractNumId="26">
    <w:nsid w:val="2F3E2BA2"/>
    <w:multiLevelType w:val="hybridMultilevel"/>
    <w:tmpl w:val="65840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4B65566"/>
    <w:multiLevelType w:val="hybridMultilevel"/>
    <w:tmpl w:val="BEEA9D0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8">
    <w:nsid w:val="37A75132"/>
    <w:multiLevelType w:val="hybridMultilevel"/>
    <w:tmpl w:val="98046570"/>
    <w:lvl w:ilvl="0" w:tplc="B24470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9500040"/>
    <w:multiLevelType w:val="singleLevel"/>
    <w:tmpl w:val="0C090001"/>
    <w:lvl w:ilvl="0">
      <w:start w:val="1"/>
      <w:numFmt w:val="bullet"/>
      <w:lvlText w:val=""/>
      <w:lvlJc w:val="left"/>
      <w:pPr>
        <w:ind w:left="720" w:hanging="360"/>
      </w:pPr>
      <w:rPr>
        <w:rFonts w:ascii="Symbol" w:hAnsi="Symbol" w:hint="default"/>
      </w:rPr>
    </w:lvl>
  </w:abstractNum>
  <w:abstractNum w:abstractNumId="30">
    <w:nsid w:val="3CB7720E"/>
    <w:multiLevelType w:val="hybridMultilevel"/>
    <w:tmpl w:val="6B588BE4"/>
    <w:lvl w:ilvl="0" w:tplc="1BA61EB4">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CFC52E9"/>
    <w:multiLevelType w:val="hybridMultilevel"/>
    <w:tmpl w:val="29C2504A"/>
    <w:lvl w:ilvl="0" w:tplc="D0968288">
      <w:start w:val="1"/>
      <w:numFmt w:val="bullet"/>
      <w:pStyle w:val="NotesDash"/>
      <w:lvlText w:val="–"/>
      <w:lvlJc w:val="left"/>
      <w:pPr>
        <w:tabs>
          <w:tab w:val="num" w:pos="922"/>
        </w:tabs>
        <w:ind w:left="922" w:hanging="468"/>
      </w:pPr>
      <w:rPr>
        <w:rFonts w:ascii="Times New Roman" w:hAnsi="Times New Roman"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49BE429D"/>
    <w:multiLevelType w:val="hybridMultilevel"/>
    <w:tmpl w:val="CE729F42"/>
    <w:lvl w:ilvl="0" w:tplc="F66639EE">
      <w:start w:val="1"/>
      <w:numFmt w:val="lowerLetter"/>
      <w:lvlText w:val="(%1)"/>
      <w:lvlJc w:val="left"/>
      <w:pPr>
        <w:ind w:left="720" w:hanging="360"/>
      </w:pPr>
      <w:rPr>
        <w:rFonts w:ascii="Garamond" w:hAnsi="Garamond" w:hint="default"/>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BB94889"/>
    <w:multiLevelType w:val="hybridMultilevel"/>
    <w:tmpl w:val="CFA0AB76"/>
    <w:lvl w:ilvl="0" w:tplc="6052C808">
      <w:start w:val="1"/>
      <w:numFmt w:val="upperLetter"/>
      <w:lvlText w:val="(%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nsid w:val="52DF7E7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6FB2E0B"/>
    <w:multiLevelType w:val="hybridMultilevel"/>
    <w:tmpl w:val="EDCE7868"/>
    <w:lvl w:ilvl="0" w:tplc="69205F3C">
      <w:start w:val="1"/>
      <w:numFmt w:val="bullet"/>
      <w:pStyle w:val="HighlightBox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36">
    <w:nsid w:val="6B056524"/>
    <w:multiLevelType w:val="hybridMultilevel"/>
    <w:tmpl w:val="C11A7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B7D5B24"/>
    <w:multiLevelType w:val="hybridMultilevel"/>
    <w:tmpl w:val="92404D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E661EC9"/>
    <w:multiLevelType w:val="hybridMultilevel"/>
    <w:tmpl w:val="BC361348"/>
    <w:lvl w:ilvl="0" w:tplc="164E2324">
      <w:start w:val="1"/>
      <w:numFmt w:val="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39">
    <w:nsid w:val="6EE34E10"/>
    <w:multiLevelType w:val="multilevel"/>
    <w:tmpl w:val="D9F407CA"/>
    <w:lvl w:ilvl="0">
      <w:start w:val="1"/>
      <w:numFmt w:val="upperLetter"/>
      <w:pStyle w:val="Heading3Numbering"/>
      <w:lvlText w:val="(%1)"/>
      <w:lvlJc w:val="left"/>
      <w:pPr>
        <w:tabs>
          <w:tab w:val="num" w:pos="720"/>
        </w:tabs>
        <w:ind w:left="720" w:hanging="720"/>
      </w:pPr>
      <w:rPr>
        <w:rFonts w:ascii="Calibri" w:hAnsi="Calibri"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72806EAF"/>
    <w:multiLevelType w:val="hybridMultilevel"/>
    <w:tmpl w:val="2F58BF86"/>
    <w:lvl w:ilvl="0" w:tplc="EBB04D60">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72F32FBC"/>
    <w:multiLevelType w:val="hybridMultilevel"/>
    <w:tmpl w:val="F358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3502477"/>
    <w:multiLevelType w:val="multilevel"/>
    <w:tmpl w:val="2D149DDA"/>
    <w:lvl w:ilvl="0">
      <w:start w:val="1"/>
      <w:numFmt w:val="upperLetter"/>
      <w:lvlText w:val="(%1)"/>
      <w:lvlJc w:val="left"/>
      <w:pPr>
        <w:tabs>
          <w:tab w:val="num" w:pos="720"/>
        </w:tabs>
        <w:ind w:left="720" w:hanging="720"/>
      </w:pPr>
      <w:rPr>
        <w:rFonts w:ascii="AvantGarde Bk BT" w:hAnsi="AvantGarde Bk BT"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78244F38"/>
    <w:multiLevelType w:val="hybridMultilevel"/>
    <w:tmpl w:val="3D0672E2"/>
    <w:lvl w:ilvl="0" w:tplc="B92C81CA">
      <w:start w:val="1"/>
      <w:numFmt w:val="bullet"/>
      <w:pStyle w:val="TableText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8441FB3"/>
    <w:multiLevelType w:val="hybridMultilevel"/>
    <w:tmpl w:val="F39674F4"/>
    <w:lvl w:ilvl="0" w:tplc="3EEC34DA">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92603EA"/>
    <w:multiLevelType w:val="singleLevel"/>
    <w:tmpl w:val="9DB0D9C8"/>
    <w:lvl w:ilvl="0">
      <w:start w:val="1"/>
      <w:numFmt w:val="bullet"/>
      <w:lvlText w:val=""/>
      <w:lvlJc w:val="left"/>
      <w:pPr>
        <w:tabs>
          <w:tab w:val="num" w:pos="360"/>
        </w:tabs>
        <w:ind w:left="360" w:hanging="360"/>
      </w:pPr>
      <w:rPr>
        <w:rFonts w:ascii="Symbol" w:hAnsi="Symbol" w:hint="default"/>
        <w:sz w:val="20"/>
      </w:rPr>
    </w:lvl>
  </w:abstractNum>
  <w:num w:numId="1">
    <w:abstractNumId w:val="24"/>
  </w:num>
  <w:num w:numId="2">
    <w:abstractNumId w:val="39"/>
  </w:num>
  <w:num w:numId="3">
    <w:abstractNumId w:val="35"/>
  </w:num>
  <w:num w:numId="4">
    <w:abstractNumId w:val="31"/>
  </w:num>
  <w:num w:numId="5">
    <w:abstractNumId w:val="10"/>
  </w:num>
  <w:num w:numId="6">
    <w:abstractNumId w:val="23"/>
  </w:num>
  <w:num w:numId="7">
    <w:abstractNumId w:val="13"/>
  </w:num>
  <w:num w:numId="8">
    <w:abstractNumId w:val="30"/>
  </w:num>
  <w:num w:numId="9">
    <w:abstractNumId w:val="43"/>
  </w:num>
  <w:num w:numId="10">
    <w:abstractNumId w:val="22"/>
  </w:num>
  <w:num w:numId="11">
    <w:abstractNumId w:val="4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8"/>
  </w:num>
  <w:num w:numId="23">
    <w:abstractNumId w:val="17"/>
  </w:num>
  <w:num w:numId="24">
    <w:abstractNumId w:val="33"/>
  </w:num>
  <w:num w:numId="25">
    <w:abstractNumId w:val="11"/>
  </w:num>
  <w:num w:numId="26">
    <w:abstractNumId w:val="20"/>
  </w:num>
  <w:num w:numId="27">
    <w:abstractNumId w:val="40"/>
  </w:num>
  <w:num w:numId="28">
    <w:abstractNumId w:val="12"/>
  </w:num>
  <w:num w:numId="29">
    <w:abstractNumId w:val="44"/>
  </w:num>
  <w:num w:numId="30">
    <w:abstractNumId w:val="21"/>
  </w:num>
  <w:num w:numId="31">
    <w:abstractNumId w:val="34"/>
  </w:num>
  <w:num w:numId="32">
    <w:abstractNumId w:val="42"/>
  </w:num>
  <w:num w:numId="33">
    <w:abstractNumId w:val="16"/>
  </w:num>
  <w:num w:numId="34">
    <w:abstractNumId w:val="19"/>
  </w:num>
  <w:num w:numId="35">
    <w:abstractNumId w:val="26"/>
  </w:num>
  <w:num w:numId="36">
    <w:abstractNumId w:val="25"/>
  </w:num>
  <w:num w:numId="37">
    <w:abstractNumId w:val="27"/>
  </w:num>
  <w:num w:numId="38">
    <w:abstractNumId w:val="18"/>
  </w:num>
  <w:num w:numId="39">
    <w:abstractNumId w:val="29"/>
  </w:num>
  <w:num w:numId="40">
    <w:abstractNumId w:val="15"/>
  </w:num>
  <w:num w:numId="41">
    <w:abstractNumId w:val="37"/>
  </w:num>
  <w:num w:numId="42">
    <w:abstractNumId w:val="36"/>
  </w:num>
  <w:num w:numId="43">
    <w:abstractNumId w:val="41"/>
  </w:num>
  <w:num w:numId="44">
    <w:abstractNumId w:val="32"/>
  </w:num>
  <w:num w:numId="45">
    <w:abstractNumId w:val="28"/>
  </w:num>
  <w:num w:numId="46">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mirrorMargins/>
  <w:proofState w:spelling="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nforcement="0"/>
  <w:autoFormatOverride/>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339"/>
    <w:rsid w:val="000044AD"/>
    <w:rsid w:val="00006F06"/>
    <w:rsid w:val="00007ABB"/>
    <w:rsid w:val="00021CE5"/>
    <w:rsid w:val="0004119A"/>
    <w:rsid w:val="00047BF5"/>
    <w:rsid w:val="000557B1"/>
    <w:rsid w:val="00057EE3"/>
    <w:rsid w:val="000701E0"/>
    <w:rsid w:val="000771C1"/>
    <w:rsid w:val="00087089"/>
    <w:rsid w:val="000B1105"/>
    <w:rsid w:val="000B2895"/>
    <w:rsid w:val="000B4A1E"/>
    <w:rsid w:val="000B4F8C"/>
    <w:rsid w:val="000C1027"/>
    <w:rsid w:val="000D0F3D"/>
    <w:rsid w:val="000D652A"/>
    <w:rsid w:val="000E435C"/>
    <w:rsid w:val="000F4C88"/>
    <w:rsid w:val="000F532A"/>
    <w:rsid w:val="00103F3E"/>
    <w:rsid w:val="0013022C"/>
    <w:rsid w:val="00131B8B"/>
    <w:rsid w:val="001368DE"/>
    <w:rsid w:val="001400C3"/>
    <w:rsid w:val="001425EC"/>
    <w:rsid w:val="0014342C"/>
    <w:rsid w:val="001438DF"/>
    <w:rsid w:val="00155F7D"/>
    <w:rsid w:val="001561EB"/>
    <w:rsid w:val="00186B75"/>
    <w:rsid w:val="00190010"/>
    <w:rsid w:val="001A39E7"/>
    <w:rsid w:val="001A6345"/>
    <w:rsid w:val="001C7CDE"/>
    <w:rsid w:val="001D18E7"/>
    <w:rsid w:val="001D5D99"/>
    <w:rsid w:val="001E39DC"/>
    <w:rsid w:val="001F36BA"/>
    <w:rsid w:val="00206EB5"/>
    <w:rsid w:val="002102F0"/>
    <w:rsid w:val="002364FC"/>
    <w:rsid w:val="00245DCF"/>
    <w:rsid w:val="00246993"/>
    <w:rsid w:val="00265CBB"/>
    <w:rsid w:val="00272979"/>
    <w:rsid w:val="002733B3"/>
    <w:rsid w:val="00281929"/>
    <w:rsid w:val="00284FC9"/>
    <w:rsid w:val="00285253"/>
    <w:rsid w:val="002C1D55"/>
    <w:rsid w:val="002D4015"/>
    <w:rsid w:val="002E31A2"/>
    <w:rsid w:val="002E5C62"/>
    <w:rsid w:val="002E6FCB"/>
    <w:rsid w:val="002F010C"/>
    <w:rsid w:val="002F3CB5"/>
    <w:rsid w:val="002F4CF1"/>
    <w:rsid w:val="00322DD7"/>
    <w:rsid w:val="00322E2A"/>
    <w:rsid w:val="003233E0"/>
    <w:rsid w:val="003326E8"/>
    <w:rsid w:val="00341734"/>
    <w:rsid w:val="003502C8"/>
    <w:rsid w:val="003511F8"/>
    <w:rsid w:val="00355792"/>
    <w:rsid w:val="003621B7"/>
    <w:rsid w:val="00376BA1"/>
    <w:rsid w:val="003926C8"/>
    <w:rsid w:val="003A1B60"/>
    <w:rsid w:val="003C3AAE"/>
    <w:rsid w:val="003E29DB"/>
    <w:rsid w:val="003E4C1F"/>
    <w:rsid w:val="00401171"/>
    <w:rsid w:val="00402B50"/>
    <w:rsid w:val="00405D0E"/>
    <w:rsid w:val="00410A6C"/>
    <w:rsid w:val="00410D51"/>
    <w:rsid w:val="0041134C"/>
    <w:rsid w:val="0041227C"/>
    <w:rsid w:val="004276B9"/>
    <w:rsid w:val="0044617D"/>
    <w:rsid w:val="00452B29"/>
    <w:rsid w:val="004534BB"/>
    <w:rsid w:val="00455F51"/>
    <w:rsid w:val="00465985"/>
    <w:rsid w:val="00477003"/>
    <w:rsid w:val="00480ADD"/>
    <w:rsid w:val="004854E5"/>
    <w:rsid w:val="00495CB0"/>
    <w:rsid w:val="004C3F0D"/>
    <w:rsid w:val="004D54D7"/>
    <w:rsid w:val="004E43BF"/>
    <w:rsid w:val="004F6BAB"/>
    <w:rsid w:val="004F78CB"/>
    <w:rsid w:val="00503A10"/>
    <w:rsid w:val="005040D7"/>
    <w:rsid w:val="00517E51"/>
    <w:rsid w:val="00531A3D"/>
    <w:rsid w:val="005345F7"/>
    <w:rsid w:val="005429ED"/>
    <w:rsid w:val="00553148"/>
    <w:rsid w:val="005545C0"/>
    <w:rsid w:val="005659B1"/>
    <w:rsid w:val="005936CC"/>
    <w:rsid w:val="005947D8"/>
    <w:rsid w:val="00594D72"/>
    <w:rsid w:val="005A32A3"/>
    <w:rsid w:val="005A6BE2"/>
    <w:rsid w:val="005A6FB4"/>
    <w:rsid w:val="005A7A10"/>
    <w:rsid w:val="005B0F2C"/>
    <w:rsid w:val="005B4DC5"/>
    <w:rsid w:val="005B59D4"/>
    <w:rsid w:val="005D2193"/>
    <w:rsid w:val="005F105D"/>
    <w:rsid w:val="00601A90"/>
    <w:rsid w:val="00606A43"/>
    <w:rsid w:val="00630FB1"/>
    <w:rsid w:val="006337FC"/>
    <w:rsid w:val="00642BF1"/>
    <w:rsid w:val="00645E54"/>
    <w:rsid w:val="00660094"/>
    <w:rsid w:val="0066770B"/>
    <w:rsid w:val="00667BF1"/>
    <w:rsid w:val="006707CE"/>
    <w:rsid w:val="006736CC"/>
    <w:rsid w:val="00674721"/>
    <w:rsid w:val="00675356"/>
    <w:rsid w:val="00681D3C"/>
    <w:rsid w:val="0068731F"/>
    <w:rsid w:val="00687D82"/>
    <w:rsid w:val="00690C84"/>
    <w:rsid w:val="00696339"/>
    <w:rsid w:val="006A7B84"/>
    <w:rsid w:val="006C0C25"/>
    <w:rsid w:val="006C2220"/>
    <w:rsid w:val="006C79C3"/>
    <w:rsid w:val="006D06A3"/>
    <w:rsid w:val="006D5090"/>
    <w:rsid w:val="006D6440"/>
    <w:rsid w:val="006D6A13"/>
    <w:rsid w:val="006D7F71"/>
    <w:rsid w:val="0071751D"/>
    <w:rsid w:val="007178C7"/>
    <w:rsid w:val="00732D14"/>
    <w:rsid w:val="00737905"/>
    <w:rsid w:val="0074008B"/>
    <w:rsid w:val="00740862"/>
    <w:rsid w:val="00742218"/>
    <w:rsid w:val="007703C5"/>
    <w:rsid w:val="00787428"/>
    <w:rsid w:val="00797503"/>
    <w:rsid w:val="007B4258"/>
    <w:rsid w:val="007C41A8"/>
    <w:rsid w:val="007D3406"/>
    <w:rsid w:val="007F5292"/>
    <w:rsid w:val="007F7AF8"/>
    <w:rsid w:val="00803B55"/>
    <w:rsid w:val="008047B2"/>
    <w:rsid w:val="00805752"/>
    <w:rsid w:val="008207B6"/>
    <w:rsid w:val="00836249"/>
    <w:rsid w:val="00842AFB"/>
    <w:rsid w:val="00873DA7"/>
    <w:rsid w:val="00887F89"/>
    <w:rsid w:val="00892C4B"/>
    <w:rsid w:val="008A5FE9"/>
    <w:rsid w:val="008B32F8"/>
    <w:rsid w:val="008B7B8A"/>
    <w:rsid w:val="008C2408"/>
    <w:rsid w:val="00901E03"/>
    <w:rsid w:val="009025F1"/>
    <w:rsid w:val="00904A16"/>
    <w:rsid w:val="00923AD5"/>
    <w:rsid w:val="0092470F"/>
    <w:rsid w:val="0093166C"/>
    <w:rsid w:val="0093184E"/>
    <w:rsid w:val="00943855"/>
    <w:rsid w:val="00943D46"/>
    <w:rsid w:val="0096304A"/>
    <w:rsid w:val="009659F7"/>
    <w:rsid w:val="0097206F"/>
    <w:rsid w:val="00973A41"/>
    <w:rsid w:val="009942D2"/>
    <w:rsid w:val="00995570"/>
    <w:rsid w:val="009A2BC2"/>
    <w:rsid w:val="009A3179"/>
    <w:rsid w:val="009B59AB"/>
    <w:rsid w:val="009C5731"/>
    <w:rsid w:val="009D1CA9"/>
    <w:rsid w:val="009E4508"/>
    <w:rsid w:val="009F0F12"/>
    <w:rsid w:val="009F2577"/>
    <w:rsid w:val="009F534D"/>
    <w:rsid w:val="009F54A4"/>
    <w:rsid w:val="00A020F9"/>
    <w:rsid w:val="00A02B1B"/>
    <w:rsid w:val="00A1268C"/>
    <w:rsid w:val="00A167C1"/>
    <w:rsid w:val="00A17FAB"/>
    <w:rsid w:val="00A224BB"/>
    <w:rsid w:val="00A251B1"/>
    <w:rsid w:val="00A30094"/>
    <w:rsid w:val="00A4192E"/>
    <w:rsid w:val="00A426C4"/>
    <w:rsid w:val="00A5588D"/>
    <w:rsid w:val="00A576F6"/>
    <w:rsid w:val="00A62AFB"/>
    <w:rsid w:val="00A71163"/>
    <w:rsid w:val="00A71EF7"/>
    <w:rsid w:val="00A74AB1"/>
    <w:rsid w:val="00A74CBC"/>
    <w:rsid w:val="00A7557D"/>
    <w:rsid w:val="00A945A3"/>
    <w:rsid w:val="00AA6337"/>
    <w:rsid w:val="00B022A5"/>
    <w:rsid w:val="00B0624D"/>
    <w:rsid w:val="00B1409D"/>
    <w:rsid w:val="00B203B9"/>
    <w:rsid w:val="00B208AA"/>
    <w:rsid w:val="00B27782"/>
    <w:rsid w:val="00B35C23"/>
    <w:rsid w:val="00B527F0"/>
    <w:rsid w:val="00B55816"/>
    <w:rsid w:val="00B8605D"/>
    <w:rsid w:val="00BB1EF3"/>
    <w:rsid w:val="00BB3860"/>
    <w:rsid w:val="00BB71EC"/>
    <w:rsid w:val="00BC61E2"/>
    <w:rsid w:val="00BC74E0"/>
    <w:rsid w:val="00BF7248"/>
    <w:rsid w:val="00C017D4"/>
    <w:rsid w:val="00C04DD7"/>
    <w:rsid w:val="00C05DC9"/>
    <w:rsid w:val="00C10709"/>
    <w:rsid w:val="00C212AB"/>
    <w:rsid w:val="00C2380B"/>
    <w:rsid w:val="00C24FB1"/>
    <w:rsid w:val="00C35791"/>
    <w:rsid w:val="00C419DE"/>
    <w:rsid w:val="00C4543A"/>
    <w:rsid w:val="00C46316"/>
    <w:rsid w:val="00C61389"/>
    <w:rsid w:val="00C723F1"/>
    <w:rsid w:val="00C75D0E"/>
    <w:rsid w:val="00C974AC"/>
    <w:rsid w:val="00CA1E44"/>
    <w:rsid w:val="00CB3C8A"/>
    <w:rsid w:val="00CB5C08"/>
    <w:rsid w:val="00CC69F7"/>
    <w:rsid w:val="00CC73D9"/>
    <w:rsid w:val="00CD0577"/>
    <w:rsid w:val="00CE6BEE"/>
    <w:rsid w:val="00CF0F98"/>
    <w:rsid w:val="00CF1D10"/>
    <w:rsid w:val="00CF25B1"/>
    <w:rsid w:val="00D065FE"/>
    <w:rsid w:val="00D12656"/>
    <w:rsid w:val="00D20424"/>
    <w:rsid w:val="00D3175D"/>
    <w:rsid w:val="00D50064"/>
    <w:rsid w:val="00D56B84"/>
    <w:rsid w:val="00D61230"/>
    <w:rsid w:val="00D70710"/>
    <w:rsid w:val="00D7758B"/>
    <w:rsid w:val="00D900AD"/>
    <w:rsid w:val="00D95D7D"/>
    <w:rsid w:val="00DA4D63"/>
    <w:rsid w:val="00DA6CAB"/>
    <w:rsid w:val="00DB3187"/>
    <w:rsid w:val="00DB7B76"/>
    <w:rsid w:val="00DD79E9"/>
    <w:rsid w:val="00DE1D28"/>
    <w:rsid w:val="00E41446"/>
    <w:rsid w:val="00E5035C"/>
    <w:rsid w:val="00E520DD"/>
    <w:rsid w:val="00E666B8"/>
    <w:rsid w:val="00E940C8"/>
    <w:rsid w:val="00EA5B44"/>
    <w:rsid w:val="00EC2ADF"/>
    <w:rsid w:val="00EC7BE0"/>
    <w:rsid w:val="00ED0E99"/>
    <w:rsid w:val="00EE2363"/>
    <w:rsid w:val="00EE4554"/>
    <w:rsid w:val="00EF59EA"/>
    <w:rsid w:val="00F17676"/>
    <w:rsid w:val="00F35817"/>
    <w:rsid w:val="00F4373A"/>
    <w:rsid w:val="00F44A2E"/>
    <w:rsid w:val="00F5014D"/>
    <w:rsid w:val="00F560E7"/>
    <w:rsid w:val="00FA2033"/>
    <w:rsid w:val="00FA5CC9"/>
    <w:rsid w:val="00FB4EAF"/>
    <w:rsid w:val="00FC0483"/>
    <w:rsid w:val="00FC21A7"/>
    <w:rsid w:val="00FC24B5"/>
    <w:rsid w:val="00FC7ED5"/>
    <w:rsid w:val="00FE1306"/>
    <w:rsid w:val="00FE76C7"/>
    <w:rsid w:val="00FF1527"/>
    <w:rsid w:val="00FF6B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6" w:locked="1"/>
    <w:lsdException w:name="index 7" w:locked="1"/>
    <w:lsdException w:name="index 8" w:locked="1"/>
    <w:lsdException w:name="index 9" w:locked="1"/>
    <w:lsdException w:name="toc 1" w:uiPriority="39"/>
    <w:lsdException w:name="toc 2" w:uiPriority="39"/>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lsdException w:name="Emphasis" w:locked="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90010"/>
    <w:pPr>
      <w:spacing w:after="120"/>
    </w:pPr>
    <w:rPr>
      <w:rFonts w:ascii="Garamond" w:hAnsi="Garamond"/>
      <w:sz w:val="24"/>
      <w:lang w:eastAsia="en-US"/>
    </w:rPr>
  </w:style>
  <w:style w:type="paragraph" w:styleId="Heading1">
    <w:name w:val="heading 1"/>
    <w:basedOn w:val="Normal"/>
    <w:next w:val="Normal"/>
    <w:link w:val="Heading1Char"/>
    <w:qFormat/>
    <w:rsid w:val="00BB71EC"/>
    <w:pPr>
      <w:keepNext/>
      <w:spacing w:before="360"/>
      <w:outlineLvl w:val="0"/>
    </w:pPr>
    <w:rPr>
      <w:rFonts w:ascii="Calibri" w:hAnsi="Calibri"/>
      <w:b/>
      <w:caps/>
      <w:sz w:val="28"/>
      <w:szCs w:val="22"/>
    </w:rPr>
  </w:style>
  <w:style w:type="paragraph" w:styleId="Heading2">
    <w:name w:val="heading 2"/>
    <w:basedOn w:val="Normal"/>
    <w:next w:val="Normal"/>
    <w:link w:val="Heading2Char"/>
    <w:qFormat/>
    <w:rsid w:val="008207B6"/>
    <w:pPr>
      <w:keepNext/>
      <w:spacing w:before="240"/>
      <w:outlineLvl w:val="1"/>
    </w:pPr>
    <w:rPr>
      <w:rFonts w:ascii="Calibri" w:hAnsi="Calibri"/>
      <w:b/>
      <w:sz w:val="28"/>
      <w:szCs w:val="22"/>
    </w:rPr>
  </w:style>
  <w:style w:type="paragraph" w:styleId="Heading3">
    <w:name w:val="heading 3"/>
    <w:basedOn w:val="Normal"/>
    <w:next w:val="Normal"/>
    <w:link w:val="Heading3Char"/>
    <w:qFormat/>
    <w:rsid w:val="008207B6"/>
    <w:pPr>
      <w:keepNext/>
      <w:spacing w:before="240"/>
      <w:outlineLvl w:val="2"/>
    </w:pPr>
    <w:rPr>
      <w:rFonts w:ascii="Calibri" w:hAnsi="Calibri"/>
      <w:b/>
      <w:i/>
      <w:sz w:val="26"/>
      <w:szCs w:val="22"/>
    </w:rPr>
  </w:style>
  <w:style w:type="paragraph" w:styleId="Heading4">
    <w:name w:val="heading 4"/>
    <w:basedOn w:val="Normal"/>
    <w:next w:val="Normal"/>
    <w:link w:val="Heading4Char"/>
    <w:qFormat/>
    <w:rsid w:val="00BB71EC"/>
    <w:pPr>
      <w:keepNext/>
      <w:spacing w:before="240"/>
      <w:outlineLvl w:val="3"/>
    </w:pPr>
    <w:rPr>
      <w:rFonts w:ascii="Calibri" w:hAnsi="Calibri"/>
      <w:i/>
      <w:sz w:val="26"/>
      <w:szCs w:val="22"/>
    </w:rPr>
  </w:style>
  <w:style w:type="paragraph" w:styleId="Heading5">
    <w:name w:val="heading 5"/>
    <w:basedOn w:val="Normal"/>
    <w:next w:val="Normal"/>
    <w:link w:val="Heading5Char"/>
    <w:qFormat/>
    <w:rsid w:val="00BB71EC"/>
    <w:pPr>
      <w:keepNext/>
      <w:tabs>
        <w:tab w:val="left" w:pos="504"/>
      </w:tabs>
      <w:spacing w:before="120" w:after="60"/>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690C84"/>
    <w:pPr>
      <w:spacing w:after="0"/>
      <w:jc w:val="center"/>
    </w:pPr>
    <w:rPr>
      <w:rFonts w:ascii="Calibri" w:hAnsi="Calibri"/>
      <w:i/>
      <w:sz w:val="20"/>
      <w:szCs w:val="18"/>
    </w:rPr>
  </w:style>
  <w:style w:type="paragraph" w:styleId="TableofFigures">
    <w:name w:val="table of figures"/>
    <w:basedOn w:val="Normal"/>
    <w:next w:val="Normal"/>
    <w:link w:val="TableofFiguresChar"/>
    <w:qFormat/>
    <w:rsid w:val="0093166C"/>
    <w:pPr>
      <w:spacing w:after="0"/>
      <w:jc w:val="right"/>
    </w:pPr>
    <w:rPr>
      <w:rFonts w:ascii="Calibri" w:hAnsi="Calibri"/>
      <w:sz w:val="22"/>
      <w:szCs w:val="18"/>
    </w:rPr>
  </w:style>
  <w:style w:type="paragraph" w:customStyle="1" w:styleId="BIP1Figures">
    <w:name w:val="BIP1 Figures"/>
    <w:basedOn w:val="TableofFigures"/>
    <w:semiHidden/>
    <w:rsid w:val="00901E03"/>
    <w:pPr>
      <w:spacing w:after="20"/>
    </w:pPr>
  </w:style>
  <w:style w:type="paragraph" w:customStyle="1" w:styleId="Tabletextheading">
    <w:name w:val="Table text heading"/>
    <w:basedOn w:val="TableofFigures"/>
    <w:link w:val="TabletextheadingChar"/>
    <w:qFormat/>
    <w:rsid w:val="00901E03"/>
    <w:rPr>
      <w:i/>
    </w:rPr>
  </w:style>
  <w:style w:type="paragraph" w:customStyle="1" w:styleId="BIP1headingr">
    <w:name w:val="BIP1 heading r"/>
    <w:basedOn w:val="Tabletextheading"/>
    <w:semiHidden/>
    <w:rsid w:val="00901E03"/>
  </w:style>
  <w:style w:type="paragraph" w:customStyle="1" w:styleId="BIP1headingl">
    <w:name w:val="BIP1 heading l"/>
    <w:basedOn w:val="BIP1headingr"/>
    <w:link w:val="BIP1headinglChar"/>
    <w:semiHidden/>
    <w:rsid w:val="00901E03"/>
    <w:pPr>
      <w:jc w:val="left"/>
    </w:pPr>
  </w:style>
  <w:style w:type="paragraph" w:customStyle="1" w:styleId="Tabletext">
    <w:name w:val="Table text"/>
    <w:basedOn w:val="TableofFigures"/>
    <w:link w:val="TabletextChar"/>
    <w:qFormat/>
    <w:rsid w:val="00901E03"/>
    <w:pPr>
      <w:ind w:left="180" w:hanging="180"/>
      <w:jc w:val="left"/>
    </w:pPr>
  </w:style>
  <w:style w:type="paragraph" w:customStyle="1" w:styleId="BIP1tabletext">
    <w:name w:val="BIP1 table text"/>
    <w:basedOn w:val="Tabletext"/>
    <w:semiHidden/>
    <w:rsid w:val="00901E03"/>
    <w:pPr>
      <w:spacing w:after="20"/>
      <w:ind w:left="72" w:hanging="72"/>
    </w:pPr>
  </w:style>
  <w:style w:type="paragraph" w:customStyle="1" w:styleId="Tableheading">
    <w:name w:val="Table heading"/>
    <w:basedOn w:val="Normal"/>
    <w:link w:val="TableheadingChar"/>
    <w:qFormat/>
    <w:rsid w:val="00BB71EC"/>
    <w:pPr>
      <w:keepNext/>
      <w:spacing w:before="240"/>
      <w:ind w:left="1152" w:hanging="1152"/>
    </w:pPr>
    <w:rPr>
      <w:rFonts w:ascii="Calibri" w:hAnsi="Calibri"/>
      <w:b/>
      <w:sz w:val="25"/>
    </w:rPr>
  </w:style>
  <w:style w:type="table" w:styleId="TableGrid">
    <w:name w:val="Table Grid"/>
    <w:basedOn w:val="TableNormal"/>
    <w:locked/>
    <w:rsid w:val="00901E03"/>
    <w:pPr>
      <w:spacing w:after="120"/>
      <w:jc w:val="both"/>
    </w:pPr>
    <w:rPr>
      <w:rFonts w:ascii="Calibri" w:hAnsi="Calibri"/>
    </w:rPr>
    <w:tblPr>
      <w:tblInd w:w="0" w:type="dxa"/>
      <w:tblCellMar>
        <w:top w:w="0" w:type="dxa"/>
        <w:left w:w="108" w:type="dxa"/>
        <w:bottom w:w="0" w:type="dxa"/>
        <w:right w:w="108" w:type="dxa"/>
      </w:tblCellMar>
    </w:tblPr>
  </w:style>
  <w:style w:type="paragraph" w:customStyle="1" w:styleId="BulletText">
    <w:name w:val="Bullet Text"/>
    <w:basedOn w:val="Normal"/>
    <w:link w:val="BulletTextChar"/>
    <w:qFormat/>
    <w:rsid w:val="00901E03"/>
    <w:pPr>
      <w:numPr>
        <w:numId w:val="1"/>
      </w:numPr>
    </w:pPr>
  </w:style>
  <w:style w:type="paragraph" w:customStyle="1" w:styleId="ChapterHeading">
    <w:name w:val="Chapter Heading"/>
    <w:basedOn w:val="Normal"/>
    <w:next w:val="Heading1"/>
    <w:qFormat/>
    <w:rsid w:val="0013022C"/>
    <w:pPr>
      <w:keepNext/>
      <w:pBdr>
        <w:bottom w:val="single" w:sz="12" w:space="7" w:color="auto"/>
      </w:pBdr>
      <w:spacing w:before="1440" w:after="360"/>
    </w:pPr>
    <w:rPr>
      <w:rFonts w:ascii="Calibri" w:hAnsi="Calibri"/>
      <w:b/>
      <w:caps/>
      <w:sz w:val="38"/>
      <w:szCs w:val="28"/>
    </w:rPr>
  </w:style>
  <w:style w:type="paragraph" w:customStyle="1" w:styleId="Chartheading">
    <w:name w:val="Chart heading"/>
    <w:basedOn w:val="Tableheading"/>
    <w:next w:val="Normal"/>
    <w:qFormat/>
    <w:rsid w:val="00901E03"/>
  </w:style>
  <w:style w:type="paragraph" w:styleId="Footer">
    <w:name w:val="footer"/>
    <w:basedOn w:val="Normal"/>
    <w:link w:val="FooterChar"/>
    <w:rsid w:val="002D4015"/>
    <w:pPr>
      <w:pBdr>
        <w:top w:val="single" w:sz="6" w:space="1" w:color="auto"/>
      </w:pBdr>
      <w:tabs>
        <w:tab w:val="right" w:pos="7085"/>
      </w:tabs>
    </w:pPr>
    <w:rPr>
      <w:rFonts w:ascii="Calibri" w:hAnsi="Calibri"/>
      <w:sz w:val="22"/>
      <w:szCs w:val="18"/>
    </w:rPr>
  </w:style>
  <w:style w:type="paragraph" w:styleId="Header">
    <w:name w:val="header"/>
    <w:basedOn w:val="Footer"/>
    <w:link w:val="HeaderChar"/>
    <w:rsid w:val="00901E03"/>
    <w:pPr>
      <w:pBdr>
        <w:top w:val="none" w:sz="0" w:space="0" w:color="auto"/>
      </w:pBdr>
      <w:tabs>
        <w:tab w:val="clear" w:pos="7085"/>
      </w:tabs>
    </w:pPr>
  </w:style>
  <w:style w:type="paragraph" w:customStyle="1" w:styleId="Heading2Notes">
    <w:name w:val="Heading 2 Notes"/>
    <w:basedOn w:val="Heading2"/>
    <w:link w:val="Heading2NotesChar"/>
    <w:rsid w:val="00901E03"/>
    <w:pPr>
      <w:tabs>
        <w:tab w:val="left" w:pos="1152"/>
      </w:tabs>
      <w:ind w:left="1152" w:hanging="1152"/>
    </w:pPr>
  </w:style>
  <w:style w:type="paragraph" w:customStyle="1" w:styleId="Notes">
    <w:name w:val="Notes"/>
    <w:basedOn w:val="Normal"/>
    <w:link w:val="NotesChar"/>
    <w:qFormat/>
    <w:rsid w:val="00BB71EC"/>
    <w:pPr>
      <w:tabs>
        <w:tab w:val="left" w:pos="454"/>
      </w:tabs>
      <w:spacing w:after="0"/>
      <w:ind w:left="461" w:hanging="461"/>
    </w:pPr>
    <w:rPr>
      <w:rFonts w:ascii="Calibri" w:hAnsi="Calibri"/>
      <w:i/>
      <w:sz w:val="16"/>
    </w:rPr>
  </w:style>
  <w:style w:type="paragraph" w:customStyle="1" w:styleId="OGBullet">
    <w:name w:val="OGBullet"/>
    <w:basedOn w:val="Normal"/>
    <w:semiHidden/>
    <w:rsid w:val="00BB71EC"/>
    <w:pPr>
      <w:numPr>
        <w:numId w:val="5"/>
      </w:numPr>
    </w:pPr>
    <w:rPr>
      <w:rFonts w:ascii="Calibri" w:hAnsi="Calibri"/>
      <w:sz w:val="22"/>
      <w:szCs w:val="18"/>
    </w:rPr>
  </w:style>
  <w:style w:type="paragraph" w:customStyle="1" w:styleId="OGHeading1">
    <w:name w:val="OGHeading1"/>
    <w:basedOn w:val="Normal"/>
    <w:semiHidden/>
    <w:rsid w:val="00BB71EC"/>
    <w:rPr>
      <w:rFonts w:ascii="Calibri" w:hAnsi="Calibri"/>
      <w:b/>
      <w:sz w:val="34"/>
      <w:szCs w:val="28"/>
    </w:rPr>
  </w:style>
  <w:style w:type="paragraph" w:customStyle="1" w:styleId="OGHeading2">
    <w:name w:val="OGHeading2"/>
    <w:basedOn w:val="Normal"/>
    <w:link w:val="OGHeading2Char"/>
    <w:semiHidden/>
    <w:rsid w:val="00BB71EC"/>
    <w:pPr>
      <w:keepNext/>
      <w:spacing w:before="60"/>
    </w:pPr>
    <w:rPr>
      <w:rFonts w:ascii="Calibri" w:hAnsi="Calibri"/>
      <w:b/>
      <w:sz w:val="30"/>
      <w:szCs w:val="24"/>
    </w:rPr>
  </w:style>
  <w:style w:type="paragraph" w:customStyle="1" w:styleId="OGTabHead">
    <w:name w:val="OGTabHead"/>
    <w:basedOn w:val="Normal"/>
    <w:semiHidden/>
    <w:rsid w:val="00BB71EC"/>
    <w:pPr>
      <w:keepNext/>
      <w:keepLines/>
      <w:spacing w:before="30" w:after="30"/>
    </w:pPr>
    <w:rPr>
      <w:rFonts w:ascii="Calibri" w:hAnsi="Calibri"/>
      <w:i/>
      <w:sz w:val="22"/>
      <w:szCs w:val="18"/>
    </w:rPr>
  </w:style>
  <w:style w:type="paragraph" w:customStyle="1" w:styleId="OGTabText">
    <w:name w:val="OGTabText"/>
    <w:basedOn w:val="Normal"/>
    <w:link w:val="OGTabTextChar"/>
    <w:semiHidden/>
    <w:rsid w:val="00BB71EC"/>
    <w:pPr>
      <w:spacing w:before="30" w:after="30"/>
      <w:ind w:left="144"/>
    </w:pPr>
    <w:rPr>
      <w:rFonts w:ascii="Calibri" w:hAnsi="Calibri"/>
      <w:sz w:val="22"/>
      <w:szCs w:val="18"/>
    </w:rPr>
  </w:style>
  <w:style w:type="paragraph" w:customStyle="1" w:styleId="OGText">
    <w:name w:val="OGText"/>
    <w:basedOn w:val="Normal"/>
    <w:link w:val="OGTextChar"/>
    <w:semiHidden/>
    <w:rsid w:val="00BB71EC"/>
    <w:pPr>
      <w:keepNext/>
      <w:spacing w:before="40"/>
    </w:pPr>
    <w:rPr>
      <w:rFonts w:ascii="Calibri" w:hAnsi="Calibri"/>
      <w:sz w:val="22"/>
      <w:szCs w:val="18"/>
    </w:rPr>
  </w:style>
  <w:style w:type="character" w:styleId="PageNumber">
    <w:name w:val="page number"/>
    <w:rsid w:val="00BB71EC"/>
    <w:rPr>
      <w:rFonts w:ascii="Calibri" w:hAnsi="Calibri"/>
      <w:sz w:val="22"/>
    </w:rPr>
  </w:style>
  <w:style w:type="paragraph" w:customStyle="1" w:styleId="Source">
    <w:name w:val="Source"/>
    <w:basedOn w:val="Normal"/>
    <w:next w:val="Normal"/>
    <w:link w:val="SourceChar"/>
    <w:qFormat/>
    <w:locked/>
    <w:rsid w:val="00BB71EC"/>
    <w:rPr>
      <w:rFonts w:ascii="Calibri" w:hAnsi="Calibri"/>
      <w:i/>
      <w:sz w:val="16"/>
    </w:rPr>
  </w:style>
  <w:style w:type="paragraph" w:customStyle="1" w:styleId="TableofContentsheading">
    <w:name w:val="Table of Contents heading"/>
    <w:basedOn w:val="ChapterHeading"/>
    <w:next w:val="Normal"/>
    <w:rsid w:val="00901E03"/>
  </w:style>
  <w:style w:type="paragraph" w:customStyle="1" w:styleId="Heading2NotesContd">
    <w:name w:val="Heading 2 Notes Cont'd"/>
    <w:basedOn w:val="Heading2Notes"/>
    <w:link w:val="Heading2NotesContdChar"/>
    <w:rsid w:val="00901E03"/>
  </w:style>
  <w:style w:type="paragraph" w:customStyle="1" w:styleId="HighlightBoxText">
    <w:name w:val="Highlight Box Text"/>
    <w:basedOn w:val="HighlightBoxBullet"/>
    <w:qFormat/>
    <w:rsid w:val="00901E03"/>
    <w:pPr>
      <w:numPr>
        <w:numId w:val="0"/>
      </w:numPr>
    </w:pPr>
  </w:style>
  <w:style w:type="paragraph" w:styleId="TOC1">
    <w:name w:val="toc 1"/>
    <w:basedOn w:val="Normal"/>
    <w:next w:val="Normal"/>
    <w:uiPriority w:val="39"/>
    <w:rsid w:val="00190010"/>
    <w:pPr>
      <w:tabs>
        <w:tab w:val="right" w:leader="dot" w:pos="9540"/>
      </w:tabs>
      <w:spacing w:before="40" w:after="40"/>
      <w:ind w:right="422"/>
    </w:pPr>
    <w:rPr>
      <w:rFonts w:ascii="Calibri" w:hAnsi="Calibri"/>
      <w:b/>
    </w:rPr>
  </w:style>
  <w:style w:type="paragraph" w:styleId="TOC2">
    <w:name w:val="toc 2"/>
    <w:basedOn w:val="Normal"/>
    <w:next w:val="Normal"/>
    <w:uiPriority w:val="39"/>
    <w:rsid w:val="00190010"/>
    <w:pPr>
      <w:tabs>
        <w:tab w:val="right" w:leader="dot" w:pos="9540"/>
      </w:tabs>
      <w:spacing w:after="0"/>
      <w:ind w:left="288" w:right="422"/>
    </w:pPr>
    <w:rPr>
      <w:rFonts w:ascii="Calibri" w:hAnsi="Calibri"/>
      <w:sz w:val="22"/>
    </w:rPr>
  </w:style>
  <w:style w:type="paragraph" w:styleId="TOC3">
    <w:name w:val="toc 3"/>
    <w:basedOn w:val="Normal"/>
    <w:next w:val="Normal"/>
    <w:rsid w:val="00190010"/>
    <w:pPr>
      <w:tabs>
        <w:tab w:val="right" w:leader="dot" w:pos="9547"/>
      </w:tabs>
      <w:spacing w:after="0"/>
      <w:ind w:left="432" w:right="422"/>
    </w:pPr>
    <w:rPr>
      <w:rFonts w:ascii="Calibri" w:hAnsi="Calibri"/>
      <w:i/>
      <w:sz w:val="22"/>
    </w:rPr>
  </w:style>
  <w:style w:type="paragraph" w:styleId="TOC4">
    <w:name w:val="toc 4"/>
    <w:basedOn w:val="TOC1"/>
    <w:next w:val="Normal"/>
    <w:rsid w:val="00742218"/>
    <w:pPr>
      <w:tabs>
        <w:tab w:val="clear" w:pos="9540"/>
        <w:tab w:val="right" w:leader="dot" w:pos="9533"/>
      </w:tabs>
      <w:spacing w:after="0"/>
      <w:ind w:left="1152" w:hanging="1152"/>
    </w:pPr>
    <w:rPr>
      <w:b w:val="0"/>
      <w:sz w:val="22"/>
    </w:rPr>
  </w:style>
  <w:style w:type="paragraph" w:styleId="TOC5">
    <w:name w:val="toc 5"/>
    <w:basedOn w:val="TOC1"/>
    <w:next w:val="Normal"/>
    <w:rsid w:val="00742218"/>
    <w:rPr>
      <w:b w:val="0"/>
      <w:sz w:val="22"/>
    </w:rPr>
  </w:style>
  <w:style w:type="paragraph" w:customStyle="1" w:styleId="Tableheadingcontinued">
    <w:name w:val="Table heading continued"/>
    <w:basedOn w:val="Tableheading"/>
    <w:rsid w:val="00901E03"/>
  </w:style>
  <w:style w:type="paragraph" w:customStyle="1" w:styleId="TableTextCentred">
    <w:name w:val="Table Text Centred"/>
    <w:basedOn w:val="Tabletext"/>
    <w:rsid w:val="00901E03"/>
    <w:pPr>
      <w:ind w:left="0" w:firstLine="0"/>
      <w:jc w:val="center"/>
    </w:pPr>
  </w:style>
  <w:style w:type="paragraph" w:customStyle="1" w:styleId="Heading3Numbering">
    <w:name w:val="Heading 3 Numbering"/>
    <w:basedOn w:val="Heading3"/>
    <w:rsid w:val="00901E03"/>
    <w:pPr>
      <w:numPr>
        <w:numId w:val="2"/>
      </w:numPr>
      <w:tabs>
        <w:tab w:val="left" w:pos="504"/>
      </w:tabs>
    </w:pPr>
  </w:style>
  <w:style w:type="paragraph" w:customStyle="1" w:styleId="Heading5a">
    <w:name w:val="Heading 5a"/>
    <w:basedOn w:val="Heading5"/>
    <w:rsid w:val="00BB71EC"/>
    <w:pPr>
      <w:tabs>
        <w:tab w:val="clear" w:pos="504"/>
      </w:tabs>
    </w:pPr>
    <w:rPr>
      <w:b w:val="0"/>
      <w:i/>
      <w:sz w:val="23"/>
    </w:rPr>
  </w:style>
  <w:style w:type="character" w:customStyle="1" w:styleId="OGTabBulletChar">
    <w:name w:val="OGTabBullet Char"/>
    <w:link w:val="OGTabBullet"/>
    <w:rsid w:val="000F532A"/>
    <w:rPr>
      <w:rFonts w:ascii="Calibri" w:hAnsi="Calibri"/>
      <w:sz w:val="22"/>
      <w:szCs w:val="18"/>
    </w:rPr>
  </w:style>
  <w:style w:type="paragraph" w:customStyle="1" w:styleId="OGTabBullet">
    <w:name w:val="OGTabBullet"/>
    <w:basedOn w:val="OGBullet"/>
    <w:link w:val="OGTabBulletChar"/>
    <w:semiHidden/>
    <w:rsid w:val="000F532A"/>
    <w:pPr>
      <w:numPr>
        <w:numId w:val="7"/>
      </w:numPr>
      <w:spacing w:before="30" w:after="30"/>
    </w:pPr>
    <w:rPr>
      <w:lang w:eastAsia="en-AU"/>
    </w:rPr>
  </w:style>
  <w:style w:type="paragraph" w:customStyle="1" w:styleId="TabletextheadingCentred">
    <w:name w:val="Table text heading Centred"/>
    <w:basedOn w:val="Tabletextheading"/>
    <w:link w:val="TabletextheadingCentredChar"/>
    <w:rsid w:val="00901E03"/>
    <w:pPr>
      <w:jc w:val="center"/>
    </w:pPr>
  </w:style>
  <w:style w:type="paragraph" w:customStyle="1" w:styleId="DashText">
    <w:name w:val="Dash Text"/>
    <w:basedOn w:val="Normal"/>
    <w:link w:val="DashTextChar"/>
    <w:qFormat/>
    <w:rsid w:val="00901E03"/>
    <w:pPr>
      <w:numPr>
        <w:ilvl w:val="1"/>
        <w:numId w:val="1"/>
      </w:numPr>
    </w:pPr>
  </w:style>
  <w:style w:type="paragraph" w:customStyle="1" w:styleId="VersionTableText">
    <w:name w:val="VersionTableText"/>
    <w:basedOn w:val="Normal"/>
    <w:rsid w:val="00206EB5"/>
    <w:pPr>
      <w:spacing w:after="0"/>
      <w:jc w:val="center"/>
    </w:pPr>
    <w:rPr>
      <w:rFonts w:ascii="Calibri" w:hAnsi="Calibri"/>
      <w:sz w:val="22"/>
    </w:rPr>
  </w:style>
  <w:style w:type="paragraph" w:customStyle="1" w:styleId="VersionTableHeading">
    <w:name w:val="VersionTableHeading"/>
    <w:basedOn w:val="Normal"/>
    <w:rsid w:val="00206EB5"/>
    <w:pPr>
      <w:spacing w:after="0"/>
      <w:jc w:val="center"/>
    </w:pPr>
    <w:rPr>
      <w:rFonts w:ascii="Calibri" w:hAnsi="Calibri"/>
      <w:b/>
      <w:sz w:val="22"/>
    </w:rPr>
  </w:style>
  <w:style w:type="paragraph" w:customStyle="1" w:styleId="NotesIndent">
    <w:name w:val="NotesIndent"/>
    <w:basedOn w:val="Notes"/>
    <w:rsid w:val="00901E03"/>
    <w:pPr>
      <w:ind w:left="915"/>
    </w:pPr>
  </w:style>
  <w:style w:type="paragraph" w:customStyle="1" w:styleId="NotesDash">
    <w:name w:val="NotesDash"/>
    <w:basedOn w:val="NotesIndent"/>
    <w:rsid w:val="00901E03"/>
    <w:pPr>
      <w:numPr>
        <w:numId w:val="4"/>
      </w:numPr>
      <w:tabs>
        <w:tab w:val="clear" w:pos="454"/>
      </w:tabs>
    </w:pPr>
  </w:style>
  <w:style w:type="paragraph" w:customStyle="1" w:styleId="VAGOText">
    <w:name w:val="VAGOText"/>
    <w:basedOn w:val="Normal"/>
    <w:semiHidden/>
    <w:rsid w:val="00901E03"/>
    <w:pPr>
      <w:spacing w:before="120"/>
    </w:pPr>
    <w:rPr>
      <w:rFonts w:ascii="Arial" w:hAnsi="Arial" w:cs="Arial"/>
      <w:sz w:val="16"/>
      <w:szCs w:val="16"/>
    </w:rPr>
  </w:style>
  <w:style w:type="paragraph" w:customStyle="1" w:styleId="VAGOHeading2">
    <w:name w:val="VAGOHeading2"/>
    <w:basedOn w:val="Normal"/>
    <w:semiHidden/>
    <w:rsid w:val="00901E03"/>
    <w:rPr>
      <w:rFonts w:ascii="Arial" w:hAnsi="Arial" w:cs="Arial"/>
      <w:b/>
      <w:sz w:val="16"/>
      <w:szCs w:val="16"/>
    </w:rPr>
  </w:style>
  <w:style w:type="paragraph" w:customStyle="1" w:styleId="VAGOHeading1">
    <w:name w:val="VAGOHeading1"/>
    <w:basedOn w:val="Normal"/>
    <w:semiHidden/>
    <w:rsid w:val="00901E03"/>
    <w:pPr>
      <w:jc w:val="center"/>
    </w:pPr>
    <w:rPr>
      <w:rFonts w:ascii="Arial" w:hAnsi="Arial" w:cs="Arial"/>
      <w:b/>
      <w:sz w:val="17"/>
      <w:szCs w:val="17"/>
    </w:rPr>
  </w:style>
  <w:style w:type="paragraph" w:customStyle="1" w:styleId="VAGOHeading3">
    <w:name w:val="VAGOHeading3"/>
    <w:basedOn w:val="VAGOHeading2"/>
    <w:semiHidden/>
    <w:rsid w:val="00901E03"/>
    <w:rPr>
      <w:b w:val="0"/>
      <w:i/>
    </w:rPr>
  </w:style>
  <w:style w:type="character" w:customStyle="1" w:styleId="TableheadingChar">
    <w:name w:val="Table heading Char"/>
    <w:link w:val="Tableheading"/>
    <w:rsid w:val="00BB71EC"/>
    <w:rPr>
      <w:rFonts w:ascii="Calibri" w:hAnsi="Calibri"/>
      <w:b/>
      <w:sz w:val="25"/>
      <w:lang w:val="en-AU" w:eastAsia="en-US" w:bidi="ar-SA"/>
    </w:rPr>
  </w:style>
  <w:style w:type="paragraph" w:customStyle="1" w:styleId="TabletextheadingLeft">
    <w:name w:val="Table text heading Left"/>
    <w:basedOn w:val="Tabletextheading"/>
    <w:rsid w:val="00901E03"/>
    <w:pPr>
      <w:jc w:val="left"/>
    </w:pPr>
  </w:style>
  <w:style w:type="paragraph" w:customStyle="1" w:styleId="Chartpara">
    <w:name w:val="Chart para"/>
    <w:basedOn w:val="Normal"/>
    <w:semiHidden/>
    <w:rsid w:val="00901E03"/>
    <w:pPr>
      <w:spacing w:after="0"/>
    </w:pPr>
  </w:style>
  <w:style w:type="paragraph" w:customStyle="1" w:styleId="FrontPage">
    <w:name w:val="Front Page"/>
    <w:basedOn w:val="Normal"/>
    <w:semiHidden/>
    <w:rsid w:val="00C2380B"/>
    <w:pPr>
      <w:jc w:val="center"/>
    </w:pPr>
    <w:rPr>
      <w:rFonts w:ascii="Calibri" w:hAnsi="Calibri"/>
      <w:b/>
      <w:sz w:val="54"/>
      <w:szCs w:val="52"/>
    </w:rPr>
  </w:style>
  <w:style w:type="paragraph" w:customStyle="1" w:styleId="FrontPage2">
    <w:name w:val="Front Page 2"/>
    <w:basedOn w:val="FrontPage"/>
    <w:semiHidden/>
    <w:rsid w:val="00901E03"/>
    <w:pPr>
      <w:pBdr>
        <w:bottom w:val="single" w:sz="12" w:space="1" w:color="auto"/>
      </w:pBdr>
    </w:pPr>
  </w:style>
  <w:style w:type="paragraph" w:customStyle="1" w:styleId="FrontPage3">
    <w:name w:val="Front Page 3"/>
    <w:basedOn w:val="Normal"/>
    <w:semiHidden/>
    <w:rsid w:val="00C2380B"/>
    <w:pPr>
      <w:jc w:val="center"/>
    </w:pPr>
    <w:rPr>
      <w:rFonts w:ascii="Calibri" w:hAnsi="Calibri"/>
      <w:sz w:val="30"/>
      <w:szCs w:val="28"/>
    </w:rPr>
  </w:style>
  <w:style w:type="paragraph" w:customStyle="1" w:styleId="FrontPageBP">
    <w:name w:val="Front Page BP"/>
    <w:basedOn w:val="Normal"/>
    <w:semiHidden/>
    <w:rsid w:val="00C2380B"/>
    <w:pPr>
      <w:jc w:val="center"/>
    </w:pPr>
    <w:rPr>
      <w:rFonts w:ascii="Calibri" w:hAnsi="Calibri"/>
      <w:b/>
      <w:sz w:val="34"/>
      <w:szCs w:val="32"/>
    </w:rPr>
  </w:style>
  <w:style w:type="paragraph" w:customStyle="1" w:styleId="FrontPageHon">
    <w:name w:val="Front Page Hon"/>
    <w:basedOn w:val="Normal"/>
    <w:semiHidden/>
    <w:rsid w:val="00C2380B"/>
    <w:pPr>
      <w:jc w:val="center"/>
    </w:pPr>
    <w:rPr>
      <w:rFonts w:ascii="Calibri" w:hAnsi="Calibri"/>
      <w:sz w:val="32"/>
      <w:szCs w:val="30"/>
    </w:rPr>
  </w:style>
  <w:style w:type="paragraph" w:customStyle="1" w:styleId="FrontPageMin">
    <w:name w:val="Front Page Min"/>
    <w:basedOn w:val="Normal"/>
    <w:semiHidden/>
    <w:rsid w:val="00C2380B"/>
    <w:pPr>
      <w:jc w:val="center"/>
    </w:pPr>
    <w:rPr>
      <w:rFonts w:ascii="Calibri" w:hAnsi="Calibri"/>
      <w:sz w:val="36"/>
      <w:szCs w:val="36"/>
    </w:rPr>
  </w:style>
  <w:style w:type="paragraph" w:customStyle="1" w:styleId="Heading2NotesQtrly">
    <w:name w:val="Heading 2 Notes Qtrly"/>
    <w:basedOn w:val="Heading2Notes"/>
    <w:rsid w:val="00901E03"/>
  </w:style>
  <w:style w:type="paragraph" w:customStyle="1" w:styleId="Heading3NumberingBP4">
    <w:name w:val="Heading 3 Numbering BP4"/>
    <w:basedOn w:val="Heading3Numbering"/>
    <w:semiHidden/>
    <w:rsid w:val="00901E03"/>
    <w:pPr>
      <w:numPr>
        <w:numId w:val="0"/>
      </w:numPr>
    </w:pPr>
  </w:style>
  <w:style w:type="paragraph" w:customStyle="1" w:styleId="HighlightBoxBullet">
    <w:name w:val="Highlight Box Bullet"/>
    <w:basedOn w:val="Normal"/>
    <w:qFormat/>
    <w:rsid w:val="00477003"/>
    <w:pPr>
      <w:numPr>
        <w:numId w:val="3"/>
      </w:numPr>
      <w:shd w:val="pct10" w:color="auto" w:fill="FFFFFF"/>
      <w:ind w:left="360"/>
    </w:pPr>
  </w:style>
  <w:style w:type="paragraph" w:customStyle="1" w:styleId="HighlightBoxHeading">
    <w:name w:val="Highlight Box Heading"/>
    <w:basedOn w:val="Heading5a"/>
    <w:qFormat/>
    <w:rsid w:val="00901E03"/>
    <w:pPr>
      <w:shd w:val="clear" w:color="auto" w:fill="E6E6E6"/>
    </w:pPr>
  </w:style>
  <w:style w:type="paragraph" w:styleId="Index1">
    <w:name w:val="index 1"/>
    <w:basedOn w:val="Normal"/>
    <w:next w:val="Normal"/>
    <w:autoRedefine/>
    <w:semiHidden/>
    <w:rsid w:val="00901E03"/>
    <w:pPr>
      <w:spacing w:after="0"/>
      <w:ind w:left="220" w:hanging="220"/>
    </w:pPr>
    <w:rPr>
      <w:sz w:val="18"/>
      <w:szCs w:val="18"/>
    </w:rPr>
  </w:style>
  <w:style w:type="paragraph" w:styleId="Index2">
    <w:name w:val="index 2"/>
    <w:basedOn w:val="Normal"/>
    <w:next w:val="Normal"/>
    <w:autoRedefine/>
    <w:semiHidden/>
    <w:rsid w:val="00901E03"/>
    <w:pPr>
      <w:spacing w:after="0"/>
      <w:ind w:left="440" w:hanging="220"/>
    </w:pPr>
    <w:rPr>
      <w:sz w:val="18"/>
      <w:szCs w:val="18"/>
    </w:rPr>
  </w:style>
  <w:style w:type="paragraph" w:styleId="IndexHeading">
    <w:name w:val="index heading"/>
    <w:basedOn w:val="Normal"/>
    <w:next w:val="Index1"/>
    <w:semiHidden/>
    <w:rsid w:val="00901E03"/>
    <w:pPr>
      <w:spacing w:before="240"/>
      <w:jc w:val="center"/>
    </w:pPr>
    <w:rPr>
      <w:b/>
      <w:bCs/>
      <w:sz w:val="26"/>
      <w:szCs w:val="26"/>
    </w:rPr>
  </w:style>
  <w:style w:type="paragraph" w:styleId="NormalIndent">
    <w:name w:val="Normal Indent"/>
    <w:basedOn w:val="Normal"/>
    <w:locked/>
    <w:rsid w:val="00901E03"/>
    <w:pPr>
      <w:ind w:left="360"/>
    </w:pPr>
  </w:style>
  <w:style w:type="character" w:customStyle="1" w:styleId="OGHeading2Char">
    <w:name w:val="OGHeading2 Char"/>
    <w:link w:val="OGHeading2"/>
    <w:rsid w:val="00BB71EC"/>
    <w:rPr>
      <w:rFonts w:ascii="Calibri" w:hAnsi="Calibri"/>
      <w:b/>
      <w:sz w:val="30"/>
      <w:szCs w:val="24"/>
      <w:lang w:val="en-AU" w:eastAsia="en-US" w:bidi="ar-SA"/>
    </w:rPr>
  </w:style>
  <w:style w:type="paragraph" w:customStyle="1" w:styleId="OGNotes">
    <w:name w:val="OGNotes"/>
    <w:basedOn w:val="NotesIndent"/>
    <w:semiHidden/>
    <w:rsid w:val="00901E03"/>
    <w:pPr>
      <w:tabs>
        <w:tab w:val="clear" w:pos="454"/>
      </w:tabs>
      <w:spacing w:after="60"/>
      <w:ind w:left="360" w:right="115" w:firstLine="0"/>
    </w:pPr>
    <w:rPr>
      <w:lang w:eastAsia="en-AU"/>
    </w:rPr>
  </w:style>
  <w:style w:type="paragraph" w:customStyle="1" w:styleId="OGNotesIndent">
    <w:name w:val="OGNotesIndent"/>
    <w:basedOn w:val="OGNotes"/>
    <w:semiHidden/>
    <w:rsid w:val="00901E03"/>
    <w:pPr>
      <w:ind w:left="720" w:hanging="360"/>
    </w:pPr>
  </w:style>
  <w:style w:type="paragraph" w:customStyle="1" w:styleId="OGUoM">
    <w:name w:val="OGUoM"/>
    <w:basedOn w:val="TableTextCentred"/>
    <w:semiHidden/>
    <w:rsid w:val="00901E03"/>
    <w:pPr>
      <w:spacing w:before="30" w:after="30"/>
    </w:pPr>
  </w:style>
  <w:style w:type="paragraph" w:customStyle="1" w:styleId="OGTabColCentred">
    <w:name w:val="OGTabColCentred"/>
    <w:basedOn w:val="OGUoM"/>
    <w:semiHidden/>
    <w:rsid w:val="00901E03"/>
    <w:rPr>
      <w:b/>
      <w:lang w:eastAsia="en-AU"/>
    </w:rPr>
  </w:style>
  <w:style w:type="paragraph" w:customStyle="1" w:styleId="OGTableofFigures">
    <w:name w:val="OGTable of Figures"/>
    <w:basedOn w:val="TableofFigures"/>
    <w:semiHidden/>
    <w:rsid w:val="00901E03"/>
    <w:pPr>
      <w:spacing w:before="30" w:after="30"/>
    </w:pPr>
  </w:style>
  <w:style w:type="paragraph" w:customStyle="1" w:styleId="OGTabColRight">
    <w:name w:val="OGTabColRight"/>
    <w:basedOn w:val="OGTableofFigures"/>
    <w:semiHidden/>
    <w:rsid w:val="00901E03"/>
    <w:rPr>
      <w:b/>
    </w:rPr>
  </w:style>
  <w:style w:type="paragraph" w:customStyle="1" w:styleId="OGTabColLeft">
    <w:name w:val="OGTabColLeft"/>
    <w:basedOn w:val="OGTabColRight"/>
    <w:semiHidden/>
    <w:rsid w:val="00901E03"/>
    <w:pPr>
      <w:jc w:val="left"/>
    </w:pPr>
    <w:rPr>
      <w:lang w:eastAsia="en-AU"/>
    </w:rPr>
  </w:style>
  <w:style w:type="character" w:customStyle="1" w:styleId="OGTabTextChar">
    <w:name w:val="OGTabText Char"/>
    <w:link w:val="OGTabText"/>
    <w:rsid w:val="00BB71EC"/>
    <w:rPr>
      <w:rFonts w:ascii="Calibri" w:hAnsi="Calibri"/>
      <w:sz w:val="22"/>
      <w:szCs w:val="18"/>
      <w:lang w:val="en-AU" w:eastAsia="en-US" w:bidi="ar-SA"/>
    </w:rPr>
  </w:style>
  <w:style w:type="character" w:customStyle="1" w:styleId="OGTextChar">
    <w:name w:val="OGText Char"/>
    <w:link w:val="OGText"/>
    <w:rsid w:val="00BB71EC"/>
    <w:rPr>
      <w:rFonts w:ascii="Calibri" w:hAnsi="Calibri"/>
      <w:sz w:val="22"/>
      <w:szCs w:val="18"/>
      <w:lang w:val="en-AU" w:eastAsia="en-US" w:bidi="ar-SA"/>
    </w:rPr>
  </w:style>
  <w:style w:type="paragraph" w:customStyle="1" w:styleId="TableofContentscontinued">
    <w:name w:val="Table of Contents continued"/>
    <w:basedOn w:val="Normal"/>
    <w:rsid w:val="008207B6"/>
    <w:pPr>
      <w:keepNext/>
      <w:tabs>
        <w:tab w:val="left" w:pos="1152"/>
      </w:tabs>
      <w:spacing w:before="240"/>
      <w:ind w:left="1152" w:hanging="1152"/>
      <w:outlineLvl w:val="1"/>
    </w:pPr>
    <w:rPr>
      <w:rFonts w:ascii="Calibri" w:hAnsi="Calibri"/>
      <w:b/>
      <w:sz w:val="28"/>
      <w:szCs w:val="22"/>
    </w:rPr>
  </w:style>
  <w:style w:type="character" w:customStyle="1" w:styleId="TableofFiguresChar">
    <w:name w:val="Table of Figures Char"/>
    <w:link w:val="TableofFigures"/>
    <w:rsid w:val="0093166C"/>
    <w:rPr>
      <w:rFonts w:ascii="Calibri" w:hAnsi="Calibri"/>
      <w:sz w:val="22"/>
      <w:szCs w:val="18"/>
      <w:lang w:eastAsia="en-US"/>
    </w:rPr>
  </w:style>
  <w:style w:type="paragraph" w:customStyle="1" w:styleId="TableTextindent">
    <w:name w:val="Table Text indent"/>
    <w:basedOn w:val="Tabletext"/>
    <w:rsid w:val="00901E03"/>
    <w:pPr>
      <w:ind w:left="360" w:firstLine="0"/>
    </w:pPr>
  </w:style>
  <w:style w:type="paragraph" w:customStyle="1" w:styleId="TableTextindent2">
    <w:name w:val="Table Text indent 2"/>
    <w:basedOn w:val="TableTextindent"/>
    <w:rsid w:val="00901E03"/>
    <w:pPr>
      <w:ind w:left="720"/>
    </w:pPr>
  </w:style>
  <w:style w:type="paragraph" w:customStyle="1" w:styleId="VAGOBullet">
    <w:name w:val="VAGOBullet"/>
    <w:basedOn w:val="VAGOText"/>
    <w:semiHidden/>
    <w:rsid w:val="00901E03"/>
    <w:pPr>
      <w:numPr>
        <w:numId w:val="6"/>
      </w:numPr>
      <w:ind w:right="-51"/>
    </w:pPr>
    <w:rPr>
      <w:iCs/>
    </w:rPr>
  </w:style>
  <w:style w:type="character" w:customStyle="1" w:styleId="TabletextChar">
    <w:name w:val="Table text Char"/>
    <w:link w:val="Tabletext"/>
    <w:rsid w:val="00630FB1"/>
    <w:rPr>
      <w:rFonts w:ascii="Calibri" w:hAnsi="Calibri"/>
      <w:sz w:val="22"/>
      <w:szCs w:val="18"/>
      <w:lang w:eastAsia="en-US"/>
    </w:rPr>
  </w:style>
  <w:style w:type="character" w:customStyle="1" w:styleId="millionChar">
    <w:name w:val="$million Char"/>
    <w:link w:val="million"/>
    <w:rsid w:val="00B208AA"/>
    <w:rPr>
      <w:rFonts w:ascii="Calibri" w:hAnsi="Calibri"/>
      <w:i/>
      <w:szCs w:val="18"/>
      <w:lang w:val="en-AU" w:eastAsia="en-US" w:bidi="ar-SA"/>
    </w:rPr>
  </w:style>
  <w:style w:type="character" w:customStyle="1" w:styleId="TabletextheadingChar">
    <w:name w:val="Table text heading Char"/>
    <w:link w:val="Tabletextheading"/>
    <w:locked/>
    <w:rsid w:val="00B208AA"/>
    <w:rPr>
      <w:rFonts w:ascii="Calibri" w:hAnsi="Calibri"/>
      <w:i/>
      <w:sz w:val="24"/>
      <w:szCs w:val="18"/>
      <w:lang w:val="en-AU" w:eastAsia="en-US" w:bidi="ar-SA"/>
    </w:rPr>
  </w:style>
  <w:style w:type="character" w:customStyle="1" w:styleId="SourceChar">
    <w:name w:val="Source Char"/>
    <w:link w:val="Source"/>
    <w:locked/>
    <w:rsid w:val="00B208AA"/>
    <w:rPr>
      <w:rFonts w:ascii="Calibri" w:hAnsi="Calibri"/>
      <w:i/>
      <w:sz w:val="16"/>
      <w:lang w:val="en-AU" w:eastAsia="en-US" w:bidi="ar-SA"/>
    </w:rPr>
  </w:style>
  <w:style w:type="character" w:customStyle="1" w:styleId="TabletextheadingCentredChar">
    <w:name w:val="Table text heading Centred Char"/>
    <w:link w:val="TabletextheadingCentred"/>
    <w:locked/>
    <w:rsid w:val="00C4543A"/>
    <w:rPr>
      <w:rFonts w:ascii="Calibri" w:hAnsi="Calibri"/>
      <w:i/>
      <w:sz w:val="24"/>
      <w:szCs w:val="18"/>
      <w:lang w:val="en-AU" w:eastAsia="en-US" w:bidi="ar-SA"/>
    </w:rPr>
  </w:style>
  <w:style w:type="character" w:styleId="Hyperlink">
    <w:name w:val="Hyperlink"/>
    <w:uiPriority w:val="99"/>
    <w:unhideWhenUsed/>
    <w:locked/>
    <w:rsid w:val="00190010"/>
    <w:rPr>
      <w:color w:val="0000FF"/>
      <w:u w:val="single"/>
    </w:rPr>
  </w:style>
  <w:style w:type="paragraph" w:styleId="FootnoteText">
    <w:name w:val="footnote text"/>
    <w:basedOn w:val="Normal"/>
    <w:link w:val="FootnoteTextChar"/>
    <w:locked/>
    <w:rsid w:val="005B59D4"/>
    <w:pPr>
      <w:spacing w:after="0"/>
    </w:pPr>
    <w:rPr>
      <w:sz w:val="20"/>
    </w:rPr>
  </w:style>
  <w:style w:type="character" w:customStyle="1" w:styleId="FootnoteTextChar">
    <w:name w:val="Footnote Text Char"/>
    <w:basedOn w:val="DefaultParagraphFont"/>
    <w:link w:val="FootnoteText"/>
    <w:rsid w:val="005B59D4"/>
    <w:rPr>
      <w:rFonts w:ascii="Garamond" w:hAnsi="Garamond"/>
      <w:lang w:eastAsia="en-US"/>
    </w:rPr>
  </w:style>
  <w:style w:type="character" w:styleId="FootnoteReference">
    <w:name w:val="footnote reference"/>
    <w:basedOn w:val="DefaultParagraphFont"/>
    <w:locked/>
    <w:rsid w:val="005B59D4"/>
    <w:rPr>
      <w:vertAlign w:val="superscript"/>
    </w:rPr>
  </w:style>
  <w:style w:type="paragraph" w:styleId="BalloonText">
    <w:name w:val="Balloon Text"/>
    <w:basedOn w:val="Normal"/>
    <w:link w:val="BalloonTextChar"/>
    <w:locked/>
    <w:rsid w:val="005B59D4"/>
    <w:pPr>
      <w:spacing w:after="0"/>
    </w:pPr>
    <w:rPr>
      <w:rFonts w:ascii="Tahoma" w:hAnsi="Tahoma" w:cs="Tahoma"/>
      <w:sz w:val="16"/>
      <w:szCs w:val="16"/>
    </w:rPr>
  </w:style>
  <w:style w:type="character" w:customStyle="1" w:styleId="BalloonTextChar">
    <w:name w:val="Balloon Text Char"/>
    <w:basedOn w:val="DefaultParagraphFont"/>
    <w:link w:val="BalloonText"/>
    <w:rsid w:val="005B59D4"/>
    <w:rPr>
      <w:rFonts w:ascii="Tahoma" w:hAnsi="Tahoma" w:cs="Tahoma"/>
      <w:sz w:val="16"/>
      <w:szCs w:val="16"/>
      <w:lang w:eastAsia="en-US"/>
    </w:rPr>
  </w:style>
  <w:style w:type="character" w:styleId="CommentReference">
    <w:name w:val="annotation reference"/>
    <w:basedOn w:val="DefaultParagraphFont"/>
    <w:locked/>
    <w:rsid w:val="005B59D4"/>
    <w:rPr>
      <w:sz w:val="16"/>
      <w:szCs w:val="16"/>
    </w:rPr>
  </w:style>
  <w:style w:type="paragraph" w:styleId="CommentText">
    <w:name w:val="annotation text"/>
    <w:basedOn w:val="Normal"/>
    <w:link w:val="CommentTextChar"/>
    <w:locked/>
    <w:rsid w:val="005B59D4"/>
    <w:rPr>
      <w:sz w:val="20"/>
    </w:rPr>
  </w:style>
  <w:style w:type="character" w:customStyle="1" w:styleId="CommentTextChar">
    <w:name w:val="Comment Text Char"/>
    <w:basedOn w:val="DefaultParagraphFont"/>
    <w:link w:val="CommentText"/>
    <w:rsid w:val="005B59D4"/>
    <w:rPr>
      <w:rFonts w:ascii="Garamond" w:hAnsi="Garamond"/>
      <w:lang w:eastAsia="en-US"/>
    </w:rPr>
  </w:style>
  <w:style w:type="paragraph" w:styleId="CommentSubject">
    <w:name w:val="annotation subject"/>
    <w:basedOn w:val="CommentText"/>
    <w:next w:val="CommentText"/>
    <w:link w:val="CommentSubjectChar"/>
    <w:locked/>
    <w:rsid w:val="005B59D4"/>
    <w:rPr>
      <w:b/>
      <w:bCs/>
    </w:rPr>
  </w:style>
  <w:style w:type="character" w:customStyle="1" w:styleId="CommentSubjectChar">
    <w:name w:val="Comment Subject Char"/>
    <w:basedOn w:val="CommentTextChar"/>
    <w:link w:val="CommentSubject"/>
    <w:rsid w:val="005B59D4"/>
    <w:rPr>
      <w:rFonts w:ascii="Garamond" w:hAnsi="Garamond"/>
      <w:b/>
      <w:bCs/>
      <w:lang w:eastAsia="en-US"/>
    </w:rPr>
  </w:style>
  <w:style w:type="paragraph" w:styleId="Revision">
    <w:name w:val="Revision"/>
    <w:hidden/>
    <w:uiPriority w:val="99"/>
    <w:semiHidden/>
    <w:rsid w:val="005B59D4"/>
    <w:rPr>
      <w:rFonts w:ascii="Garamond" w:hAnsi="Garamond"/>
      <w:sz w:val="24"/>
      <w:lang w:eastAsia="en-US"/>
    </w:rPr>
  </w:style>
  <w:style w:type="paragraph" w:styleId="ListParagraph">
    <w:name w:val="List Paragraph"/>
    <w:basedOn w:val="Normal"/>
    <w:uiPriority w:val="34"/>
    <w:qFormat/>
    <w:rsid w:val="005B59D4"/>
    <w:pPr>
      <w:ind w:left="720"/>
      <w:contextualSpacing/>
    </w:pPr>
  </w:style>
  <w:style w:type="character" w:customStyle="1" w:styleId="NotesChar">
    <w:name w:val="Notes Char"/>
    <w:link w:val="Notes"/>
    <w:locked/>
    <w:rsid w:val="00FE76C7"/>
    <w:rPr>
      <w:rFonts w:ascii="Calibri" w:hAnsi="Calibri"/>
      <w:i/>
      <w:sz w:val="16"/>
      <w:lang w:eastAsia="en-US"/>
    </w:rPr>
  </w:style>
  <w:style w:type="character" w:customStyle="1" w:styleId="BulletTextChar">
    <w:name w:val="Bullet Text Char"/>
    <w:link w:val="BulletText"/>
    <w:locked/>
    <w:rsid w:val="00FE76C7"/>
    <w:rPr>
      <w:rFonts w:ascii="Garamond" w:hAnsi="Garamond"/>
      <w:sz w:val="24"/>
      <w:lang w:eastAsia="en-US"/>
    </w:rPr>
  </w:style>
  <w:style w:type="paragraph" w:customStyle="1" w:styleId="TableTextnoindent">
    <w:name w:val="Table Text no indent"/>
    <w:basedOn w:val="Tabletext"/>
    <w:qFormat/>
    <w:rsid w:val="00FE76C7"/>
    <w:pPr>
      <w:ind w:left="0" w:firstLine="0"/>
    </w:pPr>
    <w:rPr>
      <w:color w:val="000000"/>
      <w:lang w:eastAsia="en-AU"/>
    </w:rPr>
  </w:style>
  <w:style w:type="character" w:customStyle="1" w:styleId="Heading2Char">
    <w:name w:val="Heading 2 Char"/>
    <w:link w:val="Heading2"/>
    <w:locked/>
    <w:rsid w:val="008207B6"/>
    <w:rPr>
      <w:rFonts w:ascii="Calibri" w:hAnsi="Calibri"/>
      <w:b/>
      <w:sz w:val="28"/>
      <w:szCs w:val="22"/>
      <w:lang w:eastAsia="en-US"/>
    </w:rPr>
  </w:style>
  <w:style w:type="character" w:customStyle="1" w:styleId="Heading1Char">
    <w:name w:val="Heading 1 Char"/>
    <w:link w:val="Heading1"/>
    <w:rsid w:val="00FE76C7"/>
    <w:rPr>
      <w:rFonts w:ascii="Calibri" w:hAnsi="Calibri"/>
      <w:b/>
      <w:caps/>
      <w:sz w:val="28"/>
      <w:szCs w:val="22"/>
      <w:lang w:eastAsia="en-US"/>
    </w:rPr>
  </w:style>
  <w:style w:type="character" w:customStyle="1" w:styleId="Heading2NotesChar">
    <w:name w:val="Heading 2 Notes Char"/>
    <w:link w:val="Heading2Notes"/>
    <w:locked/>
    <w:rsid w:val="00FE76C7"/>
    <w:rPr>
      <w:rFonts w:ascii="Calibri" w:hAnsi="Calibri"/>
      <w:b/>
      <w:kern w:val="28"/>
      <w:sz w:val="28"/>
      <w:szCs w:val="22"/>
      <w:lang w:eastAsia="en-US"/>
    </w:rPr>
  </w:style>
  <w:style w:type="character" w:customStyle="1" w:styleId="Heading2NotesContdChar">
    <w:name w:val="Heading 2 Notes Cont'd Char"/>
    <w:link w:val="Heading2NotesContd"/>
    <w:locked/>
    <w:rsid w:val="00FE76C7"/>
    <w:rPr>
      <w:rFonts w:ascii="Calibri" w:hAnsi="Calibri"/>
      <w:b/>
      <w:kern w:val="28"/>
      <w:sz w:val="28"/>
      <w:szCs w:val="22"/>
      <w:lang w:eastAsia="en-US"/>
    </w:rPr>
  </w:style>
  <w:style w:type="character" w:customStyle="1" w:styleId="Heading5Char">
    <w:name w:val="Heading 5 Char"/>
    <w:link w:val="Heading5"/>
    <w:rsid w:val="00FE76C7"/>
    <w:rPr>
      <w:rFonts w:ascii="Calibri" w:hAnsi="Calibri"/>
      <w:b/>
      <w:sz w:val="24"/>
      <w:lang w:eastAsia="en-US"/>
    </w:rPr>
  </w:style>
  <w:style w:type="paragraph" w:customStyle="1" w:styleId="Char">
    <w:name w:val="Char"/>
    <w:basedOn w:val="Normal"/>
    <w:semiHidden/>
    <w:rsid w:val="00FE76C7"/>
    <w:pPr>
      <w:spacing w:after="0"/>
    </w:pPr>
    <w:rPr>
      <w:rFonts w:ascii="Arial" w:hAnsi="Arial"/>
      <w:sz w:val="22"/>
    </w:rPr>
  </w:style>
  <w:style w:type="character" w:customStyle="1" w:styleId="Heading3Char">
    <w:name w:val="Heading 3 Char"/>
    <w:link w:val="Heading3"/>
    <w:rsid w:val="008207B6"/>
    <w:rPr>
      <w:rFonts w:ascii="Calibri" w:hAnsi="Calibri"/>
      <w:b/>
      <w:i/>
      <w:sz w:val="26"/>
      <w:szCs w:val="22"/>
      <w:lang w:eastAsia="en-US"/>
    </w:rPr>
  </w:style>
  <w:style w:type="character" w:customStyle="1" w:styleId="Heading4Char">
    <w:name w:val="Heading 4 Char"/>
    <w:link w:val="Heading4"/>
    <w:rsid w:val="00FE76C7"/>
    <w:rPr>
      <w:rFonts w:ascii="Calibri" w:hAnsi="Calibri"/>
      <w:i/>
      <w:sz w:val="26"/>
      <w:szCs w:val="22"/>
      <w:lang w:eastAsia="en-US"/>
    </w:rPr>
  </w:style>
  <w:style w:type="character" w:customStyle="1" w:styleId="FooterChar">
    <w:name w:val="Footer Char"/>
    <w:link w:val="Footer"/>
    <w:rsid w:val="00FE76C7"/>
    <w:rPr>
      <w:rFonts w:ascii="Calibri" w:hAnsi="Calibri"/>
      <w:sz w:val="22"/>
      <w:szCs w:val="18"/>
      <w:lang w:eastAsia="en-US"/>
    </w:rPr>
  </w:style>
  <w:style w:type="character" w:customStyle="1" w:styleId="HeaderChar">
    <w:name w:val="Header Char"/>
    <w:link w:val="Header"/>
    <w:rsid w:val="00FE76C7"/>
    <w:rPr>
      <w:rFonts w:ascii="Calibri" w:hAnsi="Calibri"/>
      <w:sz w:val="22"/>
      <w:szCs w:val="18"/>
      <w:lang w:eastAsia="en-US"/>
    </w:rPr>
  </w:style>
  <w:style w:type="character" w:customStyle="1" w:styleId="BIP1headinglChar">
    <w:name w:val="BIP1 heading l Char"/>
    <w:link w:val="BIP1headingl"/>
    <w:semiHidden/>
    <w:locked/>
    <w:rsid w:val="00FE76C7"/>
    <w:rPr>
      <w:rFonts w:ascii="Calibri" w:hAnsi="Calibri"/>
      <w:i/>
      <w:sz w:val="22"/>
      <w:szCs w:val="18"/>
      <w:lang w:eastAsia="en-US"/>
    </w:rPr>
  </w:style>
  <w:style w:type="character" w:customStyle="1" w:styleId="DashTextChar">
    <w:name w:val="Dash Text Char"/>
    <w:link w:val="DashText"/>
    <w:rsid w:val="00FE76C7"/>
    <w:rPr>
      <w:rFonts w:ascii="Garamond" w:hAnsi="Garamond"/>
      <w:sz w:val="24"/>
      <w:lang w:eastAsia="en-US"/>
    </w:rPr>
  </w:style>
  <w:style w:type="paragraph" w:customStyle="1" w:styleId="TableTextbullet">
    <w:name w:val="Table Text bullet"/>
    <w:basedOn w:val="Tabletext"/>
    <w:qFormat/>
    <w:rsid w:val="00FE76C7"/>
    <w:pPr>
      <w:numPr>
        <w:numId w:val="8"/>
      </w:numPr>
      <w:ind w:left="360"/>
    </w:pPr>
  </w:style>
  <w:style w:type="paragraph" w:customStyle="1" w:styleId="Default">
    <w:name w:val="Default"/>
    <w:rsid w:val="00FE76C7"/>
    <w:pPr>
      <w:autoSpaceDE w:val="0"/>
      <w:autoSpaceDN w:val="0"/>
      <w:adjustRightInd w:val="0"/>
    </w:pPr>
    <w:rPr>
      <w:rFonts w:ascii="Arial" w:hAnsi="Arial" w:cs="Arial"/>
      <w:color w:val="000000"/>
      <w:sz w:val="24"/>
      <w:szCs w:val="24"/>
    </w:rPr>
  </w:style>
  <w:style w:type="paragraph" w:customStyle="1" w:styleId="TableTextdash">
    <w:name w:val="Table Text dash"/>
    <w:basedOn w:val="TableTextbullet"/>
    <w:qFormat/>
    <w:rsid w:val="00FE76C7"/>
    <w:pPr>
      <w:numPr>
        <w:numId w:val="9"/>
      </w:numPr>
      <w:spacing w:before="20" w:after="20"/>
      <w:ind w:left="421"/>
    </w:pPr>
  </w:style>
  <w:style w:type="paragraph" w:customStyle="1" w:styleId="Heading1cont">
    <w:name w:val="Heading 1 cont"/>
    <w:basedOn w:val="Heading1"/>
    <w:qFormat/>
    <w:rsid w:val="000D0F3D"/>
    <w:rPr>
      <w:caps w:val="0"/>
    </w:rPr>
  </w:style>
  <w:style w:type="character" w:styleId="PlaceholderText">
    <w:name w:val="Placeholder Text"/>
    <w:basedOn w:val="DefaultParagraphFont"/>
    <w:uiPriority w:val="99"/>
    <w:semiHidden/>
    <w:rsid w:val="00DF684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6" w:locked="1"/>
    <w:lsdException w:name="index 7" w:locked="1"/>
    <w:lsdException w:name="index 8" w:locked="1"/>
    <w:lsdException w:name="index 9" w:locked="1"/>
    <w:lsdException w:name="toc 1" w:uiPriority="39"/>
    <w:lsdException w:name="toc 2" w:uiPriority="39"/>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lsdException w:name="Emphasis" w:locked="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90010"/>
    <w:pPr>
      <w:spacing w:after="120"/>
    </w:pPr>
    <w:rPr>
      <w:rFonts w:ascii="Garamond" w:hAnsi="Garamond"/>
      <w:sz w:val="24"/>
      <w:lang w:eastAsia="en-US"/>
    </w:rPr>
  </w:style>
  <w:style w:type="paragraph" w:styleId="Heading1">
    <w:name w:val="heading 1"/>
    <w:basedOn w:val="Normal"/>
    <w:next w:val="Normal"/>
    <w:link w:val="Heading1Char"/>
    <w:qFormat/>
    <w:rsid w:val="00BB71EC"/>
    <w:pPr>
      <w:keepNext/>
      <w:spacing w:before="360"/>
      <w:outlineLvl w:val="0"/>
    </w:pPr>
    <w:rPr>
      <w:rFonts w:ascii="Calibri" w:hAnsi="Calibri"/>
      <w:b/>
      <w:caps/>
      <w:sz w:val="28"/>
      <w:szCs w:val="22"/>
    </w:rPr>
  </w:style>
  <w:style w:type="paragraph" w:styleId="Heading2">
    <w:name w:val="heading 2"/>
    <w:basedOn w:val="Normal"/>
    <w:next w:val="Normal"/>
    <w:link w:val="Heading2Char"/>
    <w:qFormat/>
    <w:rsid w:val="008207B6"/>
    <w:pPr>
      <w:keepNext/>
      <w:spacing w:before="240"/>
      <w:outlineLvl w:val="1"/>
    </w:pPr>
    <w:rPr>
      <w:rFonts w:ascii="Calibri" w:hAnsi="Calibri"/>
      <w:b/>
      <w:sz w:val="28"/>
      <w:szCs w:val="22"/>
    </w:rPr>
  </w:style>
  <w:style w:type="paragraph" w:styleId="Heading3">
    <w:name w:val="heading 3"/>
    <w:basedOn w:val="Normal"/>
    <w:next w:val="Normal"/>
    <w:link w:val="Heading3Char"/>
    <w:qFormat/>
    <w:rsid w:val="008207B6"/>
    <w:pPr>
      <w:keepNext/>
      <w:spacing w:before="240"/>
      <w:outlineLvl w:val="2"/>
    </w:pPr>
    <w:rPr>
      <w:rFonts w:ascii="Calibri" w:hAnsi="Calibri"/>
      <w:b/>
      <w:i/>
      <w:sz w:val="26"/>
      <w:szCs w:val="22"/>
    </w:rPr>
  </w:style>
  <w:style w:type="paragraph" w:styleId="Heading4">
    <w:name w:val="heading 4"/>
    <w:basedOn w:val="Normal"/>
    <w:next w:val="Normal"/>
    <w:link w:val="Heading4Char"/>
    <w:qFormat/>
    <w:rsid w:val="00BB71EC"/>
    <w:pPr>
      <w:keepNext/>
      <w:spacing w:before="240"/>
      <w:outlineLvl w:val="3"/>
    </w:pPr>
    <w:rPr>
      <w:rFonts w:ascii="Calibri" w:hAnsi="Calibri"/>
      <w:i/>
      <w:sz w:val="26"/>
      <w:szCs w:val="22"/>
    </w:rPr>
  </w:style>
  <w:style w:type="paragraph" w:styleId="Heading5">
    <w:name w:val="heading 5"/>
    <w:basedOn w:val="Normal"/>
    <w:next w:val="Normal"/>
    <w:link w:val="Heading5Char"/>
    <w:qFormat/>
    <w:rsid w:val="00BB71EC"/>
    <w:pPr>
      <w:keepNext/>
      <w:tabs>
        <w:tab w:val="left" w:pos="504"/>
      </w:tabs>
      <w:spacing w:before="120" w:after="60"/>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690C84"/>
    <w:pPr>
      <w:spacing w:after="0"/>
      <w:jc w:val="center"/>
    </w:pPr>
    <w:rPr>
      <w:rFonts w:ascii="Calibri" w:hAnsi="Calibri"/>
      <w:i/>
      <w:sz w:val="20"/>
      <w:szCs w:val="18"/>
    </w:rPr>
  </w:style>
  <w:style w:type="paragraph" w:styleId="TableofFigures">
    <w:name w:val="table of figures"/>
    <w:basedOn w:val="Normal"/>
    <w:next w:val="Normal"/>
    <w:link w:val="TableofFiguresChar"/>
    <w:qFormat/>
    <w:rsid w:val="0093166C"/>
    <w:pPr>
      <w:spacing w:after="0"/>
      <w:jc w:val="right"/>
    </w:pPr>
    <w:rPr>
      <w:rFonts w:ascii="Calibri" w:hAnsi="Calibri"/>
      <w:sz w:val="22"/>
      <w:szCs w:val="18"/>
    </w:rPr>
  </w:style>
  <w:style w:type="paragraph" w:customStyle="1" w:styleId="BIP1Figures">
    <w:name w:val="BIP1 Figures"/>
    <w:basedOn w:val="TableofFigures"/>
    <w:semiHidden/>
    <w:rsid w:val="00901E03"/>
    <w:pPr>
      <w:spacing w:after="20"/>
    </w:pPr>
  </w:style>
  <w:style w:type="paragraph" w:customStyle="1" w:styleId="Tabletextheading">
    <w:name w:val="Table text heading"/>
    <w:basedOn w:val="TableofFigures"/>
    <w:link w:val="TabletextheadingChar"/>
    <w:qFormat/>
    <w:rsid w:val="00901E03"/>
    <w:rPr>
      <w:i/>
    </w:rPr>
  </w:style>
  <w:style w:type="paragraph" w:customStyle="1" w:styleId="BIP1headingr">
    <w:name w:val="BIP1 heading r"/>
    <w:basedOn w:val="Tabletextheading"/>
    <w:semiHidden/>
    <w:rsid w:val="00901E03"/>
  </w:style>
  <w:style w:type="paragraph" w:customStyle="1" w:styleId="BIP1headingl">
    <w:name w:val="BIP1 heading l"/>
    <w:basedOn w:val="BIP1headingr"/>
    <w:link w:val="BIP1headinglChar"/>
    <w:semiHidden/>
    <w:rsid w:val="00901E03"/>
    <w:pPr>
      <w:jc w:val="left"/>
    </w:pPr>
  </w:style>
  <w:style w:type="paragraph" w:customStyle="1" w:styleId="Tabletext">
    <w:name w:val="Table text"/>
    <w:basedOn w:val="TableofFigures"/>
    <w:link w:val="TabletextChar"/>
    <w:qFormat/>
    <w:rsid w:val="00901E03"/>
    <w:pPr>
      <w:ind w:left="180" w:hanging="180"/>
      <w:jc w:val="left"/>
    </w:pPr>
  </w:style>
  <w:style w:type="paragraph" w:customStyle="1" w:styleId="BIP1tabletext">
    <w:name w:val="BIP1 table text"/>
    <w:basedOn w:val="Tabletext"/>
    <w:semiHidden/>
    <w:rsid w:val="00901E03"/>
    <w:pPr>
      <w:spacing w:after="20"/>
      <w:ind w:left="72" w:hanging="72"/>
    </w:pPr>
  </w:style>
  <w:style w:type="paragraph" w:customStyle="1" w:styleId="Tableheading">
    <w:name w:val="Table heading"/>
    <w:basedOn w:val="Normal"/>
    <w:link w:val="TableheadingChar"/>
    <w:qFormat/>
    <w:rsid w:val="00BB71EC"/>
    <w:pPr>
      <w:keepNext/>
      <w:spacing w:before="240"/>
      <w:ind w:left="1152" w:hanging="1152"/>
    </w:pPr>
    <w:rPr>
      <w:rFonts w:ascii="Calibri" w:hAnsi="Calibri"/>
      <w:b/>
      <w:sz w:val="25"/>
    </w:rPr>
  </w:style>
  <w:style w:type="table" w:styleId="TableGrid">
    <w:name w:val="Table Grid"/>
    <w:basedOn w:val="TableNormal"/>
    <w:locked/>
    <w:rsid w:val="00901E03"/>
    <w:pPr>
      <w:spacing w:after="120"/>
      <w:jc w:val="both"/>
    </w:pPr>
    <w:rPr>
      <w:rFonts w:ascii="Calibri" w:hAnsi="Calibri"/>
    </w:rPr>
    <w:tblPr>
      <w:tblInd w:w="0" w:type="dxa"/>
      <w:tblCellMar>
        <w:top w:w="0" w:type="dxa"/>
        <w:left w:w="108" w:type="dxa"/>
        <w:bottom w:w="0" w:type="dxa"/>
        <w:right w:w="108" w:type="dxa"/>
      </w:tblCellMar>
    </w:tblPr>
  </w:style>
  <w:style w:type="paragraph" w:customStyle="1" w:styleId="BulletText">
    <w:name w:val="Bullet Text"/>
    <w:basedOn w:val="Normal"/>
    <w:link w:val="BulletTextChar"/>
    <w:qFormat/>
    <w:rsid w:val="00901E03"/>
    <w:pPr>
      <w:numPr>
        <w:numId w:val="1"/>
      </w:numPr>
    </w:pPr>
  </w:style>
  <w:style w:type="paragraph" w:customStyle="1" w:styleId="ChapterHeading">
    <w:name w:val="Chapter Heading"/>
    <w:basedOn w:val="Normal"/>
    <w:next w:val="Heading1"/>
    <w:qFormat/>
    <w:rsid w:val="0013022C"/>
    <w:pPr>
      <w:keepNext/>
      <w:pBdr>
        <w:bottom w:val="single" w:sz="12" w:space="7" w:color="auto"/>
      </w:pBdr>
      <w:spacing w:before="1440" w:after="360"/>
    </w:pPr>
    <w:rPr>
      <w:rFonts w:ascii="Calibri" w:hAnsi="Calibri"/>
      <w:b/>
      <w:caps/>
      <w:sz w:val="38"/>
      <w:szCs w:val="28"/>
    </w:rPr>
  </w:style>
  <w:style w:type="paragraph" w:customStyle="1" w:styleId="Chartheading">
    <w:name w:val="Chart heading"/>
    <w:basedOn w:val="Tableheading"/>
    <w:next w:val="Normal"/>
    <w:qFormat/>
    <w:rsid w:val="00901E03"/>
  </w:style>
  <w:style w:type="paragraph" w:styleId="Footer">
    <w:name w:val="footer"/>
    <w:basedOn w:val="Normal"/>
    <w:link w:val="FooterChar"/>
    <w:rsid w:val="002D4015"/>
    <w:pPr>
      <w:pBdr>
        <w:top w:val="single" w:sz="6" w:space="1" w:color="auto"/>
      </w:pBdr>
      <w:tabs>
        <w:tab w:val="right" w:pos="7085"/>
      </w:tabs>
    </w:pPr>
    <w:rPr>
      <w:rFonts w:ascii="Calibri" w:hAnsi="Calibri"/>
      <w:sz w:val="22"/>
      <w:szCs w:val="18"/>
    </w:rPr>
  </w:style>
  <w:style w:type="paragraph" w:styleId="Header">
    <w:name w:val="header"/>
    <w:basedOn w:val="Footer"/>
    <w:link w:val="HeaderChar"/>
    <w:rsid w:val="00901E03"/>
    <w:pPr>
      <w:pBdr>
        <w:top w:val="none" w:sz="0" w:space="0" w:color="auto"/>
      </w:pBdr>
      <w:tabs>
        <w:tab w:val="clear" w:pos="7085"/>
      </w:tabs>
    </w:pPr>
  </w:style>
  <w:style w:type="paragraph" w:customStyle="1" w:styleId="Heading2Notes">
    <w:name w:val="Heading 2 Notes"/>
    <w:basedOn w:val="Heading2"/>
    <w:link w:val="Heading2NotesChar"/>
    <w:rsid w:val="00901E03"/>
    <w:pPr>
      <w:tabs>
        <w:tab w:val="left" w:pos="1152"/>
      </w:tabs>
      <w:ind w:left="1152" w:hanging="1152"/>
    </w:pPr>
  </w:style>
  <w:style w:type="paragraph" w:customStyle="1" w:styleId="Notes">
    <w:name w:val="Notes"/>
    <w:basedOn w:val="Normal"/>
    <w:link w:val="NotesChar"/>
    <w:qFormat/>
    <w:rsid w:val="00BB71EC"/>
    <w:pPr>
      <w:tabs>
        <w:tab w:val="left" w:pos="454"/>
      </w:tabs>
      <w:spacing w:after="0"/>
      <w:ind w:left="461" w:hanging="461"/>
    </w:pPr>
    <w:rPr>
      <w:rFonts w:ascii="Calibri" w:hAnsi="Calibri"/>
      <w:i/>
      <w:sz w:val="16"/>
    </w:rPr>
  </w:style>
  <w:style w:type="paragraph" w:customStyle="1" w:styleId="OGBullet">
    <w:name w:val="OGBullet"/>
    <w:basedOn w:val="Normal"/>
    <w:semiHidden/>
    <w:rsid w:val="00BB71EC"/>
    <w:pPr>
      <w:numPr>
        <w:numId w:val="5"/>
      </w:numPr>
    </w:pPr>
    <w:rPr>
      <w:rFonts w:ascii="Calibri" w:hAnsi="Calibri"/>
      <w:sz w:val="22"/>
      <w:szCs w:val="18"/>
    </w:rPr>
  </w:style>
  <w:style w:type="paragraph" w:customStyle="1" w:styleId="OGHeading1">
    <w:name w:val="OGHeading1"/>
    <w:basedOn w:val="Normal"/>
    <w:semiHidden/>
    <w:rsid w:val="00BB71EC"/>
    <w:rPr>
      <w:rFonts w:ascii="Calibri" w:hAnsi="Calibri"/>
      <w:b/>
      <w:sz w:val="34"/>
      <w:szCs w:val="28"/>
    </w:rPr>
  </w:style>
  <w:style w:type="paragraph" w:customStyle="1" w:styleId="OGHeading2">
    <w:name w:val="OGHeading2"/>
    <w:basedOn w:val="Normal"/>
    <w:link w:val="OGHeading2Char"/>
    <w:semiHidden/>
    <w:rsid w:val="00BB71EC"/>
    <w:pPr>
      <w:keepNext/>
      <w:spacing w:before="60"/>
    </w:pPr>
    <w:rPr>
      <w:rFonts w:ascii="Calibri" w:hAnsi="Calibri"/>
      <w:b/>
      <w:sz w:val="30"/>
      <w:szCs w:val="24"/>
    </w:rPr>
  </w:style>
  <w:style w:type="paragraph" w:customStyle="1" w:styleId="OGTabHead">
    <w:name w:val="OGTabHead"/>
    <w:basedOn w:val="Normal"/>
    <w:semiHidden/>
    <w:rsid w:val="00BB71EC"/>
    <w:pPr>
      <w:keepNext/>
      <w:keepLines/>
      <w:spacing w:before="30" w:after="30"/>
    </w:pPr>
    <w:rPr>
      <w:rFonts w:ascii="Calibri" w:hAnsi="Calibri"/>
      <w:i/>
      <w:sz w:val="22"/>
      <w:szCs w:val="18"/>
    </w:rPr>
  </w:style>
  <w:style w:type="paragraph" w:customStyle="1" w:styleId="OGTabText">
    <w:name w:val="OGTabText"/>
    <w:basedOn w:val="Normal"/>
    <w:link w:val="OGTabTextChar"/>
    <w:semiHidden/>
    <w:rsid w:val="00BB71EC"/>
    <w:pPr>
      <w:spacing w:before="30" w:after="30"/>
      <w:ind w:left="144"/>
    </w:pPr>
    <w:rPr>
      <w:rFonts w:ascii="Calibri" w:hAnsi="Calibri"/>
      <w:sz w:val="22"/>
      <w:szCs w:val="18"/>
    </w:rPr>
  </w:style>
  <w:style w:type="paragraph" w:customStyle="1" w:styleId="OGText">
    <w:name w:val="OGText"/>
    <w:basedOn w:val="Normal"/>
    <w:link w:val="OGTextChar"/>
    <w:semiHidden/>
    <w:rsid w:val="00BB71EC"/>
    <w:pPr>
      <w:keepNext/>
      <w:spacing w:before="40"/>
    </w:pPr>
    <w:rPr>
      <w:rFonts w:ascii="Calibri" w:hAnsi="Calibri"/>
      <w:sz w:val="22"/>
      <w:szCs w:val="18"/>
    </w:rPr>
  </w:style>
  <w:style w:type="character" w:styleId="PageNumber">
    <w:name w:val="page number"/>
    <w:rsid w:val="00BB71EC"/>
    <w:rPr>
      <w:rFonts w:ascii="Calibri" w:hAnsi="Calibri"/>
      <w:sz w:val="22"/>
    </w:rPr>
  </w:style>
  <w:style w:type="paragraph" w:customStyle="1" w:styleId="Source">
    <w:name w:val="Source"/>
    <w:basedOn w:val="Normal"/>
    <w:next w:val="Normal"/>
    <w:link w:val="SourceChar"/>
    <w:qFormat/>
    <w:locked/>
    <w:rsid w:val="00BB71EC"/>
    <w:rPr>
      <w:rFonts w:ascii="Calibri" w:hAnsi="Calibri"/>
      <w:i/>
      <w:sz w:val="16"/>
    </w:rPr>
  </w:style>
  <w:style w:type="paragraph" w:customStyle="1" w:styleId="TableofContentsheading">
    <w:name w:val="Table of Contents heading"/>
    <w:basedOn w:val="ChapterHeading"/>
    <w:next w:val="Normal"/>
    <w:rsid w:val="00901E03"/>
  </w:style>
  <w:style w:type="paragraph" w:customStyle="1" w:styleId="Heading2NotesContd">
    <w:name w:val="Heading 2 Notes Cont'd"/>
    <w:basedOn w:val="Heading2Notes"/>
    <w:link w:val="Heading2NotesContdChar"/>
    <w:rsid w:val="00901E03"/>
  </w:style>
  <w:style w:type="paragraph" w:customStyle="1" w:styleId="HighlightBoxText">
    <w:name w:val="Highlight Box Text"/>
    <w:basedOn w:val="HighlightBoxBullet"/>
    <w:qFormat/>
    <w:rsid w:val="00901E03"/>
    <w:pPr>
      <w:numPr>
        <w:numId w:val="0"/>
      </w:numPr>
    </w:pPr>
  </w:style>
  <w:style w:type="paragraph" w:styleId="TOC1">
    <w:name w:val="toc 1"/>
    <w:basedOn w:val="Normal"/>
    <w:next w:val="Normal"/>
    <w:uiPriority w:val="39"/>
    <w:rsid w:val="00190010"/>
    <w:pPr>
      <w:tabs>
        <w:tab w:val="right" w:leader="dot" w:pos="9540"/>
      </w:tabs>
      <w:spacing w:before="40" w:after="40"/>
      <w:ind w:right="422"/>
    </w:pPr>
    <w:rPr>
      <w:rFonts w:ascii="Calibri" w:hAnsi="Calibri"/>
      <w:b/>
    </w:rPr>
  </w:style>
  <w:style w:type="paragraph" w:styleId="TOC2">
    <w:name w:val="toc 2"/>
    <w:basedOn w:val="Normal"/>
    <w:next w:val="Normal"/>
    <w:uiPriority w:val="39"/>
    <w:rsid w:val="00190010"/>
    <w:pPr>
      <w:tabs>
        <w:tab w:val="right" w:leader="dot" w:pos="9540"/>
      </w:tabs>
      <w:spacing w:after="0"/>
      <w:ind w:left="288" w:right="422"/>
    </w:pPr>
    <w:rPr>
      <w:rFonts w:ascii="Calibri" w:hAnsi="Calibri"/>
      <w:sz w:val="22"/>
    </w:rPr>
  </w:style>
  <w:style w:type="paragraph" w:styleId="TOC3">
    <w:name w:val="toc 3"/>
    <w:basedOn w:val="Normal"/>
    <w:next w:val="Normal"/>
    <w:rsid w:val="00190010"/>
    <w:pPr>
      <w:tabs>
        <w:tab w:val="right" w:leader="dot" w:pos="9547"/>
      </w:tabs>
      <w:spacing w:after="0"/>
      <w:ind w:left="432" w:right="422"/>
    </w:pPr>
    <w:rPr>
      <w:rFonts w:ascii="Calibri" w:hAnsi="Calibri"/>
      <w:i/>
      <w:sz w:val="22"/>
    </w:rPr>
  </w:style>
  <w:style w:type="paragraph" w:styleId="TOC4">
    <w:name w:val="toc 4"/>
    <w:basedOn w:val="TOC1"/>
    <w:next w:val="Normal"/>
    <w:rsid w:val="00742218"/>
    <w:pPr>
      <w:tabs>
        <w:tab w:val="clear" w:pos="9540"/>
        <w:tab w:val="right" w:leader="dot" w:pos="9533"/>
      </w:tabs>
      <w:spacing w:after="0"/>
      <w:ind w:left="1152" w:hanging="1152"/>
    </w:pPr>
    <w:rPr>
      <w:b w:val="0"/>
      <w:sz w:val="22"/>
    </w:rPr>
  </w:style>
  <w:style w:type="paragraph" w:styleId="TOC5">
    <w:name w:val="toc 5"/>
    <w:basedOn w:val="TOC1"/>
    <w:next w:val="Normal"/>
    <w:rsid w:val="00742218"/>
    <w:rPr>
      <w:b w:val="0"/>
      <w:sz w:val="22"/>
    </w:rPr>
  </w:style>
  <w:style w:type="paragraph" w:customStyle="1" w:styleId="Tableheadingcontinued">
    <w:name w:val="Table heading continued"/>
    <w:basedOn w:val="Tableheading"/>
    <w:rsid w:val="00901E03"/>
  </w:style>
  <w:style w:type="paragraph" w:customStyle="1" w:styleId="TableTextCentred">
    <w:name w:val="Table Text Centred"/>
    <w:basedOn w:val="Tabletext"/>
    <w:rsid w:val="00901E03"/>
    <w:pPr>
      <w:ind w:left="0" w:firstLine="0"/>
      <w:jc w:val="center"/>
    </w:pPr>
  </w:style>
  <w:style w:type="paragraph" w:customStyle="1" w:styleId="Heading3Numbering">
    <w:name w:val="Heading 3 Numbering"/>
    <w:basedOn w:val="Heading3"/>
    <w:rsid w:val="00901E03"/>
    <w:pPr>
      <w:numPr>
        <w:numId w:val="2"/>
      </w:numPr>
      <w:tabs>
        <w:tab w:val="left" w:pos="504"/>
      </w:tabs>
    </w:pPr>
  </w:style>
  <w:style w:type="paragraph" w:customStyle="1" w:styleId="Heading5a">
    <w:name w:val="Heading 5a"/>
    <w:basedOn w:val="Heading5"/>
    <w:rsid w:val="00BB71EC"/>
    <w:pPr>
      <w:tabs>
        <w:tab w:val="clear" w:pos="504"/>
      </w:tabs>
    </w:pPr>
    <w:rPr>
      <w:b w:val="0"/>
      <w:i/>
      <w:sz w:val="23"/>
    </w:rPr>
  </w:style>
  <w:style w:type="character" w:customStyle="1" w:styleId="OGTabBulletChar">
    <w:name w:val="OGTabBullet Char"/>
    <w:link w:val="OGTabBullet"/>
    <w:rsid w:val="000F532A"/>
    <w:rPr>
      <w:rFonts w:ascii="Calibri" w:hAnsi="Calibri"/>
      <w:sz w:val="22"/>
      <w:szCs w:val="18"/>
    </w:rPr>
  </w:style>
  <w:style w:type="paragraph" w:customStyle="1" w:styleId="OGTabBullet">
    <w:name w:val="OGTabBullet"/>
    <w:basedOn w:val="OGBullet"/>
    <w:link w:val="OGTabBulletChar"/>
    <w:semiHidden/>
    <w:rsid w:val="000F532A"/>
    <w:pPr>
      <w:numPr>
        <w:numId w:val="7"/>
      </w:numPr>
      <w:spacing w:before="30" w:after="30"/>
    </w:pPr>
    <w:rPr>
      <w:lang w:eastAsia="en-AU"/>
    </w:rPr>
  </w:style>
  <w:style w:type="paragraph" w:customStyle="1" w:styleId="TabletextheadingCentred">
    <w:name w:val="Table text heading Centred"/>
    <w:basedOn w:val="Tabletextheading"/>
    <w:link w:val="TabletextheadingCentredChar"/>
    <w:rsid w:val="00901E03"/>
    <w:pPr>
      <w:jc w:val="center"/>
    </w:pPr>
  </w:style>
  <w:style w:type="paragraph" w:customStyle="1" w:styleId="DashText">
    <w:name w:val="Dash Text"/>
    <w:basedOn w:val="Normal"/>
    <w:link w:val="DashTextChar"/>
    <w:qFormat/>
    <w:rsid w:val="00901E03"/>
    <w:pPr>
      <w:numPr>
        <w:ilvl w:val="1"/>
        <w:numId w:val="1"/>
      </w:numPr>
    </w:pPr>
  </w:style>
  <w:style w:type="paragraph" w:customStyle="1" w:styleId="VersionTableText">
    <w:name w:val="VersionTableText"/>
    <w:basedOn w:val="Normal"/>
    <w:rsid w:val="00206EB5"/>
    <w:pPr>
      <w:spacing w:after="0"/>
      <w:jc w:val="center"/>
    </w:pPr>
    <w:rPr>
      <w:rFonts w:ascii="Calibri" w:hAnsi="Calibri"/>
      <w:sz w:val="22"/>
    </w:rPr>
  </w:style>
  <w:style w:type="paragraph" w:customStyle="1" w:styleId="VersionTableHeading">
    <w:name w:val="VersionTableHeading"/>
    <w:basedOn w:val="Normal"/>
    <w:rsid w:val="00206EB5"/>
    <w:pPr>
      <w:spacing w:after="0"/>
      <w:jc w:val="center"/>
    </w:pPr>
    <w:rPr>
      <w:rFonts w:ascii="Calibri" w:hAnsi="Calibri"/>
      <w:b/>
      <w:sz w:val="22"/>
    </w:rPr>
  </w:style>
  <w:style w:type="paragraph" w:customStyle="1" w:styleId="NotesIndent">
    <w:name w:val="NotesIndent"/>
    <w:basedOn w:val="Notes"/>
    <w:rsid w:val="00901E03"/>
    <w:pPr>
      <w:ind w:left="915"/>
    </w:pPr>
  </w:style>
  <w:style w:type="paragraph" w:customStyle="1" w:styleId="NotesDash">
    <w:name w:val="NotesDash"/>
    <w:basedOn w:val="NotesIndent"/>
    <w:rsid w:val="00901E03"/>
    <w:pPr>
      <w:numPr>
        <w:numId w:val="4"/>
      </w:numPr>
      <w:tabs>
        <w:tab w:val="clear" w:pos="454"/>
      </w:tabs>
    </w:pPr>
  </w:style>
  <w:style w:type="paragraph" w:customStyle="1" w:styleId="VAGOText">
    <w:name w:val="VAGOText"/>
    <w:basedOn w:val="Normal"/>
    <w:semiHidden/>
    <w:rsid w:val="00901E03"/>
    <w:pPr>
      <w:spacing w:before="120"/>
    </w:pPr>
    <w:rPr>
      <w:rFonts w:ascii="Arial" w:hAnsi="Arial" w:cs="Arial"/>
      <w:sz w:val="16"/>
      <w:szCs w:val="16"/>
    </w:rPr>
  </w:style>
  <w:style w:type="paragraph" w:customStyle="1" w:styleId="VAGOHeading2">
    <w:name w:val="VAGOHeading2"/>
    <w:basedOn w:val="Normal"/>
    <w:semiHidden/>
    <w:rsid w:val="00901E03"/>
    <w:rPr>
      <w:rFonts w:ascii="Arial" w:hAnsi="Arial" w:cs="Arial"/>
      <w:b/>
      <w:sz w:val="16"/>
      <w:szCs w:val="16"/>
    </w:rPr>
  </w:style>
  <w:style w:type="paragraph" w:customStyle="1" w:styleId="VAGOHeading1">
    <w:name w:val="VAGOHeading1"/>
    <w:basedOn w:val="Normal"/>
    <w:semiHidden/>
    <w:rsid w:val="00901E03"/>
    <w:pPr>
      <w:jc w:val="center"/>
    </w:pPr>
    <w:rPr>
      <w:rFonts w:ascii="Arial" w:hAnsi="Arial" w:cs="Arial"/>
      <w:b/>
      <w:sz w:val="17"/>
      <w:szCs w:val="17"/>
    </w:rPr>
  </w:style>
  <w:style w:type="paragraph" w:customStyle="1" w:styleId="VAGOHeading3">
    <w:name w:val="VAGOHeading3"/>
    <w:basedOn w:val="VAGOHeading2"/>
    <w:semiHidden/>
    <w:rsid w:val="00901E03"/>
    <w:rPr>
      <w:b w:val="0"/>
      <w:i/>
    </w:rPr>
  </w:style>
  <w:style w:type="character" w:customStyle="1" w:styleId="TableheadingChar">
    <w:name w:val="Table heading Char"/>
    <w:link w:val="Tableheading"/>
    <w:rsid w:val="00BB71EC"/>
    <w:rPr>
      <w:rFonts w:ascii="Calibri" w:hAnsi="Calibri"/>
      <w:b/>
      <w:sz w:val="25"/>
      <w:lang w:val="en-AU" w:eastAsia="en-US" w:bidi="ar-SA"/>
    </w:rPr>
  </w:style>
  <w:style w:type="paragraph" w:customStyle="1" w:styleId="TabletextheadingLeft">
    <w:name w:val="Table text heading Left"/>
    <w:basedOn w:val="Tabletextheading"/>
    <w:rsid w:val="00901E03"/>
    <w:pPr>
      <w:jc w:val="left"/>
    </w:pPr>
  </w:style>
  <w:style w:type="paragraph" w:customStyle="1" w:styleId="Chartpara">
    <w:name w:val="Chart para"/>
    <w:basedOn w:val="Normal"/>
    <w:semiHidden/>
    <w:rsid w:val="00901E03"/>
    <w:pPr>
      <w:spacing w:after="0"/>
    </w:pPr>
  </w:style>
  <w:style w:type="paragraph" w:customStyle="1" w:styleId="FrontPage">
    <w:name w:val="Front Page"/>
    <w:basedOn w:val="Normal"/>
    <w:semiHidden/>
    <w:rsid w:val="00C2380B"/>
    <w:pPr>
      <w:jc w:val="center"/>
    </w:pPr>
    <w:rPr>
      <w:rFonts w:ascii="Calibri" w:hAnsi="Calibri"/>
      <w:b/>
      <w:sz w:val="54"/>
      <w:szCs w:val="52"/>
    </w:rPr>
  </w:style>
  <w:style w:type="paragraph" w:customStyle="1" w:styleId="FrontPage2">
    <w:name w:val="Front Page 2"/>
    <w:basedOn w:val="FrontPage"/>
    <w:semiHidden/>
    <w:rsid w:val="00901E03"/>
    <w:pPr>
      <w:pBdr>
        <w:bottom w:val="single" w:sz="12" w:space="1" w:color="auto"/>
      </w:pBdr>
    </w:pPr>
  </w:style>
  <w:style w:type="paragraph" w:customStyle="1" w:styleId="FrontPage3">
    <w:name w:val="Front Page 3"/>
    <w:basedOn w:val="Normal"/>
    <w:semiHidden/>
    <w:rsid w:val="00C2380B"/>
    <w:pPr>
      <w:jc w:val="center"/>
    </w:pPr>
    <w:rPr>
      <w:rFonts w:ascii="Calibri" w:hAnsi="Calibri"/>
      <w:sz w:val="30"/>
      <w:szCs w:val="28"/>
    </w:rPr>
  </w:style>
  <w:style w:type="paragraph" w:customStyle="1" w:styleId="FrontPageBP">
    <w:name w:val="Front Page BP"/>
    <w:basedOn w:val="Normal"/>
    <w:semiHidden/>
    <w:rsid w:val="00C2380B"/>
    <w:pPr>
      <w:jc w:val="center"/>
    </w:pPr>
    <w:rPr>
      <w:rFonts w:ascii="Calibri" w:hAnsi="Calibri"/>
      <w:b/>
      <w:sz w:val="34"/>
      <w:szCs w:val="32"/>
    </w:rPr>
  </w:style>
  <w:style w:type="paragraph" w:customStyle="1" w:styleId="FrontPageHon">
    <w:name w:val="Front Page Hon"/>
    <w:basedOn w:val="Normal"/>
    <w:semiHidden/>
    <w:rsid w:val="00C2380B"/>
    <w:pPr>
      <w:jc w:val="center"/>
    </w:pPr>
    <w:rPr>
      <w:rFonts w:ascii="Calibri" w:hAnsi="Calibri"/>
      <w:sz w:val="32"/>
      <w:szCs w:val="30"/>
    </w:rPr>
  </w:style>
  <w:style w:type="paragraph" w:customStyle="1" w:styleId="FrontPageMin">
    <w:name w:val="Front Page Min"/>
    <w:basedOn w:val="Normal"/>
    <w:semiHidden/>
    <w:rsid w:val="00C2380B"/>
    <w:pPr>
      <w:jc w:val="center"/>
    </w:pPr>
    <w:rPr>
      <w:rFonts w:ascii="Calibri" w:hAnsi="Calibri"/>
      <w:sz w:val="36"/>
      <w:szCs w:val="36"/>
    </w:rPr>
  </w:style>
  <w:style w:type="paragraph" w:customStyle="1" w:styleId="Heading2NotesQtrly">
    <w:name w:val="Heading 2 Notes Qtrly"/>
    <w:basedOn w:val="Heading2Notes"/>
    <w:rsid w:val="00901E03"/>
  </w:style>
  <w:style w:type="paragraph" w:customStyle="1" w:styleId="Heading3NumberingBP4">
    <w:name w:val="Heading 3 Numbering BP4"/>
    <w:basedOn w:val="Heading3Numbering"/>
    <w:semiHidden/>
    <w:rsid w:val="00901E03"/>
    <w:pPr>
      <w:numPr>
        <w:numId w:val="0"/>
      </w:numPr>
    </w:pPr>
  </w:style>
  <w:style w:type="paragraph" w:customStyle="1" w:styleId="HighlightBoxBullet">
    <w:name w:val="Highlight Box Bullet"/>
    <w:basedOn w:val="Normal"/>
    <w:qFormat/>
    <w:rsid w:val="00477003"/>
    <w:pPr>
      <w:numPr>
        <w:numId w:val="3"/>
      </w:numPr>
      <w:shd w:val="pct10" w:color="auto" w:fill="FFFFFF"/>
      <w:ind w:left="360"/>
    </w:pPr>
  </w:style>
  <w:style w:type="paragraph" w:customStyle="1" w:styleId="HighlightBoxHeading">
    <w:name w:val="Highlight Box Heading"/>
    <w:basedOn w:val="Heading5a"/>
    <w:qFormat/>
    <w:rsid w:val="00901E03"/>
    <w:pPr>
      <w:shd w:val="clear" w:color="auto" w:fill="E6E6E6"/>
    </w:pPr>
  </w:style>
  <w:style w:type="paragraph" w:styleId="Index1">
    <w:name w:val="index 1"/>
    <w:basedOn w:val="Normal"/>
    <w:next w:val="Normal"/>
    <w:autoRedefine/>
    <w:semiHidden/>
    <w:rsid w:val="00901E03"/>
    <w:pPr>
      <w:spacing w:after="0"/>
      <w:ind w:left="220" w:hanging="220"/>
    </w:pPr>
    <w:rPr>
      <w:sz w:val="18"/>
      <w:szCs w:val="18"/>
    </w:rPr>
  </w:style>
  <w:style w:type="paragraph" w:styleId="Index2">
    <w:name w:val="index 2"/>
    <w:basedOn w:val="Normal"/>
    <w:next w:val="Normal"/>
    <w:autoRedefine/>
    <w:semiHidden/>
    <w:rsid w:val="00901E03"/>
    <w:pPr>
      <w:spacing w:after="0"/>
      <w:ind w:left="440" w:hanging="220"/>
    </w:pPr>
    <w:rPr>
      <w:sz w:val="18"/>
      <w:szCs w:val="18"/>
    </w:rPr>
  </w:style>
  <w:style w:type="paragraph" w:styleId="IndexHeading">
    <w:name w:val="index heading"/>
    <w:basedOn w:val="Normal"/>
    <w:next w:val="Index1"/>
    <w:semiHidden/>
    <w:rsid w:val="00901E03"/>
    <w:pPr>
      <w:spacing w:before="240"/>
      <w:jc w:val="center"/>
    </w:pPr>
    <w:rPr>
      <w:b/>
      <w:bCs/>
      <w:sz w:val="26"/>
      <w:szCs w:val="26"/>
    </w:rPr>
  </w:style>
  <w:style w:type="paragraph" w:styleId="NormalIndent">
    <w:name w:val="Normal Indent"/>
    <w:basedOn w:val="Normal"/>
    <w:locked/>
    <w:rsid w:val="00901E03"/>
    <w:pPr>
      <w:ind w:left="360"/>
    </w:pPr>
  </w:style>
  <w:style w:type="character" w:customStyle="1" w:styleId="OGHeading2Char">
    <w:name w:val="OGHeading2 Char"/>
    <w:link w:val="OGHeading2"/>
    <w:rsid w:val="00BB71EC"/>
    <w:rPr>
      <w:rFonts w:ascii="Calibri" w:hAnsi="Calibri"/>
      <w:b/>
      <w:sz w:val="30"/>
      <w:szCs w:val="24"/>
      <w:lang w:val="en-AU" w:eastAsia="en-US" w:bidi="ar-SA"/>
    </w:rPr>
  </w:style>
  <w:style w:type="paragraph" w:customStyle="1" w:styleId="OGNotes">
    <w:name w:val="OGNotes"/>
    <w:basedOn w:val="NotesIndent"/>
    <w:semiHidden/>
    <w:rsid w:val="00901E03"/>
    <w:pPr>
      <w:tabs>
        <w:tab w:val="clear" w:pos="454"/>
      </w:tabs>
      <w:spacing w:after="60"/>
      <w:ind w:left="360" w:right="115" w:firstLine="0"/>
    </w:pPr>
    <w:rPr>
      <w:lang w:eastAsia="en-AU"/>
    </w:rPr>
  </w:style>
  <w:style w:type="paragraph" w:customStyle="1" w:styleId="OGNotesIndent">
    <w:name w:val="OGNotesIndent"/>
    <w:basedOn w:val="OGNotes"/>
    <w:semiHidden/>
    <w:rsid w:val="00901E03"/>
    <w:pPr>
      <w:ind w:left="720" w:hanging="360"/>
    </w:pPr>
  </w:style>
  <w:style w:type="paragraph" w:customStyle="1" w:styleId="OGUoM">
    <w:name w:val="OGUoM"/>
    <w:basedOn w:val="TableTextCentred"/>
    <w:semiHidden/>
    <w:rsid w:val="00901E03"/>
    <w:pPr>
      <w:spacing w:before="30" w:after="30"/>
    </w:pPr>
  </w:style>
  <w:style w:type="paragraph" w:customStyle="1" w:styleId="OGTabColCentred">
    <w:name w:val="OGTabColCentred"/>
    <w:basedOn w:val="OGUoM"/>
    <w:semiHidden/>
    <w:rsid w:val="00901E03"/>
    <w:rPr>
      <w:b/>
      <w:lang w:eastAsia="en-AU"/>
    </w:rPr>
  </w:style>
  <w:style w:type="paragraph" w:customStyle="1" w:styleId="OGTableofFigures">
    <w:name w:val="OGTable of Figures"/>
    <w:basedOn w:val="TableofFigures"/>
    <w:semiHidden/>
    <w:rsid w:val="00901E03"/>
    <w:pPr>
      <w:spacing w:before="30" w:after="30"/>
    </w:pPr>
  </w:style>
  <w:style w:type="paragraph" w:customStyle="1" w:styleId="OGTabColRight">
    <w:name w:val="OGTabColRight"/>
    <w:basedOn w:val="OGTableofFigures"/>
    <w:semiHidden/>
    <w:rsid w:val="00901E03"/>
    <w:rPr>
      <w:b/>
    </w:rPr>
  </w:style>
  <w:style w:type="paragraph" w:customStyle="1" w:styleId="OGTabColLeft">
    <w:name w:val="OGTabColLeft"/>
    <w:basedOn w:val="OGTabColRight"/>
    <w:semiHidden/>
    <w:rsid w:val="00901E03"/>
    <w:pPr>
      <w:jc w:val="left"/>
    </w:pPr>
    <w:rPr>
      <w:lang w:eastAsia="en-AU"/>
    </w:rPr>
  </w:style>
  <w:style w:type="character" w:customStyle="1" w:styleId="OGTabTextChar">
    <w:name w:val="OGTabText Char"/>
    <w:link w:val="OGTabText"/>
    <w:rsid w:val="00BB71EC"/>
    <w:rPr>
      <w:rFonts w:ascii="Calibri" w:hAnsi="Calibri"/>
      <w:sz w:val="22"/>
      <w:szCs w:val="18"/>
      <w:lang w:val="en-AU" w:eastAsia="en-US" w:bidi="ar-SA"/>
    </w:rPr>
  </w:style>
  <w:style w:type="character" w:customStyle="1" w:styleId="OGTextChar">
    <w:name w:val="OGText Char"/>
    <w:link w:val="OGText"/>
    <w:rsid w:val="00BB71EC"/>
    <w:rPr>
      <w:rFonts w:ascii="Calibri" w:hAnsi="Calibri"/>
      <w:sz w:val="22"/>
      <w:szCs w:val="18"/>
      <w:lang w:val="en-AU" w:eastAsia="en-US" w:bidi="ar-SA"/>
    </w:rPr>
  </w:style>
  <w:style w:type="paragraph" w:customStyle="1" w:styleId="TableofContentscontinued">
    <w:name w:val="Table of Contents continued"/>
    <w:basedOn w:val="Normal"/>
    <w:rsid w:val="008207B6"/>
    <w:pPr>
      <w:keepNext/>
      <w:tabs>
        <w:tab w:val="left" w:pos="1152"/>
      </w:tabs>
      <w:spacing w:before="240"/>
      <w:ind w:left="1152" w:hanging="1152"/>
      <w:outlineLvl w:val="1"/>
    </w:pPr>
    <w:rPr>
      <w:rFonts w:ascii="Calibri" w:hAnsi="Calibri"/>
      <w:b/>
      <w:sz w:val="28"/>
      <w:szCs w:val="22"/>
    </w:rPr>
  </w:style>
  <w:style w:type="character" w:customStyle="1" w:styleId="TableofFiguresChar">
    <w:name w:val="Table of Figures Char"/>
    <w:link w:val="TableofFigures"/>
    <w:rsid w:val="0093166C"/>
    <w:rPr>
      <w:rFonts w:ascii="Calibri" w:hAnsi="Calibri"/>
      <w:sz w:val="22"/>
      <w:szCs w:val="18"/>
      <w:lang w:eastAsia="en-US"/>
    </w:rPr>
  </w:style>
  <w:style w:type="paragraph" w:customStyle="1" w:styleId="TableTextindent">
    <w:name w:val="Table Text indent"/>
    <w:basedOn w:val="Tabletext"/>
    <w:rsid w:val="00901E03"/>
    <w:pPr>
      <w:ind w:left="360" w:firstLine="0"/>
    </w:pPr>
  </w:style>
  <w:style w:type="paragraph" w:customStyle="1" w:styleId="TableTextindent2">
    <w:name w:val="Table Text indent 2"/>
    <w:basedOn w:val="TableTextindent"/>
    <w:rsid w:val="00901E03"/>
    <w:pPr>
      <w:ind w:left="720"/>
    </w:pPr>
  </w:style>
  <w:style w:type="paragraph" w:customStyle="1" w:styleId="VAGOBullet">
    <w:name w:val="VAGOBullet"/>
    <w:basedOn w:val="VAGOText"/>
    <w:semiHidden/>
    <w:rsid w:val="00901E03"/>
    <w:pPr>
      <w:numPr>
        <w:numId w:val="6"/>
      </w:numPr>
      <w:ind w:right="-51"/>
    </w:pPr>
    <w:rPr>
      <w:iCs/>
    </w:rPr>
  </w:style>
  <w:style w:type="character" w:customStyle="1" w:styleId="TabletextChar">
    <w:name w:val="Table text Char"/>
    <w:link w:val="Tabletext"/>
    <w:rsid w:val="00630FB1"/>
    <w:rPr>
      <w:rFonts w:ascii="Calibri" w:hAnsi="Calibri"/>
      <w:sz w:val="22"/>
      <w:szCs w:val="18"/>
      <w:lang w:eastAsia="en-US"/>
    </w:rPr>
  </w:style>
  <w:style w:type="character" w:customStyle="1" w:styleId="millionChar">
    <w:name w:val="$million Char"/>
    <w:link w:val="million"/>
    <w:rsid w:val="00B208AA"/>
    <w:rPr>
      <w:rFonts w:ascii="Calibri" w:hAnsi="Calibri"/>
      <w:i/>
      <w:szCs w:val="18"/>
      <w:lang w:val="en-AU" w:eastAsia="en-US" w:bidi="ar-SA"/>
    </w:rPr>
  </w:style>
  <w:style w:type="character" w:customStyle="1" w:styleId="TabletextheadingChar">
    <w:name w:val="Table text heading Char"/>
    <w:link w:val="Tabletextheading"/>
    <w:locked/>
    <w:rsid w:val="00B208AA"/>
    <w:rPr>
      <w:rFonts w:ascii="Calibri" w:hAnsi="Calibri"/>
      <w:i/>
      <w:sz w:val="24"/>
      <w:szCs w:val="18"/>
      <w:lang w:val="en-AU" w:eastAsia="en-US" w:bidi="ar-SA"/>
    </w:rPr>
  </w:style>
  <w:style w:type="character" w:customStyle="1" w:styleId="SourceChar">
    <w:name w:val="Source Char"/>
    <w:link w:val="Source"/>
    <w:locked/>
    <w:rsid w:val="00B208AA"/>
    <w:rPr>
      <w:rFonts w:ascii="Calibri" w:hAnsi="Calibri"/>
      <w:i/>
      <w:sz w:val="16"/>
      <w:lang w:val="en-AU" w:eastAsia="en-US" w:bidi="ar-SA"/>
    </w:rPr>
  </w:style>
  <w:style w:type="character" w:customStyle="1" w:styleId="TabletextheadingCentredChar">
    <w:name w:val="Table text heading Centred Char"/>
    <w:link w:val="TabletextheadingCentred"/>
    <w:locked/>
    <w:rsid w:val="00C4543A"/>
    <w:rPr>
      <w:rFonts w:ascii="Calibri" w:hAnsi="Calibri"/>
      <w:i/>
      <w:sz w:val="24"/>
      <w:szCs w:val="18"/>
      <w:lang w:val="en-AU" w:eastAsia="en-US" w:bidi="ar-SA"/>
    </w:rPr>
  </w:style>
  <w:style w:type="character" w:styleId="Hyperlink">
    <w:name w:val="Hyperlink"/>
    <w:uiPriority w:val="99"/>
    <w:unhideWhenUsed/>
    <w:locked/>
    <w:rsid w:val="00190010"/>
    <w:rPr>
      <w:color w:val="0000FF"/>
      <w:u w:val="single"/>
    </w:rPr>
  </w:style>
  <w:style w:type="paragraph" w:styleId="FootnoteText">
    <w:name w:val="footnote text"/>
    <w:basedOn w:val="Normal"/>
    <w:link w:val="FootnoteTextChar"/>
    <w:locked/>
    <w:rsid w:val="005B59D4"/>
    <w:pPr>
      <w:spacing w:after="0"/>
    </w:pPr>
    <w:rPr>
      <w:sz w:val="20"/>
    </w:rPr>
  </w:style>
  <w:style w:type="character" w:customStyle="1" w:styleId="FootnoteTextChar">
    <w:name w:val="Footnote Text Char"/>
    <w:basedOn w:val="DefaultParagraphFont"/>
    <w:link w:val="FootnoteText"/>
    <w:rsid w:val="005B59D4"/>
    <w:rPr>
      <w:rFonts w:ascii="Garamond" w:hAnsi="Garamond"/>
      <w:lang w:eastAsia="en-US"/>
    </w:rPr>
  </w:style>
  <w:style w:type="character" w:styleId="FootnoteReference">
    <w:name w:val="footnote reference"/>
    <w:basedOn w:val="DefaultParagraphFont"/>
    <w:locked/>
    <w:rsid w:val="005B59D4"/>
    <w:rPr>
      <w:vertAlign w:val="superscript"/>
    </w:rPr>
  </w:style>
  <w:style w:type="paragraph" w:styleId="BalloonText">
    <w:name w:val="Balloon Text"/>
    <w:basedOn w:val="Normal"/>
    <w:link w:val="BalloonTextChar"/>
    <w:locked/>
    <w:rsid w:val="005B59D4"/>
    <w:pPr>
      <w:spacing w:after="0"/>
    </w:pPr>
    <w:rPr>
      <w:rFonts w:ascii="Tahoma" w:hAnsi="Tahoma" w:cs="Tahoma"/>
      <w:sz w:val="16"/>
      <w:szCs w:val="16"/>
    </w:rPr>
  </w:style>
  <w:style w:type="character" w:customStyle="1" w:styleId="BalloonTextChar">
    <w:name w:val="Balloon Text Char"/>
    <w:basedOn w:val="DefaultParagraphFont"/>
    <w:link w:val="BalloonText"/>
    <w:rsid w:val="005B59D4"/>
    <w:rPr>
      <w:rFonts w:ascii="Tahoma" w:hAnsi="Tahoma" w:cs="Tahoma"/>
      <w:sz w:val="16"/>
      <w:szCs w:val="16"/>
      <w:lang w:eastAsia="en-US"/>
    </w:rPr>
  </w:style>
  <w:style w:type="character" w:styleId="CommentReference">
    <w:name w:val="annotation reference"/>
    <w:basedOn w:val="DefaultParagraphFont"/>
    <w:locked/>
    <w:rsid w:val="005B59D4"/>
    <w:rPr>
      <w:sz w:val="16"/>
      <w:szCs w:val="16"/>
    </w:rPr>
  </w:style>
  <w:style w:type="paragraph" w:styleId="CommentText">
    <w:name w:val="annotation text"/>
    <w:basedOn w:val="Normal"/>
    <w:link w:val="CommentTextChar"/>
    <w:locked/>
    <w:rsid w:val="005B59D4"/>
    <w:rPr>
      <w:sz w:val="20"/>
    </w:rPr>
  </w:style>
  <w:style w:type="character" w:customStyle="1" w:styleId="CommentTextChar">
    <w:name w:val="Comment Text Char"/>
    <w:basedOn w:val="DefaultParagraphFont"/>
    <w:link w:val="CommentText"/>
    <w:rsid w:val="005B59D4"/>
    <w:rPr>
      <w:rFonts w:ascii="Garamond" w:hAnsi="Garamond"/>
      <w:lang w:eastAsia="en-US"/>
    </w:rPr>
  </w:style>
  <w:style w:type="paragraph" w:styleId="CommentSubject">
    <w:name w:val="annotation subject"/>
    <w:basedOn w:val="CommentText"/>
    <w:next w:val="CommentText"/>
    <w:link w:val="CommentSubjectChar"/>
    <w:locked/>
    <w:rsid w:val="005B59D4"/>
    <w:rPr>
      <w:b/>
      <w:bCs/>
    </w:rPr>
  </w:style>
  <w:style w:type="character" w:customStyle="1" w:styleId="CommentSubjectChar">
    <w:name w:val="Comment Subject Char"/>
    <w:basedOn w:val="CommentTextChar"/>
    <w:link w:val="CommentSubject"/>
    <w:rsid w:val="005B59D4"/>
    <w:rPr>
      <w:rFonts w:ascii="Garamond" w:hAnsi="Garamond"/>
      <w:b/>
      <w:bCs/>
      <w:lang w:eastAsia="en-US"/>
    </w:rPr>
  </w:style>
  <w:style w:type="paragraph" w:styleId="Revision">
    <w:name w:val="Revision"/>
    <w:hidden/>
    <w:uiPriority w:val="99"/>
    <w:semiHidden/>
    <w:rsid w:val="005B59D4"/>
    <w:rPr>
      <w:rFonts w:ascii="Garamond" w:hAnsi="Garamond"/>
      <w:sz w:val="24"/>
      <w:lang w:eastAsia="en-US"/>
    </w:rPr>
  </w:style>
  <w:style w:type="paragraph" w:styleId="ListParagraph">
    <w:name w:val="List Paragraph"/>
    <w:basedOn w:val="Normal"/>
    <w:uiPriority w:val="34"/>
    <w:qFormat/>
    <w:rsid w:val="005B59D4"/>
    <w:pPr>
      <w:ind w:left="720"/>
      <w:contextualSpacing/>
    </w:pPr>
  </w:style>
  <w:style w:type="character" w:customStyle="1" w:styleId="NotesChar">
    <w:name w:val="Notes Char"/>
    <w:link w:val="Notes"/>
    <w:locked/>
    <w:rsid w:val="00FE76C7"/>
    <w:rPr>
      <w:rFonts w:ascii="Calibri" w:hAnsi="Calibri"/>
      <w:i/>
      <w:sz w:val="16"/>
      <w:lang w:eastAsia="en-US"/>
    </w:rPr>
  </w:style>
  <w:style w:type="character" w:customStyle="1" w:styleId="BulletTextChar">
    <w:name w:val="Bullet Text Char"/>
    <w:link w:val="BulletText"/>
    <w:locked/>
    <w:rsid w:val="00FE76C7"/>
    <w:rPr>
      <w:rFonts w:ascii="Garamond" w:hAnsi="Garamond"/>
      <w:sz w:val="24"/>
      <w:lang w:eastAsia="en-US"/>
    </w:rPr>
  </w:style>
  <w:style w:type="paragraph" w:customStyle="1" w:styleId="TableTextnoindent">
    <w:name w:val="Table Text no indent"/>
    <w:basedOn w:val="Tabletext"/>
    <w:qFormat/>
    <w:rsid w:val="00FE76C7"/>
    <w:pPr>
      <w:ind w:left="0" w:firstLine="0"/>
    </w:pPr>
    <w:rPr>
      <w:color w:val="000000"/>
      <w:lang w:eastAsia="en-AU"/>
    </w:rPr>
  </w:style>
  <w:style w:type="character" w:customStyle="1" w:styleId="Heading2Char">
    <w:name w:val="Heading 2 Char"/>
    <w:link w:val="Heading2"/>
    <w:locked/>
    <w:rsid w:val="008207B6"/>
    <w:rPr>
      <w:rFonts w:ascii="Calibri" w:hAnsi="Calibri"/>
      <w:b/>
      <w:sz w:val="28"/>
      <w:szCs w:val="22"/>
      <w:lang w:eastAsia="en-US"/>
    </w:rPr>
  </w:style>
  <w:style w:type="character" w:customStyle="1" w:styleId="Heading1Char">
    <w:name w:val="Heading 1 Char"/>
    <w:link w:val="Heading1"/>
    <w:rsid w:val="00FE76C7"/>
    <w:rPr>
      <w:rFonts w:ascii="Calibri" w:hAnsi="Calibri"/>
      <w:b/>
      <w:caps/>
      <w:sz w:val="28"/>
      <w:szCs w:val="22"/>
      <w:lang w:eastAsia="en-US"/>
    </w:rPr>
  </w:style>
  <w:style w:type="character" w:customStyle="1" w:styleId="Heading2NotesChar">
    <w:name w:val="Heading 2 Notes Char"/>
    <w:link w:val="Heading2Notes"/>
    <w:locked/>
    <w:rsid w:val="00FE76C7"/>
    <w:rPr>
      <w:rFonts w:ascii="Calibri" w:hAnsi="Calibri"/>
      <w:b/>
      <w:kern w:val="28"/>
      <w:sz w:val="28"/>
      <w:szCs w:val="22"/>
      <w:lang w:eastAsia="en-US"/>
    </w:rPr>
  </w:style>
  <w:style w:type="character" w:customStyle="1" w:styleId="Heading2NotesContdChar">
    <w:name w:val="Heading 2 Notes Cont'd Char"/>
    <w:link w:val="Heading2NotesContd"/>
    <w:locked/>
    <w:rsid w:val="00FE76C7"/>
    <w:rPr>
      <w:rFonts w:ascii="Calibri" w:hAnsi="Calibri"/>
      <w:b/>
      <w:kern w:val="28"/>
      <w:sz w:val="28"/>
      <w:szCs w:val="22"/>
      <w:lang w:eastAsia="en-US"/>
    </w:rPr>
  </w:style>
  <w:style w:type="character" w:customStyle="1" w:styleId="Heading5Char">
    <w:name w:val="Heading 5 Char"/>
    <w:link w:val="Heading5"/>
    <w:rsid w:val="00FE76C7"/>
    <w:rPr>
      <w:rFonts w:ascii="Calibri" w:hAnsi="Calibri"/>
      <w:b/>
      <w:sz w:val="24"/>
      <w:lang w:eastAsia="en-US"/>
    </w:rPr>
  </w:style>
  <w:style w:type="paragraph" w:customStyle="1" w:styleId="Char">
    <w:name w:val="Char"/>
    <w:basedOn w:val="Normal"/>
    <w:semiHidden/>
    <w:rsid w:val="00FE76C7"/>
    <w:pPr>
      <w:spacing w:after="0"/>
    </w:pPr>
    <w:rPr>
      <w:rFonts w:ascii="Arial" w:hAnsi="Arial"/>
      <w:sz w:val="22"/>
    </w:rPr>
  </w:style>
  <w:style w:type="character" w:customStyle="1" w:styleId="Heading3Char">
    <w:name w:val="Heading 3 Char"/>
    <w:link w:val="Heading3"/>
    <w:rsid w:val="008207B6"/>
    <w:rPr>
      <w:rFonts w:ascii="Calibri" w:hAnsi="Calibri"/>
      <w:b/>
      <w:i/>
      <w:sz w:val="26"/>
      <w:szCs w:val="22"/>
      <w:lang w:eastAsia="en-US"/>
    </w:rPr>
  </w:style>
  <w:style w:type="character" w:customStyle="1" w:styleId="Heading4Char">
    <w:name w:val="Heading 4 Char"/>
    <w:link w:val="Heading4"/>
    <w:rsid w:val="00FE76C7"/>
    <w:rPr>
      <w:rFonts w:ascii="Calibri" w:hAnsi="Calibri"/>
      <w:i/>
      <w:sz w:val="26"/>
      <w:szCs w:val="22"/>
      <w:lang w:eastAsia="en-US"/>
    </w:rPr>
  </w:style>
  <w:style w:type="character" w:customStyle="1" w:styleId="FooterChar">
    <w:name w:val="Footer Char"/>
    <w:link w:val="Footer"/>
    <w:rsid w:val="00FE76C7"/>
    <w:rPr>
      <w:rFonts w:ascii="Calibri" w:hAnsi="Calibri"/>
      <w:sz w:val="22"/>
      <w:szCs w:val="18"/>
      <w:lang w:eastAsia="en-US"/>
    </w:rPr>
  </w:style>
  <w:style w:type="character" w:customStyle="1" w:styleId="HeaderChar">
    <w:name w:val="Header Char"/>
    <w:link w:val="Header"/>
    <w:rsid w:val="00FE76C7"/>
    <w:rPr>
      <w:rFonts w:ascii="Calibri" w:hAnsi="Calibri"/>
      <w:sz w:val="22"/>
      <w:szCs w:val="18"/>
      <w:lang w:eastAsia="en-US"/>
    </w:rPr>
  </w:style>
  <w:style w:type="character" w:customStyle="1" w:styleId="BIP1headinglChar">
    <w:name w:val="BIP1 heading l Char"/>
    <w:link w:val="BIP1headingl"/>
    <w:semiHidden/>
    <w:locked/>
    <w:rsid w:val="00FE76C7"/>
    <w:rPr>
      <w:rFonts w:ascii="Calibri" w:hAnsi="Calibri"/>
      <w:i/>
      <w:sz w:val="22"/>
      <w:szCs w:val="18"/>
      <w:lang w:eastAsia="en-US"/>
    </w:rPr>
  </w:style>
  <w:style w:type="character" w:customStyle="1" w:styleId="DashTextChar">
    <w:name w:val="Dash Text Char"/>
    <w:link w:val="DashText"/>
    <w:rsid w:val="00FE76C7"/>
    <w:rPr>
      <w:rFonts w:ascii="Garamond" w:hAnsi="Garamond"/>
      <w:sz w:val="24"/>
      <w:lang w:eastAsia="en-US"/>
    </w:rPr>
  </w:style>
  <w:style w:type="paragraph" w:customStyle="1" w:styleId="TableTextbullet">
    <w:name w:val="Table Text bullet"/>
    <w:basedOn w:val="Tabletext"/>
    <w:qFormat/>
    <w:rsid w:val="00FE76C7"/>
    <w:pPr>
      <w:numPr>
        <w:numId w:val="8"/>
      </w:numPr>
      <w:ind w:left="360"/>
    </w:pPr>
  </w:style>
  <w:style w:type="paragraph" w:customStyle="1" w:styleId="Default">
    <w:name w:val="Default"/>
    <w:rsid w:val="00FE76C7"/>
    <w:pPr>
      <w:autoSpaceDE w:val="0"/>
      <w:autoSpaceDN w:val="0"/>
      <w:adjustRightInd w:val="0"/>
    </w:pPr>
    <w:rPr>
      <w:rFonts w:ascii="Arial" w:hAnsi="Arial" w:cs="Arial"/>
      <w:color w:val="000000"/>
      <w:sz w:val="24"/>
      <w:szCs w:val="24"/>
    </w:rPr>
  </w:style>
  <w:style w:type="paragraph" w:customStyle="1" w:styleId="TableTextdash">
    <w:name w:val="Table Text dash"/>
    <w:basedOn w:val="TableTextbullet"/>
    <w:qFormat/>
    <w:rsid w:val="00FE76C7"/>
    <w:pPr>
      <w:numPr>
        <w:numId w:val="9"/>
      </w:numPr>
      <w:spacing w:before="20" w:after="20"/>
      <w:ind w:left="421"/>
    </w:pPr>
  </w:style>
  <w:style w:type="paragraph" w:customStyle="1" w:styleId="Heading1cont">
    <w:name w:val="Heading 1 cont"/>
    <w:basedOn w:val="Heading1"/>
    <w:qFormat/>
    <w:rsid w:val="000D0F3D"/>
    <w:rPr>
      <w:caps w:val="0"/>
    </w:rPr>
  </w:style>
  <w:style w:type="character" w:styleId="PlaceholderText">
    <w:name w:val="Placeholder Text"/>
    <w:basedOn w:val="DefaultParagraphFont"/>
    <w:uiPriority w:val="99"/>
    <w:semiHidden/>
    <w:rsid w:val="00DF68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92886">
      <w:bodyDiv w:val="1"/>
      <w:marLeft w:val="0"/>
      <w:marRight w:val="0"/>
      <w:marTop w:val="0"/>
      <w:marBottom w:val="0"/>
      <w:divBdr>
        <w:top w:val="none" w:sz="0" w:space="0" w:color="auto"/>
        <w:left w:val="none" w:sz="0" w:space="0" w:color="auto"/>
        <w:bottom w:val="none" w:sz="0" w:space="0" w:color="auto"/>
        <w:right w:val="none" w:sz="0" w:space="0" w:color="auto"/>
      </w:divBdr>
    </w:div>
    <w:div w:id="95373359">
      <w:bodyDiv w:val="1"/>
      <w:marLeft w:val="0"/>
      <w:marRight w:val="0"/>
      <w:marTop w:val="0"/>
      <w:marBottom w:val="0"/>
      <w:divBdr>
        <w:top w:val="none" w:sz="0" w:space="0" w:color="auto"/>
        <w:left w:val="none" w:sz="0" w:space="0" w:color="auto"/>
        <w:bottom w:val="none" w:sz="0" w:space="0" w:color="auto"/>
        <w:right w:val="none" w:sz="0" w:space="0" w:color="auto"/>
      </w:divBdr>
    </w:div>
    <w:div w:id="116873887">
      <w:bodyDiv w:val="1"/>
      <w:marLeft w:val="0"/>
      <w:marRight w:val="0"/>
      <w:marTop w:val="0"/>
      <w:marBottom w:val="0"/>
      <w:divBdr>
        <w:top w:val="none" w:sz="0" w:space="0" w:color="auto"/>
        <w:left w:val="none" w:sz="0" w:space="0" w:color="auto"/>
        <w:bottom w:val="none" w:sz="0" w:space="0" w:color="auto"/>
        <w:right w:val="none" w:sz="0" w:space="0" w:color="auto"/>
      </w:divBdr>
    </w:div>
    <w:div w:id="123738922">
      <w:bodyDiv w:val="1"/>
      <w:marLeft w:val="0"/>
      <w:marRight w:val="0"/>
      <w:marTop w:val="0"/>
      <w:marBottom w:val="0"/>
      <w:divBdr>
        <w:top w:val="none" w:sz="0" w:space="0" w:color="auto"/>
        <w:left w:val="none" w:sz="0" w:space="0" w:color="auto"/>
        <w:bottom w:val="none" w:sz="0" w:space="0" w:color="auto"/>
        <w:right w:val="none" w:sz="0" w:space="0" w:color="auto"/>
      </w:divBdr>
    </w:div>
    <w:div w:id="130483171">
      <w:bodyDiv w:val="1"/>
      <w:marLeft w:val="0"/>
      <w:marRight w:val="0"/>
      <w:marTop w:val="0"/>
      <w:marBottom w:val="0"/>
      <w:divBdr>
        <w:top w:val="none" w:sz="0" w:space="0" w:color="auto"/>
        <w:left w:val="none" w:sz="0" w:space="0" w:color="auto"/>
        <w:bottom w:val="none" w:sz="0" w:space="0" w:color="auto"/>
        <w:right w:val="none" w:sz="0" w:space="0" w:color="auto"/>
      </w:divBdr>
    </w:div>
    <w:div w:id="142239655">
      <w:bodyDiv w:val="1"/>
      <w:marLeft w:val="0"/>
      <w:marRight w:val="0"/>
      <w:marTop w:val="0"/>
      <w:marBottom w:val="0"/>
      <w:divBdr>
        <w:top w:val="none" w:sz="0" w:space="0" w:color="auto"/>
        <w:left w:val="none" w:sz="0" w:space="0" w:color="auto"/>
        <w:bottom w:val="none" w:sz="0" w:space="0" w:color="auto"/>
        <w:right w:val="none" w:sz="0" w:space="0" w:color="auto"/>
      </w:divBdr>
    </w:div>
    <w:div w:id="168831089">
      <w:bodyDiv w:val="1"/>
      <w:marLeft w:val="0"/>
      <w:marRight w:val="0"/>
      <w:marTop w:val="0"/>
      <w:marBottom w:val="0"/>
      <w:divBdr>
        <w:top w:val="none" w:sz="0" w:space="0" w:color="auto"/>
        <w:left w:val="none" w:sz="0" w:space="0" w:color="auto"/>
        <w:bottom w:val="none" w:sz="0" w:space="0" w:color="auto"/>
        <w:right w:val="none" w:sz="0" w:space="0" w:color="auto"/>
      </w:divBdr>
    </w:div>
    <w:div w:id="268008857">
      <w:bodyDiv w:val="1"/>
      <w:marLeft w:val="0"/>
      <w:marRight w:val="0"/>
      <w:marTop w:val="0"/>
      <w:marBottom w:val="0"/>
      <w:divBdr>
        <w:top w:val="none" w:sz="0" w:space="0" w:color="auto"/>
        <w:left w:val="none" w:sz="0" w:space="0" w:color="auto"/>
        <w:bottom w:val="none" w:sz="0" w:space="0" w:color="auto"/>
        <w:right w:val="none" w:sz="0" w:space="0" w:color="auto"/>
      </w:divBdr>
    </w:div>
    <w:div w:id="416555326">
      <w:bodyDiv w:val="1"/>
      <w:marLeft w:val="0"/>
      <w:marRight w:val="0"/>
      <w:marTop w:val="0"/>
      <w:marBottom w:val="0"/>
      <w:divBdr>
        <w:top w:val="none" w:sz="0" w:space="0" w:color="auto"/>
        <w:left w:val="none" w:sz="0" w:space="0" w:color="auto"/>
        <w:bottom w:val="none" w:sz="0" w:space="0" w:color="auto"/>
        <w:right w:val="none" w:sz="0" w:space="0" w:color="auto"/>
      </w:divBdr>
    </w:div>
    <w:div w:id="487284315">
      <w:bodyDiv w:val="1"/>
      <w:marLeft w:val="0"/>
      <w:marRight w:val="0"/>
      <w:marTop w:val="0"/>
      <w:marBottom w:val="0"/>
      <w:divBdr>
        <w:top w:val="none" w:sz="0" w:space="0" w:color="auto"/>
        <w:left w:val="none" w:sz="0" w:space="0" w:color="auto"/>
        <w:bottom w:val="none" w:sz="0" w:space="0" w:color="auto"/>
        <w:right w:val="none" w:sz="0" w:space="0" w:color="auto"/>
      </w:divBdr>
    </w:div>
    <w:div w:id="506097965">
      <w:bodyDiv w:val="1"/>
      <w:marLeft w:val="0"/>
      <w:marRight w:val="0"/>
      <w:marTop w:val="0"/>
      <w:marBottom w:val="0"/>
      <w:divBdr>
        <w:top w:val="none" w:sz="0" w:space="0" w:color="auto"/>
        <w:left w:val="none" w:sz="0" w:space="0" w:color="auto"/>
        <w:bottom w:val="none" w:sz="0" w:space="0" w:color="auto"/>
        <w:right w:val="none" w:sz="0" w:space="0" w:color="auto"/>
      </w:divBdr>
    </w:div>
    <w:div w:id="547884123">
      <w:bodyDiv w:val="1"/>
      <w:marLeft w:val="0"/>
      <w:marRight w:val="0"/>
      <w:marTop w:val="0"/>
      <w:marBottom w:val="0"/>
      <w:divBdr>
        <w:top w:val="none" w:sz="0" w:space="0" w:color="auto"/>
        <w:left w:val="none" w:sz="0" w:space="0" w:color="auto"/>
        <w:bottom w:val="none" w:sz="0" w:space="0" w:color="auto"/>
        <w:right w:val="none" w:sz="0" w:space="0" w:color="auto"/>
      </w:divBdr>
    </w:div>
    <w:div w:id="556163946">
      <w:bodyDiv w:val="1"/>
      <w:marLeft w:val="0"/>
      <w:marRight w:val="0"/>
      <w:marTop w:val="0"/>
      <w:marBottom w:val="0"/>
      <w:divBdr>
        <w:top w:val="none" w:sz="0" w:space="0" w:color="auto"/>
        <w:left w:val="none" w:sz="0" w:space="0" w:color="auto"/>
        <w:bottom w:val="none" w:sz="0" w:space="0" w:color="auto"/>
        <w:right w:val="none" w:sz="0" w:space="0" w:color="auto"/>
      </w:divBdr>
    </w:div>
    <w:div w:id="570387871">
      <w:bodyDiv w:val="1"/>
      <w:marLeft w:val="0"/>
      <w:marRight w:val="0"/>
      <w:marTop w:val="0"/>
      <w:marBottom w:val="0"/>
      <w:divBdr>
        <w:top w:val="none" w:sz="0" w:space="0" w:color="auto"/>
        <w:left w:val="none" w:sz="0" w:space="0" w:color="auto"/>
        <w:bottom w:val="none" w:sz="0" w:space="0" w:color="auto"/>
        <w:right w:val="none" w:sz="0" w:space="0" w:color="auto"/>
      </w:divBdr>
    </w:div>
    <w:div w:id="676074706">
      <w:bodyDiv w:val="1"/>
      <w:marLeft w:val="0"/>
      <w:marRight w:val="0"/>
      <w:marTop w:val="0"/>
      <w:marBottom w:val="0"/>
      <w:divBdr>
        <w:top w:val="none" w:sz="0" w:space="0" w:color="auto"/>
        <w:left w:val="none" w:sz="0" w:space="0" w:color="auto"/>
        <w:bottom w:val="none" w:sz="0" w:space="0" w:color="auto"/>
        <w:right w:val="none" w:sz="0" w:space="0" w:color="auto"/>
      </w:divBdr>
    </w:div>
    <w:div w:id="697313816">
      <w:bodyDiv w:val="1"/>
      <w:marLeft w:val="0"/>
      <w:marRight w:val="0"/>
      <w:marTop w:val="0"/>
      <w:marBottom w:val="0"/>
      <w:divBdr>
        <w:top w:val="none" w:sz="0" w:space="0" w:color="auto"/>
        <w:left w:val="none" w:sz="0" w:space="0" w:color="auto"/>
        <w:bottom w:val="none" w:sz="0" w:space="0" w:color="auto"/>
        <w:right w:val="none" w:sz="0" w:space="0" w:color="auto"/>
      </w:divBdr>
    </w:div>
    <w:div w:id="734202159">
      <w:bodyDiv w:val="1"/>
      <w:marLeft w:val="0"/>
      <w:marRight w:val="0"/>
      <w:marTop w:val="0"/>
      <w:marBottom w:val="0"/>
      <w:divBdr>
        <w:top w:val="none" w:sz="0" w:space="0" w:color="auto"/>
        <w:left w:val="none" w:sz="0" w:space="0" w:color="auto"/>
        <w:bottom w:val="none" w:sz="0" w:space="0" w:color="auto"/>
        <w:right w:val="none" w:sz="0" w:space="0" w:color="auto"/>
      </w:divBdr>
    </w:div>
    <w:div w:id="751657655">
      <w:bodyDiv w:val="1"/>
      <w:marLeft w:val="0"/>
      <w:marRight w:val="0"/>
      <w:marTop w:val="0"/>
      <w:marBottom w:val="0"/>
      <w:divBdr>
        <w:top w:val="none" w:sz="0" w:space="0" w:color="auto"/>
        <w:left w:val="none" w:sz="0" w:space="0" w:color="auto"/>
        <w:bottom w:val="none" w:sz="0" w:space="0" w:color="auto"/>
        <w:right w:val="none" w:sz="0" w:space="0" w:color="auto"/>
      </w:divBdr>
    </w:div>
    <w:div w:id="796527959">
      <w:bodyDiv w:val="1"/>
      <w:marLeft w:val="0"/>
      <w:marRight w:val="0"/>
      <w:marTop w:val="0"/>
      <w:marBottom w:val="0"/>
      <w:divBdr>
        <w:top w:val="none" w:sz="0" w:space="0" w:color="auto"/>
        <w:left w:val="none" w:sz="0" w:space="0" w:color="auto"/>
        <w:bottom w:val="none" w:sz="0" w:space="0" w:color="auto"/>
        <w:right w:val="none" w:sz="0" w:space="0" w:color="auto"/>
      </w:divBdr>
    </w:div>
    <w:div w:id="819271648">
      <w:bodyDiv w:val="1"/>
      <w:marLeft w:val="0"/>
      <w:marRight w:val="0"/>
      <w:marTop w:val="0"/>
      <w:marBottom w:val="0"/>
      <w:divBdr>
        <w:top w:val="none" w:sz="0" w:space="0" w:color="auto"/>
        <w:left w:val="none" w:sz="0" w:space="0" w:color="auto"/>
        <w:bottom w:val="none" w:sz="0" w:space="0" w:color="auto"/>
        <w:right w:val="none" w:sz="0" w:space="0" w:color="auto"/>
      </w:divBdr>
    </w:div>
    <w:div w:id="838541901">
      <w:bodyDiv w:val="1"/>
      <w:marLeft w:val="0"/>
      <w:marRight w:val="0"/>
      <w:marTop w:val="0"/>
      <w:marBottom w:val="0"/>
      <w:divBdr>
        <w:top w:val="none" w:sz="0" w:space="0" w:color="auto"/>
        <w:left w:val="none" w:sz="0" w:space="0" w:color="auto"/>
        <w:bottom w:val="none" w:sz="0" w:space="0" w:color="auto"/>
        <w:right w:val="none" w:sz="0" w:space="0" w:color="auto"/>
      </w:divBdr>
    </w:div>
    <w:div w:id="861555820">
      <w:bodyDiv w:val="1"/>
      <w:marLeft w:val="0"/>
      <w:marRight w:val="0"/>
      <w:marTop w:val="0"/>
      <w:marBottom w:val="0"/>
      <w:divBdr>
        <w:top w:val="none" w:sz="0" w:space="0" w:color="auto"/>
        <w:left w:val="none" w:sz="0" w:space="0" w:color="auto"/>
        <w:bottom w:val="none" w:sz="0" w:space="0" w:color="auto"/>
        <w:right w:val="none" w:sz="0" w:space="0" w:color="auto"/>
      </w:divBdr>
    </w:div>
    <w:div w:id="909732587">
      <w:bodyDiv w:val="1"/>
      <w:marLeft w:val="0"/>
      <w:marRight w:val="0"/>
      <w:marTop w:val="0"/>
      <w:marBottom w:val="0"/>
      <w:divBdr>
        <w:top w:val="none" w:sz="0" w:space="0" w:color="auto"/>
        <w:left w:val="none" w:sz="0" w:space="0" w:color="auto"/>
        <w:bottom w:val="none" w:sz="0" w:space="0" w:color="auto"/>
        <w:right w:val="none" w:sz="0" w:space="0" w:color="auto"/>
      </w:divBdr>
    </w:div>
    <w:div w:id="1013727636">
      <w:bodyDiv w:val="1"/>
      <w:marLeft w:val="0"/>
      <w:marRight w:val="0"/>
      <w:marTop w:val="0"/>
      <w:marBottom w:val="0"/>
      <w:divBdr>
        <w:top w:val="none" w:sz="0" w:space="0" w:color="auto"/>
        <w:left w:val="none" w:sz="0" w:space="0" w:color="auto"/>
        <w:bottom w:val="none" w:sz="0" w:space="0" w:color="auto"/>
        <w:right w:val="none" w:sz="0" w:space="0" w:color="auto"/>
      </w:divBdr>
    </w:div>
    <w:div w:id="1074743603">
      <w:bodyDiv w:val="1"/>
      <w:marLeft w:val="0"/>
      <w:marRight w:val="0"/>
      <w:marTop w:val="0"/>
      <w:marBottom w:val="0"/>
      <w:divBdr>
        <w:top w:val="none" w:sz="0" w:space="0" w:color="auto"/>
        <w:left w:val="none" w:sz="0" w:space="0" w:color="auto"/>
        <w:bottom w:val="none" w:sz="0" w:space="0" w:color="auto"/>
        <w:right w:val="none" w:sz="0" w:space="0" w:color="auto"/>
      </w:divBdr>
    </w:div>
    <w:div w:id="1086146942">
      <w:bodyDiv w:val="1"/>
      <w:marLeft w:val="0"/>
      <w:marRight w:val="0"/>
      <w:marTop w:val="0"/>
      <w:marBottom w:val="0"/>
      <w:divBdr>
        <w:top w:val="none" w:sz="0" w:space="0" w:color="auto"/>
        <w:left w:val="none" w:sz="0" w:space="0" w:color="auto"/>
        <w:bottom w:val="none" w:sz="0" w:space="0" w:color="auto"/>
        <w:right w:val="none" w:sz="0" w:space="0" w:color="auto"/>
      </w:divBdr>
    </w:div>
    <w:div w:id="1166364731">
      <w:bodyDiv w:val="1"/>
      <w:marLeft w:val="0"/>
      <w:marRight w:val="0"/>
      <w:marTop w:val="0"/>
      <w:marBottom w:val="0"/>
      <w:divBdr>
        <w:top w:val="none" w:sz="0" w:space="0" w:color="auto"/>
        <w:left w:val="none" w:sz="0" w:space="0" w:color="auto"/>
        <w:bottom w:val="none" w:sz="0" w:space="0" w:color="auto"/>
        <w:right w:val="none" w:sz="0" w:space="0" w:color="auto"/>
      </w:divBdr>
    </w:div>
    <w:div w:id="1172725215">
      <w:bodyDiv w:val="1"/>
      <w:marLeft w:val="0"/>
      <w:marRight w:val="0"/>
      <w:marTop w:val="0"/>
      <w:marBottom w:val="0"/>
      <w:divBdr>
        <w:top w:val="none" w:sz="0" w:space="0" w:color="auto"/>
        <w:left w:val="none" w:sz="0" w:space="0" w:color="auto"/>
        <w:bottom w:val="none" w:sz="0" w:space="0" w:color="auto"/>
        <w:right w:val="none" w:sz="0" w:space="0" w:color="auto"/>
      </w:divBdr>
    </w:div>
    <w:div w:id="1214535702">
      <w:bodyDiv w:val="1"/>
      <w:marLeft w:val="0"/>
      <w:marRight w:val="0"/>
      <w:marTop w:val="0"/>
      <w:marBottom w:val="0"/>
      <w:divBdr>
        <w:top w:val="none" w:sz="0" w:space="0" w:color="auto"/>
        <w:left w:val="none" w:sz="0" w:space="0" w:color="auto"/>
        <w:bottom w:val="none" w:sz="0" w:space="0" w:color="auto"/>
        <w:right w:val="none" w:sz="0" w:space="0" w:color="auto"/>
      </w:divBdr>
    </w:div>
    <w:div w:id="1222517468">
      <w:bodyDiv w:val="1"/>
      <w:marLeft w:val="0"/>
      <w:marRight w:val="0"/>
      <w:marTop w:val="0"/>
      <w:marBottom w:val="0"/>
      <w:divBdr>
        <w:top w:val="none" w:sz="0" w:space="0" w:color="auto"/>
        <w:left w:val="none" w:sz="0" w:space="0" w:color="auto"/>
        <w:bottom w:val="none" w:sz="0" w:space="0" w:color="auto"/>
        <w:right w:val="none" w:sz="0" w:space="0" w:color="auto"/>
      </w:divBdr>
    </w:div>
    <w:div w:id="1229268100">
      <w:bodyDiv w:val="1"/>
      <w:marLeft w:val="0"/>
      <w:marRight w:val="0"/>
      <w:marTop w:val="0"/>
      <w:marBottom w:val="0"/>
      <w:divBdr>
        <w:top w:val="none" w:sz="0" w:space="0" w:color="auto"/>
        <w:left w:val="none" w:sz="0" w:space="0" w:color="auto"/>
        <w:bottom w:val="none" w:sz="0" w:space="0" w:color="auto"/>
        <w:right w:val="none" w:sz="0" w:space="0" w:color="auto"/>
      </w:divBdr>
    </w:div>
    <w:div w:id="1354771015">
      <w:bodyDiv w:val="1"/>
      <w:marLeft w:val="0"/>
      <w:marRight w:val="0"/>
      <w:marTop w:val="0"/>
      <w:marBottom w:val="0"/>
      <w:divBdr>
        <w:top w:val="none" w:sz="0" w:space="0" w:color="auto"/>
        <w:left w:val="none" w:sz="0" w:space="0" w:color="auto"/>
        <w:bottom w:val="none" w:sz="0" w:space="0" w:color="auto"/>
        <w:right w:val="none" w:sz="0" w:space="0" w:color="auto"/>
      </w:divBdr>
    </w:div>
    <w:div w:id="1397777854">
      <w:bodyDiv w:val="1"/>
      <w:marLeft w:val="0"/>
      <w:marRight w:val="0"/>
      <w:marTop w:val="0"/>
      <w:marBottom w:val="0"/>
      <w:divBdr>
        <w:top w:val="none" w:sz="0" w:space="0" w:color="auto"/>
        <w:left w:val="none" w:sz="0" w:space="0" w:color="auto"/>
        <w:bottom w:val="none" w:sz="0" w:space="0" w:color="auto"/>
        <w:right w:val="none" w:sz="0" w:space="0" w:color="auto"/>
      </w:divBdr>
    </w:div>
    <w:div w:id="1398475012">
      <w:bodyDiv w:val="1"/>
      <w:marLeft w:val="0"/>
      <w:marRight w:val="0"/>
      <w:marTop w:val="0"/>
      <w:marBottom w:val="0"/>
      <w:divBdr>
        <w:top w:val="none" w:sz="0" w:space="0" w:color="auto"/>
        <w:left w:val="none" w:sz="0" w:space="0" w:color="auto"/>
        <w:bottom w:val="none" w:sz="0" w:space="0" w:color="auto"/>
        <w:right w:val="none" w:sz="0" w:space="0" w:color="auto"/>
      </w:divBdr>
    </w:div>
    <w:div w:id="1482187849">
      <w:bodyDiv w:val="1"/>
      <w:marLeft w:val="0"/>
      <w:marRight w:val="0"/>
      <w:marTop w:val="0"/>
      <w:marBottom w:val="0"/>
      <w:divBdr>
        <w:top w:val="none" w:sz="0" w:space="0" w:color="auto"/>
        <w:left w:val="none" w:sz="0" w:space="0" w:color="auto"/>
        <w:bottom w:val="none" w:sz="0" w:space="0" w:color="auto"/>
        <w:right w:val="none" w:sz="0" w:space="0" w:color="auto"/>
      </w:divBdr>
    </w:div>
    <w:div w:id="1489323364">
      <w:bodyDiv w:val="1"/>
      <w:marLeft w:val="0"/>
      <w:marRight w:val="0"/>
      <w:marTop w:val="0"/>
      <w:marBottom w:val="0"/>
      <w:divBdr>
        <w:top w:val="none" w:sz="0" w:space="0" w:color="auto"/>
        <w:left w:val="none" w:sz="0" w:space="0" w:color="auto"/>
        <w:bottom w:val="none" w:sz="0" w:space="0" w:color="auto"/>
        <w:right w:val="none" w:sz="0" w:space="0" w:color="auto"/>
      </w:divBdr>
    </w:div>
    <w:div w:id="1569025894">
      <w:bodyDiv w:val="1"/>
      <w:marLeft w:val="0"/>
      <w:marRight w:val="0"/>
      <w:marTop w:val="0"/>
      <w:marBottom w:val="0"/>
      <w:divBdr>
        <w:top w:val="none" w:sz="0" w:space="0" w:color="auto"/>
        <w:left w:val="none" w:sz="0" w:space="0" w:color="auto"/>
        <w:bottom w:val="none" w:sz="0" w:space="0" w:color="auto"/>
        <w:right w:val="none" w:sz="0" w:space="0" w:color="auto"/>
      </w:divBdr>
    </w:div>
    <w:div w:id="1575047772">
      <w:bodyDiv w:val="1"/>
      <w:marLeft w:val="0"/>
      <w:marRight w:val="0"/>
      <w:marTop w:val="0"/>
      <w:marBottom w:val="0"/>
      <w:divBdr>
        <w:top w:val="none" w:sz="0" w:space="0" w:color="auto"/>
        <w:left w:val="none" w:sz="0" w:space="0" w:color="auto"/>
        <w:bottom w:val="none" w:sz="0" w:space="0" w:color="auto"/>
        <w:right w:val="none" w:sz="0" w:space="0" w:color="auto"/>
      </w:divBdr>
    </w:div>
    <w:div w:id="1625693859">
      <w:bodyDiv w:val="1"/>
      <w:marLeft w:val="0"/>
      <w:marRight w:val="0"/>
      <w:marTop w:val="0"/>
      <w:marBottom w:val="0"/>
      <w:divBdr>
        <w:top w:val="none" w:sz="0" w:space="0" w:color="auto"/>
        <w:left w:val="none" w:sz="0" w:space="0" w:color="auto"/>
        <w:bottom w:val="none" w:sz="0" w:space="0" w:color="auto"/>
        <w:right w:val="none" w:sz="0" w:space="0" w:color="auto"/>
      </w:divBdr>
    </w:div>
    <w:div w:id="1640651607">
      <w:bodyDiv w:val="1"/>
      <w:marLeft w:val="0"/>
      <w:marRight w:val="0"/>
      <w:marTop w:val="0"/>
      <w:marBottom w:val="0"/>
      <w:divBdr>
        <w:top w:val="none" w:sz="0" w:space="0" w:color="auto"/>
        <w:left w:val="none" w:sz="0" w:space="0" w:color="auto"/>
        <w:bottom w:val="none" w:sz="0" w:space="0" w:color="auto"/>
        <w:right w:val="none" w:sz="0" w:space="0" w:color="auto"/>
      </w:divBdr>
    </w:div>
    <w:div w:id="1702045924">
      <w:bodyDiv w:val="1"/>
      <w:marLeft w:val="0"/>
      <w:marRight w:val="0"/>
      <w:marTop w:val="0"/>
      <w:marBottom w:val="0"/>
      <w:divBdr>
        <w:top w:val="none" w:sz="0" w:space="0" w:color="auto"/>
        <w:left w:val="none" w:sz="0" w:space="0" w:color="auto"/>
        <w:bottom w:val="none" w:sz="0" w:space="0" w:color="auto"/>
        <w:right w:val="none" w:sz="0" w:space="0" w:color="auto"/>
      </w:divBdr>
    </w:div>
    <w:div w:id="1714497279">
      <w:bodyDiv w:val="1"/>
      <w:marLeft w:val="0"/>
      <w:marRight w:val="0"/>
      <w:marTop w:val="0"/>
      <w:marBottom w:val="0"/>
      <w:divBdr>
        <w:top w:val="none" w:sz="0" w:space="0" w:color="auto"/>
        <w:left w:val="none" w:sz="0" w:space="0" w:color="auto"/>
        <w:bottom w:val="none" w:sz="0" w:space="0" w:color="auto"/>
        <w:right w:val="none" w:sz="0" w:space="0" w:color="auto"/>
      </w:divBdr>
    </w:div>
    <w:div w:id="1735077579">
      <w:bodyDiv w:val="1"/>
      <w:marLeft w:val="0"/>
      <w:marRight w:val="0"/>
      <w:marTop w:val="0"/>
      <w:marBottom w:val="0"/>
      <w:divBdr>
        <w:top w:val="none" w:sz="0" w:space="0" w:color="auto"/>
        <w:left w:val="none" w:sz="0" w:space="0" w:color="auto"/>
        <w:bottom w:val="none" w:sz="0" w:space="0" w:color="auto"/>
        <w:right w:val="none" w:sz="0" w:space="0" w:color="auto"/>
      </w:divBdr>
    </w:div>
    <w:div w:id="1748571487">
      <w:bodyDiv w:val="1"/>
      <w:marLeft w:val="0"/>
      <w:marRight w:val="0"/>
      <w:marTop w:val="0"/>
      <w:marBottom w:val="0"/>
      <w:divBdr>
        <w:top w:val="none" w:sz="0" w:space="0" w:color="auto"/>
        <w:left w:val="none" w:sz="0" w:space="0" w:color="auto"/>
        <w:bottom w:val="none" w:sz="0" w:space="0" w:color="auto"/>
        <w:right w:val="none" w:sz="0" w:space="0" w:color="auto"/>
      </w:divBdr>
    </w:div>
    <w:div w:id="1764300645">
      <w:bodyDiv w:val="1"/>
      <w:marLeft w:val="0"/>
      <w:marRight w:val="0"/>
      <w:marTop w:val="0"/>
      <w:marBottom w:val="0"/>
      <w:divBdr>
        <w:top w:val="none" w:sz="0" w:space="0" w:color="auto"/>
        <w:left w:val="none" w:sz="0" w:space="0" w:color="auto"/>
        <w:bottom w:val="none" w:sz="0" w:space="0" w:color="auto"/>
        <w:right w:val="none" w:sz="0" w:space="0" w:color="auto"/>
      </w:divBdr>
    </w:div>
    <w:div w:id="1787120627">
      <w:bodyDiv w:val="1"/>
      <w:marLeft w:val="0"/>
      <w:marRight w:val="0"/>
      <w:marTop w:val="0"/>
      <w:marBottom w:val="0"/>
      <w:divBdr>
        <w:top w:val="none" w:sz="0" w:space="0" w:color="auto"/>
        <w:left w:val="none" w:sz="0" w:space="0" w:color="auto"/>
        <w:bottom w:val="none" w:sz="0" w:space="0" w:color="auto"/>
        <w:right w:val="none" w:sz="0" w:space="0" w:color="auto"/>
      </w:divBdr>
    </w:div>
    <w:div w:id="1796101615">
      <w:bodyDiv w:val="1"/>
      <w:marLeft w:val="0"/>
      <w:marRight w:val="0"/>
      <w:marTop w:val="0"/>
      <w:marBottom w:val="0"/>
      <w:divBdr>
        <w:top w:val="none" w:sz="0" w:space="0" w:color="auto"/>
        <w:left w:val="none" w:sz="0" w:space="0" w:color="auto"/>
        <w:bottom w:val="none" w:sz="0" w:space="0" w:color="auto"/>
        <w:right w:val="none" w:sz="0" w:space="0" w:color="auto"/>
      </w:divBdr>
    </w:div>
    <w:div w:id="1824662874">
      <w:bodyDiv w:val="1"/>
      <w:marLeft w:val="0"/>
      <w:marRight w:val="0"/>
      <w:marTop w:val="0"/>
      <w:marBottom w:val="0"/>
      <w:divBdr>
        <w:top w:val="none" w:sz="0" w:space="0" w:color="auto"/>
        <w:left w:val="none" w:sz="0" w:space="0" w:color="auto"/>
        <w:bottom w:val="none" w:sz="0" w:space="0" w:color="auto"/>
        <w:right w:val="none" w:sz="0" w:space="0" w:color="auto"/>
      </w:divBdr>
    </w:div>
    <w:div w:id="1893080156">
      <w:bodyDiv w:val="1"/>
      <w:marLeft w:val="0"/>
      <w:marRight w:val="0"/>
      <w:marTop w:val="0"/>
      <w:marBottom w:val="0"/>
      <w:divBdr>
        <w:top w:val="none" w:sz="0" w:space="0" w:color="auto"/>
        <w:left w:val="none" w:sz="0" w:space="0" w:color="auto"/>
        <w:bottom w:val="none" w:sz="0" w:space="0" w:color="auto"/>
        <w:right w:val="none" w:sz="0" w:space="0" w:color="auto"/>
      </w:divBdr>
    </w:div>
    <w:div w:id="1919972966">
      <w:bodyDiv w:val="1"/>
      <w:marLeft w:val="0"/>
      <w:marRight w:val="0"/>
      <w:marTop w:val="0"/>
      <w:marBottom w:val="0"/>
      <w:divBdr>
        <w:top w:val="none" w:sz="0" w:space="0" w:color="auto"/>
        <w:left w:val="none" w:sz="0" w:space="0" w:color="auto"/>
        <w:bottom w:val="none" w:sz="0" w:space="0" w:color="auto"/>
        <w:right w:val="none" w:sz="0" w:space="0" w:color="auto"/>
      </w:divBdr>
    </w:div>
    <w:div w:id="1929844856">
      <w:bodyDiv w:val="1"/>
      <w:marLeft w:val="0"/>
      <w:marRight w:val="0"/>
      <w:marTop w:val="0"/>
      <w:marBottom w:val="0"/>
      <w:divBdr>
        <w:top w:val="none" w:sz="0" w:space="0" w:color="auto"/>
        <w:left w:val="none" w:sz="0" w:space="0" w:color="auto"/>
        <w:bottom w:val="none" w:sz="0" w:space="0" w:color="auto"/>
        <w:right w:val="none" w:sz="0" w:space="0" w:color="auto"/>
      </w:divBdr>
    </w:div>
    <w:div w:id="1936400275">
      <w:bodyDiv w:val="1"/>
      <w:marLeft w:val="0"/>
      <w:marRight w:val="0"/>
      <w:marTop w:val="0"/>
      <w:marBottom w:val="0"/>
      <w:divBdr>
        <w:top w:val="none" w:sz="0" w:space="0" w:color="auto"/>
        <w:left w:val="none" w:sz="0" w:space="0" w:color="auto"/>
        <w:bottom w:val="none" w:sz="0" w:space="0" w:color="auto"/>
        <w:right w:val="none" w:sz="0" w:space="0" w:color="auto"/>
      </w:divBdr>
    </w:div>
    <w:div w:id="1944261434">
      <w:bodyDiv w:val="1"/>
      <w:marLeft w:val="0"/>
      <w:marRight w:val="0"/>
      <w:marTop w:val="0"/>
      <w:marBottom w:val="0"/>
      <w:divBdr>
        <w:top w:val="none" w:sz="0" w:space="0" w:color="auto"/>
        <w:left w:val="none" w:sz="0" w:space="0" w:color="auto"/>
        <w:bottom w:val="none" w:sz="0" w:space="0" w:color="auto"/>
        <w:right w:val="none" w:sz="0" w:space="0" w:color="auto"/>
      </w:divBdr>
    </w:div>
    <w:div w:id="1972056218">
      <w:bodyDiv w:val="1"/>
      <w:marLeft w:val="0"/>
      <w:marRight w:val="0"/>
      <w:marTop w:val="0"/>
      <w:marBottom w:val="0"/>
      <w:divBdr>
        <w:top w:val="none" w:sz="0" w:space="0" w:color="auto"/>
        <w:left w:val="none" w:sz="0" w:space="0" w:color="auto"/>
        <w:bottom w:val="none" w:sz="0" w:space="0" w:color="auto"/>
        <w:right w:val="none" w:sz="0" w:space="0" w:color="auto"/>
      </w:divBdr>
    </w:div>
    <w:div w:id="2000575683">
      <w:bodyDiv w:val="1"/>
      <w:marLeft w:val="0"/>
      <w:marRight w:val="0"/>
      <w:marTop w:val="0"/>
      <w:marBottom w:val="0"/>
      <w:divBdr>
        <w:top w:val="none" w:sz="0" w:space="0" w:color="auto"/>
        <w:left w:val="none" w:sz="0" w:space="0" w:color="auto"/>
        <w:bottom w:val="none" w:sz="0" w:space="0" w:color="auto"/>
        <w:right w:val="none" w:sz="0" w:space="0" w:color="auto"/>
      </w:divBdr>
    </w:div>
    <w:div w:id="2090611562">
      <w:bodyDiv w:val="1"/>
      <w:marLeft w:val="0"/>
      <w:marRight w:val="0"/>
      <w:marTop w:val="0"/>
      <w:marBottom w:val="0"/>
      <w:divBdr>
        <w:top w:val="none" w:sz="0" w:space="0" w:color="auto"/>
        <w:left w:val="none" w:sz="0" w:space="0" w:color="auto"/>
        <w:bottom w:val="none" w:sz="0" w:space="0" w:color="auto"/>
        <w:right w:val="none" w:sz="0" w:space="0" w:color="auto"/>
      </w:divBdr>
    </w:div>
    <w:div w:id="2093116042">
      <w:bodyDiv w:val="1"/>
      <w:marLeft w:val="0"/>
      <w:marRight w:val="0"/>
      <w:marTop w:val="0"/>
      <w:marBottom w:val="0"/>
      <w:divBdr>
        <w:top w:val="none" w:sz="0" w:space="0" w:color="auto"/>
        <w:left w:val="none" w:sz="0" w:space="0" w:color="auto"/>
        <w:bottom w:val="none" w:sz="0" w:space="0" w:color="auto"/>
        <w:right w:val="none" w:sz="0" w:space="0" w:color="auto"/>
      </w:divBdr>
    </w:div>
    <w:div w:id="2139957858">
      <w:bodyDiv w:val="1"/>
      <w:marLeft w:val="0"/>
      <w:marRight w:val="0"/>
      <w:marTop w:val="0"/>
      <w:marBottom w:val="0"/>
      <w:divBdr>
        <w:top w:val="none" w:sz="0" w:space="0" w:color="auto"/>
        <w:left w:val="none" w:sz="0" w:space="0" w:color="auto"/>
        <w:bottom w:val="none" w:sz="0" w:space="0" w:color="auto"/>
        <w:right w:val="none" w:sz="0" w:space="0" w:color="auto"/>
      </w:divBdr>
    </w:div>
    <w:div w:id="214566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4.emf"/><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footer" Target="footer10.xml"/><Relationship Id="rId33"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7.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7.jpg"/><Relationship Id="rId28" Type="http://schemas.openxmlformats.org/officeDocument/2006/relationships/footer" Target="footer13.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emf"/><Relationship Id="rId22" Type="http://schemas.openxmlformats.org/officeDocument/2006/relationships/image" Target="media/image6.jpeg"/><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Budget_A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126D8-A52A-47E5-BF39-8E10437B8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Budget_A4.dotm</Template>
  <TotalTime>5</TotalTime>
  <Pages>230</Pages>
  <Words>73839</Words>
  <Characters>408773</Characters>
  <Application>Microsoft Office Word</Application>
  <DocSecurity>0</DocSecurity>
  <Lines>3406</Lines>
  <Paragraphs>963</Paragraphs>
  <ScaleCrop>false</ScaleCrop>
  <HeadingPairs>
    <vt:vector size="2" baseType="variant">
      <vt:variant>
        <vt:lpstr>Title</vt:lpstr>
      </vt:variant>
      <vt:variant>
        <vt:i4>1</vt:i4>
      </vt:variant>
    </vt:vector>
  </HeadingPairs>
  <TitlesOfParts>
    <vt:vector size="1" baseType="lpstr">
      <vt:lpstr>Draft No</vt:lpstr>
    </vt:vector>
  </TitlesOfParts>
  <Company>DTF</Company>
  <LinksUpToDate>false</LinksUpToDate>
  <CharactersWithSpaces>481649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No</dc:title>
  <dc:subject/>
  <dc:creator>Deidre Steain</dc:creator>
  <cp:keywords/>
  <dc:description/>
  <cp:lastModifiedBy>Julianna Grigg</cp:lastModifiedBy>
  <cp:revision>4</cp:revision>
  <cp:lastPrinted>2013-10-10T03:16:00Z</cp:lastPrinted>
  <dcterms:created xsi:type="dcterms:W3CDTF">2013-10-23T00:50:00Z</dcterms:created>
  <dcterms:modified xsi:type="dcterms:W3CDTF">2013-10-23T01:36:00Z</dcterms:modified>
</cp:coreProperties>
</file>