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Pr="00B9303F" w:rsidRDefault="00B9303F" w:rsidP="00B9303F">
      <w:pPr>
        <w:pStyle w:val="Title"/>
      </w:pPr>
      <w:bookmarkStart w:id="0" w:name="_Toc442780672"/>
      <w:r w:rsidRPr="004571E3">
        <w:t>Journey to Social Inclusion</w:t>
      </w:r>
      <w:r>
        <w:t xml:space="preserve"> (J2SI)</w:t>
      </w:r>
    </w:p>
    <w:p w:rsidR="006738C4" w:rsidRPr="00B9303F" w:rsidRDefault="00B9303F" w:rsidP="00B9303F">
      <w:pPr>
        <w:pStyle w:val="Subtitle"/>
      </w:pPr>
      <w:r w:rsidRPr="004571E3">
        <w:t>Ending the cycle of homelessness</w:t>
      </w:r>
    </w:p>
    <w:p w:rsidR="00B9303F" w:rsidRDefault="00B9303F" w:rsidP="00B9303F">
      <w:pPr>
        <w:pStyle w:val="Spacer"/>
      </w:pPr>
    </w:p>
    <w:p w:rsidR="00B9303F" w:rsidRPr="00F46AE0" w:rsidRDefault="00B9303F" w:rsidP="00B9303F">
      <w:r w:rsidRPr="00224519">
        <w:rPr>
          <w:b/>
        </w:rPr>
        <w:t xml:space="preserve">Journey to Social Inclusion </w:t>
      </w:r>
      <w:r>
        <w:rPr>
          <w:b/>
        </w:rPr>
        <w:t xml:space="preserve">(J2SI) </w:t>
      </w:r>
      <w:r w:rsidRPr="00224519">
        <w:t>is</w:t>
      </w:r>
      <w:r>
        <w:t xml:space="preserve"> an innovative Sacred Heart Mission (SHM) program that aims to end the cycle of chronic homelessness by taking a relationship-based, trauma-informed and strengths-based approach in the context of long-term assertive case management supplemented by access to rapid housing.</w:t>
      </w:r>
    </w:p>
    <w:p w:rsidR="00B9303F" w:rsidRPr="00224519" w:rsidRDefault="00B9303F" w:rsidP="00B9303F">
      <w:r>
        <w:t xml:space="preserve">J2SI </w:t>
      </w:r>
      <w:r w:rsidRPr="00224519">
        <w:t xml:space="preserve">has previously been piloted. The </w:t>
      </w:r>
      <w:r>
        <w:t xml:space="preserve">pilot, which commenced in 2009, </w:t>
      </w:r>
      <w:r w:rsidRPr="00224519">
        <w:t xml:space="preserve">successfully assisted </w:t>
      </w:r>
      <w:r>
        <w:t xml:space="preserve">85% of </w:t>
      </w:r>
      <w:r w:rsidRPr="00817C81">
        <w:t xml:space="preserve">J2SI </w:t>
      </w:r>
      <w:r w:rsidRPr="00224519">
        <w:t>participants to maintain long term stable housing</w:t>
      </w:r>
      <w:r>
        <w:t xml:space="preserve"> at the end of the three year program</w:t>
      </w:r>
      <w:r w:rsidRPr="00224519">
        <w:t>. Participants also reduced their health service usage</w:t>
      </w:r>
      <w:r>
        <w:t>, including hospitals and psychiatric services.</w:t>
      </w:r>
    </w:p>
    <w:p w:rsidR="00B9303F" w:rsidRDefault="00B9303F" w:rsidP="00B9303F">
      <w:r w:rsidRPr="00224519">
        <w:t xml:space="preserve">As a Social Impact Bond, </w:t>
      </w:r>
      <w:r w:rsidRPr="00817C81">
        <w:t xml:space="preserve">J2SI </w:t>
      </w:r>
      <w:r w:rsidRPr="00224519">
        <w:t>will</w:t>
      </w:r>
      <w:r>
        <w:t xml:space="preserve"> be run on a larger scale</w:t>
      </w:r>
      <w:r w:rsidRPr="002926DB">
        <w:t>. Scaling up the program will deliver more support to more people in need and it will allow SHM to continue adapting and improving the program, using lessons from the trials to build a more effective program.</w:t>
      </w:r>
    </w:p>
    <w:p w:rsidR="00B9303F" w:rsidRDefault="00B9303F" w:rsidP="006B44DB">
      <w:pPr>
        <w:pStyle w:val="Heading1"/>
        <w:spacing w:after="160"/>
      </w:pPr>
      <w:r>
        <w:t>Service delivery model</w:t>
      </w:r>
    </w:p>
    <w:p w:rsidR="00B9303F" w:rsidRPr="0023774F" w:rsidRDefault="00B9303F" w:rsidP="00B9303F">
      <w:r w:rsidRPr="0023774F">
        <w:t>A three year intensive case management service supplemented by rapid access to s</w:t>
      </w:r>
      <w:r>
        <w:t xml:space="preserve">table housing. </w:t>
      </w:r>
    </w:p>
    <w:p w:rsidR="00B9303F" w:rsidRDefault="00B9303F" w:rsidP="00B9303F">
      <w:r>
        <w:t xml:space="preserve">The </w:t>
      </w:r>
      <w:r w:rsidRPr="00817C81">
        <w:t xml:space="preserve">J2SI </w:t>
      </w:r>
      <w:r>
        <w:t xml:space="preserve">service model is based on five key components: </w:t>
      </w:r>
    </w:p>
    <w:tbl>
      <w:tblPr>
        <w:tblStyle w:val="DTFtexttable"/>
        <w:tblW w:w="9507" w:type="dxa"/>
        <w:tblBorders>
          <w:top w:val="single" w:sz="6" w:space="0" w:color="0072CE" w:themeColor="accent3"/>
          <w:bottom w:val="single" w:sz="12" w:space="0" w:color="0072CE" w:themeColor="accent3"/>
          <w:insideH w:val="single" w:sz="6" w:space="0" w:color="0072CE" w:themeColor="accent3"/>
        </w:tblBorders>
        <w:tblLayout w:type="fixed"/>
        <w:tblLook w:val="0600" w:firstRow="0" w:lastRow="0" w:firstColumn="0" w:lastColumn="0" w:noHBand="1" w:noVBand="1"/>
      </w:tblPr>
      <w:tblGrid>
        <w:gridCol w:w="1947"/>
        <w:gridCol w:w="7560"/>
      </w:tblGrid>
      <w:tr w:rsidR="00B9303F" w:rsidRPr="00442442" w:rsidTr="006B44DB">
        <w:trPr>
          <w:trHeight w:val="1247"/>
        </w:trPr>
        <w:tc>
          <w:tcPr>
            <w:tcW w:w="1947" w:type="dxa"/>
            <w:vAlign w:val="center"/>
          </w:tcPr>
          <w:p w:rsidR="00B9303F" w:rsidRPr="00442442" w:rsidRDefault="00B9303F" w:rsidP="00B9303F">
            <w:pPr>
              <w:pStyle w:val="bodytext-bold"/>
              <w:jc w:val="center"/>
              <w:rPr>
                <w:rFonts w:ascii="Arial" w:hAnsi="Arial" w:cs="Arial"/>
                <w:b w:val="0"/>
                <w:sz w:val="22"/>
                <w:szCs w:val="22"/>
              </w:rPr>
            </w:pPr>
            <w:r w:rsidRPr="00442442">
              <w:rPr>
                <w:rFonts w:ascii="Arial" w:hAnsi="Arial" w:cs="Arial"/>
                <w:b w:val="0"/>
                <w:noProof/>
                <w:sz w:val="22"/>
                <w:szCs w:val="22"/>
                <w:lang w:val="en-AU" w:eastAsia="en-AU"/>
              </w:rPr>
              <w:drawing>
                <wp:inline distT="0" distB="0" distL="0" distR="0" wp14:anchorId="3C8F1DE7" wp14:editId="597B0B78">
                  <wp:extent cx="925032" cy="843172"/>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 assertive case mg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5533" cy="843629"/>
                          </a:xfrm>
                          <a:prstGeom prst="rect">
                            <a:avLst/>
                          </a:prstGeom>
                        </pic:spPr>
                      </pic:pic>
                    </a:graphicData>
                  </a:graphic>
                </wp:inline>
              </w:drawing>
            </w:r>
          </w:p>
        </w:tc>
        <w:tc>
          <w:tcPr>
            <w:tcW w:w="7560" w:type="dxa"/>
            <w:vAlign w:val="center"/>
          </w:tcPr>
          <w:p w:rsidR="00B9303F" w:rsidRPr="00B9303F" w:rsidRDefault="00B9303F" w:rsidP="00B9303F">
            <w:pPr>
              <w:pStyle w:val="Tablebullet"/>
            </w:pPr>
            <w:r w:rsidRPr="00CE538F">
              <w:t>Inte</w:t>
            </w:r>
            <w:r w:rsidRPr="00B9303F">
              <w:t>nsive, individualised support and goal-focused support and goal-setting</w:t>
            </w:r>
          </w:p>
          <w:p w:rsidR="00B9303F" w:rsidRPr="00B9303F" w:rsidRDefault="00B9303F" w:rsidP="00B9303F">
            <w:pPr>
              <w:pStyle w:val="Tablebullet"/>
            </w:pPr>
            <w:r w:rsidRPr="00B9303F">
              <w:t>Personal empowerment through the journey of change and recovery</w:t>
            </w:r>
          </w:p>
          <w:p w:rsidR="00B9303F" w:rsidRPr="00B9303F" w:rsidRDefault="00B9303F" w:rsidP="00B9303F">
            <w:pPr>
              <w:pStyle w:val="Tablebullet"/>
            </w:pPr>
            <w:r w:rsidRPr="00B9303F">
              <w:t>Specialist services brokered  to meet individual needs, including: health, AOD, mental health, disability services and employment services</w:t>
            </w:r>
          </w:p>
        </w:tc>
      </w:tr>
      <w:tr w:rsidR="00B9303F" w:rsidRPr="00442442" w:rsidTr="006B44DB">
        <w:trPr>
          <w:trHeight w:val="1247"/>
        </w:trPr>
        <w:tc>
          <w:tcPr>
            <w:tcW w:w="1947" w:type="dxa"/>
            <w:vAlign w:val="center"/>
          </w:tcPr>
          <w:p w:rsidR="00B9303F" w:rsidRPr="00442442" w:rsidRDefault="00B9303F" w:rsidP="00B9303F">
            <w:pPr>
              <w:pStyle w:val="bodytext-bold"/>
              <w:jc w:val="center"/>
              <w:rPr>
                <w:rFonts w:ascii="Arial" w:hAnsi="Arial" w:cs="Arial"/>
                <w:b w:val="0"/>
                <w:sz w:val="22"/>
                <w:szCs w:val="22"/>
              </w:rPr>
            </w:pPr>
            <w:r w:rsidRPr="00442442">
              <w:rPr>
                <w:rFonts w:ascii="Arial" w:hAnsi="Arial" w:cs="Arial"/>
                <w:noProof/>
                <w:sz w:val="22"/>
                <w:szCs w:val="22"/>
                <w:lang w:val="en-AU" w:eastAsia="en-AU"/>
              </w:rPr>
              <w:drawing>
                <wp:inline distT="0" distB="0" distL="0" distR="0" wp14:anchorId="6073F1A7" wp14:editId="5B0A858F">
                  <wp:extent cx="1112056" cy="818707"/>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 housing access.JPG"/>
                          <pic:cNvPicPr/>
                        </pic:nvPicPr>
                        <pic:blipFill>
                          <a:blip r:embed="rId10">
                            <a:extLst>
                              <a:ext uri="{28A0092B-C50C-407E-A947-70E740481C1C}">
                                <a14:useLocalDpi xmlns:a14="http://schemas.microsoft.com/office/drawing/2010/main" val="0"/>
                              </a:ext>
                            </a:extLst>
                          </a:blip>
                          <a:stretch>
                            <a:fillRect/>
                          </a:stretch>
                        </pic:blipFill>
                        <pic:spPr>
                          <a:xfrm>
                            <a:off x="0" y="0"/>
                            <a:ext cx="1119833" cy="824433"/>
                          </a:xfrm>
                          <a:prstGeom prst="rect">
                            <a:avLst/>
                          </a:prstGeom>
                        </pic:spPr>
                      </pic:pic>
                    </a:graphicData>
                  </a:graphic>
                </wp:inline>
              </w:drawing>
            </w:r>
          </w:p>
        </w:tc>
        <w:tc>
          <w:tcPr>
            <w:tcW w:w="7560" w:type="dxa"/>
            <w:vAlign w:val="center"/>
          </w:tcPr>
          <w:p w:rsidR="00B9303F" w:rsidRPr="00CE538F" w:rsidRDefault="00B9303F" w:rsidP="00B9303F">
            <w:pPr>
              <w:pStyle w:val="Tablebullet"/>
              <w:rPr>
                <w:b/>
              </w:rPr>
            </w:pPr>
            <w:r w:rsidRPr="00CE538F">
              <w:t>Rapid access to housing</w:t>
            </w:r>
          </w:p>
          <w:p w:rsidR="00B9303F" w:rsidRPr="00CE538F" w:rsidRDefault="00B9303F" w:rsidP="00B9303F">
            <w:pPr>
              <w:pStyle w:val="Tablebullet"/>
              <w:rPr>
                <w:b/>
              </w:rPr>
            </w:pPr>
            <w:r w:rsidRPr="00CE538F">
              <w:t xml:space="preserve">Housing options that meet differing individual needs and preferences </w:t>
            </w:r>
          </w:p>
          <w:p w:rsidR="00B9303F" w:rsidRPr="00CE538F" w:rsidRDefault="00B9303F" w:rsidP="00B9303F">
            <w:pPr>
              <w:pStyle w:val="Tablebullet"/>
              <w:rPr>
                <w:b/>
              </w:rPr>
            </w:pPr>
            <w:r w:rsidRPr="00CE538F">
              <w:t>Advocacy, support and advice to assist in gaining and maintaining a tenancy and managing a household.</w:t>
            </w:r>
          </w:p>
          <w:p w:rsidR="00B9303F" w:rsidRPr="00CE538F" w:rsidRDefault="00B9303F" w:rsidP="00B9303F">
            <w:pPr>
              <w:pStyle w:val="Tablebullet"/>
            </w:pPr>
            <w:r w:rsidRPr="00CE538F">
              <w:t>Build capacity for successful transition from street to home and to maintain a long-term tenancy</w:t>
            </w:r>
          </w:p>
        </w:tc>
      </w:tr>
      <w:tr w:rsidR="00B9303F" w:rsidRPr="00442442" w:rsidTr="006B44DB">
        <w:trPr>
          <w:trHeight w:val="1247"/>
        </w:trPr>
        <w:tc>
          <w:tcPr>
            <w:tcW w:w="1947" w:type="dxa"/>
            <w:vAlign w:val="center"/>
          </w:tcPr>
          <w:p w:rsidR="00B9303F" w:rsidRPr="00442442" w:rsidRDefault="00B9303F" w:rsidP="00B9303F">
            <w:pPr>
              <w:pStyle w:val="bodytext-bold"/>
              <w:jc w:val="center"/>
              <w:rPr>
                <w:rFonts w:ascii="Arial" w:hAnsi="Arial" w:cs="Arial"/>
                <w:b w:val="0"/>
                <w:sz w:val="22"/>
                <w:szCs w:val="22"/>
              </w:rPr>
            </w:pPr>
            <w:r w:rsidRPr="00442442">
              <w:rPr>
                <w:rFonts w:ascii="Arial" w:hAnsi="Arial" w:cs="Arial"/>
                <w:noProof/>
                <w:sz w:val="22"/>
                <w:szCs w:val="22"/>
                <w:lang w:val="en-AU" w:eastAsia="en-AU"/>
              </w:rPr>
              <w:drawing>
                <wp:inline distT="0" distB="0" distL="0" distR="0" wp14:anchorId="3DB29C63" wp14:editId="082648DA">
                  <wp:extent cx="932481" cy="871870"/>
                  <wp:effectExtent l="0" t="0" r="127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 trauma.JPG"/>
                          <pic:cNvPicPr/>
                        </pic:nvPicPr>
                        <pic:blipFill>
                          <a:blip r:embed="rId11">
                            <a:extLst>
                              <a:ext uri="{28A0092B-C50C-407E-A947-70E740481C1C}">
                                <a14:useLocalDpi xmlns:a14="http://schemas.microsoft.com/office/drawing/2010/main" val="0"/>
                              </a:ext>
                            </a:extLst>
                          </a:blip>
                          <a:stretch>
                            <a:fillRect/>
                          </a:stretch>
                        </pic:blipFill>
                        <pic:spPr>
                          <a:xfrm>
                            <a:off x="0" y="0"/>
                            <a:ext cx="939824" cy="878736"/>
                          </a:xfrm>
                          <a:prstGeom prst="rect">
                            <a:avLst/>
                          </a:prstGeom>
                        </pic:spPr>
                      </pic:pic>
                    </a:graphicData>
                  </a:graphic>
                </wp:inline>
              </w:drawing>
            </w:r>
          </w:p>
        </w:tc>
        <w:tc>
          <w:tcPr>
            <w:tcW w:w="7560" w:type="dxa"/>
            <w:vAlign w:val="center"/>
          </w:tcPr>
          <w:p w:rsidR="00B9303F" w:rsidRPr="00CE538F" w:rsidRDefault="00B9303F" w:rsidP="00B9303F">
            <w:pPr>
              <w:pStyle w:val="Tablebullet"/>
              <w:rPr>
                <w:b/>
              </w:rPr>
            </w:pPr>
            <w:r w:rsidRPr="00CE538F">
              <w:t>Trauma-informed practice framework and staff</w:t>
            </w:r>
          </w:p>
          <w:p w:rsidR="00B9303F" w:rsidRPr="00CE538F" w:rsidRDefault="00B9303F" w:rsidP="00B9303F">
            <w:pPr>
              <w:pStyle w:val="Tablebullet"/>
              <w:rPr>
                <w:b/>
              </w:rPr>
            </w:pPr>
            <w:r w:rsidRPr="00CE538F">
              <w:t>Tailored skill development for case workers and robust case discussion and consultation</w:t>
            </w:r>
          </w:p>
          <w:p w:rsidR="00B9303F" w:rsidRPr="00CE538F" w:rsidRDefault="00B9303F" w:rsidP="00B9303F">
            <w:pPr>
              <w:pStyle w:val="Tablebullet"/>
              <w:rPr>
                <w:b/>
              </w:rPr>
            </w:pPr>
            <w:r w:rsidRPr="00CE538F">
              <w:t>Robust clinical practice governance, supervision and guidance</w:t>
            </w:r>
          </w:p>
          <w:p w:rsidR="00B9303F" w:rsidRPr="00CE538F" w:rsidRDefault="00B9303F" w:rsidP="00B9303F">
            <w:pPr>
              <w:pStyle w:val="Tablebullet"/>
              <w:rPr>
                <w:b/>
              </w:rPr>
            </w:pPr>
            <w:r w:rsidRPr="00CE538F">
              <w:t>Appropriate and timely formal, external therapeutic interventions</w:t>
            </w:r>
          </w:p>
        </w:tc>
      </w:tr>
      <w:tr w:rsidR="00B9303F" w:rsidRPr="00442442" w:rsidTr="006B44DB">
        <w:trPr>
          <w:trHeight w:val="1247"/>
        </w:trPr>
        <w:tc>
          <w:tcPr>
            <w:tcW w:w="1947" w:type="dxa"/>
            <w:vAlign w:val="center"/>
          </w:tcPr>
          <w:p w:rsidR="00B9303F" w:rsidRPr="00442442" w:rsidRDefault="00B9303F" w:rsidP="00B9303F">
            <w:pPr>
              <w:pStyle w:val="bodytext-bold"/>
              <w:jc w:val="center"/>
              <w:rPr>
                <w:rFonts w:ascii="Arial" w:hAnsi="Arial" w:cs="Arial"/>
                <w:b w:val="0"/>
                <w:sz w:val="22"/>
                <w:szCs w:val="22"/>
              </w:rPr>
            </w:pPr>
            <w:r w:rsidRPr="00442442">
              <w:rPr>
                <w:rFonts w:ascii="Arial" w:hAnsi="Arial" w:cs="Arial"/>
                <w:noProof/>
                <w:sz w:val="22"/>
                <w:szCs w:val="22"/>
                <w:lang w:val="en-AU" w:eastAsia="en-AU"/>
              </w:rPr>
              <w:drawing>
                <wp:inline distT="0" distB="0" distL="0" distR="0" wp14:anchorId="3FC5803A" wp14:editId="16D51148">
                  <wp:extent cx="903767" cy="795710"/>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 skills.JPG"/>
                          <pic:cNvPicPr/>
                        </pic:nvPicPr>
                        <pic:blipFill>
                          <a:blip r:embed="rId12">
                            <a:extLst>
                              <a:ext uri="{28A0092B-C50C-407E-A947-70E740481C1C}">
                                <a14:useLocalDpi xmlns:a14="http://schemas.microsoft.com/office/drawing/2010/main" val="0"/>
                              </a:ext>
                            </a:extLst>
                          </a:blip>
                          <a:stretch>
                            <a:fillRect/>
                          </a:stretch>
                        </pic:blipFill>
                        <pic:spPr>
                          <a:xfrm>
                            <a:off x="0" y="0"/>
                            <a:ext cx="913434" cy="804221"/>
                          </a:xfrm>
                          <a:prstGeom prst="rect">
                            <a:avLst/>
                          </a:prstGeom>
                        </pic:spPr>
                      </pic:pic>
                    </a:graphicData>
                  </a:graphic>
                </wp:inline>
              </w:drawing>
            </w:r>
          </w:p>
        </w:tc>
        <w:tc>
          <w:tcPr>
            <w:tcW w:w="7560" w:type="dxa"/>
            <w:vAlign w:val="center"/>
          </w:tcPr>
          <w:p w:rsidR="00B9303F" w:rsidRPr="00CE538F" w:rsidRDefault="00B9303F" w:rsidP="00B9303F">
            <w:pPr>
              <w:pStyle w:val="Tablebullet"/>
              <w:rPr>
                <w:b/>
              </w:rPr>
            </w:pPr>
            <w:r w:rsidRPr="00CE538F">
              <w:t>Development of individual goals and activities focused on social inclusion and employment pathways</w:t>
            </w:r>
          </w:p>
          <w:p w:rsidR="00B9303F" w:rsidRPr="00CE538F" w:rsidRDefault="00B9303F" w:rsidP="00B9303F">
            <w:pPr>
              <w:pStyle w:val="Tablebullet"/>
              <w:rPr>
                <w:b/>
              </w:rPr>
            </w:pPr>
            <w:r w:rsidRPr="00CE538F">
              <w:t>Life skills, such as interpersonal skills, numeracy and literacy, practical living skills, assertiveness, tenancy skills, social norms and job-readiness</w:t>
            </w:r>
          </w:p>
          <w:p w:rsidR="00B9303F" w:rsidRPr="00CE538F" w:rsidRDefault="00B9303F" w:rsidP="00B9303F">
            <w:pPr>
              <w:pStyle w:val="Tablebullet"/>
              <w:rPr>
                <w:b/>
              </w:rPr>
            </w:pPr>
            <w:r w:rsidRPr="00CE538F">
              <w:t>Opportunities to foster own social networks and enabling of client choice</w:t>
            </w:r>
          </w:p>
          <w:p w:rsidR="00B9303F" w:rsidRPr="00CE538F" w:rsidRDefault="00B9303F" w:rsidP="00B9303F">
            <w:pPr>
              <w:pStyle w:val="Tablebullet"/>
              <w:rPr>
                <w:b/>
              </w:rPr>
            </w:pPr>
            <w:r w:rsidRPr="00CE538F">
              <w:t>Opportunities to participate in employment pathway activities and cultivate skills in accessing employment agencies and organisations</w:t>
            </w:r>
          </w:p>
        </w:tc>
      </w:tr>
      <w:tr w:rsidR="00B9303F" w:rsidRPr="00442442" w:rsidTr="006B44DB">
        <w:trPr>
          <w:trHeight w:val="1247"/>
        </w:trPr>
        <w:tc>
          <w:tcPr>
            <w:tcW w:w="1947" w:type="dxa"/>
            <w:vAlign w:val="center"/>
          </w:tcPr>
          <w:p w:rsidR="00B9303F" w:rsidRPr="00442442" w:rsidRDefault="00B9303F" w:rsidP="00B9303F">
            <w:pPr>
              <w:pStyle w:val="bodytext-bold"/>
              <w:jc w:val="center"/>
              <w:rPr>
                <w:rFonts w:ascii="Arial" w:hAnsi="Arial" w:cs="Arial"/>
                <w:b w:val="0"/>
                <w:sz w:val="22"/>
                <w:szCs w:val="22"/>
              </w:rPr>
            </w:pPr>
            <w:r w:rsidRPr="00442442">
              <w:rPr>
                <w:rFonts w:ascii="Arial" w:hAnsi="Arial" w:cs="Arial"/>
                <w:noProof/>
                <w:sz w:val="22"/>
                <w:szCs w:val="22"/>
                <w:lang w:val="en-AU" w:eastAsia="en-AU"/>
              </w:rPr>
              <w:drawing>
                <wp:inline distT="0" distB="0" distL="0" distR="0" wp14:anchorId="0704B354" wp14:editId="5A604B85">
                  <wp:extent cx="797442" cy="806109"/>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 independence.JPG"/>
                          <pic:cNvPicPr/>
                        </pic:nvPicPr>
                        <pic:blipFill>
                          <a:blip r:embed="rId13">
                            <a:extLst>
                              <a:ext uri="{28A0092B-C50C-407E-A947-70E740481C1C}">
                                <a14:useLocalDpi xmlns:a14="http://schemas.microsoft.com/office/drawing/2010/main" val="0"/>
                              </a:ext>
                            </a:extLst>
                          </a:blip>
                          <a:stretch>
                            <a:fillRect/>
                          </a:stretch>
                        </pic:blipFill>
                        <pic:spPr>
                          <a:xfrm>
                            <a:off x="0" y="0"/>
                            <a:ext cx="798141" cy="806816"/>
                          </a:xfrm>
                          <a:prstGeom prst="rect">
                            <a:avLst/>
                          </a:prstGeom>
                        </pic:spPr>
                      </pic:pic>
                    </a:graphicData>
                  </a:graphic>
                </wp:inline>
              </w:drawing>
            </w:r>
          </w:p>
        </w:tc>
        <w:tc>
          <w:tcPr>
            <w:tcW w:w="7560" w:type="dxa"/>
            <w:vAlign w:val="center"/>
          </w:tcPr>
          <w:p w:rsidR="00B9303F" w:rsidRPr="00CE538F" w:rsidRDefault="00B9303F" w:rsidP="00B9303F">
            <w:pPr>
              <w:pStyle w:val="Tablebullet"/>
              <w:rPr>
                <w:b/>
              </w:rPr>
            </w:pPr>
            <w:r w:rsidRPr="00CE538F">
              <w:t>Phased and diversified internal and external service relationship development that fosters trust and enables gradual, successful transition</w:t>
            </w:r>
          </w:p>
          <w:p w:rsidR="00B9303F" w:rsidRPr="00CE538F" w:rsidRDefault="00B9303F" w:rsidP="00B9303F">
            <w:pPr>
              <w:pStyle w:val="Tablebullet"/>
              <w:rPr>
                <w:b/>
              </w:rPr>
            </w:pPr>
            <w:r w:rsidRPr="00CE538F">
              <w:t>Building of individual capacity for self-management such as understanding behaviours and identifying emotional and reactive triggers (to minimise unplanned and crisis situations)</w:t>
            </w:r>
          </w:p>
          <w:p w:rsidR="00B9303F" w:rsidRPr="00CE538F" w:rsidRDefault="00B9303F" w:rsidP="00B9303F">
            <w:pPr>
              <w:pStyle w:val="Tablebullet"/>
              <w:rPr>
                <w:b/>
              </w:rPr>
            </w:pPr>
            <w:r w:rsidRPr="00CE538F">
              <w:t xml:space="preserve">Development of ability to navigate support and mainstream services </w:t>
            </w:r>
          </w:p>
        </w:tc>
      </w:tr>
    </w:tbl>
    <w:bookmarkEnd w:id="0"/>
    <w:p w:rsidR="00B9303F" w:rsidRDefault="00B9303F" w:rsidP="00B9303F">
      <w:pPr>
        <w:pStyle w:val="Heading1"/>
      </w:pPr>
      <w:r>
        <w:lastRenderedPageBreak/>
        <w:t>Cohort</w:t>
      </w:r>
    </w:p>
    <w:p w:rsidR="00B9303F" w:rsidRDefault="00B9303F" w:rsidP="00B9303F">
      <w:r>
        <w:t xml:space="preserve">People aged between 25 and 65 years who are experiencing sustained and chronic homelessness.  To be eligible individuals must be chronically homeless and have been sleeping rough continuously for a minimum of one year and/or be currently homeless and have experienced three or more episodes of homelessness over the past three years. </w:t>
      </w:r>
    </w:p>
    <w:p w:rsidR="00B9303F" w:rsidRDefault="00B9303F" w:rsidP="00B9303F">
      <w:r>
        <w:t>The targeted eligibility criteria ensures the intervention supports Victorians who experience the highest level of multiple disadvantage in relation to chronic mental and physical health, unemployment, entrenched homelessness, and psychological distress.</w:t>
      </w:r>
      <w:r w:rsidRPr="0043694E">
        <w:t xml:space="preserve"> It also ens</w:t>
      </w:r>
      <w:r>
        <w:t xml:space="preserve">ures that </w:t>
      </w:r>
      <w:r w:rsidR="00A91B46">
        <w:t xml:space="preserve">the </w:t>
      </w:r>
      <w:bookmarkStart w:id="1" w:name="_GoBack"/>
      <w:bookmarkEnd w:id="1"/>
      <w:r>
        <w:t>intervention targets heavy users</w:t>
      </w:r>
      <w:r w:rsidRPr="0043694E">
        <w:t xml:space="preserve"> </w:t>
      </w:r>
      <w:r>
        <w:t>of</w:t>
      </w:r>
      <w:r w:rsidRPr="0043694E">
        <w:t xml:space="preserve"> </w:t>
      </w:r>
      <w:r>
        <w:t xml:space="preserve">a </w:t>
      </w:r>
      <w:r w:rsidRPr="0043694E">
        <w:t>range of</w:t>
      </w:r>
      <w:r>
        <w:t xml:space="preserve"> government services, including</w:t>
      </w:r>
      <w:r w:rsidRPr="0043694E">
        <w:t xml:space="preserve"> </w:t>
      </w:r>
      <w:r>
        <w:t>hospitals</w:t>
      </w:r>
      <w:r w:rsidRPr="0043694E">
        <w:t>, mental health</w:t>
      </w:r>
      <w:r>
        <w:t>,</w:t>
      </w:r>
      <w:r w:rsidRPr="0043694E">
        <w:t xml:space="preserve"> and alcohol and other drug services</w:t>
      </w:r>
      <w:r>
        <w:t>.</w:t>
      </w:r>
    </w:p>
    <w:p w:rsidR="00B9303F" w:rsidRDefault="00B9303F" w:rsidP="00B9303F">
      <w:r>
        <w:t>Three intakes of 60 individuals will be referred over three years across inner city Melbourne, totalling 180 participants over a five year period.</w:t>
      </w:r>
    </w:p>
    <w:p w:rsidR="00B9303F" w:rsidRDefault="00B9303F" w:rsidP="00B9303F">
      <w:pPr>
        <w:pStyle w:val="Heading1"/>
      </w:pPr>
      <w:r>
        <w:t>Key program innovations</w:t>
      </w:r>
    </w:p>
    <w:p w:rsidR="00B9303F" w:rsidRDefault="00B9303F" w:rsidP="00B9303F">
      <w:pPr>
        <w:pStyle w:val="Bullet1"/>
      </w:pPr>
      <w:r>
        <w:t xml:space="preserve">Long-term assertive case management and service coordination. </w:t>
      </w:r>
    </w:p>
    <w:p w:rsidR="00B9303F" w:rsidRDefault="00B9303F" w:rsidP="00B9303F">
      <w:pPr>
        <w:pStyle w:val="Bullet1"/>
      </w:pPr>
      <w:r>
        <w:t xml:space="preserve">Trauma-informed practice and a relationships-based approach. </w:t>
      </w:r>
    </w:p>
    <w:p w:rsidR="00B9303F" w:rsidRDefault="00B9303F" w:rsidP="00B9303F">
      <w:pPr>
        <w:pStyle w:val="Bullet1"/>
      </w:pPr>
      <w:r>
        <w:t>Community-based head leased properties – J2SI will incorporate 84 community-based head leased properties, which will enhance the effectiveness of the intensive case management aspects of the program and reduce the burden on the public housing system.</w:t>
      </w:r>
    </w:p>
    <w:p w:rsidR="00B9303F" w:rsidRDefault="00B9303F" w:rsidP="00B91E11">
      <w:pPr>
        <w:pStyle w:val="Spacer"/>
      </w:pPr>
    </w:p>
    <w:p w:rsidR="00B9303F" w:rsidRPr="00B433C6" w:rsidRDefault="00B9303F" w:rsidP="00B9303F">
      <w:pPr>
        <w:pStyle w:val="HighlightBoxHeading"/>
      </w:pPr>
      <w:r>
        <w:t>J2SI will support the cohort to:</w:t>
      </w:r>
    </w:p>
    <w:p w:rsidR="00B9303F" w:rsidRDefault="00B9303F" w:rsidP="00B9303F">
      <w:pPr>
        <w:pStyle w:val="HighlightBoxTextbullet"/>
      </w:pPr>
      <w:r>
        <w:t>Maintain tenancies</w:t>
      </w:r>
    </w:p>
    <w:p w:rsidR="00B9303F" w:rsidRDefault="00B9303F" w:rsidP="00B9303F">
      <w:pPr>
        <w:pStyle w:val="HighlightBoxTextbullet"/>
      </w:pPr>
      <w:r>
        <w:t>Establish stronger social connectedness to the wider community</w:t>
      </w:r>
    </w:p>
    <w:p w:rsidR="00B9303F" w:rsidRDefault="00B9303F" w:rsidP="00B9303F">
      <w:pPr>
        <w:pStyle w:val="HighlightBoxTextbullet"/>
      </w:pPr>
      <w:r>
        <w:t xml:space="preserve">Become more independent </w:t>
      </w:r>
    </w:p>
    <w:p w:rsidR="00B9303F" w:rsidRDefault="00B9303F" w:rsidP="00B9303F">
      <w:pPr>
        <w:pStyle w:val="HighlightBoxTextbullet"/>
      </w:pPr>
      <w:r>
        <w:t>Improve their emotional and physical health</w:t>
      </w:r>
    </w:p>
    <w:p w:rsidR="00B9303F" w:rsidRDefault="00B9303F" w:rsidP="00B9303F">
      <w:pPr>
        <w:pStyle w:val="Heading1"/>
      </w:pPr>
      <w:r>
        <w:t xml:space="preserve">Measurement of outcomes </w:t>
      </w:r>
    </w:p>
    <w:p w:rsidR="00B9303F" w:rsidRDefault="00B9303F" w:rsidP="00B9303F">
      <w:r>
        <w:t xml:space="preserve">For the purposes of payment, </w:t>
      </w:r>
      <w:r w:rsidRPr="00916128">
        <w:t xml:space="preserve">J2SI </w:t>
      </w:r>
      <w:r>
        <w:t xml:space="preserve">will be measured on the following two outcomes: </w:t>
      </w:r>
    </w:p>
    <w:p w:rsidR="00B9303F" w:rsidRDefault="00B9303F" w:rsidP="00B9303F">
      <w:pPr>
        <w:pStyle w:val="Numpara"/>
      </w:pPr>
      <w:r>
        <w:rPr>
          <w:b/>
        </w:rPr>
        <w:t xml:space="preserve">Achievement of </w:t>
      </w:r>
      <w:r w:rsidRPr="00A22F4D">
        <w:rPr>
          <w:b/>
        </w:rPr>
        <w:t>stable housing</w:t>
      </w:r>
      <w:r>
        <w:t xml:space="preserve"> – the </w:t>
      </w:r>
      <w:r w:rsidRPr="00A22F4D">
        <w:t>percentage of the cohort in stable housing</w:t>
      </w:r>
      <w:r>
        <w:t xml:space="preserve"> as evidenced by case notes that demonstrate the achievement of a sustained tenancy.</w:t>
      </w:r>
    </w:p>
    <w:p w:rsidR="00B9303F" w:rsidRDefault="00B9303F" w:rsidP="00B9303F">
      <w:pPr>
        <w:pStyle w:val="Numpara"/>
      </w:pPr>
      <w:r w:rsidRPr="00A22F4D">
        <w:rPr>
          <w:b/>
        </w:rPr>
        <w:t>Improved health and wellbeing</w:t>
      </w:r>
      <w:r>
        <w:t xml:space="preserve"> – reductions in hospital bed days across the cohort.</w:t>
      </w:r>
    </w:p>
    <w:p w:rsidR="00B9303F" w:rsidRDefault="00B9303F" w:rsidP="00B9303F">
      <w:r>
        <w:t>Outcomes will be measured at yearly intervals during and up to one year after the three year intervention period for both the intervention and control groups. All outcomes will be independently verified.</w:t>
      </w:r>
    </w:p>
    <w:p w:rsidR="00B9303F" w:rsidRDefault="00B9303F" w:rsidP="00B9303F">
      <w:r w:rsidRPr="004814AB">
        <w:t xml:space="preserve">Broader collection of program outcomes not linked to payments (for example, </w:t>
      </w:r>
      <w:r>
        <w:t>stronger community connections</w:t>
      </w:r>
      <w:r w:rsidRPr="004814AB">
        <w:t xml:space="preserve">) will identify the </w:t>
      </w:r>
      <w:r>
        <w:t>broader impact and benefits of the program on participants and the wider community</w:t>
      </w:r>
      <w:r w:rsidRPr="00896BA9">
        <w:rPr>
          <w:i/>
        </w:rPr>
        <w:t>.</w:t>
      </w:r>
      <w:r>
        <w:t xml:space="preserve"> </w:t>
      </w:r>
    </w:p>
    <w:p w:rsidR="00B9303F" w:rsidRDefault="00B9303F" w:rsidP="00B9303F">
      <w:pPr>
        <w:pStyle w:val="Heading1"/>
      </w:pPr>
      <w:r>
        <w:lastRenderedPageBreak/>
        <w:t>Performance payments</w:t>
      </w:r>
    </w:p>
    <w:p w:rsidR="00B9303F" w:rsidRDefault="00B9303F" w:rsidP="00B9303F">
      <w:r>
        <w:t xml:space="preserve">Target performance success rates (as measured against a control group): </w:t>
      </w:r>
    </w:p>
    <w:p w:rsidR="00B9303F" w:rsidRDefault="00B9303F" w:rsidP="00B9303F">
      <w:pPr>
        <w:pStyle w:val="Bullet1"/>
      </w:pPr>
      <w:r w:rsidRPr="00C768D0">
        <w:rPr>
          <w:b/>
        </w:rPr>
        <w:t>Stable housing</w:t>
      </w:r>
      <w:r>
        <w:t>: 20 to 29.9% improvement in stable housing;</w:t>
      </w:r>
    </w:p>
    <w:p w:rsidR="00B9303F" w:rsidRDefault="00B9303F" w:rsidP="00B9303F">
      <w:pPr>
        <w:pStyle w:val="Bullet1"/>
      </w:pPr>
      <w:r w:rsidRPr="00C768D0">
        <w:rPr>
          <w:b/>
        </w:rPr>
        <w:t>Health</w:t>
      </w:r>
      <w:r w:rsidRPr="00C768D0">
        <w:t>:</w:t>
      </w:r>
      <w:r>
        <w:t xml:space="preserve"> 30 to 39.9</w:t>
      </w:r>
      <w:r w:rsidRPr="00C80956">
        <w:t>%</w:t>
      </w:r>
      <w:r>
        <w:t xml:space="preserve"> reduction in hospital bed day usage.</w:t>
      </w:r>
    </w:p>
    <w:p w:rsidR="00B9303F" w:rsidRDefault="00B9303F" w:rsidP="00043296"/>
    <w:p w:rsidR="00B9303F" w:rsidRPr="00B9303F" w:rsidRDefault="00B9303F" w:rsidP="00B9303F">
      <w:pPr>
        <w:pStyle w:val="HighlightBoxHeading"/>
      </w:pPr>
      <w:r w:rsidRPr="002114AB">
        <w:t>At target performance, some of the positive impacts are expected to be:</w:t>
      </w:r>
    </w:p>
    <w:p w:rsidR="00B9303F" w:rsidRDefault="00B9303F" w:rsidP="00B9303F">
      <w:pPr>
        <w:pStyle w:val="HighlightBoxTextbullet"/>
      </w:pPr>
      <w:r>
        <w:t>9,300 fewer days in supported short and medium-term accommodation over the four-year measurement period post-referral.</w:t>
      </w:r>
    </w:p>
    <w:p w:rsidR="00B9303F" w:rsidRDefault="00B9303F" w:rsidP="00B9303F">
      <w:pPr>
        <w:pStyle w:val="HighlightBoxTextbullet"/>
      </w:pPr>
      <w:r>
        <w:t>1,200 fewer days spent in hospital beds over the four-year measurement period post-referral.</w:t>
      </w:r>
    </w:p>
    <w:p w:rsidR="00B9303F" w:rsidRDefault="00B9303F" w:rsidP="00B9303F">
      <w:pPr>
        <w:pStyle w:val="HighlightBoxTextbullet"/>
      </w:pPr>
      <w:r>
        <w:t>900 fewer nights spent in mental health beds over the four-year measurement period post-referral.</w:t>
      </w:r>
    </w:p>
    <w:p w:rsidR="00B9303F" w:rsidRDefault="00B9303F" w:rsidP="00B9303F">
      <w:pPr>
        <w:pStyle w:val="HighlightBoxTextbullet"/>
      </w:pPr>
      <w:r>
        <w:t>1,200 fewer interactions with police across the four-year measurement period post-referral.</w:t>
      </w:r>
    </w:p>
    <w:p w:rsidR="00B9303F" w:rsidRDefault="00B9303F" w:rsidP="00043296"/>
    <w:sectPr w:rsidR="00B9303F" w:rsidSect="00B91E11">
      <w:headerReference w:type="default" r:id="rId14"/>
      <w:footerReference w:type="default" r:id="rId15"/>
      <w:pgSz w:w="11906" w:h="16838" w:code="9"/>
      <w:pgMar w:top="1987" w:right="1296" w:bottom="1170" w:left="1296"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03F" w:rsidRDefault="00B9303F" w:rsidP="002D711A">
      <w:pPr>
        <w:spacing w:after="0" w:line="240" w:lineRule="auto"/>
      </w:pPr>
      <w:r>
        <w:separator/>
      </w:r>
    </w:p>
  </w:endnote>
  <w:endnote w:type="continuationSeparator" w:id="0">
    <w:p w:rsidR="00B9303F" w:rsidRDefault="00B9303F"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Default="00F417C3" w:rsidP="004669E3">
    <w:pPr>
      <w:pStyle w:val="Spacer"/>
    </w:pPr>
  </w:p>
  <w:p w:rsidR="00F417C3" w:rsidRPr="00C022F9" w:rsidRDefault="00F417C3" w:rsidP="00B9303F">
    <w:pPr>
      <w:pStyle w:val="Footer"/>
      <w:tabs>
        <w:tab w:val="clear" w:pos="9026"/>
      </w:tabs>
      <w:jc w:val="right"/>
    </w:pP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A91B46">
      <w:rPr>
        <w:rStyle w:val="PageNumber"/>
      </w:rPr>
      <w:t>2</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03F" w:rsidRDefault="00B9303F" w:rsidP="002D711A">
      <w:pPr>
        <w:spacing w:after="0" w:line="240" w:lineRule="auto"/>
      </w:pPr>
      <w:r>
        <w:separator/>
      </w:r>
    </w:p>
  </w:footnote>
  <w:footnote w:type="continuationSeparator" w:id="0">
    <w:p w:rsidR="00B9303F" w:rsidRDefault="00B9303F"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Pr="0041689E" w:rsidRDefault="006B44DB">
    <w:pPr>
      <w:pStyle w:val="Header"/>
    </w:pPr>
    <w:r>
      <w:rPr>
        <w:noProof/>
      </w:rPr>
      <w:drawing>
        <wp:anchor distT="0" distB="0" distL="114300" distR="114300" simplePos="0" relativeHeight="251672576" behindDoc="0" locked="0" layoutInCell="1" allowOverlap="1" wp14:anchorId="5061F76C" wp14:editId="595DCBA4">
          <wp:simplePos x="0" y="0"/>
          <wp:positionH relativeFrom="column">
            <wp:posOffset>-840105</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7E5A3182" wp14:editId="652A4DBF">
          <wp:simplePos x="0" y="0"/>
          <wp:positionH relativeFrom="column">
            <wp:posOffset>-247954</wp:posOffset>
          </wp:positionH>
          <wp:positionV relativeFrom="page">
            <wp:posOffset>299085</wp:posOffset>
          </wp:positionV>
          <wp:extent cx="1380490" cy="411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2">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A24"/>
    <w:multiLevelType w:val="hybridMultilevel"/>
    <w:tmpl w:val="798ED54E"/>
    <w:lvl w:ilvl="0" w:tplc="96FCB7AA">
      <w:start w:val="1"/>
      <w:numFmt w:val="bullet"/>
      <w:pStyle w:val="HighlightBox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nsid w:val="674D47C4"/>
    <w:multiLevelType w:val="hybridMultilevel"/>
    <w:tmpl w:val="D940F014"/>
    <w:lvl w:ilvl="0" w:tplc="0C090001">
      <w:start w:val="1"/>
      <w:numFmt w:val="bullet"/>
      <w:lvlText w:val=""/>
      <w:lvlJc w:val="left"/>
      <w:pPr>
        <w:ind w:left="737" w:hanging="360"/>
      </w:pPr>
      <w:rPr>
        <w:rFonts w:ascii="Symbol" w:hAnsi="Symbol" w:hint="default"/>
      </w:rPr>
    </w:lvl>
    <w:lvl w:ilvl="1" w:tplc="0C090003" w:tentative="1">
      <w:start w:val="1"/>
      <w:numFmt w:val="bullet"/>
      <w:lvlText w:val="o"/>
      <w:lvlJc w:val="left"/>
      <w:pPr>
        <w:ind w:left="1457" w:hanging="360"/>
      </w:pPr>
      <w:rPr>
        <w:rFonts w:ascii="Courier New" w:hAnsi="Courier New" w:cs="Courier New" w:hint="default"/>
      </w:rPr>
    </w:lvl>
    <w:lvl w:ilvl="2" w:tplc="0C090005" w:tentative="1">
      <w:start w:val="1"/>
      <w:numFmt w:val="bullet"/>
      <w:lvlText w:val=""/>
      <w:lvlJc w:val="left"/>
      <w:pPr>
        <w:ind w:left="2177" w:hanging="360"/>
      </w:pPr>
      <w:rPr>
        <w:rFonts w:ascii="Wingdings" w:hAnsi="Wingdings" w:hint="default"/>
      </w:rPr>
    </w:lvl>
    <w:lvl w:ilvl="3" w:tplc="0C090001" w:tentative="1">
      <w:start w:val="1"/>
      <w:numFmt w:val="bullet"/>
      <w:lvlText w:val=""/>
      <w:lvlJc w:val="left"/>
      <w:pPr>
        <w:ind w:left="2897" w:hanging="360"/>
      </w:pPr>
      <w:rPr>
        <w:rFonts w:ascii="Symbol" w:hAnsi="Symbol" w:hint="default"/>
      </w:rPr>
    </w:lvl>
    <w:lvl w:ilvl="4" w:tplc="0C090003" w:tentative="1">
      <w:start w:val="1"/>
      <w:numFmt w:val="bullet"/>
      <w:lvlText w:val="o"/>
      <w:lvlJc w:val="left"/>
      <w:pPr>
        <w:ind w:left="3617" w:hanging="360"/>
      </w:pPr>
      <w:rPr>
        <w:rFonts w:ascii="Courier New" w:hAnsi="Courier New" w:cs="Courier New" w:hint="default"/>
      </w:rPr>
    </w:lvl>
    <w:lvl w:ilvl="5" w:tplc="0C090005" w:tentative="1">
      <w:start w:val="1"/>
      <w:numFmt w:val="bullet"/>
      <w:lvlText w:val=""/>
      <w:lvlJc w:val="left"/>
      <w:pPr>
        <w:ind w:left="4337" w:hanging="360"/>
      </w:pPr>
      <w:rPr>
        <w:rFonts w:ascii="Wingdings" w:hAnsi="Wingdings" w:hint="default"/>
      </w:rPr>
    </w:lvl>
    <w:lvl w:ilvl="6" w:tplc="0C090001" w:tentative="1">
      <w:start w:val="1"/>
      <w:numFmt w:val="bullet"/>
      <w:lvlText w:val=""/>
      <w:lvlJc w:val="left"/>
      <w:pPr>
        <w:ind w:left="5057" w:hanging="360"/>
      </w:pPr>
      <w:rPr>
        <w:rFonts w:ascii="Symbol" w:hAnsi="Symbol" w:hint="default"/>
      </w:rPr>
    </w:lvl>
    <w:lvl w:ilvl="7" w:tplc="0C090003" w:tentative="1">
      <w:start w:val="1"/>
      <w:numFmt w:val="bullet"/>
      <w:lvlText w:val="o"/>
      <w:lvlJc w:val="left"/>
      <w:pPr>
        <w:ind w:left="5777" w:hanging="360"/>
      </w:pPr>
      <w:rPr>
        <w:rFonts w:ascii="Courier New" w:hAnsi="Courier New" w:cs="Courier New" w:hint="default"/>
      </w:rPr>
    </w:lvl>
    <w:lvl w:ilvl="8" w:tplc="0C090005" w:tentative="1">
      <w:start w:val="1"/>
      <w:numFmt w:val="bullet"/>
      <w:lvlText w:val=""/>
      <w:lvlJc w:val="left"/>
      <w:pPr>
        <w:ind w:left="6497" w:hanging="360"/>
      </w:pPr>
      <w:rPr>
        <w:rFonts w:ascii="Wingdings" w:hAnsi="Wingdings" w:hint="default"/>
      </w:rPr>
    </w:lvl>
  </w:abstractNum>
  <w:abstractNum w:abstractNumId="5">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
  </w:num>
  <w:num w:numId="2">
    <w:abstractNumId w:val="3"/>
  </w:num>
  <w:num w:numId="3">
    <w:abstractNumId w:val="3"/>
  </w:num>
  <w:num w:numId="4">
    <w:abstractNumId w:val="7"/>
  </w:num>
  <w:num w:numId="5">
    <w:abstractNumId w:val="3"/>
  </w:num>
  <w:num w:numId="6">
    <w:abstractNumId w:val="3"/>
  </w:num>
  <w:num w:numId="7">
    <w:abstractNumId w:val="3"/>
  </w:num>
  <w:num w:numId="8">
    <w:abstractNumId w:val="3"/>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2"/>
  </w:num>
  <w:num w:numId="18">
    <w:abstractNumId w:val="2"/>
  </w:num>
  <w:num w:numId="19">
    <w:abstractNumId w:val="6"/>
  </w:num>
  <w:num w:numId="20">
    <w:abstractNumId w:val="5"/>
  </w:num>
  <w:num w:numId="21">
    <w:abstractNumId w:val="1"/>
  </w:num>
  <w:num w:numId="22">
    <w:abstractNumId w:val="1"/>
  </w:num>
  <w:num w:numId="23">
    <w:abstractNumId w:val="1"/>
  </w:num>
  <w:num w:numId="24">
    <w:abstractNumId w:val="6"/>
  </w:num>
  <w:num w:numId="25">
    <w:abstractNumId w:val="7"/>
  </w:num>
  <w:num w:numId="26">
    <w:abstractNumId w:val="2"/>
  </w:num>
  <w:num w:numId="27">
    <w:abstractNumId w:val="2"/>
  </w:num>
  <w:num w:numId="28">
    <w:abstractNumId w:val="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3F"/>
    <w:rsid w:val="00012F6F"/>
    <w:rsid w:val="00014213"/>
    <w:rsid w:val="00014B55"/>
    <w:rsid w:val="00020E3E"/>
    <w:rsid w:val="00023BF3"/>
    <w:rsid w:val="00026811"/>
    <w:rsid w:val="00043296"/>
    <w:rsid w:val="0004356D"/>
    <w:rsid w:val="00045296"/>
    <w:rsid w:val="00075E6C"/>
    <w:rsid w:val="000B29AD"/>
    <w:rsid w:val="000C6372"/>
    <w:rsid w:val="000D593F"/>
    <w:rsid w:val="000E392D"/>
    <w:rsid w:val="000F4288"/>
    <w:rsid w:val="000F7165"/>
    <w:rsid w:val="00102379"/>
    <w:rsid w:val="001065D6"/>
    <w:rsid w:val="00121252"/>
    <w:rsid w:val="00124609"/>
    <w:rsid w:val="001254CE"/>
    <w:rsid w:val="00126AF9"/>
    <w:rsid w:val="00134CEA"/>
    <w:rsid w:val="001422CC"/>
    <w:rsid w:val="001617B6"/>
    <w:rsid w:val="00165E66"/>
    <w:rsid w:val="001A3DD1"/>
    <w:rsid w:val="001C7BAE"/>
    <w:rsid w:val="001D717E"/>
    <w:rsid w:val="001E31FA"/>
    <w:rsid w:val="001E64F6"/>
    <w:rsid w:val="00200BB3"/>
    <w:rsid w:val="00222BEB"/>
    <w:rsid w:val="00225E60"/>
    <w:rsid w:val="00227C39"/>
    <w:rsid w:val="0023202C"/>
    <w:rsid w:val="00236203"/>
    <w:rsid w:val="00245043"/>
    <w:rsid w:val="00257760"/>
    <w:rsid w:val="00292D36"/>
    <w:rsid w:val="00297281"/>
    <w:rsid w:val="002C54E0"/>
    <w:rsid w:val="002D711A"/>
    <w:rsid w:val="002D7336"/>
    <w:rsid w:val="002E3396"/>
    <w:rsid w:val="0031149C"/>
    <w:rsid w:val="0038771C"/>
    <w:rsid w:val="00392A8F"/>
    <w:rsid w:val="0039405B"/>
    <w:rsid w:val="003A1C92"/>
    <w:rsid w:val="003A541A"/>
    <w:rsid w:val="003A6923"/>
    <w:rsid w:val="003C2C67"/>
    <w:rsid w:val="003C2EA2"/>
    <w:rsid w:val="003C5BA4"/>
    <w:rsid w:val="003E3E26"/>
    <w:rsid w:val="003F1295"/>
    <w:rsid w:val="003F76FC"/>
    <w:rsid w:val="004002EB"/>
    <w:rsid w:val="00405C57"/>
    <w:rsid w:val="0041689E"/>
    <w:rsid w:val="004236C8"/>
    <w:rsid w:val="00427681"/>
    <w:rsid w:val="00433DB7"/>
    <w:rsid w:val="00453750"/>
    <w:rsid w:val="00456941"/>
    <w:rsid w:val="004669E3"/>
    <w:rsid w:val="004702EA"/>
    <w:rsid w:val="00482D02"/>
    <w:rsid w:val="004A7519"/>
    <w:rsid w:val="004B41CA"/>
    <w:rsid w:val="004D3518"/>
    <w:rsid w:val="004D62D6"/>
    <w:rsid w:val="0053416C"/>
    <w:rsid w:val="00541C2F"/>
    <w:rsid w:val="00563527"/>
    <w:rsid w:val="0058124E"/>
    <w:rsid w:val="00584301"/>
    <w:rsid w:val="005875A3"/>
    <w:rsid w:val="005A3416"/>
    <w:rsid w:val="005B27FE"/>
    <w:rsid w:val="005C3E6D"/>
    <w:rsid w:val="005F331D"/>
    <w:rsid w:val="005F61DF"/>
    <w:rsid w:val="006023F9"/>
    <w:rsid w:val="00610559"/>
    <w:rsid w:val="006332F6"/>
    <w:rsid w:val="006361E7"/>
    <w:rsid w:val="00652625"/>
    <w:rsid w:val="006534B2"/>
    <w:rsid w:val="0065615D"/>
    <w:rsid w:val="00657011"/>
    <w:rsid w:val="006650B5"/>
    <w:rsid w:val="006651B1"/>
    <w:rsid w:val="00665778"/>
    <w:rsid w:val="006738C4"/>
    <w:rsid w:val="00691C09"/>
    <w:rsid w:val="006A5B34"/>
    <w:rsid w:val="006A5F5B"/>
    <w:rsid w:val="006B44DB"/>
    <w:rsid w:val="006C77A9"/>
    <w:rsid w:val="006F6693"/>
    <w:rsid w:val="00707FE8"/>
    <w:rsid w:val="00724962"/>
    <w:rsid w:val="00724A0F"/>
    <w:rsid w:val="0073072C"/>
    <w:rsid w:val="007320B4"/>
    <w:rsid w:val="00732162"/>
    <w:rsid w:val="00736732"/>
    <w:rsid w:val="00750CBE"/>
    <w:rsid w:val="00766B5A"/>
    <w:rsid w:val="007834F2"/>
    <w:rsid w:val="00791020"/>
    <w:rsid w:val="007A5F82"/>
    <w:rsid w:val="007B75A4"/>
    <w:rsid w:val="007F1A4C"/>
    <w:rsid w:val="008022C3"/>
    <w:rsid w:val="008041E6"/>
    <w:rsid w:val="008065D2"/>
    <w:rsid w:val="0082194C"/>
    <w:rsid w:val="008220C4"/>
    <w:rsid w:val="008222FF"/>
    <w:rsid w:val="008241FF"/>
    <w:rsid w:val="008411E9"/>
    <w:rsid w:val="0084200F"/>
    <w:rsid w:val="00843B2C"/>
    <w:rsid w:val="008471C4"/>
    <w:rsid w:val="008A4900"/>
    <w:rsid w:val="008D0281"/>
    <w:rsid w:val="008E3C4E"/>
    <w:rsid w:val="008F6D45"/>
    <w:rsid w:val="009834C0"/>
    <w:rsid w:val="00984C95"/>
    <w:rsid w:val="00986AAC"/>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562B"/>
    <w:rsid w:val="00A170F4"/>
    <w:rsid w:val="00A2559E"/>
    <w:rsid w:val="00A25FD9"/>
    <w:rsid w:val="00A46BA8"/>
    <w:rsid w:val="00A47634"/>
    <w:rsid w:val="00A612FE"/>
    <w:rsid w:val="00A91B46"/>
    <w:rsid w:val="00AA26B8"/>
    <w:rsid w:val="00AA6FB5"/>
    <w:rsid w:val="00AB3FE2"/>
    <w:rsid w:val="00AD3322"/>
    <w:rsid w:val="00AD7E4E"/>
    <w:rsid w:val="00AF34DE"/>
    <w:rsid w:val="00AF4D58"/>
    <w:rsid w:val="00AF6666"/>
    <w:rsid w:val="00B10154"/>
    <w:rsid w:val="00B81B44"/>
    <w:rsid w:val="00B9053B"/>
    <w:rsid w:val="00B91E11"/>
    <w:rsid w:val="00B9303F"/>
    <w:rsid w:val="00BC3422"/>
    <w:rsid w:val="00C015B9"/>
    <w:rsid w:val="00C022F9"/>
    <w:rsid w:val="00C032EA"/>
    <w:rsid w:val="00C06EB5"/>
    <w:rsid w:val="00C1145F"/>
    <w:rsid w:val="00C637E1"/>
    <w:rsid w:val="00C70D50"/>
    <w:rsid w:val="00C8243E"/>
    <w:rsid w:val="00C907D7"/>
    <w:rsid w:val="00C92338"/>
    <w:rsid w:val="00CA7C3A"/>
    <w:rsid w:val="00CC2DB2"/>
    <w:rsid w:val="00CD0307"/>
    <w:rsid w:val="00CD3D1B"/>
    <w:rsid w:val="00CE62B3"/>
    <w:rsid w:val="00CF7DCA"/>
    <w:rsid w:val="00D211E9"/>
    <w:rsid w:val="00D2312F"/>
    <w:rsid w:val="00D269C1"/>
    <w:rsid w:val="00D44953"/>
    <w:rsid w:val="00D542F3"/>
    <w:rsid w:val="00D543E5"/>
    <w:rsid w:val="00D5644B"/>
    <w:rsid w:val="00D56E25"/>
    <w:rsid w:val="00D71896"/>
    <w:rsid w:val="00D718D7"/>
    <w:rsid w:val="00D73212"/>
    <w:rsid w:val="00D814B7"/>
    <w:rsid w:val="00D90688"/>
    <w:rsid w:val="00DA3AAD"/>
    <w:rsid w:val="00DB312B"/>
    <w:rsid w:val="00DC5654"/>
    <w:rsid w:val="00DC658F"/>
    <w:rsid w:val="00DE60CC"/>
    <w:rsid w:val="00E26B32"/>
    <w:rsid w:val="00E31444"/>
    <w:rsid w:val="00E407B6"/>
    <w:rsid w:val="00E41EF1"/>
    <w:rsid w:val="00E42942"/>
    <w:rsid w:val="00E468A6"/>
    <w:rsid w:val="00E71BDF"/>
    <w:rsid w:val="00E83CA7"/>
    <w:rsid w:val="00EC171D"/>
    <w:rsid w:val="00ED487E"/>
    <w:rsid w:val="00EE7A0D"/>
    <w:rsid w:val="00EF0D21"/>
    <w:rsid w:val="00F17CE1"/>
    <w:rsid w:val="00F2115C"/>
    <w:rsid w:val="00F22ABA"/>
    <w:rsid w:val="00F36B12"/>
    <w:rsid w:val="00F417C3"/>
    <w:rsid w:val="00F60F9F"/>
    <w:rsid w:val="00F64F08"/>
    <w:rsid w:val="00F734F5"/>
    <w:rsid w:val="00F966B1"/>
    <w:rsid w:val="00F97D48"/>
    <w:rsid w:val="00FA0311"/>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B9303F"/>
    <w:pPr>
      <w:keepNext/>
      <w:keepLines/>
      <w:spacing w:before="48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201547"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201547"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201547"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201547" w:themeFill="accent1"/>
        <w:vAlign w:val="bottom"/>
      </w:tcPr>
    </w:tblStylePr>
    <w:tblStylePr w:type="lastRow">
      <w:rPr>
        <w:b/>
      </w:rPr>
      <w:tblPr/>
      <w:tcPr>
        <w:tcBorders>
          <w:top w:val="single" w:sz="6" w:space="0" w:color="201547" w:themeColor="accent1"/>
          <w:left w:val="nil"/>
          <w:bottom w:val="single" w:sz="12" w:space="0" w:color="201547" w:themeColor="accent1"/>
          <w:right w:val="nil"/>
          <w:insideV w:val="nil"/>
        </w:tcBorders>
      </w:tcPr>
    </w:tblStylePr>
    <w:tblStylePr w:type="firstCol">
      <w:pPr>
        <w:jc w:val="left"/>
      </w:pPr>
      <w:tblPr/>
      <w:tcPr>
        <w:shd w:val="clear" w:color="auto" w:fill="C2E3FF" w:themeFill="accent3" w:themeFillTint="33"/>
      </w:tcPr>
    </w:tblStylePr>
    <w:tblStylePr w:type="band1Vert">
      <w:pPr>
        <w:jc w:val="right"/>
      </w:pPr>
    </w:tblStylePr>
    <w:tblStylePr w:type="band2Vert">
      <w:pPr>
        <w:jc w:val="right"/>
      </w:pPr>
    </w:tblStylePr>
    <w:tblStylePr w:type="band2Horz">
      <w:tblPr/>
      <w:tcPr>
        <w:shd w:val="clear" w:color="auto" w:fill="C2E3FF"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8F8AA3" w:themeColor="accent4"/>
        <w:left w:val="single" w:sz="8" w:space="0" w:color="8F8AA3" w:themeColor="accent4"/>
        <w:bottom w:val="single" w:sz="8" w:space="0" w:color="8F8AA3" w:themeColor="accent4"/>
        <w:right w:val="single" w:sz="8" w:space="0" w:color="8F8AA3" w:themeColor="accent4"/>
      </w:tblBorders>
    </w:tblPr>
    <w:tblStylePr w:type="firstRow">
      <w:pPr>
        <w:spacing w:before="0" w:after="0" w:line="240" w:lineRule="auto"/>
      </w:pPr>
      <w:rPr>
        <w:b/>
        <w:bCs/>
        <w:color w:val="FFFFFF" w:themeColor="background1"/>
      </w:rPr>
      <w:tblPr/>
      <w:tcPr>
        <w:shd w:val="clear" w:color="auto" w:fill="8F8AA3" w:themeFill="accent4"/>
      </w:tcPr>
    </w:tblStylePr>
    <w:tblStylePr w:type="lastRow">
      <w:pPr>
        <w:spacing w:before="0" w:after="0" w:line="240" w:lineRule="auto"/>
      </w:pPr>
      <w:rPr>
        <w:b/>
        <w:bCs/>
      </w:rPr>
      <w:tblPr/>
      <w:tcPr>
        <w:tcBorders>
          <w:top w:val="double" w:sz="6" w:space="0" w:color="8F8AA3" w:themeColor="accent4"/>
          <w:left w:val="single" w:sz="8" w:space="0" w:color="8F8AA3" w:themeColor="accent4"/>
          <w:bottom w:val="single" w:sz="8" w:space="0" w:color="8F8AA3" w:themeColor="accent4"/>
          <w:right w:val="single" w:sz="8" w:space="0" w:color="8F8AA3" w:themeColor="accent4"/>
        </w:tcBorders>
      </w:tcPr>
    </w:tblStylePr>
    <w:tblStylePr w:type="firstCol">
      <w:rPr>
        <w:b/>
        <w:bCs/>
      </w:rPr>
    </w:tblStylePr>
    <w:tblStylePr w:type="lastCol">
      <w:rPr>
        <w:b/>
        <w:bCs/>
      </w:rPr>
    </w:tblStylePr>
    <w:tblStylePr w:type="band1Vert">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tcPr>
    </w:tblStylePr>
    <w:tblStylePr w:type="band1Horz">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pPr>
        <w:spacing w:before="0" w:after="0" w:line="240" w:lineRule="auto"/>
      </w:pPr>
      <w:rPr>
        <w:b/>
        <w:bCs/>
        <w:color w:val="FFFFFF" w:themeColor="background1"/>
      </w:rPr>
      <w:tblPr/>
      <w:tcPr>
        <w:shd w:val="clear" w:color="auto" w:fill="201547" w:themeFill="accent1"/>
      </w:tcPr>
    </w:tblStylePr>
    <w:tblStylePr w:type="lastRow">
      <w:pPr>
        <w:spacing w:before="0" w:after="0" w:line="240" w:lineRule="auto"/>
      </w:pPr>
      <w:rPr>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tcBorders>
      </w:tcPr>
    </w:tblStylePr>
    <w:tblStylePr w:type="firstCol">
      <w:rPr>
        <w:b/>
        <w:bCs/>
      </w:rPr>
    </w:tblStylePr>
    <w:tblStylePr w:type="lastCol">
      <w:rPr>
        <w:b/>
        <w:bCs/>
      </w:r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0000FF" w:themeColor="hyperlink"/>
      <w:u w:val="none"/>
    </w:rPr>
  </w:style>
  <w:style w:type="character" w:customStyle="1" w:styleId="Heading1Char">
    <w:name w:val="Heading 1 Char"/>
    <w:basedOn w:val="DefaultParagraphFont"/>
    <w:link w:val="Heading1"/>
    <w:rsid w:val="00B9303F"/>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201547"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201547"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201547"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201547"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201547"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201547"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201547"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201547" w:themeFill="accent1"/>
        <w:vAlign w:val="bottom"/>
      </w:tcPr>
    </w:tblStylePr>
    <w:tblStylePr w:type="lastRow">
      <w:rPr>
        <w:b/>
      </w:rPr>
      <w:tblPr/>
      <w:tcPr>
        <w:tcBorders>
          <w:top w:val="single" w:sz="6" w:space="0" w:color="201547" w:themeColor="accent1"/>
          <w:left w:val="nil"/>
          <w:bottom w:val="single" w:sz="12" w:space="0" w:color="201547" w:themeColor="accent1"/>
          <w:right w:val="nil"/>
          <w:insideV w:val="nil"/>
        </w:tcBorders>
      </w:tcPr>
    </w:tblStylePr>
    <w:tblStylePr w:type="firstCol">
      <w:pPr>
        <w:jc w:val="left"/>
      </w:pPr>
      <w:tblPr/>
      <w:tcPr>
        <w:shd w:val="clear" w:color="auto" w:fill="C2E3FF"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C2E3FF"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201547" w:themeFill="accent1"/>
        <w:vAlign w:val="bottom"/>
      </w:tcPr>
    </w:tblStylePr>
    <w:tblStylePr w:type="lastRow">
      <w:rPr>
        <w:b/>
      </w:rPr>
      <w:tblPr/>
      <w:tcPr>
        <w:tcBorders>
          <w:top w:val="single" w:sz="6" w:space="0" w:color="201547" w:themeColor="accent1"/>
          <w:left w:val="nil"/>
          <w:bottom w:val="single" w:sz="12" w:space="0" w:color="201547" w:themeColor="accent1"/>
          <w:right w:val="nil"/>
          <w:insideV w:val="nil"/>
        </w:tcBorders>
      </w:tcPr>
    </w:tblStylePr>
    <w:tblStylePr w:type="firstCol">
      <w:pPr>
        <w:jc w:val="left"/>
      </w:pPr>
      <w:tblPr/>
      <w:tcPr>
        <w:shd w:val="clear" w:color="auto" w:fill="C2E3FF" w:themeFill="accent3" w:themeFillTint="33"/>
      </w:tcPr>
    </w:tblStylePr>
    <w:tblStylePr w:type="band1Vert">
      <w:pPr>
        <w:jc w:val="right"/>
      </w:pPr>
    </w:tblStylePr>
    <w:tblStylePr w:type="band2Vert">
      <w:pPr>
        <w:jc w:val="right"/>
      </w:pPr>
    </w:tblStylePr>
    <w:tblStylePr w:type="band2Horz">
      <w:tblPr/>
      <w:tcPr>
        <w:shd w:val="clear" w:color="auto" w:fill="C2E3FF"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B9303F"/>
    <w:pPr>
      <w:numPr>
        <w:numId w:val="27"/>
      </w:numPr>
      <w:spacing w:before="40" w:after="40" w:line="252" w:lineRule="auto"/>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201547"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201547" w:themeFill="accent1"/>
        <w:vAlign w:val="bottom"/>
      </w:tcPr>
    </w:tblStylePr>
    <w:tblStylePr w:type="lastRow">
      <w:rPr>
        <w:b/>
      </w:rPr>
      <w:tblPr/>
      <w:tcPr>
        <w:tcBorders>
          <w:top w:val="single" w:sz="6" w:space="0" w:color="201547" w:themeColor="accent1"/>
          <w:left w:val="nil"/>
          <w:bottom w:val="single" w:sz="12" w:space="0" w:color="201547" w:themeColor="accent1"/>
          <w:right w:val="nil"/>
          <w:insideV w:val="nil"/>
        </w:tcBorders>
      </w:tcPr>
    </w:tblStylePr>
    <w:tblStylePr w:type="firstCol">
      <w:pPr>
        <w:jc w:val="left"/>
      </w:pPr>
      <w:tblPr/>
      <w:tcPr>
        <w:shd w:val="clear" w:color="auto" w:fill="C2E3FF" w:themeFill="accent3" w:themeFillTint="33"/>
      </w:tcPr>
    </w:tblStylePr>
    <w:tblStylePr w:type="band1Vert">
      <w:pPr>
        <w:jc w:val="right"/>
      </w:pPr>
    </w:tblStylePr>
    <w:tblStylePr w:type="band2Vert">
      <w:pPr>
        <w:jc w:val="right"/>
      </w:pPr>
    </w:tblStylePr>
    <w:tblStylePr w:type="band2Horz">
      <w:tblPr/>
      <w:tcPr>
        <w:shd w:val="clear" w:color="auto" w:fill="C2E3FF"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201547" w:themeFill="accent1"/>
        <w:vAlign w:val="bottom"/>
      </w:tcPr>
    </w:tblStylePr>
    <w:tblStylePr w:type="lastRow">
      <w:rPr>
        <w:b/>
      </w:rPr>
      <w:tblPr/>
      <w:tcPr>
        <w:tcBorders>
          <w:top w:val="single" w:sz="6" w:space="0" w:color="201547" w:themeColor="accent1"/>
          <w:left w:val="nil"/>
          <w:bottom w:val="single" w:sz="12" w:space="0" w:color="201547" w:themeColor="accent1"/>
          <w:right w:val="nil"/>
          <w:insideV w:val="nil"/>
        </w:tcBorders>
      </w:tcPr>
    </w:tblStylePr>
    <w:tblStylePr w:type="firstCol">
      <w:pPr>
        <w:jc w:val="left"/>
      </w:pPr>
      <w:tblPr/>
      <w:tcPr>
        <w:shd w:val="clear" w:color="auto" w:fill="C2E3FF"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C2E3FF"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bodytext-bold">
    <w:name w:val="body text - bold"/>
    <w:basedOn w:val="Normal"/>
    <w:link w:val="bodytext-boldChar"/>
    <w:uiPriority w:val="99"/>
    <w:rsid w:val="00B9303F"/>
    <w:pPr>
      <w:widowControl w:val="0"/>
      <w:autoSpaceDE w:val="0"/>
      <w:autoSpaceDN w:val="0"/>
      <w:adjustRightInd w:val="0"/>
      <w:spacing w:before="0" w:after="0" w:line="180" w:lineRule="atLeast"/>
      <w:textAlignment w:val="center"/>
    </w:pPr>
    <w:rPr>
      <w:rFonts w:ascii="Helvetica-Bold" w:eastAsia="MS Mincho" w:hAnsi="Helvetica-Bold" w:cs="Helvetica-Bold"/>
      <w:b/>
      <w:bCs/>
      <w:color w:val="000000"/>
      <w:spacing w:val="0"/>
      <w:sz w:val="16"/>
      <w:szCs w:val="16"/>
      <w:lang w:val="en-GB" w:eastAsia="en-US"/>
    </w:rPr>
  </w:style>
  <w:style w:type="character" w:customStyle="1" w:styleId="bodytext-boldChar">
    <w:name w:val="body text - bold Char"/>
    <w:basedOn w:val="DefaultParagraphFont"/>
    <w:link w:val="bodytext-bold"/>
    <w:uiPriority w:val="99"/>
    <w:rsid w:val="00B9303F"/>
    <w:rPr>
      <w:rFonts w:ascii="Helvetica-Bold" w:eastAsia="MS Mincho" w:hAnsi="Helvetica-Bold" w:cs="Helvetica-Bold"/>
      <w:b/>
      <w:bCs/>
      <w:color w:val="000000"/>
      <w:sz w:val="16"/>
      <w:szCs w:val="16"/>
      <w:lang w:val="en-GB" w:eastAsia="en-US"/>
    </w:rPr>
  </w:style>
  <w:style w:type="paragraph" w:customStyle="1" w:styleId="HighlightBoxHeading">
    <w:name w:val="Highlight Box Heading"/>
    <w:basedOn w:val="Normal"/>
    <w:next w:val="Normal"/>
    <w:uiPriority w:val="59"/>
    <w:qFormat/>
    <w:rsid w:val="00B9303F"/>
    <w:pPr>
      <w:keepNext/>
      <w:pBdr>
        <w:top w:val="single" w:sz="8" w:space="3" w:color="201547" w:themeColor="accent1"/>
        <w:left w:val="single" w:sz="8" w:space="5" w:color="201547" w:themeColor="accent1"/>
        <w:bottom w:val="single" w:sz="8" w:space="3" w:color="201547" w:themeColor="accent1"/>
        <w:right w:val="single" w:sz="8" w:space="5" w:color="201547" w:themeColor="accent1"/>
      </w:pBdr>
      <w:shd w:val="clear" w:color="auto" w:fill="0072CE" w:themeFill="accent3"/>
      <w:spacing w:line="264" w:lineRule="auto"/>
    </w:pPr>
    <w:rPr>
      <w:rFonts w:asciiTheme="majorHAnsi" w:eastAsiaTheme="minorHAnsi" w:hAnsiTheme="majorHAnsi"/>
      <w:b/>
      <w:color w:val="FFFFFF" w:themeColor="background1"/>
      <w:spacing w:val="0"/>
      <w:lang w:eastAsia="en-US"/>
    </w:rPr>
  </w:style>
  <w:style w:type="paragraph" w:customStyle="1" w:styleId="HighlightBoxText">
    <w:name w:val="Highlight Box Text"/>
    <w:basedOn w:val="Normal"/>
    <w:uiPriority w:val="60"/>
    <w:qFormat/>
    <w:rsid w:val="00B9303F"/>
    <w:pPr>
      <w:pBdr>
        <w:top w:val="single" w:sz="8" w:space="3" w:color="201547" w:themeColor="accent1"/>
        <w:left w:val="single" w:sz="8" w:space="5" w:color="201547" w:themeColor="accent1"/>
        <w:bottom w:val="single" w:sz="8" w:space="3" w:color="201547" w:themeColor="accent1"/>
        <w:right w:val="single" w:sz="8" w:space="5" w:color="201547" w:themeColor="accent1"/>
      </w:pBdr>
      <w:shd w:val="clear" w:color="auto" w:fill="CCE3F5" w:themeFill="accent6"/>
      <w:spacing w:line="264" w:lineRule="auto"/>
    </w:pPr>
    <w:rPr>
      <w:rFonts w:eastAsiaTheme="minorHAnsi"/>
      <w:spacing w:val="0"/>
      <w:lang w:eastAsia="en-US"/>
    </w:rPr>
  </w:style>
  <w:style w:type="paragraph" w:customStyle="1" w:styleId="HighlightBoxTextbullet">
    <w:name w:val="Highlight Box Text bullet"/>
    <w:basedOn w:val="HighlightBoxText"/>
    <w:qFormat/>
    <w:rsid w:val="00B9303F"/>
    <w:pPr>
      <w:numPr>
        <w:numId w:val="29"/>
      </w:numPr>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B9303F"/>
    <w:pPr>
      <w:keepNext/>
      <w:keepLines/>
      <w:spacing w:before="48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201547"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201547"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201547"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201547" w:themeFill="accent1"/>
        <w:vAlign w:val="bottom"/>
      </w:tcPr>
    </w:tblStylePr>
    <w:tblStylePr w:type="lastRow">
      <w:rPr>
        <w:b/>
      </w:rPr>
      <w:tblPr/>
      <w:tcPr>
        <w:tcBorders>
          <w:top w:val="single" w:sz="6" w:space="0" w:color="201547" w:themeColor="accent1"/>
          <w:left w:val="nil"/>
          <w:bottom w:val="single" w:sz="12" w:space="0" w:color="201547" w:themeColor="accent1"/>
          <w:right w:val="nil"/>
          <w:insideV w:val="nil"/>
        </w:tcBorders>
      </w:tcPr>
    </w:tblStylePr>
    <w:tblStylePr w:type="firstCol">
      <w:pPr>
        <w:jc w:val="left"/>
      </w:pPr>
      <w:tblPr/>
      <w:tcPr>
        <w:shd w:val="clear" w:color="auto" w:fill="C2E3FF" w:themeFill="accent3" w:themeFillTint="33"/>
      </w:tcPr>
    </w:tblStylePr>
    <w:tblStylePr w:type="band1Vert">
      <w:pPr>
        <w:jc w:val="right"/>
      </w:pPr>
    </w:tblStylePr>
    <w:tblStylePr w:type="band2Vert">
      <w:pPr>
        <w:jc w:val="right"/>
      </w:pPr>
    </w:tblStylePr>
    <w:tblStylePr w:type="band2Horz">
      <w:tblPr/>
      <w:tcPr>
        <w:shd w:val="clear" w:color="auto" w:fill="C2E3FF"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8F8AA3" w:themeColor="accent4"/>
        <w:left w:val="single" w:sz="8" w:space="0" w:color="8F8AA3" w:themeColor="accent4"/>
        <w:bottom w:val="single" w:sz="8" w:space="0" w:color="8F8AA3" w:themeColor="accent4"/>
        <w:right w:val="single" w:sz="8" w:space="0" w:color="8F8AA3" w:themeColor="accent4"/>
      </w:tblBorders>
    </w:tblPr>
    <w:tblStylePr w:type="firstRow">
      <w:pPr>
        <w:spacing w:before="0" w:after="0" w:line="240" w:lineRule="auto"/>
      </w:pPr>
      <w:rPr>
        <w:b/>
        <w:bCs/>
        <w:color w:val="FFFFFF" w:themeColor="background1"/>
      </w:rPr>
      <w:tblPr/>
      <w:tcPr>
        <w:shd w:val="clear" w:color="auto" w:fill="8F8AA3" w:themeFill="accent4"/>
      </w:tcPr>
    </w:tblStylePr>
    <w:tblStylePr w:type="lastRow">
      <w:pPr>
        <w:spacing w:before="0" w:after="0" w:line="240" w:lineRule="auto"/>
      </w:pPr>
      <w:rPr>
        <w:b/>
        <w:bCs/>
      </w:rPr>
      <w:tblPr/>
      <w:tcPr>
        <w:tcBorders>
          <w:top w:val="double" w:sz="6" w:space="0" w:color="8F8AA3" w:themeColor="accent4"/>
          <w:left w:val="single" w:sz="8" w:space="0" w:color="8F8AA3" w:themeColor="accent4"/>
          <w:bottom w:val="single" w:sz="8" w:space="0" w:color="8F8AA3" w:themeColor="accent4"/>
          <w:right w:val="single" w:sz="8" w:space="0" w:color="8F8AA3" w:themeColor="accent4"/>
        </w:tcBorders>
      </w:tcPr>
    </w:tblStylePr>
    <w:tblStylePr w:type="firstCol">
      <w:rPr>
        <w:b/>
        <w:bCs/>
      </w:rPr>
    </w:tblStylePr>
    <w:tblStylePr w:type="lastCol">
      <w:rPr>
        <w:b/>
        <w:bCs/>
      </w:rPr>
    </w:tblStylePr>
    <w:tblStylePr w:type="band1Vert">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tcPr>
    </w:tblStylePr>
    <w:tblStylePr w:type="band1Horz">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pPr>
        <w:spacing w:before="0" w:after="0" w:line="240" w:lineRule="auto"/>
      </w:pPr>
      <w:rPr>
        <w:b/>
        <w:bCs/>
        <w:color w:val="FFFFFF" w:themeColor="background1"/>
      </w:rPr>
      <w:tblPr/>
      <w:tcPr>
        <w:shd w:val="clear" w:color="auto" w:fill="201547" w:themeFill="accent1"/>
      </w:tcPr>
    </w:tblStylePr>
    <w:tblStylePr w:type="lastRow">
      <w:pPr>
        <w:spacing w:before="0" w:after="0" w:line="240" w:lineRule="auto"/>
      </w:pPr>
      <w:rPr>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tcBorders>
      </w:tcPr>
    </w:tblStylePr>
    <w:tblStylePr w:type="firstCol">
      <w:rPr>
        <w:b/>
        <w:bCs/>
      </w:rPr>
    </w:tblStylePr>
    <w:tblStylePr w:type="lastCol">
      <w:rPr>
        <w:b/>
        <w:bCs/>
      </w:r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0000FF" w:themeColor="hyperlink"/>
      <w:u w:val="none"/>
    </w:rPr>
  </w:style>
  <w:style w:type="character" w:customStyle="1" w:styleId="Heading1Char">
    <w:name w:val="Heading 1 Char"/>
    <w:basedOn w:val="DefaultParagraphFont"/>
    <w:link w:val="Heading1"/>
    <w:rsid w:val="00B9303F"/>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201547"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201547"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201547"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201547"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201547"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201547"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201547"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201547" w:themeFill="accent1"/>
        <w:vAlign w:val="bottom"/>
      </w:tcPr>
    </w:tblStylePr>
    <w:tblStylePr w:type="lastRow">
      <w:rPr>
        <w:b/>
      </w:rPr>
      <w:tblPr/>
      <w:tcPr>
        <w:tcBorders>
          <w:top w:val="single" w:sz="6" w:space="0" w:color="201547" w:themeColor="accent1"/>
          <w:left w:val="nil"/>
          <w:bottom w:val="single" w:sz="12" w:space="0" w:color="201547" w:themeColor="accent1"/>
          <w:right w:val="nil"/>
          <w:insideV w:val="nil"/>
        </w:tcBorders>
      </w:tcPr>
    </w:tblStylePr>
    <w:tblStylePr w:type="firstCol">
      <w:pPr>
        <w:jc w:val="left"/>
      </w:pPr>
      <w:tblPr/>
      <w:tcPr>
        <w:shd w:val="clear" w:color="auto" w:fill="C2E3FF"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C2E3FF"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201547" w:themeFill="accent1"/>
        <w:vAlign w:val="bottom"/>
      </w:tcPr>
    </w:tblStylePr>
    <w:tblStylePr w:type="lastRow">
      <w:rPr>
        <w:b/>
      </w:rPr>
      <w:tblPr/>
      <w:tcPr>
        <w:tcBorders>
          <w:top w:val="single" w:sz="6" w:space="0" w:color="201547" w:themeColor="accent1"/>
          <w:left w:val="nil"/>
          <w:bottom w:val="single" w:sz="12" w:space="0" w:color="201547" w:themeColor="accent1"/>
          <w:right w:val="nil"/>
          <w:insideV w:val="nil"/>
        </w:tcBorders>
      </w:tcPr>
    </w:tblStylePr>
    <w:tblStylePr w:type="firstCol">
      <w:pPr>
        <w:jc w:val="left"/>
      </w:pPr>
      <w:tblPr/>
      <w:tcPr>
        <w:shd w:val="clear" w:color="auto" w:fill="C2E3FF" w:themeFill="accent3" w:themeFillTint="33"/>
      </w:tcPr>
    </w:tblStylePr>
    <w:tblStylePr w:type="band1Vert">
      <w:pPr>
        <w:jc w:val="right"/>
      </w:pPr>
    </w:tblStylePr>
    <w:tblStylePr w:type="band2Vert">
      <w:pPr>
        <w:jc w:val="right"/>
      </w:pPr>
    </w:tblStylePr>
    <w:tblStylePr w:type="band2Horz">
      <w:tblPr/>
      <w:tcPr>
        <w:shd w:val="clear" w:color="auto" w:fill="C2E3FF"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B9303F"/>
    <w:pPr>
      <w:numPr>
        <w:numId w:val="27"/>
      </w:numPr>
      <w:spacing w:before="40" w:after="40" w:line="252" w:lineRule="auto"/>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201547"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201547" w:themeFill="accent1"/>
        <w:vAlign w:val="bottom"/>
      </w:tcPr>
    </w:tblStylePr>
    <w:tblStylePr w:type="lastRow">
      <w:rPr>
        <w:b/>
      </w:rPr>
      <w:tblPr/>
      <w:tcPr>
        <w:tcBorders>
          <w:top w:val="single" w:sz="6" w:space="0" w:color="201547" w:themeColor="accent1"/>
          <w:left w:val="nil"/>
          <w:bottom w:val="single" w:sz="12" w:space="0" w:color="201547" w:themeColor="accent1"/>
          <w:right w:val="nil"/>
          <w:insideV w:val="nil"/>
        </w:tcBorders>
      </w:tcPr>
    </w:tblStylePr>
    <w:tblStylePr w:type="firstCol">
      <w:pPr>
        <w:jc w:val="left"/>
      </w:pPr>
      <w:tblPr/>
      <w:tcPr>
        <w:shd w:val="clear" w:color="auto" w:fill="C2E3FF" w:themeFill="accent3" w:themeFillTint="33"/>
      </w:tcPr>
    </w:tblStylePr>
    <w:tblStylePr w:type="band1Vert">
      <w:pPr>
        <w:jc w:val="right"/>
      </w:pPr>
    </w:tblStylePr>
    <w:tblStylePr w:type="band2Vert">
      <w:pPr>
        <w:jc w:val="right"/>
      </w:pPr>
    </w:tblStylePr>
    <w:tblStylePr w:type="band2Horz">
      <w:tblPr/>
      <w:tcPr>
        <w:shd w:val="clear" w:color="auto" w:fill="C2E3FF"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201547" w:themeFill="accent1"/>
        <w:vAlign w:val="bottom"/>
      </w:tcPr>
    </w:tblStylePr>
    <w:tblStylePr w:type="lastRow">
      <w:rPr>
        <w:b/>
      </w:rPr>
      <w:tblPr/>
      <w:tcPr>
        <w:tcBorders>
          <w:top w:val="single" w:sz="6" w:space="0" w:color="201547" w:themeColor="accent1"/>
          <w:left w:val="nil"/>
          <w:bottom w:val="single" w:sz="12" w:space="0" w:color="201547" w:themeColor="accent1"/>
          <w:right w:val="nil"/>
          <w:insideV w:val="nil"/>
        </w:tcBorders>
      </w:tcPr>
    </w:tblStylePr>
    <w:tblStylePr w:type="firstCol">
      <w:pPr>
        <w:jc w:val="left"/>
      </w:pPr>
      <w:tblPr/>
      <w:tcPr>
        <w:shd w:val="clear" w:color="auto" w:fill="C2E3FF"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C2E3FF"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bodytext-bold">
    <w:name w:val="body text - bold"/>
    <w:basedOn w:val="Normal"/>
    <w:link w:val="bodytext-boldChar"/>
    <w:uiPriority w:val="99"/>
    <w:rsid w:val="00B9303F"/>
    <w:pPr>
      <w:widowControl w:val="0"/>
      <w:autoSpaceDE w:val="0"/>
      <w:autoSpaceDN w:val="0"/>
      <w:adjustRightInd w:val="0"/>
      <w:spacing w:before="0" w:after="0" w:line="180" w:lineRule="atLeast"/>
      <w:textAlignment w:val="center"/>
    </w:pPr>
    <w:rPr>
      <w:rFonts w:ascii="Helvetica-Bold" w:eastAsia="MS Mincho" w:hAnsi="Helvetica-Bold" w:cs="Helvetica-Bold"/>
      <w:b/>
      <w:bCs/>
      <w:color w:val="000000"/>
      <w:spacing w:val="0"/>
      <w:sz w:val="16"/>
      <w:szCs w:val="16"/>
      <w:lang w:val="en-GB" w:eastAsia="en-US"/>
    </w:rPr>
  </w:style>
  <w:style w:type="character" w:customStyle="1" w:styleId="bodytext-boldChar">
    <w:name w:val="body text - bold Char"/>
    <w:basedOn w:val="DefaultParagraphFont"/>
    <w:link w:val="bodytext-bold"/>
    <w:uiPriority w:val="99"/>
    <w:rsid w:val="00B9303F"/>
    <w:rPr>
      <w:rFonts w:ascii="Helvetica-Bold" w:eastAsia="MS Mincho" w:hAnsi="Helvetica-Bold" w:cs="Helvetica-Bold"/>
      <w:b/>
      <w:bCs/>
      <w:color w:val="000000"/>
      <w:sz w:val="16"/>
      <w:szCs w:val="16"/>
      <w:lang w:val="en-GB" w:eastAsia="en-US"/>
    </w:rPr>
  </w:style>
  <w:style w:type="paragraph" w:customStyle="1" w:styleId="HighlightBoxHeading">
    <w:name w:val="Highlight Box Heading"/>
    <w:basedOn w:val="Normal"/>
    <w:next w:val="Normal"/>
    <w:uiPriority w:val="59"/>
    <w:qFormat/>
    <w:rsid w:val="00B9303F"/>
    <w:pPr>
      <w:keepNext/>
      <w:pBdr>
        <w:top w:val="single" w:sz="8" w:space="3" w:color="201547" w:themeColor="accent1"/>
        <w:left w:val="single" w:sz="8" w:space="5" w:color="201547" w:themeColor="accent1"/>
        <w:bottom w:val="single" w:sz="8" w:space="3" w:color="201547" w:themeColor="accent1"/>
        <w:right w:val="single" w:sz="8" w:space="5" w:color="201547" w:themeColor="accent1"/>
      </w:pBdr>
      <w:shd w:val="clear" w:color="auto" w:fill="0072CE" w:themeFill="accent3"/>
      <w:spacing w:line="264" w:lineRule="auto"/>
    </w:pPr>
    <w:rPr>
      <w:rFonts w:asciiTheme="majorHAnsi" w:eastAsiaTheme="minorHAnsi" w:hAnsiTheme="majorHAnsi"/>
      <w:b/>
      <w:color w:val="FFFFFF" w:themeColor="background1"/>
      <w:spacing w:val="0"/>
      <w:lang w:eastAsia="en-US"/>
    </w:rPr>
  </w:style>
  <w:style w:type="paragraph" w:customStyle="1" w:styleId="HighlightBoxText">
    <w:name w:val="Highlight Box Text"/>
    <w:basedOn w:val="Normal"/>
    <w:uiPriority w:val="60"/>
    <w:qFormat/>
    <w:rsid w:val="00B9303F"/>
    <w:pPr>
      <w:pBdr>
        <w:top w:val="single" w:sz="8" w:space="3" w:color="201547" w:themeColor="accent1"/>
        <w:left w:val="single" w:sz="8" w:space="5" w:color="201547" w:themeColor="accent1"/>
        <w:bottom w:val="single" w:sz="8" w:space="3" w:color="201547" w:themeColor="accent1"/>
        <w:right w:val="single" w:sz="8" w:space="5" w:color="201547" w:themeColor="accent1"/>
      </w:pBdr>
      <w:shd w:val="clear" w:color="auto" w:fill="CCE3F5" w:themeFill="accent6"/>
      <w:spacing w:line="264" w:lineRule="auto"/>
    </w:pPr>
    <w:rPr>
      <w:rFonts w:eastAsiaTheme="minorHAnsi"/>
      <w:spacing w:val="0"/>
      <w:lang w:eastAsia="en-US"/>
    </w:rPr>
  </w:style>
  <w:style w:type="paragraph" w:customStyle="1" w:styleId="HighlightBoxTextbullet">
    <w:name w:val="Highlight Box Text bullet"/>
    <w:basedOn w:val="HighlightBoxText"/>
    <w:qFormat/>
    <w:rsid w:val="00B9303F"/>
    <w:pPr>
      <w:numPr>
        <w:numId w:val="29"/>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Brand Victoria - Navy">
      <a:dk1>
        <a:sysClr val="windowText" lastClr="000000"/>
      </a:dk1>
      <a:lt1>
        <a:sysClr val="window" lastClr="FFFFFF"/>
      </a:lt1>
      <a:dk2>
        <a:srgbClr val="53565A"/>
      </a:dk2>
      <a:lt2>
        <a:srgbClr val="D9D9D6"/>
      </a:lt2>
      <a:accent1>
        <a:srgbClr val="201547"/>
      </a:accent1>
      <a:accent2>
        <a:srgbClr val="004EA8"/>
      </a:accent2>
      <a:accent3>
        <a:srgbClr val="0072CE"/>
      </a:accent3>
      <a:accent4>
        <a:srgbClr val="8F8AA3"/>
      </a:accent4>
      <a:accent5>
        <a:srgbClr val="99B8DC"/>
      </a:accent5>
      <a:accent6>
        <a:srgbClr val="CCE3F5"/>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20BA6-E078-43A9-848A-4D28A55C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12</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Paul Bowerman</cp:lastModifiedBy>
  <cp:revision>3</cp:revision>
  <cp:lastPrinted>2016-02-09T01:59:00Z</cp:lastPrinted>
  <dcterms:created xsi:type="dcterms:W3CDTF">2017-12-20T23:05:00Z</dcterms:created>
  <dcterms:modified xsi:type="dcterms:W3CDTF">2017-12-21T01:00:00Z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