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0C" w:rsidRPr="00541AC2" w:rsidRDefault="00A8670C" w:rsidP="00A8670C">
      <w:pPr>
        <w:pStyle w:val="Title"/>
        <w:ind w:right="-15"/>
      </w:pPr>
      <w:bookmarkStart w:id="0" w:name="_Toc442780672"/>
      <w:r w:rsidRPr="00541AC2">
        <w:t>Natural disaster financial assistance for local councils</w:t>
      </w:r>
    </w:p>
    <w:p w:rsidR="00A8670C" w:rsidRPr="0003507D" w:rsidRDefault="00A8670C" w:rsidP="00CF4384">
      <w:pPr>
        <w:pStyle w:val="Heading2"/>
      </w:pPr>
      <w:r>
        <w:t xml:space="preserve">Relief and recovery </w:t>
      </w:r>
      <w:r w:rsidRPr="00624644">
        <w:t>expenditure</w:t>
      </w:r>
    </w:p>
    <w:p w:rsidR="00A8670C" w:rsidRPr="005834D2" w:rsidRDefault="00A8670C" w:rsidP="006E11C4">
      <w:pPr>
        <w:pStyle w:val="Heading3"/>
      </w:pPr>
      <w:r w:rsidRPr="005834D2">
        <w:t>Overview</w:t>
      </w:r>
    </w:p>
    <w:p w:rsidR="00A8670C" w:rsidRDefault="00A8670C" w:rsidP="009313C9">
      <w:pPr>
        <w:rPr>
          <w:lang w:eastAsia="en-US"/>
        </w:rPr>
      </w:pPr>
      <w:r>
        <w:rPr>
          <w:lang w:eastAsia="en-US"/>
        </w:rPr>
        <w:t xml:space="preserve">Under the </w:t>
      </w:r>
      <w:r w:rsidRPr="00B137F8">
        <w:rPr>
          <w:lang w:eastAsia="en-US"/>
        </w:rPr>
        <w:t>Natural Disaster Financial Assistance (NDFA)</w:t>
      </w:r>
      <w:r>
        <w:rPr>
          <w:lang w:eastAsia="en-US"/>
        </w:rPr>
        <w:t xml:space="preserve"> scheme, financial support is provided to assist local councils with costs associated with</w:t>
      </w:r>
      <w:r w:rsidR="00FB272C">
        <w:rPr>
          <w:lang w:eastAsia="en-US"/>
        </w:rPr>
        <w:t xml:space="preserve"> </w:t>
      </w:r>
      <w:r>
        <w:rPr>
          <w:lang w:eastAsia="en-US"/>
        </w:rPr>
        <w:t>some operational activities mainly related to the establishment of Relief or Recovery Centres or a Municipal Emergency Coordination Centre (MECC).</w:t>
      </w:r>
    </w:p>
    <w:p w:rsidR="00A8670C" w:rsidRDefault="00A8670C" w:rsidP="00A8670C">
      <w:pPr>
        <w:rPr>
          <w:lang w:eastAsia="en-US"/>
        </w:rPr>
      </w:pPr>
      <w:r>
        <w:rPr>
          <w:lang w:eastAsia="en-US"/>
        </w:rPr>
        <w:t xml:space="preserve">Financial assistance is provided in accordance with the </w:t>
      </w:r>
      <w:r w:rsidRPr="00B137F8">
        <w:rPr>
          <w:lang w:eastAsia="en-US"/>
        </w:rPr>
        <w:t>Commonwealth-State Natural Disaster Relief and Recovery Arrangements (NDRRA)</w:t>
      </w:r>
      <w:r>
        <w:rPr>
          <w:lang w:eastAsia="en-US"/>
        </w:rPr>
        <w:t>.</w:t>
      </w:r>
    </w:p>
    <w:p w:rsidR="00FB272C" w:rsidRDefault="00FB272C" w:rsidP="00A8670C">
      <w:pPr>
        <w:rPr>
          <w:lang w:eastAsia="en-US"/>
        </w:rPr>
      </w:pPr>
      <w:r>
        <w:rPr>
          <w:lang w:eastAsia="en-US"/>
        </w:rPr>
        <w:t xml:space="preserve">As of </w:t>
      </w:r>
      <w:r w:rsidR="00926195">
        <w:rPr>
          <w:lang w:eastAsia="en-US"/>
        </w:rPr>
        <w:t>1 July</w:t>
      </w:r>
      <w:r>
        <w:rPr>
          <w:lang w:eastAsia="en-US"/>
        </w:rPr>
        <w:t xml:space="preserve"> 2017, </w:t>
      </w:r>
      <w:r w:rsidR="00516857">
        <w:rPr>
          <w:lang w:eastAsia="en-US"/>
        </w:rPr>
        <w:t xml:space="preserve">local councils </w:t>
      </w:r>
      <w:r>
        <w:rPr>
          <w:lang w:eastAsia="en-US"/>
        </w:rPr>
        <w:t>are required to advise the Department of Treasury and Finance (DTF) if further time is required to incur eligible relief and recovery expenditure</w:t>
      </w:r>
      <w:r w:rsidR="00516857">
        <w:rPr>
          <w:lang w:eastAsia="en-US"/>
        </w:rPr>
        <w:t xml:space="preserve"> post</w:t>
      </w:r>
      <w:r>
        <w:rPr>
          <w:lang w:eastAsia="en-US"/>
        </w:rPr>
        <w:t xml:space="preserve"> 12 months following an event.</w:t>
      </w:r>
      <w:bookmarkStart w:id="1" w:name="_GoBack"/>
      <w:bookmarkEnd w:id="1"/>
    </w:p>
    <w:p w:rsidR="00A8670C" w:rsidRPr="005834D2" w:rsidRDefault="00A8670C" w:rsidP="006E11C4">
      <w:pPr>
        <w:pStyle w:val="Heading3"/>
      </w:pPr>
      <w:r>
        <w:t>Relief and recovery centres</w:t>
      </w:r>
    </w:p>
    <w:p w:rsidR="00A8670C" w:rsidRDefault="00A8670C" w:rsidP="00A8670C">
      <w:r>
        <w:t>Some extraordinary operational costs mainly associated with establishment of relief and recovery centres i.e. evacuation centres, may be reimbursed under Category A of the NDRRA (refer to the table below).</w:t>
      </w:r>
    </w:p>
    <w:p w:rsidR="00A8670C" w:rsidRDefault="00A8670C" w:rsidP="00A8670C">
      <w:r>
        <w:t>The Victorian Government is currently reviewing emergency management roles and responsibilities and as a result, eligibility may change.</w:t>
      </w:r>
    </w:p>
    <w:p w:rsidR="00A8670C" w:rsidRDefault="00A8670C" w:rsidP="00A8670C">
      <w:r>
        <w:t xml:space="preserve">Note: Relief and recovery centre costs </w:t>
      </w:r>
      <w:r w:rsidRPr="003D327F">
        <w:rPr>
          <w:u w:val="single"/>
        </w:rPr>
        <w:t>require</w:t>
      </w:r>
      <w:r>
        <w:t xml:space="preserve"> the event to be notified to the Commonwealth as an eligible natural disaster under the NDRRA (unlike counter disaster activities, emergency protection and asset restoration). Local councils should advise DTF as soon as possible after they have established a relief and/or recovery centre.</w:t>
      </w:r>
    </w:p>
    <w:p w:rsidR="00A8670C" w:rsidRPr="005834D2" w:rsidRDefault="00A8670C" w:rsidP="006E11C4">
      <w:pPr>
        <w:pStyle w:val="Heading3"/>
      </w:pPr>
      <w:r>
        <w:t>Municipal Emergency Coordination Centre costs</w:t>
      </w:r>
    </w:p>
    <w:p w:rsidR="00A8670C" w:rsidRDefault="00A8670C" w:rsidP="00A8670C">
      <w:r>
        <w:t>Some</w:t>
      </w:r>
      <w:r w:rsidRPr="00FE5304">
        <w:t xml:space="preserve"> costs associated with establishing and operating a MECC are also currently eligible for reimbursement </w:t>
      </w:r>
      <w:r>
        <w:t>subject to the event being notified to the Commonwealth as an eligible natural disaster under the NDRRA.</w:t>
      </w:r>
    </w:p>
    <w:p w:rsidR="00853F5B" w:rsidRDefault="00853F5B" w:rsidP="00A8670C">
      <w:r>
        <w:t>Councils should note that MECC costs are reimbursed solely from DTF through the NDFA scheme, and are not cost-shared with the Commonwealth under the NDRRA.</w:t>
      </w:r>
    </w:p>
    <w:p w:rsidR="00A8670C" w:rsidRDefault="00A8670C" w:rsidP="00A8670C">
      <w:pPr>
        <w:spacing w:before="240" w:after="0"/>
        <w:rPr>
          <w:lang w:eastAsia="en-US"/>
        </w:rPr>
      </w:pPr>
      <w:r w:rsidRPr="00773496">
        <w:rPr>
          <w:lang w:eastAsia="en-US"/>
        </w:rPr>
        <w:t xml:space="preserve">Examples of costs </w:t>
      </w:r>
      <w:r>
        <w:rPr>
          <w:lang w:eastAsia="en-US"/>
        </w:rPr>
        <w:t xml:space="preserve">associated with MECCs, relief or recovery centres which are </w:t>
      </w:r>
      <w:r w:rsidRPr="00773496">
        <w:rPr>
          <w:lang w:eastAsia="en-US"/>
        </w:rPr>
        <w:t>generally considered to be eligible</w:t>
      </w:r>
      <w:r>
        <w:rPr>
          <w:lang w:eastAsia="en-US"/>
        </w:rPr>
        <w:t xml:space="preserve"> or ineligible include:</w:t>
      </w:r>
    </w:p>
    <w:p w:rsidR="00624644" w:rsidRDefault="00624644">
      <w:pPr>
        <w:spacing w:before="0" w:after="200"/>
        <w:rPr>
          <w:lang w:eastAsia="en-US"/>
        </w:rPr>
      </w:pPr>
      <w:r>
        <w:rPr>
          <w:lang w:eastAsia="en-US"/>
        </w:rPr>
        <w:br w:type="page"/>
      </w:r>
    </w:p>
    <w:tbl>
      <w:tblPr>
        <w:tblStyle w:val="TableGrid"/>
        <w:tblW w:w="0" w:type="auto"/>
        <w:tblLook w:val="0420" w:firstRow="1" w:lastRow="0" w:firstColumn="0" w:lastColumn="0" w:noHBand="0" w:noVBand="1"/>
      </w:tblPr>
      <w:tblGrid>
        <w:gridCol w:w="4564"/>
        <w:gridCol w:w="4564"/>
      </w:tblGrid>
      <w:tr w:rsidR="00624644" w:rsidRPr="001C178C" w:rsidTr="009313C9">
        <w:trPr>
          <w:cnfStyle w:val="100000000000" w:firstRow="1" w:lastRow="0" w:firstColumn="0" w:lastColumn="0" w:oddVBand="0" w:evenVBand="0" w:oddHBand="0" w:evenHBand="0" w:firstRowFirstColumn="0" w:firstRowLastColumn="0" w:lastRowFirstColumn="0" w:lastRowLastColumn="0"/>
          <w:trHeight w:val="484"/>
        </w:trPr>
        <w:tc>
          <w:tcPr>
            <w:tcW w:w="4564" w:type="dxa"/>
          </w:tcPr>
          <w:p w:rsidR="00624644" w:rsidRPr="001C178C" w:rsidRDefault="00624644" w:rsidP="00191913">
            <w:pPr>
              <w:spacing w:before="100"/>
              <w:rPr>
                <w:rFonts w:cstheme="minorHAnsi"/>
                <w:b/>
                <w:sz w:val="22"/>
                <w:szCs w:val="22"/>
              </w:rPr>
            </w:pPr>
            <w:r w:rsidRPr="001C178C">
              <w:rPr>
                <w:rFonts w:cstheme="minorHAnsi"/>
                <w:b/>
                <w:sz w:val="22"/>
                <w:szCs w:val="22"/>
              </w:rPr>
              <w:lastRenderedPageBreak/>
              <w:t>Eligible Costs</w:t>
            </w:r>
          </w:p>
        </w:tc>
        <w:tc>
          <w:tcPr>
            <w:tcW w:w="4564" w:type="dxa"/>
          </w:tcPr>
          <w:p w:rsidR="00624644" w:rsidRPr="001C178C" w:rsidRDefault="00624644" w:rsidP="00191913">
            <w:pPr>
              <w:rPr>
                <w:b/>
                <w:sz w:val="22"/>
                <w:szCs w:val="22"/>
              </w:rPr>
            </w:pPr>
            <w:r w:rsidRPr="001C178C">
              <w:rPr>
                <w:b/>
                <w:sz w:val="22"/>
                <w:szCs w:val="22"/>
              </w:rPr>
              <w:t>Ineligible Costs</w:t>
            </w:r>
          </w:p>
        </w:tc>
      </w:tr>
      <w:tr w:rsidR="00624644" w:rsidRPr="00DB7F7B" w:rsidTr="009313C9">
        <w:trPr>
          <w:trHeight w:val="1344"/>
        </w:trPr>
        <w:tc>
          <w:tcPr>
            <w:tcW w:w="4564" w:type="dxa"/>
            <w:shd w:val="clear" w:color="auto" w:fill="F2F2F2" w:themeFill="background1" w:themeFillShade="F2"/>
          </w:tcPr>
          <w:p w:rsidR="00624644" w:rsidRPr="00DB7F7B" w:rsidRDefault="00624644" w:rsidP="00191913">
            <w:pPr>
              <w:pStyle w:val="ListParagraph"/>
              <w:numPr>
                <w:ilvl w:val="0"/>
                <w:numId w:val="23"/>
              </w:numPr>
              <w:spacing w:before="100"/>
              <w:jc w:val="left"/>
              <w:rPr>
                <w:rFonts w:cstheme="minorHAnsi"/>
                <w:szCs w:val="17"/>
              </w:rPr>
            </w:pPr>
            <w:r w:rsidRPr="00DB7F7B">
              <w:rPr>
                <w:rFonts w:cstheme="minorHAnsi"/>
                <w:szCs w:val="17"/>
              </w:rPr>
              <w:t xml:space="preserve">Establishment and operation of a Municipal Emergency Coordination Centre, relief and recovery centre which has </w:t>
            </w:r>
            <w:r w:rsidRPr="00DB7F7B">
              <w:rPr>
                <w:rFonts w:cstheme="minorHAnsi"/>
                <w:szCs w:val="17"/>
                <w:u w:val="single"/>
              </w:rPr>
              <w:t>been</w:t>
            </w:r>
            <w:r w:rsidRPr="00DB7F7B">
              <w:rPr>
                <w:rFonts w:cstheme="minorHAnsi"/>
                <w:szCs w:val="17"/>
              </w:rPr>
              <w:t xml:space="preserve"> notified to the Commonwealth under the NDRRA, including costs associated with bedding, the provision of basic medical needs and catering for evacuees.</w:t>
            </w:r>
          </w:p>
        </w:tc>
        <w:tc>
          <w:tcPr>
            <w:tcW w:w="4564" w:type="dxa"/>
            <w:shd w:val="clear" w:color="auto" w:fill="F2F2F2" w:themeFill="background1" w:themeFillShade="F2"/>
          </w:tcPr>
          <w:p w:rsidR="00624644" w:rsidRPr="00DB7F7B" w:rsidRDefault="00624644" w:rsidP="00191913">
            <w:pPr>
              <w:numPr>
                <w:ilvl w:val="0"/>
                <w:numId w:val="21"/>
              </w:numPr>
              <w:tabs>
                <w:tab w:val="clear" w:pos="567"/>
                <w:tab w:val="num" w:pos="426"/>
              </w:tabs>
              <w:spacing w:before="100"/>
              <w:ind w:left="426" w:hanging="426"/>
              <w:jc w:val="left"/>
              <w:rPr>
                <w:szCs w:val="17"/>
              </w:rPr>
            </w:pPr>
            <w:r w:rsidRPr="00DB7F7B">
              <w:rPr>
                <w:szCs w:val="17"/>
              </w:rPr>
              <w:t xml:space="preserve">Establishment and operation of a Municipal Emergency Coordination Centre, Relief and Recovery Centres which has </w:t>
            </w:r>
            <w:r w:rsidRPr="00DB7F7B">
              <w:rPr>
                <w:szCs w:val="17"/>
                <w:u w:val="single"/>
              </w:rPr>
              <w:t>not been</w:t>
            </w:r>
            <w:r w:rsidRPr="00DB7F7B">
              <w:rPr>
                <w:szCs w:val="17"/>
              </w:rPr>
              <w:t xml:space="preserve"> notified to the Commonwealth under the NDRRA.</w:t>
            </w:r>
          </w:p>
        </w:tc>
      </w:tr>
      <w:tr w:rsidR="00624644" w:rsidRPr="00DB7F7B" w:rsidTr="009313C9">
        <w:trPr>
          <w:cnfStyle w:val="000000010000" w:firstRow="0" w:lastRow="0" w:firstColumn="0" w:lastColumn="0" w:oddVBand="0" w:evenVBand="0" w:oddHBand="0" w:evenHBand="1" w:firstRowFirstColumn="0" w:firstRowLastColumn="0" w:lastRowFirstColumn="0" w:lastRowLastColumn="0"/>
          <w:trHeight w:val="980"/>
        </w:trPr>
        <w:tc>
          <w:tcPr>
            <w:tcW w:w="4564" w:type="dxa"/>
            <w:shd w:val="clear" w:color="auto" w:fill="F2F2F2" w:themeFill="background1" w:themeFillShade="F2"/>
          </w:tcPr>
          <w:p w:rsidR="00624644" w:rsidRPr="00DB7F7B" w:rsidRDefault="00624644" w:rsidP="00191913">
            <w:pPr>
              <w:numPr>
                <w:ilvl w:val="0"/>
                <w:numId w:val="21"/>
              </w:numPr>
              <w:tabs>
                <w:tab w:val="clear" w:pos="567"/>
                <w:tab w:val="num" w:pos="426"/>
              </w:tabs>
              <w:spacing w:before="100"/>
              <w:ind w:left="426" w:hanging="426"/>
              <w:jc w:val="left"/>
              <w:rPr>
                <w:rFonts w:cstheme="minorHAnsi"/>
                <w:szCs w:val="17"/>
              </w:rPr>
            </w:pPr>
            <w:r w:rsidRPr="00DB7F7B">
              <w:rPr>
                <w:rFonts w:cstheme="minorHAnsi"/>
                <w:szCs w:val="17"/>
              </w:rPr>
              <w:t>Extraordinary costs of emergency food or essential supply drops to affected communities.</w:t>
            </w:r>
          </w:p>
        </w:tc>
        <w:tc>
          <w:tcPr>
            <w:tcW w:w="4564" w:type="dxa"/>
            <w:shd w:val="clear" w:color="auto" w:fill="F2F2F2" w:themeFill="background1" w:themeFillShade="F2"/>
          </w:tcPr>
          <w:p w:rsidR="00624644" w:rsidRPr="00DB7F7B" w:rsidRDefault="00624644" w:rsidP="00191913">
            <w:pPr>
              <w:numPr>
                <w:ilvl w:val="0"/>
                <w:numId w:val="21"/>
              </w:numPr>
              <w:tabs>
                <w:tab w:val="clear" w:pos="567"/>
                <w:tab w:val="num" w:pos="426"/>
              </w:tabs>
              <w:spacing w:before="100"/>
              <w:ind w:left="426" w:hanging="426"/>
              <w:jc w:val="left"/>
              <w:rPr>
                <w:szCs w:val="17"/>
              </w:rPr>
            </w:pPr>
            <w:r w:rsidRPr="00DB7F7B">
              <w:rPr>
                <w:szCs w:val="17"/>
              </w:rPr>
              <w:t>Evacuation of companion or domestic animals (pets) where owners have made their own emergency accommodation arrangements or are not required to relocate.</w:t>
            </w:r>
          </w:p>
        </w:tc>
      </w:tr>
      <w:tr w:rsidR="00624644" w:rsidRPr="00DB7F7B" w:rsidTr="009313C9">
        <w:trPr>
          <w:trHeight w:val="1162"/>
        </w:trPr>
        <w:tc>
          <w:tcPr>
            <w:tcW w:w="4564" w:type="dxa"/>
            <w:shd w:val="clear" w:color="auto" w:fill="F2F2F2" w:themeFill="background1" w:themeFillShade="F2"/>
          </w:tcPr>
          <w:p w:rsidR="00624644" w:rsidRPr="00DB7F7B" w:rsidRDefault="00624644" w:rsidP="00191913">
            <w:pPr>
              <w:numPr>
                <w:ilvl w:val="0"/>
                <w:numId w:val="21"/>
              </w:numPr>
              <w:tabs>
                <w:tab w:val="clear" w:pos="567"/>
                <w:tab w:val="num" w:pos="426"/>
              </w:tabs>
              <w:spacing w:before="100"/>
              <w:ind w:left="426" w:hanging="426"/>
              <w:jc w:val="left"/>
              <w:rPr>
                <w:rFonts w:cstheme="minorHAnsi"/>
                <w:szCs w:val="17"/>
              </w:rPr>
            </w:pPr>
            <w:r w:rsidRPr="00DB7F7B">
              <w:rPr>
                <w:rFonts w:cstheme="minorHAnsi"/>
                <w:szCs w:val="17"/>
              </w:rPr>
              <w:t>Pre-deployment of resources (staff and equipment) to establish evacuation centres.</w:t>
            </w:r>
          </w:p>
        </w:tc>
        <w:tc>
          <w:tcPr>
            <w:tcW w:w="4564" w:type="dxa"/>
            <w:shd w:val="clear" w:color="auto" w:fill="F2F2F2" w:themeFill="background1" w:themeFillShade="F2"/>
          </w:tcPr>
          <w:p w:rsidR="00624644" w:rsidRPr="00DB7F7B" w:rsidRDefault="00624644" w:rsidP="00191913">
            <w:pPr>
              <w:numPr>
                <w:ilvl w:val="0"/>
                <w:numId w:val="21"/>
              </w:numPr>
              <w:tabs>
                <w:tab w:val="num" w:pos="423"/>
              </w:tabs>
              <w:spacing w:before="100"/>
              <w:ind w:left="423" w:hanging="423"/>
              <w:jc w:val="left"/>
              <w:rPr>
                <w:szCs w:val="17"/>
              </w:rPr>
            </w:pPr>
            <w:r w:rsidRPr="00DB7F7B">
              <w:rPr>
                <w:szCs w:val="17"/>
              </w:rPr>
              <w:t>Evacuation of commercial animals or those animals the owner has a business attachment to and/or requires a special licence or permit (such as livestock, race horses, animals kept for breeding purposes).</w:t>
            </w:r>
          </w:p>
        </w:tc>
      </w:tr>
      <w:tr w:rsidR="00624644" w:rsidRPr="00DB7F7B" w:rsidTr="009313C9">
        <w:trPr>
          <w:cnfStyle w:val="000000010000" w:firstRow="0" w:lastRow="0" w:firstColumn="0" w:lastColumn="0" w:oddVBand="0" w:evenVBand="0" w:oddHBand="0" w:evenHBand="1" w:firstRowFirstColumn="0" w:firstRowLastColumn="0" w:lastRowFirstColumn="0" w:lastRowLastColumn="0"/>
          <w:trHeight w:val="1549"/>
        </w:trPr>
        <w:tc>
          <w:tcPr>
            <w:tcW w:w="4564" w:type="dxa"/>
            <w:shd w:val="clear" w:color="auto" w:fill="F2F2F2" w:themeFill="background1" w:themeFillShade="F2"/>
          </w:tcPr>
          <w:p w:rsidR="00624644" w:rsidRPr="00624644" w:rsidRDefault="00624644" w:rsidP="00191913">
            <w:pPr>
              <w:numPr>
                <w:ilvl w:val="0"/>
                <w:numId w:val="21"/>
              </w:numPr>
              <w:tabs>
                <w:tab w:val="clear" w:pos="567"/>
                <w:tab w:val="num" w:pos="426"/>
              </w:tabs>
              <w:spacing w:before="100"/>
              <w:ind w:left="426" w:hanging="426"/>
              <w:jc w:val="left"/>
              <w:rPr>
                <w:rFonts w:cstheme="minorHAnsi"/>
                <w:szCs w:val="17"/>
              </w:rPr>
            </w:pPr>
            <w:r w:rsidRPr="00DB7F7B">
              <w:rPr>
                <w:rFonts w:cstheme="minorHAnsi"/>
                <w:szCs w:val="17"/>
              </w:rPr>
              <w:t>Evacuation of companion or domestic animals (pets) including cost of establishing evacuation facilities and of providing basic care, such as food and shelter, where they are at risk of injury, isolation, hardship or distress if they remain at a location (even if the disaster has not reached that locality.</w:t>
            </w:r>
          </w:p>
        </w:tc>
        <w:tc>
          <w:tcPr>
            <w:tcW w:w="4564" w:type="dxa"/>
            <w:shd w:val="clear" w:color="auto" w:fill="F2F2F2" w:themeFill="background1" w:themeFillShade="F2"/>
          </w:tcPr>
          <w:p w:rsidR="00624644" w:rsidRPr="008E420A" w:rsidRDefault="00624644" w:rsidP="00191913">
            <w:pPr>
              <w:pStyle w:val="ListParagraph"/>
              <w:numPr>
                <w:ilvl w:val="0"/>
                <w:numId w:val="23"/>
              </w:numPr>
              <w:spacing w:before="100"/>
              <w:jc w:val="left"/>
              <w:rPr>
                <w:szCs w:val="17"/>
              </w:rPr>
            </w:pPr>
            <w:r w:rsidRPr="008E420A">
              <w:rPr>
                <w:szCs w:val="17"/>
              </w:rPr>
              <w:t>Purchase of capital equipment (except where hire is not possible).</w:t>
            </w:r>
          </w:p>
        </w:tc>
      </w:tr>
      <w:tr w:rsidR="00624644" w:rsidRPr="00DB7F7B" w:rsidTr="009313C9">
        <w:trPr>
          <w:trHeight w:val="969"/>
        </w:trPr>
        <w:tc>
          <w:tcPr>
            <w:tcW w:w="4564" w:type="dxa"/>
            <w:shd w:val="clear" w:color="auto" w:fill="F2F2F2" w:themeFill="background1" w:themeFillShade="F2"/>
          </w:tcPr>
          <w:p w:rsidR="00624644" w:rsidRDefault="00624644" w:rsidP="00191913">
            <w:pPr>
              <w:pStyle w:val="ListParagraph"/>
              <w:numPr>
                <w:ilvl w:val="0"/>
                <w:numId w:val="23"/>
              </w:numPr>
              <w:spacing w:before="100"/>
              <w:jc w:val="left"/>
              <w:rPr>
                <w:rFonts w:cstheme="minorHAnsi"/>
                <w:szCs w:val="17"/>
              </w:rPr>
            </w:pPr>
            <w:r w:rsidRPr="008E420A">
              <w:rPr>
                <w:rFonts w:cstheme="minorHAnsi"/>
                <w:szCs w:val="17"/>
              </w:rPr>
              <w:t>Evacuation of patients from hospital and residents from aged/high care facilities.</w:t>
            </w:r>
          </w:p>
          <w:p w:rsidR="009313C9" w:rsidRDefault="009313C9" w:rsidP="009313C9">
            <w:pPr>
              <w:pStyle w:val="ListParagraph"/>
              <w:spacing w:before="100"/>
              <w:ind w:left="360"/>
              <w:jc w:val="left"/>
              <w:rPr>
                <w:rFonts w:cstheme="minorHAnsi"/>
                <w:szCs w:val="17"/>
              </w:rPr>
            </w:pPr>
          </w:p>
          <w:p w:rsidR="009313C9" w:rsidRPr="008E420A" w:rsidRDefault="009313C9" w:rsidP="00191913">
            <w:pPr>
              <w:pStyle w:val="ListParagraph"/>
              <w:numPr>
                <w:ilvl w:val="0"/>
                <w:numId w:val="23"/>
              </w:numPr>
              <w:spacing w:before="100"/>
              <w:jc w:val="left"/>
              <w:rPr>
                <w:rFonts w:cstheme="minorHAnsi"/>
                <w:szCs w:val="17"/>
              </w:rPr>
            </w:pPr>
            <w:r w:rsidRPr="009313C9">
              <w:rPr>
                <w:rFonts w:cstheme="minorHAnsi"/>
                <w:szCs w:val="17"/>
              </w:rPr>
              <w:t>Providing advice to residents regarding evacuation</w:t>
            </w:r>
          </w:p>
        </w:tc>
        <w:tc>
          <w:tcPr>
            <w:tcW w:w="4564" w:type="dxa"/>
            <w:shd w:val="clear" w:color="auto" w:fill="F2F2F2" w:themeFill="background1" w:themeFillShade="F2"/>
          </w:tcPr>
          <w:p w:rsidR="00624644" w:rsidRPr="00DB7F7B" w:rsidRDefault="00624644" w:rsidP="00191913">
            <w:pPr>
              <w:spacing w:before="100"/>
              <w:jc w:val="left"/>
              <w:rPr>
                <w:szCs w:val="17"/>
              </w:rPr>
            </w:pPr>
          </w:p>
        </w:tc>
      </w:tr>
      <w:tr w:rsidR="00624644" w:rsidRPr="00DB7F7B" w:rsidTr="009313C9">
        <w:trPr>
          <w:cnfStyle w:val="000000010000" w:firstRow="0" w:lastRow="0" w:firstColumn="0" w:lastColumn="0" w:oddVBand="0" w:evenVBand="0" w:oddHBand="0" w:evenHBand="1" w:firstRowFirstColumn="0" w:firstRowLastColumn="0" w:lastRowFirstColumn="0" w:lastRowLastColumn="0"/>
          <w:trHeight w:val="85"/>
        </w:trPr>
        <w:tc>
          <w:tcPr>
            <w:tcW w:w="4564" w:type="dxa"/>
            <w:shd w:val="clear" w:color="auto" w:fill="F2F2F2" w:themeFill="background1" w:themeFillShade="F2"/>
          </w:tcPr>
          <w:p w:rsidR="00624644" w:rsidRPr="009313C9" w:rsidRDefault="00624644" w:rsidP="009313C9">
            <w:pPr>
              <w:spacing w:before="100"/>
              <w:jc w:val="left"/>
              <w:rPr>
                <w:rFonts w:cstheme="minorHAnsi"/>
                <w:szCs w:val="17"/>
              </w:rPr>
            </w:pPr>
          </w:p>
        </w:tc>
        <w:tc>
          <w:tcPr>
            <w:tcW w:w="4564" w:type="dxa"/>
            <w:shd w:val="clear" w:color="auto" w:fill="F2F2F2" w:themeFill="background1" w:themeFillShade="F2"/>
          </w:tcPr>
          <w:p w:rsidR="00624644" w:rsidRPr="00DB7F7B" w:rsidRDefault="00624644" w:rsidP="00191913">
            <w:pPr>
              <w:spacing w:before="100"/>
              <w:jc w:val="left"/>
              <w:rPr>
                <w:szCs w:val="17"/>
              </w:rPr>
            </w:pPr>
          </w:p>
        </w:tc>
      </w:tr>
    </w:tbl>
    <w:p w:rsidR="00A8670C" w:rsidRPr="005834D2" w:rsidRDefault="00A8670C" w:rsidP="006E11C4">
      <w:pPr>
        <w:pStyle w:val="Heading3"/>
      </w:pPr>
      <w:r>
        <w:t>Other emergency relief and recovery costs</w:t>
      </w:r>
    </w:p>
    <w:p w:rsidR="00A8670C" w:rsidRPr="00FE5304" w:rsidRDefault="00A8670C" w:rsidP="00A8670C">
      <w:r w:rsidRPr="00FE5304">
        <w:t>Other costs which may be eligible under Category A of the NDRRA include costs associated with:</w:t>
      </w:r>
    </w:p>
    <w:p w:rsidR="00A8670C" w:rsidRDefault="00A8670C" w:rsidP="00A8670C">
      <w:pPr>
        <w:pStyle w:val="ListParagraph"/>
        <w:numPr>
          <w:ilvl w:val="0"/>
          <w:numId w:val="22"/>
        </w:numPr>
        <w:spacing w:before="100" w:line="260" w:lineRule="atLeast"/>
      </w:pPr>
      <w:r w:rsidRPr="00FE5304">
        <w:t>emergency food, clothing or temporary accommodation; and</w:t>
      </w:r>
    </w:p>
    <w:p w:rsidR="006E11C4" w:rsidRDefault="00A8670C" w:rsidP="00530ACD">
      <w:pPr>
        <w:numPr>
          <w:ilvl w:val="0"/>
          <w:numId w:val="22"/>
        </w:numPr>
        <w:spacing w:before="100" w:after="0" w:line="240" w:lineRule="auto"/>
        <w:ind w:left="357" w:hanging="357"/>
      </w:pPr>
      <w:r w:rsidRPr="00FE5304">
        <w:t>personal and financial counselling aimed at alleviating personal hardship and distress arising as a direct result of a natural disaster.</w:t>
      </w:r>
    </w:p>
    <w:p w:rsidR="00D4041D" w:rsidRDefault="00A8670C" w:rsidP="00A8670C">
      <w:pPr>
        <w:spacing w:after="0"/>
        <w:rPr>
          <w:lang w:eastAsia="en-US"/>
        </w:rPr>
      </w:pPr>
      <w:r w:rsidRPr="00773496">
        <w:rPr>
          <w:lang w:eastAsia="en-US"/>
        </w:rPr>
        <w:t>Examples of costs generally considered to be eligible include:</w:t>
      </w:r>
    </w:p>
    <w:tbl>
      <w:tblPr>
        <w:tblStyle w:val="TableGrid"/>
        <w:tblW w:w="0" w:type="auto"/>
        <w:tblInd w:w="57" w:type="dxa"/>
        <w:tblLook w:val="0420" w:firstRow="1" w:lastRow="0" w:firstColumn="0" w:lastColumn="0" w:noHBand="0" w:noVBand="1"/>
      </w:tblPr>
      <w:tblGrid>
        <w:gridCol w:w="4693"/>
        <w:gridCol w:w="4390"/>
      </w:tblGrid>
      <w:tr w:rsidR="00420279" w:rsidTr="00420279">
        <w:trPr>
          <w:cnfStyle w:val="100000000000" w:firstRow="1" w:lastRow="0" w:firstColumn="0" w:lastColumn="0" w:oddVBand="0" w:evenVBand="0" w:oddHBand="0" w:evenHBand="0" w:firstRowFirstColumn="0" w:firstRowLastColumn="0" w:lastRowFirstColumn="0" w:lastRowLastColumn="0"/>
        </w:trPr>
        <w:tc>
          <w:tcPr>
            <w:tcW w:w="4693" w:type="dxa"/>
          </w:tcPr>
          <w:p w:rsidR="00420279" w:rsidRPr="00420279" w:rsidRDefault="00420279" w:rsidP="006E11C4">
            <w:pPr>
              <w:spacing w:before="120" w:after="120"/>
              <w:rPr>
                <w:b/>
                <w:sz w:val="22"/>
                <w:szCs w:val="22"/>
              </w:rPr>
            </w:pPr>
            <w:r w:rsidRPr="00420279">
              <w:rPr>
                <w:b/>
                <w:sz w:val="22"/>
                <w:szCs w:val="22"/>
              </w:rPr>
              <w:t>Temporary relocatable accommodation</w:t>
            </w:r>
          </w:p>
        </w:tc>
        <w:tc>
          <w:tcPr>
            <w:tcW w:w="4390" w:type="dxa"/>
          </w:tcPr>
          <w:p w:rsidR="00420279" w:rsidRPr="00420279" w:rsidRDefault="00420279" w:rsidP="006E11C4">
            <w:pPr>
              <w:spacing w:before="120" w:after="120"/>
              <w:rPr>
                <w:b/>
                <w:sz w:val="22"/>
                <w:szCs w:val="22"/>
              </w:rPr>
            </w:pPr>
            <w:r w:rsidRPr="00420279">
              <w:rPr>
                <w:b/>
                <w:sz w:val="22"/>
                <w:szCs w:val="22"/>
              </w:rPr>
              <w:t>Personal and financial counselling</w:t>
            </w:r>
          </w:p>
        </w:tc>
      </w:tr>
      <w:tr w:rsidR="00420279" w:rsidTr="00CF4384">
        <w:tc>
          <w:tcPr>
            <w:tcW w:w="4693" w:type="dxa"/>
            <w:shd w:val="clear" w:color="auto" w:fill="F2F2F2" w:themeFill="background1" w:themeFillShade="F2"/>
          </w:tcPr>
          <w:p w:rsidR="00420279" w:rsidRPr="00420279" w:rsidRDefault="00420279" w:rsidP="00420279">
            <w:pPr>
              <w:numPr>
                <w:ilvl w:val="0"/>
                <w:numId w:val="21"/>
              </w:numPr>
              <w:tabs>
                <w:tab w:val="clear" w:pos="567"/>
                <w:tab w:val="num" w:pos="426"/>
              </w:tabs>
              <w:spacing w:before="100"/>
              <w:ind w:left="426" w:hanging="426"/>
              <w:jc w:val="left"/>
              <w:rPr>
                <w:szCs w:val="17"/>
              </w:rPr>
            </w:pPr>
            <w:r w:rsidRPr="00420279">
              <w:rPr>
                <w:szCs w:val="17"/>
              </w:rPr>
              <w:t>Preparation and management of temporary relocatable accommodation of natural disaster displaced people.</w:t>
            </w:r>
          </w:p>
        </w:tc>
        <w:tc>
          <w:tcPr>
            <w:tcW w:w="4390" w:type="dxa"/>
            <w:shd w:val="clear" w:color="auto" w:fill="F2F2F2" w:themeFill="background1" w:themeFillShade="F2"/>
          </w:tcPr>
          <w:p w:rsidR="00420279" w:rsidRPr="00420279" w:rsidRDefault="00420279" w:rsidP="00420279">
            <w:pPr>
              <w:pStyle w:val="ListParagraph"/>
              <w:numPr>
                <w:ilvl w:val="0"/>
                <w:numId w:val="21"/>
              </w:numPr>
              <w:tabs>
                <w:tab w:val="clear" w:pos="567"/>
                <w:tab w:val="num" w:pos="353"/>
              </w:tabs>
              <w:spacing w:before="100"/>
              <w:ind w:left="353" w:hanging="353"/>
              <w:jc w:val="left"/>
              <w:rPr>
                <w:szCs w:val="17"/>
              </w:rPr>
            </w:pPr>
            <w:r w:rsidRPr="00420279">
              <w:rPr>
                <w:szCs w:val="17"/>
              </w:rPr>
              <w:t>Provision of financial counselling and psychological first aid to disaster affected people.</w:t>
            </w:r>
          </w:p>
        </w:tc>
      </w:tr>
      <w:tr w:rsidR="00420279" w:rsidTr="00CF4384">
        <w:trPr>
          <w:cnfStyle w:val="000000010000" w:firstRow="0" w:lastRow="0" w:firstColumn="0" w:lastColumn="0" w:oddVBand="0" w:evenVBand="0" w:oddHBand="0" w:evenHBand="1" w:firstRowFirstColumn="0" w:firstRowLastColumn="0" w:lastRowFirstColumn="0" w:lastRowLastColumn="0"/>
        </w:trPr>
        <w:tc>
          <w:tcPr>
            <w:tcW w:w="4693" w:type="dxa"/>
            <w:shd w:val="clear" w:color="auto" w:fill="F2F2F2" w:themeFill="background1" w:themeFillShade="F2"/>
          </w:tcPr>
          <w:p w:rsidR="00420279" w:rsidRPr="00420279" w:rsidRDefault="00420279" w:rsidP="00420279">
            <w:pPr>
              <w:numPr>
                <w:ilvl w:val="0"/>
                <w:numId w:val="21"/>
              </w:numPr>
              <w:tabs>
                <w:tab w:val="clear" w:pos="567"/>
                <w:tab w:val="num" w:pos="426"/>
              </w:tabs>
              <w:spacing w:before="100"/>
              <w:ind w:left="426" w:hanging="426"/>
              <w:jc w:val="left"/>
              <w:rPr>
                <w:szCs w:val="17"/>
              </w:rPr>
            </w:pPr>
            <w:r w:rsidRPr="00420279">
              <w:rPr>
                <w:szCs w:val="17"/>
              </w:rPr>
              <w:t>Assessm</w:t>
            </w:r>
            <w:r w:rsidR="00530ACD">
              <w:rPr>
                <w:szCs w:val="17"/>
              </w:rPr>
              <w:t>ents of temporary housing needs for people whose primary places of residence have been affected during a disaster.</w:t>
            </w:r>
          </w:p>
        </w:tc>
        <w:tc>
          <w:tcPr>
            <w:tcW w:w="4390" w:type="dxa"/>
            <w:shd w:val="clear" w:color="auto" w:fill="F2F2F2" w:themeFill="background1" w:themeFillShade="F2"/>
          </w:tcPr>
          <w:p w:rsidR="00420279" w:rsidRPr="00420279" w:rsidRDefault="00420279" w:rsidP="00420279">
            <w:pPr>
              <w:spacing w:before="100"/>
              <w:jc w:val="left"/>
              <w:rPr>
                <w:szCs w:val="17"/>
              </w:rPr>
            </w:pPr>
          </w:p>
        </w:tc>
      </w:tr>
      <w:tr w:rsidR="00420279" w:rsidTr="00CF4384">
        <w:tc>
          <w:tcPr>
            <w:tcW w:w="4693" w:type="dxa"/>
            <w:shd w:val="clear" w:color="auto" w:fill="F2F2F2" w:themeFill="background1" w:themeFillShade="F2"/>
          </w:tcPr>
          <w:p w:rsidR="00420279" w:rsidRPr="00420279" w:rsidRDefault="00420279" w:rsidP="00420279">
            <w:pPr>
              <w:numPr>
                <w:ilvl w:val="0"/>
                <w:numId w:val="21"/>
              </w:numPr>
              <w:tabs>
                <w:tab w:val="clear" w:pos="567"/>
                <w:tab w:val="num" w:pos="426"/>
              </w:tabs>
              <w:spacing w:before="100"/>
              <w:ind w:left="426" w:hanging="426"/>
              <w:jc w:val="left"/>
              <w:rPr>
                <w:szCs w:val="17"/>
              </w:rPr>
            </w:pPr>
            <w:r w:rsidRPr="00420279">
              <w:rPr>
                <w:szCs w:val="17"/>
              </w:rPr>
              <w:t>Establishment and decommissioning of temporary relocatable accommodation for natural disaster displaced people.</w:t>
            </w:r>
          </w:p>
        </w:tc>
        <w:tc>
          <w:tcPr>
            <w:tcW w:w="4390" w:type="dxa"/>
            <w:shd w:val="clear" w:color="auto" w:fill="F2F2F2" w:themeFill="background1" w:themeFillShade="F2"/>
          </w:tcPr>
          <w:p w:rsidR="00420279" w:rsidRPr="00420279" w:rsidRDefault="00420279" w:rsidP="00420279">
            <w:pPr>
              <w:spacing w:before="100"/>
              <w:jc w:val="left"/>
              <w:rPr>
                <w:szCs w:val="17"/>
              </w:rPr>
            </w:pPr>
          </w:p>
        </w:tc>
      </w:tr>
      <w:tr w:rsidR="00420279" w:rsidTr="00CF4384">
        <w:trPr>
          <w:cnfStyle w:val="000000010000" w:firstRow="0" w:lastRow="0" w:firstColumn="0" w:lastColumn="0" w:oddVBand="0" w:evenVBand="0" w:oddHBand="0" w:evenHBand="1" w:firstRowFirstColumn="0" w:firstRowLastColumn="0" w:lastRowFirstColumn="0" w:lastRowLastColumn="0"/>
        </w:trPr>
        <w:tc>
          <w:tcPr>
            <w:tcW w:w="4693" w:type="dxa"/>
            <w:shd w:val="clear" w:color="auto" w:fill="F2F2F2" w:themeFill="background1" w:themeFillShade="F2"/>
          </w:tcPr>
          <w:p w:rsidR="00420279" w:rsidRPr="00420279" w:rsidRDefault="00530ACD" w:rsidP="00420279">
            <w:pPr>
              <w:pStyle w:val="ListParagraph"/>
              <w:numPr>
                <w:ilvl w:val="0"/>
                <w:numId w:val="24"/>
              </w:numPr>
              <w:spacing w:before="100"/>
              <w:jc w:val="left"/>
              <w:rPr>
                <w:szCs w:val="17"/>
              </w:rPr>
            </w:pPr>
            <w:r w:rsidRPr="00420279">
              <w:rPr>
                <w:szCs w:val="17"/>
              </w:rPr>
              <w:t>Extraordinary costs associated with the transporting, erecting and manning of temporary relocatable accommodation.</w:t>
            </w:r>
          </w:p>
        </w:tc>
        <w:tc>
          <w:tcPr>
            <w:tcW w:w="4390" w:type="dxa"/>
            <w:shd w:val="clear" w:color="auto" w:fill="F2F2F2" w:themeFill="background1" w:themeFillShade="F2"/>
          </w:tcPr>
          <w:p w:rsidR="00420279" w:rsidRPr="00420279" w:rsidRDefault="00420279" w:rsidP="00420279">
            <w:pPr>
              <w:spacing w:before="100"/>
              <w:jc w:val="left"/>
              <w:rPr>
                <w:szCs w:val="17"/>
              </w:rPr>
            </w:pPr>
          </w:p>
        </w:tc>
      </w:tr>
    </w:tbl>
    <w:p w:rsidR="00A8670C" w:rsidRDefault="00A8670C" w:rsidP="00A8670C">
      <w:pPr>
        <w:spacing w:after="0"/>
        <w:ind w:left="360"/>
      </w:pPr>
    </w:p>
    <w:p w:rsidR="00A8670C" w:rsidRPr="005834D2" w:rsidRDefault="00A8670C" w:rsidP="006E11C4">
      <w:pPr>
        <w:pStyle w:val="Heading3"/>
      </w:pPr>
      <w:r>
        <w:t>Advice regarding eligibility</w:t>
      </w:r>
    </w:p>
    <w:p w:rsidR="00A8670C" w:rsidRDefault="00A8670C" w:rsidP="00A8670C">
      <w:r>
        <w:t xml:space="preserve">For any queries relating to the eligibility of relief and recovery expenditure, please </w:t>
      </w:r>
      <w:r w:rsidR="00CC2AC2">
        <w:t>NDFA Team</w:t>
      </w:r>
      <w:r>
        <w:t xml:space="preserve"> on </w:t>
      </w:r>
      <w:r>
        <w:br/>
        <w:t xml:space="preserve">(03) 9651 2327 or email </w:t>
      </w:r>
      <w:hyperlink r:id="rId9" w:history="1">
        <w:r w:rsidR="00DB7F7B" w:rsidRPr="00510C6B">
          <w:rPr>
            <w:rStyle w:val="Hyperlink"/>
          </w:rPr>
          <w:t>ndfa@dtf.vic.gov.au</w:t>
        </w:r>
      </w:hyperlink>
      <w:r>
        <w:t>.</w:t>
      </w:r>
    </w:p>
    <w:bookmarkEnd w:id="0"/>
    <w:p w:rsidR="00DB7F7B" w:rsidRDefault="00DB7F7B" w:rsidP="00A8670C"/>
    <w:sectPr w:rsidR="00DB7F7B" w:rsidSect="00134CEA">
      <w:headerReference w:type="default" r:id="rId10"/>
      <w:footerReference w:type="even" r:id="rId11"/>
      <w:footerReference w:type="default" r:id="rId12"/>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18" w:rsidRDefault="00960418" w:rsidP="002D711A">
      <w:pPr>
        <w:spacing w:after="0" w:line="240" w:lineRule="auto"/>
      </w:pPr>
      <w:r>
        <w:separator/>
      </w:r>
    </w:p>
  </w:endnote>
  <w:endnote w:type="continuationSeparator" w:id="0">
    <w:p w:rsidR="00960418" w:rsidRDefault="0096041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040F78FF" wp14:editId="60A17E11">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3" w:rsidRDefault="004669E3" w:rsidP="004669E3">
    <w:pPr>
      <w:pStyle w:val="Spacer"/>
    </w:pPr>
  </w:p>
  <w:p w:rsidR="0041689E" w:rsidRPr="00C022F9" w:rsidRDefault="00931F0D" w:rsidP="0041689E">
    <w:pPr>
      <w:pStyle w:val="Footer"/>
      <w:spacing w:before="0"/>
    </w:pPr>
    <w:r>
      <w:rPr>
        <w:b/>
        <w:noProof w:val="0"/>
        <w:color w:val="0063A6" w:themeColor="accent1"/>
      </w:rPr>
      <w:t>Relief and recovery centres</w:t>
    </w:r>
    <w:r>
      <w:rPr>
        <w:b/>
        <w:color w:val="0063A6" w:themeColor="accent1"/>
      </w:rPr>
      <w:t xml:space="preserve"> – </w:t>
    </w:r>
    <w:r w:rsidR="005E742C">
      <w:rPr>
        <w:b/>
        <w:color w:val="0063A6" w:themeColor="accent1"/>
      </w:rPr>
      <w:t>September</w:t>
    </w:r>
    <w:r w:rsidR="00926195">
      <w:rPr>
        <w:b/>
        <w:color w:val="0063A6" w:themeColor="accent1"/>
      </w:rPr>
      <w:t xml:space="preserve"> 2017</w: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ED79E3">
      <w:rPr>
        <w:rStyle w:val="PageNumber"/>
      </w:rPr>
      <w:t>2</w:t>
    </w:r>
    <w:r w:rsidR="0041689E"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18" w:rsidRDefault="00960418" w:rsidP="002D711A">
      <w:pPr>
        <w:spacing w:after="0" w:line="240" w:lineRule="auto"/>
      </w:pPr>
      <w:r>
        <w:separator/>
      </w:r>
    </w:p>
  </w:footnote>
  <w:footnote w:type="continuationSeparator" w:id="0">
    <w:p w:rsidR="00960418" w:rsidRDefault="00960418"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1ED82CA1" wp14:editId="6634EF95">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17D811D4" wp14:editId="5730BEAB">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C50"/>
    <w:multiLevelType w:val="hybridMultilevel"/>
    <w:tmpl w:val="06AE9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0F3E57"/>
    <w:multiLevelType w:val="hybridMultilevel"/>
    <w:tmpl w:val="C40CB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76855DC"/>
    <w:multiLevelType w:val="multilevel"/>
    <w:tmpl w:val="C3E249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bullet"/>
      <w:lvlText w:val=""/>
      <w:lvlJc w:val="left"/>
      <w:pPr>
        <w:tabs>
          <w:tab w:val="num" w:pos="850"/>
        </w:tabs>
        <w:ind w:left="850"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5BC44545"/>
    <w:multiLevelType w:val="hybridMultilevel"/>
    <w:tmpl w:val="7DAE1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5"/>
  </w:num>
  <w:num w:numId="3">
    <w:abstractNumId w:val="5"/>
  </w:num>
  <w:num w:numId="4">
    <w:abstractNumId w:val="8"/>
  </w:num>
  <w:num w:numId="5">
    <w:abstractNumId w:val="5"/>
  </w:num>
  <w:num w:numId="6">
    <w:abstractNumId w:val="5"/>
  </w:num>
  <w:num w:numId="7">
    <w:abstractNumId w:val="5"/>
  </w:num>
  <w:num w:numId="8">
    <w:abstractNumId w:val="5"/>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2"/>
  </w:num>
  <w:num w:numId="19">
    <w:abstractNumId w:val="7"/>
  </w:num>
  <w:num w:numId="20">
    <w:abstractNumId w:val="3"/>
  </w:num>
  <w:num w:numId="21">
    <w:abstractNumId w:val="4"/>
  </w:num>
  <w:num w:numId="22">
    <w:abstractNumId w:val="0"/>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0C"/>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21252"/>
    <w:rsid w:val="00124609"/>
    <w:rsid w:val="001254CE"/>
    <w:rsid w:val="00134CEA"/>
    <w:rsid w:val="001422CC"/>
    <w:rsid w:val="001617B6"/>
    <w:rsid w:val="00165E66"/>
    <w:rsid w:val="001C178C"/>
    <w:rsid w:val="001C7BAE"/>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20279"/>
    <w:rsid w:val="004236C8"/>
    <w:rsid w:val="00427681"/>
    <w:rsid w:val="00433DB7"/>
    <w:rsid w:val="00453750"/>
    <w:rsid w:val="00456941"/>
    <w:rsid w:val="004669E3"/>
    <w:rsid w:val="004702EA"/>
    <w:rsid w:val="00482D02"/>
    <w:rsid w:val="004A7519"/>
    <w:rsid w:val="004D3518"/>
    <w:rsid w:val="004D62D6"/>
    <w:rsid w:val="00516857"/>
    <w:rsid w:val="00530ACD"/>
    <w:rsid w:val="0053416C"/>
    <w:rsid w:val="00541C2F"/>
    <w:rsid w:val="00563527"/>
    <w:rsid w:val="0058124E"/>
    <w:rsid w:val="00584301"/>
    <w:rsid w:val="005875A3"/>
    <w:rsid w:val="005A3416"/>
    <w:rsid w:val="005B27FE"/>
    <w:rsid w:val="005C3E6D"/>
    <w:rsid w:val="005E742C"/>
    <w:rsid w:val="005F459C"/>
    <w:rsid w:val="005F61DF"/>
    <w:rsid w:val="006023F9"/>
    <w:rsid w:val="00610559"/>
    <w:rsid w:val="00624644"/>
    <w:rsid w:val="006332F6"/>
    <w:rsid w:val="006361E7"/>
    <w:rsid w:val="00652625"/>
    <w:rsid w:val="006534B2"/>
    <w:rsid w:val="0065615D"/>
    <w:rsid w:val="00657011"/>
    <w:rsid w:val="006650B5"/>
    <w:rsid w:val="006651B1"/>
    <w:rsid w:val="00665778"/>
    <w:rsid w:val="006A5B34"/>
    <w:rsid w:val="006A5F5B"/>
    <w:rsid w:val="006C77A9"/>
    <w:rsid w:val="006E11C4"/>
    <w:rsid w:val="006F6693"/>
    <w:rsid w:val="00707FE8"/>
    <w:rsid w:val="00724962"/>
    <w:rsid w:val="00724A0F"/>
    <w:rsid w:val="007320B4"/>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53F5B"/>
    <w:rsid w:val="008A4900"/>
    <w:rsid w:val="008D0281"/>
    <w:rsid w:val="008E3C4E"/>
    <w:rsid w:val="008E420A"/>
    <w:rsid w:val="008F6D45"/>
    <w:rsid w:val="00926195"/>
    <w:rsid w:val="009313C9"/>
    <w:rsid w:val="00931F0D"/>
    <w:rsid w:val="00960418"/>
    <w:rsid w:val="009834C0"/>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8670C"/>
    <w:rsid w:val="00AA26B8"/>
    <w:rsid w:val="00AB3FE2"/>
    <w:rsid w:val="00AD3322"/>
    <w:rsid w:val="00AD7E4E"/>
    <w:rsid w:val="00AF4D58"/>
    <w:rsid w:val="00AF6666"/>
    <w:rsid w:val="00B10154"/>
    <w:rsid w:val="00B81B44"/>
    <w:rsid w:val="00B9053B"/>
    <w:rsid w:val="00BC3422"/>
    <w:rsid w:val="00BF0F9E"/>
    <w:rsid w:val="00C015B9"/>
    <w:rsid w:val="00C022F9"/>
    <w:rsid w:val="00C032EA"/>
    <w:rsid w:val="00C06EB5"/>
    <w:rsid w:val="00C1145F"/>
    <w:rsid w:val="00C3211C"/>
    <w:rsid w:val="00C637E1"/>
    <w:rsid w:val="00C70D50"/>
    <w:rsid w:val="00C907D7"/>
    <w:rsid w:val="00C92338"/>
    <w:rsid w:val="00CA7C3A"/>
    <w:rsid w:val="00CC2AC2"/>
    <w:rsid w:val="00CC2DB2"/>
    <w:rsid w:val="00CD0307"/>
    <w:rsid w:val="00CD3D1B"/>
    <w:rsid w:val="00CF4384"/>
    <w:rsid w:val="00CF7DCA"/>
    <w:rsid w:val="00D211E9"/>
    <w:rsid w:val="00D2312F"/>
    <w:rsid w:val="00D269C1"/>
    <w:rsid w:val="00D4041D"/>
    <w:rsid w:val="00D44953"/>
    <w:rsid w:val="00D542F3"/>
    <w:rsid w:val="00D5644B"/>
    <w:rsid w:val="00D56E25"/>
    <w:rsid w:val="00D718D7"/>
    <w:rsid w:val="00D814B7"/>
    <w:rsid w:val="00D90688"/>
    <w:rsid w:val="00DA3AAD"/>
    <w:rsid w:val="00DB312B"/>
    <w:rsid w:val="00DB7F7B"/>
    <w:rsid w:val="00DC5654"/>
    <w:rsid w:val="00DC658F"/>
    <w:rsid w:val="00DE60CC"/>
    <w:rsid w:val="00E26B32"/>
    <w:rsid w:val="00E407B6"/>
    <w:rsid w:val="00E41EF1"/>
    <w:rsid w:val="00E42942"/>
    <w:rsid w:val="00E468A6"/>
    <w:rsid w:val="00E71BDF"/>
    <w:rsid w:val="00E83CA7"/>
    <w:rsid w:val="00EC171D"/>
    <w:rsid w:val="00ED487E"/>
    <w:rsid w:val="00ED79E3"/>
    <w:rsid w:val="00EE7A0D"/>
    <w:rsid w:val="00F17CE1"/>
    <w:rsid w:val="00F2115C"/>
    <w:rsid w:val="00F22ABA"/>
    <w:rsid w:val="00F36B12"/>
    <w:rsid w:val="00F60F9F"/>
    <w:rsid w:val="00F64F08"/>
    <w:rsid w:val="00F734F5"/>
    <w:rsid w:val="00F966B1"/>
    <w:rsid w:val="00F97D48"/>
    <w:rsid w:val="00FA0311"/>
    <w:rsid w:val="00FB272C"/>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EC171D"/>
    <w:pPr>
      <w:spacing w:before="160" w:after="100"/>
    </w:pPr>
    <w:rPr>
      <w:spacing w:val="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paragraph" w:customStyle="1" w:styleId="Heading1NoNum">
    <w:name w:val="Heading 1 NoNum"/>
    <w:basedOn w:val="Heading1"/>
    <w:next w:val="Normal"/>
    <w:uiPriority w:val="4"/>
    <w:qFormat/>
    <w:rsid w:val="00A8670C"/>
    <w:pPr>
      <w:spacing w:before="200" w:after="80" w:line="240" w:lineRule="auto"/>
    </w:pPr>
    <w:rPr>
      <w:rFonts w:ascii="Calibri" w:eastAsia="Times New Roman" w:hAnsi="Calibri" w:cs="Calibri"/>
      <w:b w:val="0"/>
      <w:bCs w:val="0"/>
      <w:color w:val="4D4D4D"/>
      <w:spacing w:val="0"/>
      <w:sz w:val="3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EC171D"/>
    <w:pPr>
      <w:spacing w:before="160" w:after="100"/>
    </w:pPr>
    <w:rPr>
      <w:spacing w:val="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paragraph" w:customStyle="1" w:styleId="Heading1NoNum">
    <w:name w:val="Heading 1 NoNum"/>
    <w:basedOn w:val="Heading1"/>
    <w:next w:val="Normal"/>
    <w:uiPriority w:val="4"/>
    <w:qFormat/>
    <w:rsid w:val="00A8670C"/>
    <w:pPr>
      <w:spacing w:before="200" w:after="80" w:line="240" w:lineRule="auto"/>
    </w:pPr>
    <w:rPr>
      <w:rFonts w:ascii="Calibri" w:eastAsia="Times New Roman" w:hAnsi="Calibri" w:cs="Calibri"/>
      <w:b w:val="0"/>
      <w:bCs w:val="0"/>
      <w:color w:val="4D4D4D"/>
      <w:spacing w:val="0"/>
      <w:sz w:val="3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dfa@dtf.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DBC3-7329-44E9-B868-BB048B8F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2016-02-09T01:59:00Z</cp:lastPrinted>
  <dcterms:created xsi:type="dcterms:W3CDTF">2018-01-29T00:43:00Z</dcterms:created>
  <dcterms:modified xsi:type="dcterms:W3CDTF">2018-01-29T00:43:00Z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f4da0f29-34ae-4386-a922-4e484a63a5b3</vt:lpwstr>
  </property>
  <property fmtid="{D5CDD505-2E9C-101B-9397-08002B2CF9AE}" pid="3" name="PSPFClassification">
    <vt:lpwstr>Do Not Mark</vt:lpwstr>
  </property>
</Properties>
</file>