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7C2C15" w:rsidRDefault="00FE21EC" w:rsidP="00691C09">
      <w:pPr>
        <w:pStyle w:val="Title"/>
      </w:pPr>
      <w:bookmarkStart w:id="0" w:name="_Toc442780672"/>
      <w:r w:rsidRPr="007C2C15">
        <w:t xml:space="preserve">Supporting Documentation required with Natural Disaster Claims </w:t>
      </w:r>
    </w:p>
    <w:p w:rsidR="00B06FC1" w:rsidRPr="007C2C15" w:rsidRDefault="00B06FC1" w:rsidP="00691C09">
      <w:pPr>
        <w:pStyle w:val="Title"/>
      </w:pPr>
    </w:p>
    <w:p w:rsidR="00FE21EC" w:rsidRPr="0051466B" w:rsidRDefault="00FE21EC" w:rsidP="00FE21EC">
      <w:pPr>
        <w:pStyle w:val="NormalWeb"/>
        <w:rPr>
          <w:rStyle w:val="Strong"/>
          <w:rFonts w:asciiTheme="majorHAnsi" w:hAnsiTheme="majorHAnsi" w:cstheme="majorHAnsi"/>
          <w:color w:val="2F2F2F"/>
          <w:sz w:val="22"/>
          <w:szCs w:val="22"/>
          <w:lang w:val="en"/>
        </w:rPr>
      </w:pPr>
      <w:r w:rsidRPr="0051466B">
        <w:rPr>
          <w:rStyle w:val="Strong"/>
          <w:rFonts w:asciiTheme="majorHAnsi" w:hAnsiTheme="majorHAnsi" w:cstheme="majorHAnsi"/>
          <w:color w:val="2F2F2F"/>
          <w:sz w:val="22"/>
          <w:szCs w:val="22"/>
          <w:lang w:val="en"/>
        </w:rPr>
        <w:t xml:space="preserve">As a result </w:t>
      </w:r>
      <w:r w:rsidR="009D2538" w:rsidRPr="0051466B">
        <w:rPr>
          <w:rStyle w:val="Strong"/>
          <w:rFonts w:asciiTheme="majorHAnsi" w:hAnsiTheme="majorHAnsi" w:cstheme="majorHAnsi"/>
          <w:color w:val="2F2F2F"/>
          <w:sz w:val="22"/>
          <w:szCs w:val="22"/>
          <w:lang w:val="en"/>
        </w:rPr>
        <w:t>of the audit conducted by Pricewaterh</w:t>
      </w:r>
      <w:r w:rsidRPr="0051466B">
        <w:rPr>
          <w:rStyle w:val="Strong"/>
          <w:rFonts w:asciiTheme="majorHAnsi" w:hAnsiTheme="majorHAnsi" w:cstheme="majorHAnsi"/>
          <w:color w:val="2F2F2F"/>
          <w:sz w:val="22"/>
          <w:szCs w:val="22"/>
          <w:lang w:val="en"/>
        </w:rPr>
        <w:t xml:space="preserve">ouse Coopers </w:t>
      </w:r>
      <w:r w:rsidR="009D2538" w:rsidRPr="0051466B">
        <w:rPr>
          <w:rStyle w:val="Strong"/>
          <w:rFonts w:asciiTheme="majorHAnsi" w:hAnsiTheme="majorHAnsi" w:cstheme="majorHAnsi"/>
          <w:color w:val="2F2F2F"/>
          <w:sz w:val="22"/>
          <w:szCs w:val="22"/>
          <w:lang w:val="en"/>
        </w:rPr>
        <w:t>which commenced in </w:t>
      </w:r>
      <w:r w:rsidRPr="0051466B">
        <w:rPr>
          <w:rStyle w:val="Strong"/>
          <w:rFonts w:asciiTheme="majorHAnsi" w:hAnsiTheme="majorHAnsi" w:cstheme="majorHAnsi"/>
          <w:color w:val="2F2F2F"/>
          <w:sz w:val="22"/>
          <w:szCs w:val="22"/>
          <w:lang w:val="en"/>
        </w:rPr>
        <w:t>2016, on the natural disaster claims</w:t>
      </w:r>
      <w:r w:rsidR="00AE02B5" w:rsidRPr="0051466B">
        <w:rPr>
          <w:rStyle w:val="Strong"/>
          <w:rFonts w:asciiTheme="majorHAnsi" w:hAnsiTheme="majorHAnsi" w:cstheme="majorHAnsi"/>
          <w:color w:val="2F2F2F"/>
          <w:sz w:val="22"/>
          <w:szCs w:val="22"/>
          <w:lang w:val="en"/>
        </w:rPr>
        <w:t xml:space="preserve"> lodged</w:t>
      </w:r>
      <w:r w:rsidRPr="0051466B">
        <w:rPr>
          <w:rStyle w:val="Strong"/>
          <w:rFonts w:asciiTheme="majorHAnsi" w:hAnsiTheme="majorHAnsi" w:cstheme="majorHAnsi"/>
          <w:color w:val="2F2F2F"/>
          <w:sz w:val="22"/>
          <w:szCs w:val="22"/>
          <w:lang w:val="en"/>
        </w:rPr>
        <w:t xml:space="preserve"> for </w:t>
      </w:r>
      <w:r w:rsidR="00AE02B5" w:rsidRPr="0051466B">
        <w:rPr>
          <w:rStyle w:val="Strong"/>
          <w:rFonts w:asciiTheme="majorHAnsi" w:hAnsiTheme="majorHAnsi" w:cstheme="majorHAnsi"/>
          <w:color w:val="2F2F2F"/>
          <w:sz w:val="22"/>
          <w:szCs w:val="22"/>
          <w:lang w:val="en"/>
        </w:rPr>
        <w:t xml:space="preserve">the </w:t>
      </w:r>
      <w:r w:rsidRPr="0051466B">
        <w:rPr>
          <w:rStyle w:val="Strong"/>
          <w:rFonts w:asciiTheme="majorHAnsi" w:hAnsiTheme="majorHAnsi" w:cstheme="majorHAnsi"/>
          <w:color w:val="2F2F2F"/>
          <w:sz w:val="22"/>
          <w:szCs w:val="22"/>
          <w:lang w:val="en"/>
        </w:rPr>
        <w:t xml:space="preserve">2012-13 expenditure, the following supporting documentation </w:t>
      </w:r>
      <w:r w:rsidR="000073F5" w:rsidRPr="0051466B">
        <w:rPr>
          <w:rStyle w:val="Strong"/>
          <w:rFonts w:asciiTheme="majorHAnsi" w:hAnsiTheme="majorHAnsi" w:cstheme="majorHAnsi"/>
          <w:color w:val="2F2F2F"/>
          <w:sz w:val="22"/>
          <w:szCs w:val="22"/>
          <w:lang w:val="en"/>
        </w:rPr>
        <w:t xml:space="preserve">now </w:t>
      </w:r>
      <w:r w:rsidRPr="0051466B">
        <w:rPr>
          <w:rStyle w:val="Strong"/>
          <w:rFonts w:asciiTheme="majorHAnsi" w:hAnsiTheme="majorHAnsi" w:cstheme="majorHAnsi"/>
          <w:color w:val="2F2F2F"/>
          <w:sz w:val="22"/>
          <w:szCs w:val="22"/>
          <w:lang w:val="en"/>
        </w:rPr>
        <w:t>must be included with each claim lodged</w:t>
      </w:r>
      <w:r w:rsidR="00AE02B5" w:rsidRPr="0051466B">
        <w:rPr>
          <w:rStyle w:val="Strong"/>
          <w:rFonts w:asciiTheme="majorHAnsi" w:hAnsiTheme="majorHAnsi" w:cstheme="majorHAnsi"/>
          <w:color w:val="2F2F2F"/>
          <w:sz w:val="22"/>
          <w:szCs w:val="22"/>
          <w:lang w:val="en"/>
        </w:rPr>
        <w:t xml:space="preserve">.  </w:t>
      </w:r>
    </w:p>
    <w:p w:rsidR="00FE21EC" w:rsidRPr="0051466B" w:rsidRDefault="009D2538" w:rsidP="00FE21EC">
      <w:pPr>
        <w:pStyle w:val="NormalWeb"/>
        <w:rPr>
          <w:rStyle w:val="Strong"/>
          <w:rFonts w:asciiTheme="majorHAnsi" w:hAnsiTheme="majorHAnsi" w:cstheme="majorHAnsi"/>
          <w:b w:val="0"/>
          <w:color w:val="2F2F2F"/>
          <w:sz w:val="22"/>
          <w:szCs w:val="22"/>
          <w:lang w:val="en"/>
        </w:rPr>
      </w:pPr>
      <w:r w:rsidRPr="0051466B">
        <w:rPr>
          <w:rStyle w:val="Strong"/>
          <w:rFonts w:asciiTheme="majorHAnsi" w:hAnsiTheme="majorHAnsi" w:cstheme="majorHAnsi"/>
          <w:b w:val="0"/>
          <w:color w:val="2F2F2F"/>
          <w:sz w:val="22"/>
          <w:szCs w:val="22"/>
          <w:lang w:val="en"/>
        </w:rPr>
        <w:t xml:space="preserve">Access to FileShare can be arranged for local </w:t>
      </w:r>
      <w:r w:rsidR="000073F5" w:rsidRPr="0051466B">
        <w:rPr>
          <w:rStyle w:val="Strong"/>
          <w:rFonts w:asciiTheme="majorHAnsi" w:hAnsiTheme="majorHAnsi" w:cstheme="majorHAnsi"/>
          <w:b w:val="0"/>
          <w:color w:val="2F2F2F"/>
          <w:sz w:val="22"/>
          <w:szCs w:val="22"/>
          <w:lang w:val="en"/>
        </w:rPr>
        <w:t>c</w:t>
      </w:r>
      <w:r w:rsidRPr="0051466B">
        <w:rPr>
          <w:rStyle w:val="Strong"/>
          <w:rFonts w:asciiTheme="majorHAnsi" w:hAnsiTheme="majorHAnsi" w:cstheme="majorHAnsi"/>
          <w:b w:val="0"/>
          <w:color w:val="2F2F2F"/>
          <w:sz w:val="22"/>
          <w:szCs w:val="22"/>
          <w:lang w:val="en"/>
        </w:rPr>
        <w:t>ouncil</w:t>
      </w:r>
      <w:r w:rsidR="00FE21EC" w:rsidRPr="0051466B">
        <w:rPr>
          <w:rStyle w:val="Strong"/>
          <w:rFonts w:asciiTheme="majorHAnsi" w:hAnsiTheme="majorHAnsi" w:cstheme="majorHAnsi"/>
          <w:b w:val="0"/>
          <w:color w:val="2F2F2F"/>
          <w:sz w:val="22"/>
          <w:szCs w:val="22"/>
          <w:lang w:val="en"/>
        </w:rPr>
        <w:t>s</w:t>
      </w:r>
      <w:r w:rsidR="00C10591" w:rsidRPr="0051466B">
        <w:rPr>
          <w:rStyle w:val="Strong"/>
          <w:rFonts w:asciiTheme="majorHAnsi" w:hAnsiTheme="majorHAnsi" w:cstheme="majorHAnsi"/>
          <w:b w:val="0"/>
          <w:color w:val="2F2F2F"/>
          <w:sz w:val="22"/>
          <w:szCs w:val="22"/>
          <w:lang w:val="en"/>
        </w:rPr>
        <w:t>/CMAs</w:t>
      </w:r>
      <w:r w:rsidR="00FE21EC" w:rsidRPr="0051466B">
        <w:rPr>
          <w:rStyle w:val="Strong"/>
          <w:rFonts w:asciiTheme="majorHAnsi" w:hAnsiTheme="majorHAnsi" w:cstheme="majorHAnsi"/>
          <w:b w:val="0"/>
          <w:color w:val="2F2F2F"/>
          <w:sz w:val="22"/>
          <w:szCs w:val="22"/>
          <w:lang w:val="en"/>
        </w:rPr>
        <w:t xml:space="preserve"> wanting to include do</w:t>
      </w:r>
      <w:r w:rsidRPr="0051466B">
        <w:rPr>
          <w:rStyle w:val="Strong"/>
          <w:rFonts w:asciiTheme="majorHAnsi" w:hAnsiTheme="majorHAnsi" w:cstheme="majorHAnsi"/>
          <w:b w:val="0"/>
          <w:color w:val="2F2F2F"/>
          <w:sz w:val="22"/>
          <w:szCs w:val="22"/>
          <w:lang w:val="en"/>
        </w:rPr>
        <w:t>cumentation</w:t>
      </w:r>
      <w:r w:rsidR="009C6277" w:rsidRPr="0051466B">
        <w:rPr>
          <w:rStyle w:val="Strong"/>
          <w:rFonts w:asciiTheme="majorHAnsi" w:hAnsiTheme="majorHAnsi" w:cstheme="majorHAnsi"/>
          <w:b w:val="0"/>
          <w:color w:val="2F2F2F"/>
          <w:sz w:val="22"/>
          <w:szCs w:val="22"/>
          <w:lang w:val="en"/>
        </w:rPr>
        <w:t xml:space="preserve"> (such as the photos and reports)</w:t>
      </w:r>
      <w:r w:rsidRPr="0051466B">
        <w:rPr>
          <w:rStyle w:val="Strong"/>
          <w:rFonts w:asciiTheme="majorHAnsi" w:hAnsiTheme="majorHAnsi" w:cstheme="majorHAnsi"/>
          <w:b w:val="0"/>
          <w:color w:val="2F2F2F"/>
          <w:sz w:val="22"/>
          <w:szCs w:val="22"/>
          <w:lang w:val="en"/>
        </w:rPr>
        <w:t xml:space="preserve"> in excess of the 20</w:t>
      </w:r>
      <w:r w:rsidR="00FE21EC" w:rsidRPr="0051466B">
        <w:rPr>
          <w:rStyle w:val="Strong"/>
          <w:rFonts w:asciiTheme="majorHAnsi" w:hAnsiTheme="majorHAnsi" w:cstheme="majorHAnsi"/>
          <w:b w:val="0"/>
          <w:color w:val="2F2F2F"/>
          <w:sz w:val="22"/>
          <w:szCs w:val="22"/>
          <w:lang w:val="en"/>
        </w:rPr>
        <w:t>m</w:t>
      </w:r>
      <w:r w:rsidR="002C5BE8" w:rsidRPr="0051466B">
        <w:rPr>
          <w:rStyle w:val="Strong"/>
          <w:rFonts w:asciiTheme="majorHAnsi" w:hAnsiTheme="majorHAnsi" w:cstheme="majorHAnsi"/>
          <w:b w:val="0"/>
          <w:color w:val="2F2F2F"/>
          <w:sz w:val="22"/>
          <w:szCs w:val="22"/>
          <w:lang w:val="en"/>
        </w:rPr>
        <w:t>b</w:t>
      </w:r>
      <w:r w:rsidR="00AE02B5" w:rsidRPr="0051466B">
        <w:rPr>
          <w:rStyle w:val="Strong"/>
          <w:rFonts w:asciiTheme="majorHAnsi" w:hAnsiTheme="majorHAnsi" w:cstheme="majorHAnsi"/>
          <w:b w:val="0"/>
          <w:color w:val="2F2F2F"/>
          <w:sz w:val="22"/>
          <w:szCs w:val="22"/>
          <w:lang w:val="en"/>
        </w:rPr>
        <w:t xml:space="preserve"> allowable on the ACMS</w:t>
      </w:r>
      <w:r w:rsidR="007D7F1A" w:rsidRPr="0051466B">
        <w:rPr>
          <w:rStyle w:val="Strong"/>
          <w:rFonts w:asciiTheme="majorHAnsi" w:hAnsiTheme="majorHAnsi" w:cstheme="majorHAnsi"/>
          <w:b w:val="0"/>
          <w:color w:val="2F2F2F"/>
          <w:sz w:val="22"/>
          <w:szCs w:val="22"/>
          <w:lang w:val="en"/>
        </w:rPr>
        <w:t xml:space="preserve"> Portal</w:t>
      </w:r>
      <w:r w:rsidR="002A131A" w:rsidRPr="0051466B">
        <w:rPr>
          <w:rStyle w:val="Strong"/>
          <w:rFonts w:asciiTheme="majorHAnsi" w:hAnsiTheme="majorHAnsi" w:cstheme="majorHAnsi"/>
          <w:b w:val="0"/>
          <w:color w:val="2F2F2F"/>
          <w:sz w:val="22"/>
          <w:szCs w:val="22"/>
          <w:lang w:val="en"/>
        </w:rPr>
        <w:t>.</w:t>
      </w:r>
      <w:r w:rsidR="009C6277" w:rsidRPr="0051466B">
        <w:rPr>
          <w:rStyle w:val="Strong"/>
          <w:rFonts w:asciiTheme="majorHAnsi" w:hAnsiTheme="majorHAnsi" w:cstheme="majorHAnsi"/>
          <w:b w:val="0"/>
          <w:color w:val="2F2F2F"/>
          <w:sz w:val="22"/>
          <w:szCs w:val="22"/>
          <w:lang w:val="en"/>
        </w:rPr>
        <w:t xml:space="preserve">  The transaction listing and invoices should be saved with the claim on the ACMS Portal.</w:t>
      </w:r>
    </w:p>
    <w:p w:rsidR="00C10591" w:rsidRPr="00BD1F86" w:rsidRDefault="00BD1F86" w:rsidP="00C10591">
      <w:pPr>
        <w:autoSpaceDE w:val="0"/>
        <w:autoSpaceDN w:val="0"/>
        <w:adjustRightInd w:val="0"/>
        <w:spacing w:before="0" w:after="0" w:line="240" w:lineRule="auto"/>
        <w:rPr>
          <w:rFonts w:asciiTheme="majorHAnsi" w:hAnsiTheme="majorHAnsi" w:cstheme="majorHAnsi"/>
          <w:b/>
          <w:spacing w:val="0"/>
          <w:sz w:val="22"/>
          <w:szCs w:val="22"/>
        </w:rPr>
      </w:pPr>
      <w:r w:rsidRPr="00BD1F86">
        <w:rPr>
          <w:rFonts w:ascii="Helv" w:hAnsi="Helv" w:cs="Helv"/>
          <w:b/>
          <w:color w:val="000000"/>
        </w:rPr>
        <w:t>As part of the claim assessment process, councils are required to provide supporting information to DTF and assessors as much as they can. Where not all documents can be provided, councils should maintain the balance of the supporting documents at the council’s end and keep the documents available upon request.</w:t>
      </w:r>
    </w:p>
    <w:p w:rsidR="00FE21EC" w:rsidRPr="0051466B" w:rsidRDefault="00FE21EC" w:rsidP="00FE21EC">
      <w:pPr>
        <w:pStyle w:val="NormalWeb"/>
        <w:numPr>
          <w:ilvl w:val="0"/>
          <w:numId w:val="28"/>
        </w:numPr>
        <w:rPr>
          <w:rStyle w:val="Strong"/>
          <w:rFonts w:asciiTheme="majorHAnsi" w:hAnsiTheme="majorHAnsi" w:cstheme="majorHAnsi"/>
          <w:b w:val="0"/>
          <w:bCs w:val="0"/>
          <w:color w:val="00559A" w:themeColor="accent4" w:themeShade="BF"/>
          <w:lang w:val="en"/>
        </w:rPr>
      </w:pPr>
      <w:r w:rsidRPr="0051466B">
        <w:rPr>
          <w:rStyle w:val="Strong"/>
          <w:rFonts w:asciiTheme="majorHAnsi" w:hAnsiTheme="majorHAnsi" w:cstheme="majorHAnsi"/>
          <w:color w:val="00559A" w:themeColor="accent4" w:themeShade="BF"/>
          <w:lang w:val="en"/>
        </w:rPr>
        <w:t>Claim Amounts $150,000-$200,000</w:t>
      </w:r>
    </w:p>
    <w:p w:rsidR="00FE21EC" w:rsidRPr="0051466B" w:rsidRDefault="009D2538" w:rsidP="00FE21EC">
      <w:pPr>
        <w:pStyle w:val="NormalWeb"/>
        <w:ind w:left="360"/>
        <w:rPr>
          <w:rStyle w:val="Strong"/>
          <w:rFonts w:asciiTheme="majorHAnsi" w:hAnsiTheme="majorHAnsi" w:cstheme="majorHAnsi"/>
          <w:b w:val="0"/>
          <w:bCs w:val="0"/>
          <w:color w:val="222222"/>
          <w:sz w:val="22"/>
          <w:szCs w:val="22"/>
          <w:lang w:val="en"/>
        </w:rPr>
      </w:pPr>
      <w:r w:rsidRPr="0051466B">
        <w:rPr>
          <w:rStyle w:val="Strong"/>
          <w:rFonts w:asciiTheme="majorHAnsi" w:hAnsiTheme="majorHAnsi" w:cstheme="majorHAnsi"/>
          <w:b w:val="0"/>
          <w:color w:val="000000"/>
          <w:sz w:val="22"/>
          <w:szCs w:val="22"/>
          <w:lang w:val="en"/>
        </w:rPr>
        <w:t>Where possible</w:t>
      </w:r>
      <w:r w:rsidR="000073F5" w:rsidRPr="0051466B">
        <w:rPr>
          <w:rStyle w:val="Strong"/>
          <w:rFonts w:asciiTheme="majorHAnsi" w:hAnsiTheme="majorHAnsi" w:cstheme="majorHAnsi"/>
          <w:b w:val="0"/>
          <w:color w:val="000000"/>
          <w:sz w:val="22"/>
          <w:szCs w:val="22"/>
          <w:lang w:val="en"/>
        </w:rPr>
        <w:t>,</w:t>
      </w:r>
      <w:r w:rsidRPr="0051466B">
        <w:rPr>
          <w:rStyle w:val="Strong"/>
          <w:rFonts w:asciiTheme="majorHAnsi" w:hAnsiTheme="majorHAnsi" w:cstheme="majorHAnsi"/>
          <w:b w:val="0"/>
          <w:color w:val="000000"/>
          <w:sz w:val="22"/>
          <w:szCs w:val="22"/>
          <w:lang w:val="en"/>
        </w:rPr>
        <w:t xml:space="preserve"> i</w:t>
      </w:r>
      <w:r w:rsidR="00FE21EC" w:rsidRPr="0051466B">
        <w:rPr>
          <w:rStyle w:val="Strong"/>
          <w:rFonts w:asciiTheme="majorHAnsi" w:hAnsiTheme="majorHAnsi" w:cstheme="majorHAnsi"/>
          <w:b w:val="0"/>
          <w:color w:val="000000"/>
          <w:sz w:val="22"/>
          <w:szCs w:val="22"/>
          <w:lang w:val="en"/>
        </w:rPr>
        <w:t>t is recommended</w:t>
      </w:r>
      <w:r w:rsidR="00C10591" w:rsidRPr="0051466B">
        <w:rPr>
          <w:rStyle w:val="Strong"/>
          <w:rFonts w:asciiTheme="majorHAnsi" w:hAnsiTheme="majorHAnsi" w:cstheme="majorHAnsi"/>
          <w:b w:val="0"/>
          <w:color w:val="000000"/>
          <w:sz w:val="22"/>
          <w:szCs w:val="22"/>
          <w:lang w:val="en"/>
        </w:rPr>
        <w:t xml:space="preserve"> that councils/CMAs</w:t>
      </w:r>
      <w:r w:rsidR="00FE21EC" w:rsidRPr="0051466B">
        <w:rPr>
          <w:rStyle w:val="Strong"/>
          <w:rFonts w:asciiTheme="majorHAnsi" w:hAnsiTheme="majorHAnsi" w:cstheme="majorHAnsi"/>
          <w:b w:val="0"/>
          <w:color w:val="000000"/>
          <w:sz w:val="22"/>
          <w:szCs w:val="22"/>
          <w:lang w:val="en"/>
        </w:rPr>
        <w:t xml:space="preserve"> keep the total claim amounts to approximately $150,000-$200,000.   Smaller claims lodged frequently are easier to prepare, and are also more manageable for the </w:t>
      </w:r>
      <w:r w:rsidR="00AE02B5" w:rsidRPr="0051466B">
        <w:rPr>
          <w:rStyle w:val="Strong"/>
          <w:rFonts w:asciiTheme="majorHAnsi" w:hAnsiTheme="majorHAnsi" w:cstheme="majorHAnsi"/>
          <w:b w:val="0"/>
          <w:color w:val="000000"/>
          <w:sz w:val="22"/>
          <w:szCs w:val="22"/>
          <w:lang w:val="en"/>
        </w:rPr>
        <w:t xml:space="preserve">process which follows (ie. </w:t>
      </w:r>
      <w:r w:rsidR="00FE21EC" w:rsidRPr="0051466B">
        <w:rPr>
          <w:rStyle w:val="Strong"/>
          <w:rFonts w:asciiTheme="majorHAnsi" w:hAnsiTheme="majorHAnsi" w:cstheme="majorHAnsi"/>
          <w:b w:val="0"/>
          <w:color w:val="000000"/>
          <w:sz w:val="22"/>
          <w:szCs w:val="22"/>
          <w:lang w:val="en"/>
        </w:rPr>
        <w:t>reviewing, assessing and auditing</w:t>
      </w:r>
      <w:r w:rsidR="00AE02B5" w:rsidRPr="0051466B">
        <w:rPr>
          <w:rStyle w:val="Strong"/>
          <w:rFonts w:asciiTheme="majorHAnsi" w:hAnsiTheme="majorHAnsi" w:cstheme="majorHAnsi"/>
          <w:b w:val="0"/>
          <w:color w:val="000000"/>
          <w:sz w:val="22"/>
          <w:szCs w:val="22"/>
          <w:lang w:val="en"/>
        </w:rPr>
        <w:t>)</w:t>
      </w:r>
      <w:r w:rsidR="00FE21EC" w:rsidRPr="0051466B">
        <w:rPr>
          <w:rStyle w:val="Strong"/>
          <w:rFonts w:asciiTheme="majorHAnsi" w:hAnsiTheme="majorHAnsi" w:cstheme="majorHAnsi"/>
          <w:b w:val="0"/>
          <w:sz w:val="22"/>
          <w:szCs w:val="22"/>
          <w:lang w:val="en"/>
        </w:rPr>
        <w:t>.  Claims for the same event are linked and can be found on</w:t>
      </w:r>
      <w:r w:rsidR="00AE02B5" w:rsidRPr="0051466B">
        <w:rPr>
          <w:rStyle w:val="Strong"/>
          <w:rFonts w:asciiTheme="majorHAnsi" w:hAnsiTheme="majorHAnsi" w:cstheme="majorHAnsi"/>
          <w:b w:val="0"/>
          <w:sz w:val="22"/>
          <w:szCs w:val="22"/>
          <w:lang w:val="en"/>
        </w:rPr>
        <w:t xml:space="preserve"> the ACMS on</w:t>
      </w:r>
      <w:r w:rsidR="00FE21EC" w:rsidRPr="0051466B">
        <w:rPr>
          <w:rStyle w:val="Strong"/>
          <w:rFonts w:asciiTheme="majorHAnsi" w:hAnsiTheme="majorHAnsi" w:cstheme="majorHAnsi"/>
          <w:b w:val="0"/>
          <w:sz w:val="22"/>
          <w:szCs w:val="22"/>
          <w:lang w:val="en"/>
        </w:rPr>
        <w:t xml:space="preserve"> each claim under ‘</w:t>
      </w:r>
      <w:r w:rsidR="00FE21EC" w:rsidRPr="0051466B">
        <w:rPr>
          <w:rStyle w:val="Strong"/>
          <w:rFonts w:asciiTheme="majorHAnsi" w:hAnsiTheme="majorHAnsi" w:cstheme="majorHAnsi"/>
          <w:b w:val="0"/>
          <w:i/>
          <w:sz w:val="22"/>
          <w:szCs w:val="22"/>
          <w:lang w:val="en"/>
        </w:rPr>
        <w:t>Related Records’</w:t>
      </w:r>
      <w:r w:rsidR="00FE21EC" w:rsidRPr="0051466B">
        <w:rPr>
          <w:rStyle w:val="Strong"/>
          <w:rFonts w:asciiTheme="majorHAnsi" w:hAnsiTheme="majorHAnsi" w:cstheme="majorHAnsi"/>
          <w:b w:val="0"/>
          <w:sz w:val="22"/>
          <w:szCs w:val="22"/>
          <w:lang w:val="en"/>
        </w:rPr>
        <w:t>.</w:t>
      </w:r>
    </w:p>
    <w:p w:rsidR="00AE02B5" w:rsidRPr="0051466B" w:rsidRDefault="00AE02B5" w:rsidP="00FE21EC">
      <w:pPr>
        <w:pStyle w:val="NormalWeb"/>
        <w:numPr>
          <w:ilvl w:val="0"/>
          <w:numId w:val="28"/>
        </w:numPr>
        <w:rPr>
          <w:rStyle w:val="Strong"/>
          <w:rFonts w:asciiTheme="majorHAnsi" w:hAnsiTheme="majorHAnsi" w:cstheme="majorHAnsi"/>
          <w:b w:val="0"/>
          <w:bCs w:val="0"/>
          <w:color w:val="00559A" w:themeColor="accent4" w:themeShade="BF"/>
          <w:lang w:val="en"/>
        </w:rPr>
      </w:pPr>
      <w:r w:rsidRPr="0051466B">
        <w:rPr>
          <w:rStyle w:val="Strong"/>
          <w:rFonts w:asciiTheme="majorHAnsi" w:hAnsiTheme="majorHAnsi" w:cstheme="majorHAnsi"/>
          <w:color w:val="00559A" w:themeColor="accent4" w:themeShade="BF"/>
          <w:lang w:val="en"/>
        </w:rPr>
        <w:t>Transaction Listing</w:t>
      </w:r>
    </w:p>
    <w:p w:rsidR="00B06FC1" w:rsidRPr="0051466B" w:rsidRDefault="00FE21EC" w:rsidP="00853080">
      <w:pPr>
        <w:pStyle w:val="NormalWeb"/>
        <w:ind w:left="360"/>
        <w:rPr>
          <w:rStyle w:val="Strong"/>
          <w:rFonts w:asciiTheme="majorHAnsi" w:hAnsiTheme="majorHAnsi" w:cstheme="majorHAnsi"/>
          <w:b w:val="0"/>
          <w:sz w:val="22"/>
          <w:szCs w:val="22"/>
          <w:lang w:val="en"/>
        </w:rPr>
      </w:pPr>
      <w:r w:rsidRPr="0051466B">
        <w:rPr>
          <w:rStyle w:val="Strong"/>
          <w:rFonts w:asciiTheme="majorHAnsi" w:hAnsiTheme="majorHAnsi" w:cstheme="majorHAnsi"/>
          <w:b w:val="0"/>
          <w:sz w:val="22"/>
          <w:szCs w:val="22"/>
          <w:lang w:val="en"/>
        </w:rPr>
        <w:t xml:space="preserve">It is essential </w:t>
      </w:r>
      <w:r w:rsidR="00AE02B5" w:rsidRPr="0051466B">
        <w:rPr>
          <w:rStyle w:val="Strong"/>
          <w:rFonts w:asciiTheme="majorHAnsi" w:hAnsiTheme="majorHAnsi" w:cstheme="majorHAnsi"/>
          <w:b w:val="0"/>
          <w:sz w:val="22"/>
          <w:szCs w:val="22"/>
          <w:lang w:val="en"/>
        </w:rPr>
        <w:t xml:space="preserve">that a </w:t>
      </w:r>
      <w:r w:rsidR="007C2C15">
        <w:rPr>
          <w:rStyle w:val="Strong"/>
          <w:rFonts w:asciiTheme="majorHAnsi" w:hAnsiTheme="majorHAnsi" w:cstheme="majorHAnsi"/>
          <w:b w:val="0"/>
          <w:sz w:val="22"/>
          <w:szCs w:val="22"/>
          <w:lang w:val="en"/>
        </w:rPr>
        <w:t>t</w:t>
      </w:r>
      <w:r w:rsidR="00AE02B5" w:rsidRPr="0051466B">
        <w:rPr>
          <w:rStyle w:val="Strong"/>
          <w:rFonts w:asciiTheme="majorHAnsi" w:hAnsiTheme="majorHAnsi" w:cstheme="majorHAnsi"/>
          <w:b w:val="0"/>
          <w:sz w:val="22"/>
          <w:szCs w:val="22"/>
          <w:lang w:val="en"/>
        </w:rPr>
        <w:t xml:space="preserve">ransaction </w:t>
      </w:r>
      <w:r w:rsidR="007C2C15">
        <w:rPr>
          <w:rStyle w:val="Strong"/>
          <w:rFonts w:asciiTheme="majorHAnsi" w:hAnsiTheme="majorHAnsi" w:cstheme="majorHAnsi"/>
          <w:b w:val="0"/>
          <w:sz w:val="22"/>
          <w:szCs w:val="22"/>
          <w:lang w:val="en"/>
        </w:rPr>
        <w:t>l</w:t>
      </w:r>
      <w:r w:rsidR="00AE02B5" w:rsidRPr="0051466B">
        <w:rPr>
          <w:rStyle w:val="Strong"/>
          <w:rFonts w:asciiTheme="majorHAnsi" w:hAnsiTheme="majorHAnsi" w:cstheme="majorHAnsi"/>
          <w:b w:val="0"/>
          <w:sz w:val="22"/>
          <w:szCs w:val="22"/>
          <w:lang w:val="en"/>
        </w:rPr>
        <w:t xml:space="preserve">isting </w:t>
      </w:r>
      <w:r w:rsidR="007C2C15">
        <w:rPr>
          <w:rStyle w:val="Strong"/>
          <w:rFonts w:asciiTheme="majorHAnsi" w:hAnsiTheme="majorHAnsi" w:cstheme="majorHAnsi"/>
          <w:b w:val="0"/>
          <w:sz w:val="22"/>
          <w:szCs w:val="22"/>
          <w:lang w:val="en"/>
        </w:rPr>
        <w:t>including the total</w:t>
      </w:r>
      <w:r w:rsidRPr="0051466B">
        <w:rPr>
          <w:rStyle w:val="Strong"/>
          <w:rFonts w:asciiTheme="majorHAnsi" w:hAnsiTheme="majorHAnsi" w:cstheme="majorHAnsi"/>
          <w:b w:val="0"/>
          <w:sz w:val="22"/>
          <w:szCs w:val="22"/>
          <w:lang w:val="en"/>
        </w:rPr>
        <w:t xml:space="preserve"> </w:t>
      </w:r>
      <w:r w:rsidR="00AE02B5" w:rsidRPr="0051466B">
        <w:rPr>
          <w:rStyle w:val="Strong"/>
          <w:rFonts w:asciiTheme="majorHAnsi" w:hAnsiTheme="majorHAnsi" w:cstheme="majorHAnsi"/>
          <w:b w:val="0"/>
          <w:sz w:val="22"/>
          <w:szCs w:val="22"/>
          <w:lang w:val="en"/>
        </w:rPr>
        <w:t xml:space="preserve">amount being </w:t>
      </w:r>
      <w:r w:rsidRPr="0051466B">
        <w:rPr>
          <w:rStyle w:val="Strong"/>
          <w:rFonts w:asciiTheme="majorHAnsi" w:hAnsiTheme="majorHAnsi" w:cstheme="majorHAnsi"/>
          <w:b w:val="0"/>
          <w:sz w:val="22"/>
          <w:szCs w:val="22"/>
          <w:lang w:val="en"/>
        </w:rPr>
        <w:t>claim</w:t>
      </w:r>
      <w:r w:rsidR="00AE02B5" w:rsidRPr="0051466B">
        <w:rPr>
          <w:rStyle w:val="Strong"/>
          <w:rFonts w:asciiTheme="majorHAnsi" w:hAnsiTheme="majorHAnsi" w:cstheme="majorHAnsi"/>
          <w:b w:val="0"/>
          <w:sz w:val="22"/>
          <w:szCs w:val="22"/>
          <w:lang w:val="en"/>
        </w:rPr>
        <w:t>ed</w:t>
      </w:r>
      <w:r w:rsidRPr="0051466B">
        <w:rPr>
          <w:rStyle w:val="Strong"/>
          <w:rFonts w:asciiTheme="majorHAnsi" w:hAnsiTheme="majorHAnsi" w:cstheme="majorHAnsi"/>
          <w:b w:val="0"/>
          <w:sz w:val="22"/>
          <w:szCs w:val="22"/>
          <w:lang w:val="en"/>
        </w:rPr>
        <w:t xml:space="preserve"> is included (in an Excel format)</w:t>
      </w:r>
      <w:r w:rsidR="005160C0">
        <w:rPr>
          <w:rStyle w:val="Strong"/>
          <w:rFonts w:asciiTheme="majorHAnsi" w:hAnsiTheme="majorHAnsi" w:cstheme="majorHAnsi"/>
          <w:b w:val="0"/>
          <w:sz w:val="22"/>
          <w:szCs w:val="22"/>
          <w:lang w:val="en"/>
        </w:rPr>
        <w:t xml:space="preserve"> with all claims</w:t>
      </w:r>
      <w:r w:rsidRPr="0051466B">
        <w:rPr>
          <w:rStyle w:val="Strong"/>
          <w:rFonts w:asciiTheme="majorHAnsi" w:hAnsiTheme="majorHAnsi" w:cstheme="majorHAnsi"/>
          <w:b w:val="0"/>
          <w:sz w:val="22"/>
          <w:szCs w:val="22"/>
          <w:lang w:val="en"/>
        </w:rPr>
        <w:t xml:space="preserve">, along with associated invoices.  </w:t>
      </w:r>
      <w:r w:rsidR="002C5BE8" w:rsidRPr="0051466B">
        <w:rPr>
          <w:rStyle w:val="Strong"/>
          <w:rFonts w:asciiTheme="majorHAnsi" w:hAnsiTheme="majorHAnsi" w:cstheme="majorHAnsi"/>
          <w:b w:val="0"/>
          <w:sz w:val="22"/>
          <w:szCs w:val="22"/>
          <w:lang w:val="en"/>
        </w:rPr>
        <w:t xml:space="preserve">A transaction listing generally refers to </w:t>
      </w:r>
      <w:r w:rsidR="007C2C15">
        <w:rPr>
          <w:rStyle w:val="Strong"/>
          <w:rFonts w:asciiTheme="majorHAnsi" w:hAnsiTheme="majorHAnsi" w:cstheme="majorHAnsi"/>
          <w:b w:val="0"/>
          <w:sz w:val="22"/>
          <w:szCs w:val="22"/>
          <w:lang w:val="en"/>
        </w:rPr>
        <w:t>a</w:t>
      </w:r>
      <w:r w:rsidR="007C2C15" w:rsidRPr="0051466B">
        <w:rPr>
          <w:rStyle w:val="Strong"/>
          <w:rFonts w:asciiTheme="majorHAnsi" w:hAnsiTheme="majorHAnsi" w:cstheme="majorHAnsi"/>
          <w:b w:val="0"/>
          <w:sz w:val="22"/>
          <w:szCs w:val="22"/>
          <w:lang w:val="en"/>
        </w:rPr>
        <w:t xml:space="preserve"> </w:t>
      </w:r>
      <w:r w:rsidR="002C5BE8" w:rsidRPr="0051466B">
        <w:rPr>
          <w:rStyle w:val="Strong"/>
          <w:rFonts w:asciiTheme="majorHAnsi" w:hAnsiTheme="majorHAnsi" w:cstheme="majorHAnsi"/>
          <w:b w:val="0"/>
          <w:sz w:val="22"/>
          <w:szCs w:val="22"/>
          <w:lang w:val="en"/>
        </w:rPr>
        <w:t xml:space="preserve">general ledger </w:t>
      </w:r>
      <w:r w:rsidR="007C2C15">
        <w:rPr>
          <w:rStyle w:val="Strong"/>
          <w:rFonts w:asciiTheme="majorHAnsi" w:hAnsiTheme="majorHAnsi" w:cstheme="majorHAnsi"/>
          <w:b w:val="0"/>
          <w:sz w:val="22"/>
          <w:szCs w:val="22"/>
          <w:lang w:val="en"/>
        </w:rPr>
        <w:t>that includes a</w:t>
      </w:r>
      <w:r w:rsidR="002C5BE8" w:rsidRPr="0051466B">
        <w:rPr>
          <w:rStyle w:val="Strong"/>
          <w:rFonts w:asciiTheme="majorHAnsi" w:hAnsiTheme="majorHAnsi" w:cstheme="majorHAnsi"/>
          <w:b w:val="0"/>
          <w:sz w:val="22"/>
          <w:szCs w:val="22"/>
          <w:lang w:val="en"/>
        </w:rPr>
        <w:t xml:space="preserve"> reasonable level of information </w:t>
      </w:r>
      <w:r w:rsidR="007C2C15">
        <w:rPr>
          <w:rStyle w:val="Strong"/>
          <w:rFonts w:asciiTheme="majorHAnsi" w:hAnsiTheme="majorHAnsi" w:cstheme="majorHAnsi"/>
          <w:b w:val="0"/>
          <w:sz w:val="22"/>
          <w:szCs w:val="22"/>
          <w:lang w:val="en"/>
        </w:rPr>
        <w:t>regarding the nature of relief and recovery works</w:t>
      </w:r>
      <w:r w:rsidR="002C5BE8" w:rsidRPr="0051466B">
        <w:rPr>
          <w:rStyle w:val="Strong"/>
          <w:rFonts w:asciiTheme="majorHAnsi" w:hAnsiTheme="majorHAnsi" w:cstheme="majorHAnsi"/>
          <w:b w:val="0"/>
          <w:sz w:val="22"/>
          <w:szCs w:val="22"/>
          <w:lang w:val="en"/>
        </w:rPr>
        <w:t>.  Where such information is not available on the general ledger, Councils/CMA can provide additional information through</w:t>
      </w:r>
      <w:r w:rsidR="00B06FC1" w:rsidRPr="0051466B">
        <w:rPr>
          <w:rStyle w:val="Strong"/>
          <w:rFonts w:asciiTheme="majorHAnsi" w:hAnsiTheme="majorHAnsi" w:cstheme="majorHAnsi"/>
          <w:b w:val="0"/>
          <w:sz w:val="22"/>
          <w:szCs w:val="22"/>
          <w:lang w:val="en"/>
        </w:rPr>
        <w:t xml:space="preserve"> the </w:t>
      </w:r>
      <w:r w:rsidR="007C2C15">
        <w:rPr>
          <w:rStyle w:val="Strong"/>
          <w:rFonts w:asciiTheme="majorHAnsi" w:hAnsiTheme="majorHAnsi" w:cstheme="majorHAnsi"/>
          <w:b w:val="0"/>
          <w:sz w:val="22"/>
          <w:szCs w:val="22"/>
          <w:lang w:val="en"/>
        </w:rPr>
        <w:t>t</w:t>
      </w:r>
      <w:r w:rsidR="00AE02B5" w:rsidRPr="0051466B">
        <w:rPr>
          <w:rStyle w:val="Strong"/>
          <w:rFonts w:asciiTheme="majorHAnsi" w:hAnsiTheme="majorHAnsi" w:cstheme="majorHAnsi"/>
          <w:b w:val="0"/>
          <w:sz w:val="22"/>
          <w:szCs w:val="22"/>
          <w:lang w:val="en"/>
        </w:rPr>
        <w:t xml:space="preserve">ransaction </w:t>
      </w:r>
      <w:r w:rsidR="007C2C15">
        <w:rPr>
          <w:rStyle w:val="Strong"/>
          <w:rFonts w:asciiTheme="majorHAnsi" w:hAnsiTheme="majorHAnsi" w:cstheme="majorHAnsi"/>
          <w:b w:val="0"/>
          <w:sz w:val="22"/>
          <w:szCs w:val="22"/>
          <w:lang w:val="en"/>
        </w:rPr>
        <w:t>l</w:t>
      </w:r>
      <w:r w:rsidR="00AE02B5" w:rsidRPr="0051466B">
        <w:rPr>
          <w:rStyle w:val="Strong"/>
          <w:rFonts w:asciiTheme="majorHAnsi" w:hAnsiTheme="majorHAnsi" w:cstheme="majorHAnsi"/>
          <w:b w:val="0"/>
          <w:sz w:val="22"/>
          <w:szCs w:val="22"/>
          <w:lang w:val="en"/>
        </w:rPr>
        <w:t>isting</w:t>
      </w:r>
      <w:r w:rsidRPr="0051466B">
        <w:rPr>
          <w:rStyle w:val="Strong"/>
          <w:rFonts w:asciiTheme="majorHAnsi" w:hAnsiTheme="majorHAnsi" w:cstheme="majorHAnsi"/>
          <w:b w:val="0"/>
          <w:sz w:val="22"/>
          <w:szCs w:val="22"/>
          <w:lang w:val="en"/>
        </w:rPr>
        <w:t xml:space="preserve"> template </w:t>
      </w:r>
      <w:r w:rsidR="00B06FC1" w:rsidRPr="0051466B">
        <w:rPr>
          <w:rStyle w:val="Strong"/>
          <w:rFonts w:asciiTheme="majorHAnsi" w:hAnsiTheme="majorHAnsi" w:cstheme="majorHAnsi"/>
          <w:b w:val="0"/>
          <w:sz w:val="22"/>
          <w:szCs w:val="22"/>
          <w:lang w:val="en"/>
        </w:rPr>
        <w:t>which has</w:t>
      </w:r>
      <w:r w:rsidRPr="0051466B">
        <w:rPr>
          <w:rStyle w:val="Strong"/>
          <w:rFonts w:asciiTheme="majorHAnsi" w:hAnsiTheme="majorHAnsi" w:cstheme="majorHAnsi"/>
          <w:b w:val="0"/>
          <w:sz w:val="22"/>
          <w:szCs w:val="22"/>
          <w:lang w:val="en"/>
        </w:rPr>
        <w:t xml:space="preserve"> been </w:t>
      </w:r>
      <w:r w:rsidR="00B06FC1" w:rsidRPr="0051466B">
        <w:rPr>
          <w:rStyle w:val="Strong"/>
          <w:rFonts w:asciiTheme="majorHAnsi" w:hAnsiTheme="majorHAnsi" w:cstheme="majorHAnsi"/>
          <w:b w:val="0"/>
          <w:sz w:val="22"/>
          <w:szCs w:val="22"/>
          <w:lang w:val="en"/>
        </w:rPr>
        <w:t xml:space="preserve">has been set up as a guide for Councils/CMAs.  The </w:t>
      </w:r>
      <w:r w:rsidR="007C2C15">
        <w:rPr>
          <w:rStyle w:val="Strong"/>
          <w:rFonts w:asciiTheme="majorHAnsi" w:hAnsiTheme="majorHAnsi" w:cstheme="majorHAnsi"/>
          <w:b w:val="0"/>
          <w:sz w:val="22"/>
          <w:szCs w:val="22"/>
          <w:lang w:val="en"/>
        </w:rPr>
        <w:t>t</w:t>
      </w:r>
      <w:r w:rsidR="00B06FC1" w:rsidRPr="0051466B">
        <w:rPr>
          <w:rStyle w:val="Strong"/>
          <w:rFonts w:asciiTheme="majorHAnsi" w:hAnsiTheme="majorHAnsi" w:cstheme="majorHAnsi"/>
          <w:b w:val="0"/>
          <w:sz w:val="22"/>
          <w:szCs w:val="22"/>
          <w:lang w:val="en"/>
        </w:rPr>
        <w:t xml:space="preserve">ransaction </w:t>
      </w:r>
      <w:r w:rsidR="007C2C15">
        <w:rPr>
          <w:rStyle w:val="Strong"/>
          <w:rFonts w:asciiTheme="majorHAnsi" w:hAnsiTheme="majorHAnsi" w:cstheme="majorHAnsi"/>
          <w:b w:val="0"/>
          <w:sz w:val="22"/>
          <w:szCs w:val="22"/>
          <w:lang w:val="en"/>
        </w:rPr>
        <w:t>l</w:t>
      </w:r>
      <w:r w:rsidR="00B06FC1" w:rsidRPr="0051466B">
        <w:rPr>
          <w:rStyle w:val="Strong"/>
          <w:rFonts w:asciiTheme="majorHAnsi" w:hAnsiTheme="majorHAnsi" w:cstheme="majorHAnsi"/>
          <w:b w:val="0"/>
          <w:sz w:val="22"/>
          <w:szCs w:val="22"/>
          <w:lang w:val="en"/>
        </w:rPr>
        <w:t>isting</w:t>
      </w:r>
      <w:r w:rsidR="007C2C15">
        <w:rPr>
          <w:rStyle w:val="Strong"/>
          <w:rFonts w:asciiTheme="majorHAnsi" w:hAnsiTheme="majorHAnsi" w:cstheme="majorHAnsi"/>
          <w:b w:val="0"/>
          <w:sz w:val="22"/>
          <w:szCs w:val="22"/>
          <w:lang w:val="en"/>
        </w:rPr>
        <w:t xml:space="preserve"> template</w:t>
      </w:r>
      <w:r w:rsidR="00B06FC1" w:rsidRPr="0051466B">
        <w:rPr>
          <w:rStyle w:val="Strong"/>
          <w:rFonts w:asciiTheme="majorHAnsi" w:hAnsiTheme="majorHAnsi" w:cstheme="majorHAnsi"/>
          <w:b w:val="0"/>
          <w:sz w:val="22"/>
          <w:szCs w:val="22"/>
          <w:lang w:val="en"/>
        </w:rPr>
        <w:t xml:space="preserve"> </w:t>
      </w:r>
      <w:r w:rsidRPr="0051466B">
        <w:rPr>
          <w:rStyle w:val="Strong"/>
          <w:rFonts w:asciiTheme="majorHAnsi" w:hAnsiTheme="majorHAnsi" w:cstheme="majorHAnsi"/>
          <w:b w:val="0"/>
          <w:sz w:val="22"/>
          <w:szCs w:val="22"/>
          <w:lang w:val="en"/>
        </w:rPr>
        <w:t>can be found</w:t>
      </w:r>
      <w:r w:rsidR="00AE02B5" w:rsidRPr="0051466B">
        <w:rPr>
          <w:rStyle w:val="Strong"/>
          <w:rFonts w:asciiTheme="majorHAnsi" w:hAnsiTheme="majorHAnsi" w:cstheme="majorHAnsi"/>
          <w:b w:val="0"/>
          <w:sz w:val="22"/>
          <w:szCs w:val="22"/>
          <w:lang w:val="en"/>
        </w:rPr>
        <w:t xml:space="preserve"> on the ACMS</w:t>
      </w:r>
      <w:r w:rsidRPr="0051466B">
        <w:rPr>
          <w:rStyle w:val="Strong"/>
          <w:rFonts w:asciiTheme="majorHAnsi" w:hAnsiTheme="majorHAnsi" w:cstheme="majorHAnsi"/>
          <w:b w:val="0"/>
          <w:sz w:val="22"/>
          <w:szCs w:val="22"/>
          <w:lang w:val="en"/>
        </w:rPr>
        <w:t xml:space="preserve"> under ‘</w:t>
      </w:r>
      <w:r w:rsidRPr="0051466B">
        <w:rPr>
          <w:rStyle w:val="Emphasis"/>
          <w:rFonts w:asciiTheme="majorHAnsi" w:hAnsiTheme="majorHAnsi" w:cstheme="majorHAnsi"/>
          <w:b/>
          <w:bCs/>
          <w:sz w:val="22"/>
          <w:szCs w:val="22"/>
          <w:lang w:val="en"/>
        </w:rPr>
        <w:t>Documents, Guides &amp; Forms</w:t>
      </w:r>
      <w:r w:rsidRPr="0051466B">
        <w:rPr>
          <w:rStyle w:val="Strong"/>
          <w:rFonts w:asciiTheme="majorHAnsi" w:hAnsiTheme="majorHAnsi" w:cstheme="majorHAnsi"/>
          <w:b w:val="0"/>
          <w:sz w:val="22"/>
          <w:szCs w:val="22"/>
          <w:lang w:val="en"/>
        </w:rPr>
        <w:t xml:space="preserve">’ (on the menu, left hand side) entitled </w:t>
      </w:r>
      <w:r w:rsidR="00AE02B5" w:rsidRPr="0051466B">
        <w:rPr>
          <w:rStyle w:val="Strong"/>
          <w:rFonts w:asciiTheme="majorHAnsi" w:hAnsiTheme="majorHAnsi" w:cstheme="majorHAnsi"/>
          <w:b w:val="0"/>
          <w:sz w:val="22"/>
          <w:szCs w:val="22"/>
          <w:lang w:val="en"/>
        </w:rPr>
        <w:t>‘</w:t>
      </w:r>
      <w:r w:rsidRPr="0051466B">
        <w:rPr>
          <w:rStyle w:val="Strong"/>
          <w:rFonts w:asciiTheme="majorHAnsi" w:hAnsiTheme="majorHAnsi" w:cstheme="majorHAnsi"/>
          <w:b w:val="0"/>
          <w:i/>
          <w:sz w:val="22"/>
          <w:szCs w:val="22"/>
          <w:lang w:val="en"/>
        </w:rPr>
        <w:t>ACMS Transaction Listing</w:t>
      </w:r>
      <w:r w:rsidR="00AE02B5" w:rsidRPr="0051466B">
        <w:rPr>
          <w:rStyle w:val="Strong"/>
          <w:rFonts w:asciiTheme="majorHAnsi" w:hAnsiTheme="majorHAnsi" w:cstheme="majorHAnsi"/>
          <w:b w:val="0"/>
          <w:i/>
          <w:sz w:val="22"/>
          <w:szCs w:val="22"/>
          <w:lang w:val="en"/>
        </w:rPr>
        <w:t>’</w:t>
      </w:r>
      <w:r w:rsidRPr="0051466B">
        <w:rPr>
          <w:rStyle w:val="Strong"/>
          <w:rFonts w:asciiTheme="majorHAnsi" w:hAnsiTheme="majorHAnsi" w:cstheme="majorHAnsi"/>
          <w:b w:val="0"/>
          <w:sz w:val="22"/>
          <w:szCs w:val="22"/>
          <w:lang w:val="en"/>
        </w:rPr>
        <w:t xml:space="preserve">.  </w:t>
      </w:r>
    </w:p>
    <w:p w:rsidR="00FE21EC" w:rsidRPr="0051466B" w:rsidRDefault="00FE21EC" w:rsidP="00853080">
      <w:pPr>
        <w:pStyle w:val="NormalWeb"/>
        <w:ind w:left="360"/>
        <w:rPr>
          <w:rStyle w:val="Strong"/>
          <w:rFonts w:asciiTheme="majorHAnsi" w:hAnsiTheme="majorHAnsi" w:cstheme="majorHAnsi"/>
          <w:b w:val="0"/>
          <w:sz w:val="22"/>
          <w:szCs w:val="22"/>
          <w:lang w:val="en"/>
        </w:rPr>
      </w:pPr>
      <w:r w:rsidRPr="0051466B">
        <w:rPr>
          <w:rStyle w:val="Strong"/>
          <w:rFonts w:asciiTheme="majorHAnsi" w:hAnsiTheme="majorHAnsi" w:cstheme="majorHAnsi"/>
          <w:b w:val="0"/>
          <w:sz w:val="22"/>
          <w:szCs w:val="22"/>
          <w:lang w:val="en"/>
        </w:rPr>
        <w:t xml:space="preserve">If using your own </w:t>
      </w:r>
      <w:r w:rsidR="007C2C15">
        <w:rPr>
          <w:rStyle w:val="Strong"/>
          <w:rFonts w:asciiTheme="majorHAnsi" w:hAnsiTheme="majorHAnsi" w:cstheme="majorHAnsi"/>
          <w:b w:val="0"/>
          <w:sz w:val="22"/>
          <w:szCs w:val="22"/>
          <w:lang w:val="en"/>
        </w:rPr>
        <w:t>t</w:t>
      </w:r>
      <w:r w:rsidRPr="0051466B">
        <w:rPr>
          <w:rStyle w:val="Strong"/>
          <w:rFonts w:asciiTheme="majorHAnsi" w:hAnsiTheme="majorHAnsi" w:cstheme="majorHAnsi"/>
          <w:b w:val="0"/>
          <w:sz w:val="22"/>
          <w:szCs w:val="22"/>
          <w:lang w:val="en"/>
        </w:rPr>
        <w:t xml:space="preserve">ransaction </w:t>
      </w:r>
      <w:r w:rsidR="007C2C15">
        <w:rPr>
          <w:rStyle w:val="Strong"/>
          <w:rFonts w:asciiTheme="majorHAnsi" w:hAnsiTheme="majorHAnsi" w:cstheme="majorHAnsi"/>
          <w:b w:val="0"/>
          <w:sz w:val="22"/>
          <w:szCs w:val="22"/>
          <w:lang w:val="en"/>
        </w:rPr>
        <w:t>l</w:t>
      </w:r>
      <w:r w:rsidRPr="0051466B">
        <w:rPr>
          <w:rStyle w:val="Strong"/>
          <w:rFonts w:asciiTheme="majorHAnsi" w:hAnsiTheme="majorHAnsi" w:cstheme="majorHAnsi"/>
          <w:b w:val="0"/>
          <w:sz w:val="22"/>
          <w:szCs w:val="22"/>
          <w:lang w:val="en"/>
        </w:rPr>
        <w:t>isting,</w:t>
      </w:r>
      <w:r w:rsidR="00AE02B5" w:rsidRPr="0051466B">
        <w:rPr>
          <w:rStyle w:val="Strong"/>
          <w:rFonts w:asciiTheme="majorHAnsi" w:hAnsiTheme="majorHAnsi" w:cstheme="majorHAnsi"/>
          <w:b w:val="0"/>
          <w:sz w:val="22"/>
          <w:szCs w:val="22"/>
          <w:lang w:val="en"/>
        </w:rPr>
        <w:t xml:space="preserve"> please ensure it includes the same information</w:t>
      </w:r>
      <w:r w:rsidR="007C2C15">
        <w:rPr>
          <w:rStyle w:val="Strong"/>
          <w:rFonts w:asciiTheme="majorHAnsi" w:hAnsiTheme="majorHAnsi" w:cstheme="majorHAnsi"/>
          <w:b w:val="0"/>
          <w:sz w:val="22"/>
          <w:szCs w:val="22"/>
          <w:lang w:val="en"/>
        </w:rPr>
        <w:t xml:space="preserve"> as the template</w:t>
      </w:r>
      <w:r w:rsidR="00AE02B5" w:rsidRPr="0051466B">
        <w:rPr>
          <w:rStyle w:val="Strong"/>
          <w:rFonts w:asciiTheme="majorHAnsi" w:hAnsiTheme="majorHAnsi" w:cstheme="majorHAnsi"/>
          <w:b w:val="0"/>
          <w:sz w:val="22"/>
          <w:szCs w:val="22"/>
          <w:lang w:val="en"/>
        </w:rPr>
        <w:t xml:space="preserve"> </w:t>
      </w:r>
      <w:r w:rsidR="007C2C15">
        <w:rPr>
          <w:rStyle w:val="Strong"/>
          <w:rFonts w:asciiTheme="majorHAnsi" w:hAnsiTheme="majorHAnsi" w:cstheme="majorHAnsi"/>
          <w:b w:val="0"/>
          <w:sz w:val="22"/>
          <w:szCs w:val="22"/>
          <w:lang w:val="en"/>
        </w:rPr>
        <w:t>(</w:t>
      </w:r>
      <w:r w:rsidR="00AE02B5" w:rsidRPr="0051466B">
        <w:rPr>
          <w:rStyle w:val="Strong"/>
          <w:rFonts w:asciiTheme="majorHAnsi" w:hAnsiTheme="majorHAnsi" w:cstheme="majorHAnsi"/>
          <w:b w:val="0"/>
          <w:sz w:val="22"/>
          <w:szCs w:val="22"/>
          <w:lang w:val="en"/>
        </w:rPr>
        <w:t>i</w:t>
      </w:r>
      <w:r w:rsidR="007C2C15">
        <w:rPr>
          <w:rStyle w:val="Strong"/>
          <w:rFonts w:asciiTheme="majorHAnsi" w:hAnsiTheme="majorHAnsi" w:cstheme="majorHAnsi"/>
          <w:b w:val="0"/>
          <w:sz w:val="22"/>
          <w:szCs w:val="22"/>
          <w:lang w:val="en"/>
        </w:rPr>
        <w:t>.e.</w:t>
      </w:r>
      <w:r w:rsidR="00AE02B5" w:rsidRPr="0051466B">
        <w:rPr>
          <w:rStyle w:val="Strong"/>
          <w:rFonts w:asciiTheme="majorHAnsi" w:hAnsiTheme="majorHAnsi" w:cstheme="majorHAnsi"/>
          <w:b w:val="0"/>
          <w:sz w:val="22"/>
          <w:szCs w:val="22"/>
          <w:lang w:val="en"/>
        </w:rPr>
        <w:t> </w:t>
      </w:r>
      <w:r w:rsidRPr="0051466B">
        <w:rPr>
          <w:rStyle w:val="Strong"/>
          <w:rFonts w:asciiTheme="majorHAnsi" w:hAnsiTheme="majorHAnsi" w:cstheme="majorHAnsi"/>
          <w:b w:val="0"/>
          <w:sz w:val="22"/>
          <w:szCs w:val="22"/>
          <w:lang w:val="en"/>
        </w:rPr>
        <w:t>Date, Invoice Number, Supplier and Description of Works Undertaken</w:t>
      </w:r>
      <w:r w:rsidR="007C2C15">
        <w:rPr>
          <w:rStyle w:val="Strong"/>
          <w:rFonts w:asciiTheme="majorHAnsi" w:hAnsiTheme="majorHAnsi" w:cstheme="majorHAnsi"/>
          <w:b w:val="0"/>
          <w:sz w:val="22"/>
          <w:szCs w:val="22"/>
          <w:lang w:val="en"/>
        </w:rPr>
        <w:t>).</w:t>
      </w:r>
    </w:p>
    <w:p w:rsidR="00AE02B5" w:rsidRPr="0051466B" w:rsidRDefault="00AE02B5">
      <w:pPr>
        <w:pStyle w:val="NormalWeb"/>
        <w:ind w:left="360"/>
        <w:rPr>
          <w:rStyle w:val="Strong"/>
          <w:rFonts w:asciiTheme="majorHAnsi" w:hAnsiTheme="majorHAnsi" w:cstheme="majorHAnsi"/>
          <w:b w:val="0"/>
          <w:sz w:val="22"/>
          <w:szCs w:val="22"/>
          <w:lang w:val="en"/>
        </w:rPr>
      </w:pPr>
      <w:r w:rsidRPr="0051466B">
        <w:rPr>
          <w:rStyle w:val="Strong"/>
          <w:rFonts w:asciiTheme="majorHAnsi" w:hAnsiTheme="majorHAnsi" w:cstheme="majorHAnsi"/>
          <w:b w:val="0"/>
          <w:sz w:val="22"/>
          <w:szCs w:val="22"/>
          <w:lang w:val="en"/>
        </w:rPr>
        <w:t>The transaction listing greatly assist</w:t>
      </w:r>
      <w:r w:rsidR="007D7F1A" w:rsidRPr="0051466B">
        <w:rPr>
          <w:rStyle w:val="Strong"/>
          <w:rFonts w:asciiTheme="majorHAnsi" w:hAnsiTheme="majorHAnsi" w:cstheme="majorHAnsi"/>
          <w:b w:val="0"/>
          <w:sz w:val="22"/>
          <w:szCs w:val="22"/>
          <w:lang w:val="en"/>
        </w:rPr>
        <w:t>s</w:t>
      </w:r>
      <w:r w:rsidRPr="0051466B">
        <w:rPr>
          <w:rStyle w:val="Strong"/>
          <w:rFonts w:asciiTheme="majorHAnsi" w:hAnsiTheme="majorHAnsi" w:cstheme="majorHAnsi"/>
          <w:b w:val="0"/>
          <w:sz w:val="22"/>
          <w:szCs w:val="22"/>
          <w:lang w:val="en"/>
        </w:rPr>
        <w:t xml:space="preserve"> with the assessment/auditing process of the claim.  </w:t>
      </w:r>
    </w:p>
    <w:p w:rsidR="00AC3F48" w:rsidRPr="0051466B" w:rsidRDefault="00AC3F48">
      <w:pPr>
        <w:pStyle w:val="NormalWeb"/>
        <w:ind w:left="360"/>
        <w:rPr>
          <w:rStyle w:val="Strong"/>
          <w:rFonts w:asciiTheme="majorHAnsi" w:hAnsiTheme="majorHAnsi" w:cstheme="majorHAnsi"/>
          <w:b w:val="0"/>
          <w:sz w:val="22"/>
          <w:szCs w:val="22"/>
          <w:lang w:val="en"/>
        </w:rPr>
      </w:pPr>
      <w:r w:rsidRPr="0051466B">
        <w:rPr>
          <w:rStyle w:val="Strong"/>
          <w:rFonts w:asciiTheme="majorHAnsi" w:hAnsiTheme="majorHAnsi" w:cstheme="majorHAnsi"/>
          <w:b w:val="0"/>
          <w:sz w:val="22"/>
          <w:szCs w:val="22"/>
          <w:lang w:val="en"/>
        </w:rPr>
        <w:t xml:space="preserve">Where possible, all invoices should be uploaded onto the ACMS with the relevant claim.  If this isn’t possible, invoices need to be made available for future </w:t>
      </w:r>
      <w:r w:rsidR="00C10591" w:rsidRPr="0051466B">
        <w:rPr>
          <w:rStyle w:val="Strong"/>
          <w:rFonts w:asciiTheme="majorHAnsi" w:hAnsiTheme="majorHAnsi" w:cstheme="majorHAnsi"/>
          <w:b w:val="0"/>
          <w:sz w:val="22"/>
          <w:szCs w:val="22"/>
          <w:lang w:val="en"/>
        </w:rPr>
        <w:t>assessment/</w:t>
      </w:r>
      <w:r w:rsidRPr="0051466B">
        <w:rPr>
          <w:rStyle w:val="Strong"/>
          <w:rFonts w:asciiTheme="majorHAnsi" w:hAnsiTheme="majorHAnsi" w:cstheme="majorHAnsi"/>
          <w:b w:val="0"/>
          <w:sz w:val="22"/>
          <w:szCs w:val="22"/>
          <w:lang w:val="en"/>
        </w:rPr>
        <w:t>audit requests.</w:t>
      </w:r>
    </w:p>
    <w:p w:rsidR="00B06FC1" w:rsidRPr="0051466B" w:rsidRDefault="00B06FC1">
      <w:pPr>
        <w:spacing w:before="0" w:after="200"/>
        <w:rPr>
          <w:rStyle w:val="Strong"/>
          <w:rFonts w:asciiTheme="majorHAnsi" w:eastAsia="Times New Roman" w:hAnsiTheme="majorHAnsi" w:cstheme="majorHAnsi"/>
          <w:b w:val="0"/>
          <w:spacing w:val="0"/>
          <w:sz w:val="22"/>
          <w:szCs w:val="22"/>
          <w:lang w:val="en"/>
        </w:rPr>
      </w:pPr>
    </w:p>
    <w:p w:rsidR="00AE02B5" w:rsidRPr="0051466B" w:rsidRDefault="00C10591" w:rsidP="003C6748">
      <w:pPr>
        <w:pStyle w:val="NormalWeb"/>
        <w:numPr>
          <w:ilvl w:val="0"/>
          <w:numId w:val="28"/>
        </w:numPr>
        <w:spacing w:before="0" w:beforeAutospacing="0" w:after="0" w:afterAutospacing="0"/>
        <w:rPr>
          <w:rStyle w:val="Strong"/>
          <w:rFonts w:asciiTheme="majorHAnsi" w:hAnsiTheme="majorHAnsi" w:cstheme="majorHAnsi"/>
          <w:color w:val="00559A" w:themeColor="accent4" w:themeShade="BF"/>
          <w:lang w:val="en"/>
        </w:rPr>
      </w:pPr>
      <w:r w:rsidRPr="0051466B">
        <w:rPr>
          <w:rStyle w:val="Strong"/>
          <w:rFonts w:asciiTheme="majorHAnsi" w:hAnsiTheme="majorHAnsi" w:cstheme="majorHAnsi"/>
          <w:color w:val="00559A" w:themeColor="accent4" w:themeShade="BF"/>
          <w:lang w:val="en"/>
        </w:rPr>
        <w:t xml:space="preserve">Link between damage </w:t>
      </w:r>
      <w:r w:rsidR="00C05753" w:rsidRPr="0051466B">
        <w:rPr>
          <w:rStyle w:val="Strong"/>
          <w:rFonts w:asciiTheme="majorHAnsi" w:hAnsiTheme="majorHAnsi" w:cstheme="majorHAnsi"/>
          <w:color w:val="00559A" w:themeColor="accent4" w:themeShade="BF"/>
          <w:lang w:val="en"/>
        </w:rPr>
        <w:t>and</w:t>
      </w:r>
      <w:r w:rsidRPr="0051466B">
        <w:rPr>
          <w:rStyle w:val="Strong"/>
          <w:rFonts w:asciiTheme="majorHAnsi" w:hAnsiTheme="majorHAnsi" w:cstheme="majorHAnsi"/>
          <w:color w:val="00559A" w:themeColor="accent4" w:themeShade="BF"/>
          <w:lang w:val="en"/>
        </w:rPr>
        <w:t xml:space="preserve"> an event </w:t>
      </w:r>
    </w:p>
    <w:p w:rsidR="007C2C15" w:rsidRPr="0051466B" w:rsidRDefault="007C2C15" w:rsidP="0051466B">
      <w:pPr>
        <w:spacing w:before="100" w:line="260" w:lineRule="atLeast"/>
        <w:ind w:left="360"/>
        <w:rPr>
          <w:rFonts w:eastAsia="Times New Roman" w:cstheme="minorHAnsi"/>
          <w:spacing w:val="0"/>
          <w:sz w:val="22"/>
          <w:szCs w:val="22"/>
        </w:rPr>
      </w:pPr>
      <w:r w:rsidRPr="0051466B">
        <w:rPr>
          <w:rFonts w:eastAsia="Times New Roman" w:cstheme="minorHAnsi"/>
          <w:spacing w:val="0"/>
          <w:sz w:val="22"/>
          <w:szCs w:val="22"/>
        </w:rPr>
        <w:t>In order to claim costs associated with the restoration of an essential public asset, the responsibility lies with the local council to demonstrate a direct relationship between the activities for which expenditure is claimed, and the restoration of that asset</w:t>
      </w:r>
      <w:r w:rsidR="00853080">
        <w:rPr>
          <w:rFonts w:eastAsia="Times New Roman" w:cstheme="minorHAnsi"/>
          <w:spacing w:val="0"/>
          <w:sz w:val="22"/>
          <w:szCs w:val="22"/>
        </w:rPr>
        <w:t xml:space="preserve"> and the pre-condition of the damaged asset </w:t>
      </w:r>
      <w:r w:rsidRPr="0051466B">
        <w:rPr>
          <w:rFonts w:eastAsia="Times New Roman" w:cstheme="minorHAnsi"/>
          <w:spacing w:val="0"/>
          <w:sz w:val="22"/>
          <w:szCs w:val="22"/>
        </w:rPr>
        <w:t xml:space="preserve">—for example: </w:t>
      </w:r>
    </w:p>
    <w:p w:rsidR="007C2C15" w:rsidRPr="0051466B" w:rsidRDefault="007C2C15" w:rsidP="007C2C15">
      <w:pPr>
        <w:numPr>
          <w:ilvl w:val="0"/>
          <w:numId w:val="38"/>
        </w:numPr>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visual and geospatial data and information which may include (but is not limited to) satellite images, Google earth images, photographs, or video footage </w:t>
      </w:r>
    </w:p>
    <w:p w:rsidR="007C2C15" w:rsidRPr="0051466B" w:rsidRDefault="007C2C15" w:rsidP="007C2C15">
      <w:pPr>
        <w:numPr>
          <w:ilvl w:val="1"/>
          <w:numId w:val="37"/>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this type of evidence can be used to support the pre-disaster standard of an essential public asset, the post-disaster damage caused as a direct result of the eligible disaster, including the betterment component where applicable, and the condition of the essential public asset once the restoration or replacement works have been completed </w:t>
      </w:r>
    </w:p>
    <w:p w:rsidR="007C2C15" w:rsidRPr="0051466B" w:rsidRDefault="007C2C15" w:rsidP="007C2C15">
      <w:pPr>
        <w:numPr>
          <w:ilvl w:val="1"/>
          <w:numId w:val="37"/>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where an essential public asset is restored or replaced to its pre-disaster standard in accordance with current building and engineering standards, and through the use of contemporary methodologies and materials, the standard of the eligible essential public asset has been enhanced (see Guideline 1 for further details), states must be able to demonstrate that the level of enhancement to the eligible essential public asset does not amount to restoring or replacing the essential public asset to a more disaster-resilient standard than its pre-disaster standard, i.e. betterment </w:t>
      </w:r>
    </w:p>
    <w:p w:rsidR="007C2C15" w:rsidRPr="0051466B" w:rsidRDefault="007C2C15" w:rsidP="007C2C15">
      <w:pPr>
        <w:numPr>
          <w:ilvl w:val="0"/>
          <w:numId w:val="37"/>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asset inspection and asset maintenance reports and assessments, including but not limited to, asset inspection report(s) conducted or verified by a suitably qualified professional with the appropriate level of expertise and experience (from either the state or local government or a delegated third party), site inspections, design reports and damage assessments </w:t>
      </w:r>
    </w:p>
    <w:p w:rsidR="007C2C15" w:rsidRPr="0051466B" w:rsidRDefault="007C2C15" w:rsidP="007C2C15">
      <w:pPr>
        <w:numPr>
          <w:ilvl w:val="0"/>
          <w:numId w:val="38"/>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administrative data and documentation including, but not limited to, contract/work orders, timesheets, news articles, e-mail correspondence, funding approval letters, minutes of meetings </w:t>
      </w:r>
    </w:p>
    <w:p w:rsidR="007C2C15" w:rsidRPr="0051466B" w:rsidRDefault="007C2C15" w:rsidP="007C2C15">
      <w:pPr>
        <w:numPr>
          <w:ilvl w:val="0"/>
          <w:numId w:val="38"/>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financial data and documentation including, but not limited to, tax and/or financial statements, cost-benefit analysis, transaction listings used to reconcile invoices, annual reports, proposals and invoices </w:t>
      </w:r>
    </w:p>
    <w:p w:rsidR="007C2C15" w:rsidRPr="0051466B" w:rsidRDefault="007C2C15" w:rsidP="007C2C15">
      <w:pPr>
        <w:numPr>
          <w:ilvl w:val="0"/>
          <w:numId w:val="38"/>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 xml:space="preserve">grant data and documentation, including but not limited to, grant applications and grant guidelines, and </w:t>
      </w:r>
    </w:p>
    <w:p w:rsidR="007C2C15" w:rsidRPr="0051466B" w:rsidRDefault="007C2C15" w:rsidP="007C2C15">
      <w:pPr>
        <w:numPr>
          <w:ilvl w:val="0"/>
          <w:numId w:val="38"/>
        </w:numPr>
        <w:autoSpaceDE w:val="0"/>
        <w:autoSpaceDN w:val="0"/>
        <w:adjustRightInd w:val="0"/>
        <w:spacing w:before="100" w:line="260" w:lineRule="atLeast"/>
        <w:contextualSpacing/>
        <w:rPr>
          <w:rFonts w:eastAsia="Times New Roman" w:cstheme="minorHAnsi"/>
          <w:spacing w:val="0"/>
          <w:sz w:val="22"/>
          <w:szCs w:val="22"/>
        </w:rPr>
      </w:pPr>
      <w:r w:rsidRPr="0051466B">
        <w:rPr>
          <w:rFonts w:eastAsia="Times New Roman" w:cstheme="minorHAnsi"/>
          <w:spacing w:val="0"/>
          <w:sz w:val="22"/>
          <w:szCs w:val="22"/>
        </w:rPr>
        <w:t>mitigation strategies, including but not limited to, disaster resilience plans, including action plans, risk profiles and assessments, and flood mapping.</w:t>
      </w:r>
    </w:p>
    <w:p w:rsidR="008A183D" w:rsidRPr="0051466B" w:rsidRDefault="008A183D" w:rsidP="0051466B">
      <w:pPr>
        <w:pStyle w:val="Heading3"/>
        <w:numPr>
          <w:ilvl w:val="0"/>
          <w:numId w:val="36"/>
        </w:numPr>
        <w:rPr>
          <w:rFonts w:cstheme="majorHAnsi"/>
          <w:sz w:val="24"/>
          <w:szCs w:val="24"/>
        </w:rPr>
      </w:pPr>
      <w:r w:rsidRPr="0051466B">
        <w:rPr>
          <w:rFonts w:cstheme="majorHAnsi"/>
          <w:sz w:val="24"/>
          <w:szCs w:val="24"/>
        </w:rPr>
        <w:t>P</w:t>
      </w:r>
      <w:r w:rsidR="004C52A1" w:rsidRPr="0051466B">
        <w:rPr>
          <w:rFonts w:cstheme="majorHAnsi"/>
          <w:sz w:val="24"/>
          <w:szCs w:val="24"/>
        </w:rPr>
        <w:t xml:space="preserve">re-disaster </w:t>
      </w:r>
      <w:r w:rsidRPr="0051466B">
        <w:rPr>
          <w:rFonts w:cstheme="majorHAnsi"/>
          <w:sz w:val="24"/>
          <w:szCs w:val="24"/>
        </w:rPr>
        <w:t>condition of an essential public asset</w:t>
      </w:r>
    </w:p>
    <w:p w:rsidR="001A3A11" w:rsidRPr="0051466B" w:rsidRDefault="001A3A11" w:rsidP="008A183D">
      <w:pPr>
        <w:autoSpaceDE w:val="0"/>
        <w:autoSpaceDN w:val="0"/>
        <w:adjustRightInd w:val="0"/>
        <w:spacing w:before="120" w:after="120" w:line="240" w:lineRule="auto"/>
        <w:ind w:left="360"/>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 xml:space="preserve">In order to claim eligible costs for the restoration or replacement of a damaged asset as a result of an eligible disaster, local councils </w:t>
      </w:r>
      <w:r w:rsidRPr="0051466B">
        <w:rPr>
          <w:rFonts w:asciiTheme="majorHAnsi" w:hAnsiTheme="majorHAnsi" w:cstheme="majorHAnsi"/>
          <w:i/>
          <w:iCs/>
          <w:color w:val="000000"/>
          <w:spacing w:val="0"/>
          <w:sz w:val="22"/>
          <w:szCs w:val="22"/>
        </w:rPr>
        <w:t xml:space="preserve">must </w:t>
      </w:r>
      <w:r w:rsidRPr="0051466B">
        <w:rPr>
          <w:rFonts w:asciiTheme="majorHAnsi" w:hAnsiTheme="majorHAnsi" w:cstheme="majorHAnsi"/>
          <w:color w:val="000000"/>
          <w:spacing w:val="0"/>
          <w:sz w:val="22"/>
          <w:szCs w:val="22"/>
        </w:rPr>
        <w:t>provide supporting evidence demonstrating the pre-disaster standard of the asset.</w:t>
      </w:r>
    </w:p>
    <w:p w:rsidR="001A3A11" w:rsidRPr="0051466B" w:rsidRDefault="001A3A11" w:rsidP="008A183D">
      <w:pPr>
        <w:autoSpaceDE w:val="0"/>
        <w:autoSpaceDN w:val="0"/>
        <w:adjustRightInd w:val="0"/>
        <w:spacing w:before="120" w:after="120" w:line="240" w:lineRule="auto"/>
        <w:ind w:left="360"/>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 xml:space="preserve">The pre-disaster standard of a damaged asset is considered to be the condition of the asset and its level of functionality or utility or disaster resilience prior to the </w:t>
      </w:r>
      <w:r w:rsidRPr="0051466B">
        <w:rPr>
          <w:rFonts w:asciiTheme="majorHAnsi" w:hAnsiTheme="majorHAnsi" w:cstheme="majorHAnsi"/>
          <w:i/>
          <w:iCs/>
          <w:color w:val="000000"/>
          <w:spacing w:val="0"/>
          <w:sz w:val="22"/>
          <w:szCs w:val="22"/>
        </w:rPr>
        <w:t>eligible disaster</w:t>
      </w:r>
      <w:r w:rsidRPr="0051466B">
        <w:rPr>
          <w:rFonts w:asciiTheme="majorHAnsi" w:hAnsiTheme="majorHAnsi" w:cstheme="majorHAnsi"/>
          <w:color w:val="000000"/>
          <w:spacing w:val="0"/>
          <w:sz w:val="22"/>
          <w:szCs w:val="22"/>
        </w:rPr>
        <w:t xml:space="preserve">. </w:t>
      </w:r>
    </w:p>
    <w:p w:rsidR="008A183D" w:rsidRPr="0051466B" w:rsidRDefault="00C05753" w:rsidP="008A183D">
      <w:pPr>
        <w:autoSpaceDE w:val="0"/>
        <w:autoSpaceDN w:val="0"/>
        <w:adjustRightInd w:val="0"/>
        <w:spacing w:before="120" w:after="0" w:line="240" w:lineRule="auto"/>
        <w:ind w:left="360"/>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To demonstrate the pre-disaster standard of a damaged asset, councils</w:t>
      </w:r>
      <w:r w:rsidR="008A183D" w:rsidRPr="0051466B">
        <w:rPr>
          <w:rFonts w:asciiTheme="majorHAnsi" w:hAnsiTheme="majorHAnsi" w:cstheme="majorHAnsi"/>
          <w:color w:val="000000"/>
          <w:spacing w:val="0"/>
          <w:sz w:val="22"/>
          <w:szCs w:val="22"/>
        </w:rPr>
        <w:t xml:space="preserve"> must be able to demonstrate the location, nature and pre-disaster condition of the </w:t>
      </w:r>
      <w:r w:rsidRPr="0051466B">
        <w:rPr>
          <w:rFonts w:asciiTheme="majorHAnsi" w:hAnsiTheme="majorHAnsi" w:cstheme="majorHAnsi"/>
          <w:color w:val="000000"/>
          <w:spacing w:val="0"/>
          <w:sz w:val="22"/>
          <w:szCs w:val="22"/>
        </w:rPr>
        <w:t xml:space="preserve">damaged asset </w:t>
      </w:r>
      <w:r w:rsidR="008A183D" w:rsidRPr="0051466B">
        <w:rPr>
          <w:rFonts w:asciiTheme="majorHAnsi" w:hAnsiTheme="majorHAnsi" w:cstheme="majorHAnsi"/>
          <w:color w:val="000000"/>
          <w:spacing w:val="0"/>
          <w:sz w:val="22"/>
          <w:szCs w:val="22"/>
        </w:rPr>
        <w:t>through one or more of the following most appropriate means:</w:t>
      </w:r>
    </w:p>
    <w:p w:rsidR="00853080" w:rsidRDefault="00853080" w:rsidP="00853080">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853080">
        <w:rPr>
          <w:rFonts w:asciiTheme="majorHAnsi" w:hAnsiTheme="majorHAnsi" w:cstheme="majorHAnsi"/>
          <w:color w:val="000000"/>
          <w:spacing w:val="0"/>
          <w:sz w:val="22"/>
          <w:szCs w:val="22"/>
        </w:rPr>
        <w:lastRenderedPageBreak/>
        <w:t>visual and geospatial data and information which may include (but is not limited to) satellite images, Google earth images, photographs, video footage</w:t>
      </w:r>
    </w:p>
    <w:p w:rsidR="00853080" w:rsidRPr="0051466B" w:rsidRDefault="00853080" w:rsidP="00853080">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853080">
        <w:rPr>
          <w:rFonts w:asciiTheme="majorHAnsi" w:hAnsiTheme="majorHAnsi" w:cstheme="majorHAnsi"/>
          <w:color w:val="000000"/>
          <w:spacing w:val="0"/>
          <w:sz w:val="22"/>
          <w:szCs w:val="22"/>
        </w:rPr>
        <w:t>asset inspection and asset maintenance reports and assessments, including but not limited to, asset inspection report(s) conducted or verified by a suitably qualified professional with the appropriate level of expertise and experience, site inspections, design reports and damage assessments</w:t>
      </w:r>
    </w:p>
    <w:p w:rsidR="001A3A11" w:rsidRPr="0051466B" w:rsidRDefault="001A3A11" w:rsidP="001A3A11">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administrative data and documentation including, but not limited to, contract/work orders, timesheets, news articles, e-mail correspondence, funding approval letters, minutes of meetings</w:t>
      </w:r>
    </w:p>
    <w:p w:rsidR="001A3A11" w:rsidRPr="0051466B" w:rsidRDefault="001A3A11" w:rsidP="001A3A11">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financial data and documentation including, but not limited to, tax and/or financial statements, cost-benefit analysis, transaction listings used to reconcile invoices, annual reports, proposals and invoices</w:t>
      </w:r>
    </w:p>
    <w:p w:rsidR="001A3A11" w:rsidRPr="0051466B" w:rsidRDefault="001A3A11" w:rsidP="001A3A11">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grant data and documentation, including but not limited to, grant applications and grant guidelines, and</w:t>
      </w:r>
    </w:p>
    <w:p w:rsidR="001A3A11" w:rsidRPr="0051466B" w:rsidRDefault="001A3A11" w:rsidP="001A3A11">
      <w:pPr>
        <w:pStyle w:val="ListParagraph"/>
        <w:numPr>
          <w:ilvl w:val="1"/>
          <w:numId w:val="28"/>
        </w:numPr>
        <w:autoSpaceDE w:val="0"/>
        <w:autoSpaceDN w:val="0"/>
        <w:adjustRightInd w:val="0"/>
        <w:spacing w:before="120" w:after="120" w:line="240" w:lineRule="auto"/>
        <w:rPr>
          <w:rFonts w:asciiTheme="majorHAnsi" w:hAnsiTheme="majorHAnsi" w:cstheme="majorHAnsi"/>
          <w:color w:val="000000"/>
          <w:spacing w:val="0"/>
          <w:sz w:val="22"/>
          <w:szCs w:val="22"/>
        </w:rPr>
      </w:pPr>
      <w:r w:rsidRPr="0051466B">
        <w:rPr>
          <w:rFonts w:asciiTheme="majorHAnsi" w:hAnsiTheme="majorHAnsi" w:cstheme="majorHAnsi"/>
          <w:color w:val="000000"/>
          <w:spacing w:val="0"/>
          <w:sz w:val="22"/>
          <w:szCs w:val="22"/>
        </w:rPr>
        <w:t>mitigation strategies, including but not limited to, disaster resilience plans, including action plans, risk profiles and assessments, and flood mapping.</w:t>
      </w:r>
    </w:p>
    <w:p w:rsidR="002E641F" w:rsidRPr="0051466B" w:rsidRDefault="002E641F" w:rsidP="0051466B">
      <w:pPr>
        <w:pStyle w:val="NormalWeb"/>
        <w:spacing w:before="0" w:beforeAutospacing="0" w:after="0" w:afterAutospacing="0"/>
        <w:rPr>
          <w:rStyle w:val="Strong"/>
          <w:rFonts w:asciiTheme="majorHAnsi" w:eastAsiaTheme="majorEastAsia" w:hAnsiTheme="majorHAnsi" w:cstheme="majorHAnsi"/>
          <w:b w:val="0"/>
          <w:bCs w:val="0"/>
          <w:color w:val="222222"/>
          <w:spacing w:val="2"/>
          <w:sz w:val="22"/>
          <w:szCs w:val="22"/>
          <w:lang w:val="en"/>
        </w:rPr>
      </w:pPr>
    </w:p>
    <w:p w:rsidR="002E641F" w:rsidRPr="0051466B" w:rsidRDefault="002E641F" w:rsidP="002E641F">
      <w:pPr>
        <w:pStyle w:val="NormalWeb"/>
        <w:numPr>
          <w:ilvl w:val="0"/>
          <w:numId w:val="28"/>
        </w:numPr>
        <w:spacing w:before="0" w:beforeAutospacing="0" w:after="0" w:afterAutospacing="0"/>
        <w:rPr>
          <w:rStyle w:val="Strong"/>
          <w:rFonts w:asciiTheme="majorHAnsi" w:hAnsiTheme="majorHAnsi" w:cstheme="majorHAnsi"/>
          <w:b w:val="0"/>
          <w:bCs w:val="0"/>
          <w:color w:val="00559A" w:themeColor="accent4" w:themeShade="BF"/>
          <w:lang w:val="en"/>
        </w:rPr>
      </w:pPr>
      <w:r w:rsidRPr="0051466B">
        <w:rPr>
          <w:rStyle w:val="Strong"/>
          <w:rFonts w:asciiTheme="majorHAnsi" w:hAnsiTheme="majorHAnsi" w:cstheme="majorHAnsi"/>
          <w:color w:val="00559A" w:themeColor="accent4" w:themeShade="BF"/>
          <w:lang w:val="en"/>
        </w:rPr>
        <w:t>Report</w:t>
      </w:r>
      <w:r w:rsidR="00B11D39">
        <w:rPr>
          <w:rStyle w:val="Strong"/>
          <w:rFonts w:asciiTheme="majorHAnsi" w:hAnsiTheme="majorHAnsi" w:cstheme="majorHAnsi"/>
          <w:color w:val="00559A" w:themeColor="accent4" w:themeShade="BF"/>
          <w:lang w:val="en"/>
        </w:rPr>
        <w:t>ing</w:t>
      </w:r>
      <w:r w:rsidRPr="0051466B">
        <w:rPr>
          <w:rStyle w:val="Strong"/>
          <w:rFonts w:asciiTheme="majorHAnsi" w:hAnsiTheme="majorHAnsi" w:cstheme="majorHAnsi"/>
          <w:color w:val="00559A" w:themeColor="accent4" w:themeShade="BF"/>
          <w:lang w:val="en"/>
        </w:rPr>
        <w:t xml:space="preserve"> of the </w:t>
      </w:r>
      <w:r w:rsidR="00B11D39">
        <w:rPr>
          <w:rStyle w:val="Strong"/>
          <w:rFonts w:asciiTheme="majorHAnsi" w:hAnsiTheme="majorHAnsi" w:cstheme="majorHAnsi"/>
          <w:color w:val="00559A" w:themeColor="accent4" w:themeShade="BF"/>
          <w:lang w:val="en"/>
        </w:rPr>
        <w:t>e</w:t>
      </w:r>
      <w:r w:rsidRPr="0051466B">
        <w:rPr>
          <w:rStyle w:val="Strong"/>
          <w:rFonts w:asciiTheme="majorHAnsi" w:hAnsiTheme="majorHAnsi" w:cstheme="majorHAnsi"/>
          <w:color w:val="00559A" w:themeColor="accent4" w:themeShade="BF"/>
          <w:lang w:val="en"/>
        </w:rPr>
        <w:t>vent</w:t>
      </w:r>
    </w:p>
    <w:p w:rsidR="002E641F" w:rsidRPr="0051466B" w:rsidRDefault="002E641F" w:rsidP="00A012EC">
      <w:pPr>
        <w:pStyle w:val="NormalWeb"/>
        <w:spacing w:before="0" w:beforeAutospacing="0" w:after="0" w:afterAutospacing="0"/>
        <w:rPr>
          <w:rStyle w:val="Strong"/>
          <w:rFonts w:asciiTheme="majorHAnsi" w:hAnsiTheme="majorHAnsi" w:cstheme="majorHAnsi"/>
          <w:b w:val="0"/>
          <w:bCs w:val="0"/>
          <w:color w:val="00559A" w:themeColor="accent4" w:themeShade="BF"/>
          <w:lang w:val="en"/>
        </w:rPr>
      </w:pPr>
    </w:p>
    <w:p w:rsidR="00FE21EC" w:rsidRPr="0051466B" w:rsidRDefault="002E641F" w:rsidP="002E641F">
      <w:pPr>
        <w:pStyle w:val="NormalWeb"/>
        <w:spacing w:before="0" w:beforeAutospacing="0" w:after="0" w:afterAutospacing="0"/>
        <w:ind w:left="360"/>
        <w:rPr>
          <w:rStyle w:val="Strong"/>
          <w:rFonts w:asciiTheme="majorHAnsi" w:hAnsiTheme="majorHAnsi" w:cstheme="majorHAnsi"/>
          <w:b w:val="0"/>
          <w:color w:val="2F2F2F"/>
          <w:sz w:val="22"/>
          <w:szCs w:val="22"/>
          <w:lang w:val="en"/>
        </w:rPr>
      </w:pPr>
      <w:r w:rsidRPr="0051466B">
        <w:rPr>
          <w:rStyle w:val="Strong"/>
          <w:rFonts w:asciiTheme="majorHAnsi" w:hAnsiTheme="majorHAnsi" w:cstheme="majorHAnsi"/>
          <w:b w:val="0"/>
          <w:color w:val="2F2F2F"/>
          <w:sz w:val="22"/>
          <w:szCs w:val="22"/>
          <w:lang w:val="en"/>
        </w:rPr>
        <w:t>E</w:t>
      </w:r>
      <w:r w:rsidR="00FE21EC" w:rsidRPr="0051466B">
        <w:rPr>
          <w:rStyle w:val="Strong"/>
          <w:rFonts w:asciiTheme="majorHAnsi" w:hAnsiTheme="majorHAnsi" w:cstheme="majorHAnsi"/>
          <w:b w:val="0"/>
          <w:color w:val="2F2F2F"/>
          <w:sz w:val="22"/>
          <w:szCs w:val="22"/>
          <w:lang w:val="en"/>
        </w:rPr>
        <w:t>vidence of the impact</w:t>
      </w:r>
      <w:r w:rsidRPr="0051466B">
        <w:rPr>
          <w:rStyle w:val="Strong"/>
          <w:rFonts w:asciiTheme="majorHAnsi" w:hAnsiTheme="majorHAnsi" w:cstheme="majorHAnsi"/>
          <w:b w:val="0"/>
          <w:color w:val="2F2F2F"/>
          <w:sz w:val="22"/>
          <w:szCs w:val="22"/>
          <w:lang w:val="en"/>
        </w:rPr>
        <w:t xml:space="preserve"> of the natural disaster event,</w:t>
      </w:r>
      <w:r w:rsidR="00FE21EC" w:rsidRPr="0051466B">
        <w:rPr>
          <w:rStyle w:val="Strong"/>
          <w:rFonts w:asciiTheme="majorHAnsi" w:hAnsiTheme="majorHAnsi" w:cstheme="majorHAnsi"/>
          <w:b w:val="0"/>
          <w:color w:val="2F2F2F"/>
          <w:sz w:val="22"/>
          <w:szCs w:val="22"/>
          <w:lang w:val="en"/>
        </w:rPr>
        <w:t xml:space="preserve"> to the local government area </w:t>
      </w:r>
      <w:r w:rsidRPr="0051466B">
        <w:rPr>
          <w:rStyle w:val="Strong"/>
          <w:rFonts w:asciiTheme="majorHAnsi" w:hAnsiTheme="majorHAnsi" w:cstheme="majorHAnsi"/>
          <w:b w:val="0"/>
          <w:color w:val="2F2F2F"/>
          <w:sz w:val="22"/>
          <w:szCs w:val="22"/>
          <w:lang w:val="en"/>
        </w:rPr>
        <w:t>needs to be included, especially with the first claim.</w:t>
      </w:r>
      <w:r w:rsidR="00C600BB" w:rsidRPr="0051466B">
        <w:rPr>
          <w:rStyle w:val="Strong"/>
          <w:rFonts w:asciiTheme="majorHAnsi" w:hAnsiTheme="majorHAnsi" w:cstheme="majorHAnsi"/>
          <w:b w:val="0"/>
          <w:color w:val="2F2F2F"/>
          <w:sz w:val="22"/>
          <w:szCs w:val="22"/>
          <w:lang w:val="en"/>
        </w:rPr>
        <w:t xml:space="preserve">  </w:t>
      </w:r>
      <w:r w:rsidRPr="0051466B">
        <w:rPr>
          <w:rStyle w:val="Strong"/>
          <w:rFonts w:asciiTheme="majorHAnsi" w:hAnsiTheme="majorHAnsi" w:cstheme="majorHAnsi"/>
          <w:b w:val="0"/>
          <w:color w:val="2F2F2F"/>
          <w:sz w:val="22"/>
          <w:szCs w:val="22"/>
          <w:lang w:val="en"/>
        </w:rPr>
        <w:t xml:space="preserve">For the assessment/auditing process, this provides an understanding of the overall impact.  </w:t>
      </w:r>
      <w:r w:rsidR="00FE21EC" w:rsidRPr="0051466B">
        <w:rPr>
          <w:rStyle w:val="Strong"/>
          <w:rFonts w:asciiTheme="majorHAnsi" w:hAnsiTheme="majorHAnsi" w:cstheme="majorHAnsi"/>
          <w:b w:val="0"/>
          <w:color w:val="2F2F2F"/>
          <w:sz w:val="22"/>
          <w:szCs w:val="22"/>
          <w:lang w:val="en"/>
        </w:rPr>
        <w:t>The reports can be taken by various sources including local media articles, State Emergency Services and Bureau of Meteorology reports.</w:t>
      </w:r>
    </w:p>
    <w:p w:rsidR="002E641F" w:rsidRPr="0051466B" w:rsidRDefault="002E641F" w:rsidP="002E641F">
      <w:pPr>
        <w:pStyle w:val="NormalWeb"/>
        <w:spacing w:before="0" w:beforeAutospacing="0" w:after="0" w:afterAutospacing="0"/>
        <w:rPr>
          <w:rStyle w:val="Strong"/>
          <w:rFonts w:asciiTheme="majorHAnsi" w:hAnsiTheme="majorHAnsi" w:cstheme="majorHAnsi"/>
          <w:color w:val="2F2F2F"/>
          <w:sz w:val="22"/>
          <w:szCs w:val="22"/>
          <w:lang w:val="en"/>
        </w:rPr>
      </w:pPr>
    </w:p>
    <w:p w:rsidR="002E641F" w:rsidRPr="0051466B" w:rsidRDefault="002E641F" w:rsidP="002E641F">
      <w:pPr>
        <w:pStyle w:val="NormalWeb"/>
        <w:numPr>
          <w:ilvl w:val="0"/>
          <w:numId w:val="30"/>
        </w:numPr>
        <w:spacing w:before="0" w:beforeAutospacing="0" w:after="0" w:afterAutospacing="0"/>
        <w:rPr>
          <w:rStyle w:val="Strong"/>
          <w:rFonts w:asciiTheme="majorHAnsi" w:hAnsiTheme="majorHAnsi" w:cstheme="majorHAnsi"/>
          <w:color w:val="00559A" w:themeColor="accent4" w:themeShade="BF"/>
          <w:lang w:val="en"/>
        </w:rPr>
      </w:pPr>
      <w:r w:rsidRPr="0051466B">
        <w:rPr>
          <w:rStyle w:val="Strong"/>
          <w:rFonts w:asciiTheme="majorHAnsi" w:hAnsiTheme="majorHAnsi" w:cstheme="majorHAnsi"/>
          <w:color w:val="00559A" w:themeColor="accent4" w:themeShade="BF"/>
          <w:lang w:val="en"/>
        </w:rPr>
        <w:t>Position Descriptions/Salary Costs/Overtime</w:t>
      </w:r>
    </w:p>
    <w:p w:rsidR="002E641F" w:rsidRPr="0051466B" w:rsidRDefault="002E641F" w:rsidP="002E641F">
      <w:pPr>
        <w:pStyle w:val="NormalWeb"/>
        <w:spacing w:before="0" w:beforeAutospacing="0" w:after="0" w:afterAutospacing="0"/>
        <w:rPr>
          <w:rStyle w:val="Strong"/>
          <w:rFonts w:asciiTheme="majorHAnsi" w:hAnsiTheme="majorHAnsi" w:cstheme="majorHAnsi"/>
          <w:color w:val="00559A" w:themeColor="accent4" w:themeShade="BF"/>
          <w:lang w:val="en"/>
        </w:rPr>
      </w:pPr>
    </w:p>
    <w:p w:rsidR="002E641F" w:rsidRPr="0051466B" w:rsidRDefault="00C600BB" w:rsidP="002E641F">
      <w:pPr>
        <w:pStyle w:val="NormalWeb"/>
        <w:spacing w:before="0" w:beforeAutospacing="0" w:after="0" w:afterAutospacing="0"/>
        <w:ind w:left="360"/>
        <w:rPr>
          <w:rFonts w:asciiTheme="majorHAnsi" w:hAnsiTheme="majorHAnsi" w:cstheme="majorHAnsi"/>
          <w:b/>
          <w:color w:val="222222"/>
          <w:sz w:val="22"/>
          <w:szCs w:val="22"/>
          <w:lang w:val="en"/>
        </w:rPr>
      </w:pPr>
      <w:r w:rsidRPr="0051466B">
        <w:rPr>
          <w:rStyle w:val="Strong"/>
          <w:rFonts w:asciiTheme="majorHAnsi" w:hAnsiTheme="majorHAnsi" w:cstheme="majorHAnsi"/>
          <w:b w:val="0"/>
          <w:color w:val="2F2F2F"/>
          <w:sz w:val="22"/>
          <w:szCs w:val="22"/>
          <w:lang w:val="en"/>
        </w:rPr>
        <w:t xml:space="preserve">Should your Local </w:t>
      </w:r>
      <w:r w:rsidR="002E641F" w:rsidRPr="0051466B">
        <w:rPr>
          <w:rStyle w:val="Strong"/>
          <w:rFonts w:asciiTheme="majorHAnsi" w:hAnsiTheme="majorHAnsi" w:cstheme="majorHAnsi"/>
          <w:b w:val="0"/>
          <w:color w:val="2F2F2F"/>
          <w:sz w:val="22"/>
          <w:szCs w:val="22"/>
          <w:lang w:val="en"/>
        </w:rPr>
        <w:t>Council</w:t>
      </w:r>
      <w:r w:rsidR="009C6277" w:rsidRPr="0051466B">
        <w:rPr>
          <w:rStyle w:val="Strong"/>
          <w:rFonts w:asciiTheme="majorHAnsi" w:hAnsiTheme="majorHAnsi" w:cstheme="majorHAnsi"/>
          <w:b w:val="0"/>
          <w:color w:val="2F2F2F"/>
          <w:sz w:val="22"/>
          <w:szCs w:val="22"/>
          <w:lang w:val="en"/>
        </w:rPr>
        <w:t>/CMA</w:t>
      </w:r>
      <w:r w:rsidR="002E641F" w:rsidRPr="0051466B">
        <w:rPr>
          <w:rStyle w:val="Strong"/>
          <w:rFonts w:asciiTheme="majorHAnsi" w:hAnsiTheme="majorHAnsi" w:cstheme="majorHAnsi"/>
          <w:b w:val="0"/>
          <w:color w:val="2F2F2F"/>
          <w:sz w:val="22"/>
          <w:szCs w:val="22"/>
          <w:lang w:val="en"/>
        </w:rPr>
        <w:t xml:space="preserve"> need </w:t>
      </w:r>
      <w:r w:rsidR="002E641F" w:rsidRPr="0051466B">
        <w:rPr>
          <w:rStyle w:val="Strong"/>
          <w:rFonts w:asciiTheme="majorHAnsi" w:hAnsiTheme="majorHAnsi" w:cstheme="majorHAnsi"/>
          <w:b w:val="0"/>
          <w:color w:val="000000"/>
          <w:sz w:val="22"/>
          <w:szCs w:val="22"/>
          <w:lang w:val="en"/>
        </w:rPr>
        <w:t xml:space="preserve">to create a position for the coordination of the clean up and restoration of essential public assets as part of the </w:t>
      </w:r>
      <w:r w:rsidRPr="0051466B">
        <w:rPr>
          <w:rStyle w:val="Strong"/>
          <w:rFonts w:asciiTheme="majorHAnsi" w:hAnsiTheme="majorHAnsi" w:cstheme="majorHAnsi"/>
          <w:b w:val="0"/>
          <w:color w:val="000000"/>
          <w:sz w:val="22"/>
          <w:szCs w:val="22"/>
          <w:lang w:val="en"/>
        </w:rPr>
        <w:t>natural disaster</w:t>
      </w:r>
      <w:r w:rsidR="002E641F" w:rsidRPr="0051466B">
        <w:rPr>
          <w:rStyle w:val="Strong"/>
          <w:rFonts w:asciiTheme="majorHAnsi" w:hAnsiTheme="majorHAnsi" w:cstheme="majorHAnsi"/>
          <w:b w:val="0"/>
          <w:color w:val="000000"/>
          <w:sz w:val="22"/>
          <w:szCs w:val="22"/>
          <w:lang w:val="en"/>
        </w:rPr>
        <w:t xml:space="preserve"> recovery process, </w:t>
      </w:r>
      <w:r w:rsidR="002E641F" w:rsidRPr="0051466B">
        <w:rPr>
          <w:rStyle w:val="Strong"/>
          <w:rFonts w:asciiTheme="majorHAnsi" w:hAnsiTheme="majorHAnsi" w:cstheme="majorHAnsi"/>
          <w:color w:val="000000"/>
          <w:sz w:val="22"/>
          <w:szCs w:val="22"/>
          <w:lang w:val="en"/>
        </w:rPr>
        <w:t>please ensure that a copy of the Position Description (PD) is forwarded to DTF prior to claiming costs for the position</w:t>
      </w:r>
      <w:r w:rsidR="002E641F" w:rsidRPr="0051466B">
        <w:rPr>
          <w:rStyle w:val="Strong"/>
          <w:rFonts w:asciiTheme="majorHAnsi" w:hAnsiTheme="majorHAnsi" w:cstheme="majorHAnsi"/>
          <w:b w:val="0"/>
          <w:color w:val="000000"/>
          <w:sz w:val="22"/>
          <w:szCs w:val="22"/>
          <w:lang w:val="en"/>
        </w:rPr>
        <w:t>.  Once approved, the PD</w:t>
      </w:r>
      <w:r w:rsidRPr="0051466B">
        <w:rPr>
          <w:rStyle w:val="Strong"/>
          <w:rFonts w:asciiTheme="majorHAnsi" w:hAnsiTheme="majorHAnsi" w:cstheme="majorHAnsi"/>
          <w:b w:val="0"/>
          <w:color w:val="000000"/>
          <w:sz w:val="22"/>
          <w:szCs w:val="22"/>
          <w:lang w:val="en"/>
        </w:rPr>
        <w:t>s</w:t>
      </w:r>
      <w:r w:rsidR="002E641F" w:rsidRPr="0051466B">
        <w:rPr>
          <w:rStyle w:val="Strong"/>
          <w:rFonts w:asciiTheme="majorHAnsi" w:hAnsiTheme="majorHAnsi" w:cstheme="majorHAnsi"/>
          <w:b w:val="0"/>
          <w:color w:val="000000"/>
          <w:sz w:val="22"/>
          <w:szCs w:val="22"/>
          <w:lang w:val="en"/>
        </w:rPr>
        <w:t xml:space="preserve"> </w:t>
      </w:r>
      <w:r w:rsidR="004C52A1" w:rsidRPr="0051466B">
        <w:rPr>
          <w:rStyle w:val="Strong"/>
          <w:rFonts w:asciiTheme="majorHAnsi" w:hAnsiTheme="majorHAnsi" w:cstheme="majorHAnsi"/>
          <w:b w:val="0"/>
          <w:color w:val="000000"/>
          <w:sz w:val="22"/>
          <w:szCs w:val="22"/>
          <w:lang w:val="en"/>
        </w:rPr>
        <w:t>can be saved to FileShare to your entities folder</w:t>
      </w:r>
      <w:r w:rsidR="002E641F" w:rsidRPr="0051466B">
        <w:rPr>
          <w:rStyle w:val="Strong"/>
          <w:rFonts w:asciiTheme="majorHAnsi" w:hAnsiTheme="majorHAnsi" w:cstheme="majorHAnsi"/>
          <w:b w:val="0"/>
          <w:color w:val="000000"/>
          <w:sz w:val="22"/>
          <w:szCs w:val="22"/>
          <w:lang w:val="en"/>
        </w:rPr>
        <w:t>.</w:t>
      </w:r>
    </w:p>
    <w:p w:rsidR="003C6748" w:rsidRPr="0051466B" w:rsidRDefault="003C6748" w:rsidP="002E641F">
      <w:pPr>
        <w:pStyle w:val="NormalWeb"/>
        <w:spacing w:before="0" w:beforeAutospacing="0" w:after="0" w:afterAutospacing="0"/>
        <w:ind w:left="360"/>
        <w:rPr>
          <w:rStyle w:val="Strong"/>
          <w:rFonts w:asciiTheme="majorHAnsi" w:hAnsiTheme="majorHAnsi" w:cstheme="majorHAnsi"/>
          <w:b w:val="0"/>
          <w:color w:val="2F2F2F"/>
          <w:sz w:val="22"/>
          <w:szCs w:val="22"/>
          <w:lang w:val="en"/>
        </w:rPr>
      </w:pPr>
    </w:p>
    <w:p w:rsidR="00FE21EC" w:rsidRPr="0051466B" w:rsidRDefault="003C6748" w:rsidP="002E641F">
      <w:pPr>
        <w:pStyle w:val="NormalWeb"/>
        <w:spacing w:before="0" w:beforeAutospacing="0" w:after="0" w:afterAutospacing="0"/>
        <w:ind w:left="360"/>
        <w:rPr>
          <w:rStyle w:val="Strong"/>
          <w:rFonts w:asciiTheme="majorHAnsi" w:hAnsiTheme="majorHAnsi" w:cstheme="majorHAnsi"/>
          <w:b w:val="0"/>
          <w:sz w:val="22"/>
          <w:szCs w:val="22"/>
          <w:lang w:val="en"/>
        </w:rPr>
      </w:pPr>
      <w:r w:rsidRPr="0051466B">
        <w:rPr>
          <w:rStyle w:val="Strong"/>
          <w:rFonts w:asciiTheme="majorHAnsi" w:hAnsiTheme="majorHAnsi" w:cstheme="majorHAnsi"/>
          <w:b w:val="0"/>
          <w:sz w:val="22"/>
          <w:szCs w:val="22"/>
          <w:lang w:val="en"/>
        </w:rPr>
        <w:t>In relation to the Salary Costs/Overtime template</w:t>
      </w:r>
      <w:r w:rsidR="00FE21EC" w:rsidRPr="0051466B">
        <w:rPr>
          <w:rStyle w:val="Strong"/>
          <w:rFonts w:asciiTheme="majorHAnsi" w:hAnsiTheme="majorHAnsi" w:cstheme="majorHAnsi"/>
          <w:b w:val="0"/>
          <w:sz w:val="22"/>
          <w:szCs w:val="22"/>
          <w:lang w:val="en"/>
        </w:rPr>
        <w:t xml:space="preserve">, please ensure the Employee Name, date, amount, and the activity undertaken whilst on overtime are also included please.  Alternatively, timesheets can be attached, </w:t>
      </w:r>
      <w:r w:rsidR="002E641F" w:rsidRPr="0051466B">
        <w:rPr>
          <w:rStyle w:val="Strong"/>
          <w:rFonts w:asciiTheme="majorHAnsi" w:hAnsiTheme="majorHAnsi" w:cstheme="majorHAnsi"/>
          <w:b w:val="0"/>
          <w:sz w:val="22"/>
          <w:szCs w:val="22"/>
          <w:lang w:val="en"/>
        </w:rPr>
        <w:t xml:space="preserve">provided </w:t>
      </w:r>
      <w:r w:rsidR="00FE21EC" w:rsidRPr="0051466B">
        <w:rPr>
          <w:rStyle w:val="Strong"/>
          <w:rFonts w:asciiTheme="majorHAnsi" w:hAnsiTheme="majorHAnsi" w:cstheme="majorHAnsi"/>
          <w:b w:val="0"/>
          <w:sz w:val="22"/>
          <w:szCs w:val="22"/>
          <w:lang w:val="en"/>
        </w:rPr>
        <w:t xml:space="preserve">it includes the required </w:t>
      </w:r>
      <w:r w:rsidR="002E641F" w:rsidRPr="0051466B">
        <w:rPr>
          <w:rStyle w:val="Strong"/>
          <w:rFonts w:asciiTheme="majorHAnsi" w:hAnsiTheme="majorHAnsi" w:cstheme="majorHAnsi"/>
          <w:b w:val="0"/>
          <w:sz w:val="22"/>
          <w:szCs w:val="22"/>
          <w:lang w:val="en"/>
        </w:rPr>
        <w:t xml:space="preserve">information (ie. Employee Name </w:t>
      </w:r>
      <w:r w:rsidR="00FE21EC" w:rsidRPr="0051466B">
        <w:rPr>
          <w:rStyle w:val="Strong"/>
          <w:rFonts w:asciiTheme="majorHAnsi" w:hAnsiTheme="majorHAnsi" w:cstheme="majorHAnsi"/>
          <w:b w:val="0"/>
          <w:sz w:val="22"/>
          <w:szCs w:val="22"/>
          <w:lang w:val="en"/>
        </w:rPr>
        <w:t>which can be easily ma</w:t>
      </w:r>
      <w:r w:rsidR="002E641F" w:rsidRPr="0051466B">
        <w:rPr>
          <w:rStyle w:val="Strong"/>
          <w:rFonts w:asciiTheme="majorHAnsi" w:hAnsiTheme="majorHAnsi" w:cstheme="majorHAnsi"/>
          <w:b w:val="0"/>
          <w:sz w:val="22"/>
          <w:szCs w:val="22"/>
          <w:lang w:val="en"/>
        </w:rPr>
        <w:t>tched to a copy of the ledger).</w:t>
      </w:r>
    </w:p>
    <w:p w:rsidR="002E641F" w:rsidRPr="0051466B" w:rsidRDefault="002E641F" w:rsidP="002E641F">
      <w:pPr>
        <w:pStyle w:val="NormalWeb"/>
        <w:spacing w:before="0" w:beforeAutospacing="0" w:after="0" w:afterAutospacing="0"/>
        <w:ind w:left="360"/>
        <w:rPr>
          <w:rFonts w:asciiTheme="majorHAnsi" w:hAnsiTheme="majorHAnsi" w:cstheme="majorHAnsi"/>
          <w:color w:val="222222"/>
          <w:sz w:val="22"/>
          <w:szCs w:val="22"/>
          <w:lang w:val="en"/>
        </w:rPr>
      </w:pPr>
    </w:p>
    <w:p w:rsidR="002E641F" w:rsidRPr="0051466B" w:rsidRDefault="00FE21EC" w:rsidP="002E641F">
      <w:pPr>
        <w:pStyle w:val="NormalWeb"/>
        <w:spacing w:before="0" w:beforeAutospacing="0" w:after="0" w:afterAutospacing="0"/>
        <w:rPr>
          <w:rStyle w:val="Strong"/>
          <w:rFonts w:asciiTheme="majorHAnsi" w:hAnsiTheme="majorHAnsi" w:cstheme="majorHAnsi"/>
          <w:color w:val="2F2F2F"/>
          <w:sz w:val="22"/>
          <w:szCs w:val="22"/>
          <w:lang w:val="en"/>
        </w:rPr>
      </w:pPr>
      <w:r w:rsidRPr="0051466B">
        <w:rPr>
          <w:rStyle w:val="Strong"/>
          <w:rFonts w:asciiTheme="majorHAnsi" w:hAnsiTheme="majorHAnsi" w:cstheme="majorHAnsi"/>
          <w:color w:val="2F2F2F"/>
          <w:sz w:val="22"/>
          <w:szCs w:val="22"/>
          <w:lang w:val="en"/>
        </w:rPr>
        <w:t xml:space="preserve">Please contact </w:t>
      </w:r>
      <w:r w:rsidR="00C600BB" w:rsidRPr="0051466B">
        <w:rPr>
          <w:rStyle w:val="Strong"/>
          <w:rFonts w:asciiTheme="majorHAnsi" w:hAnsiTheme="majorHAnsi" w:cstheme="majorHAnsi"/>
          <w:color w:val="2F2F2F"/>
          <w:sz w:val="22"/>
          <w:szCs w:val="22"/>
          <w:lang w:val="en"/>
        </w:rPr>
        <w:t xml:space="preserve">the </w:t>
      </w:r>
      <w:r w:rsidRPr="0051466B">
        <w:rPr>
          <w:rStyle w:val="Strong"/>
          <w:rFonts w:asciiTheme="majorHAnsi" w:hAnsiTheme="majorHAnsi" w:cstheme="majorHAnsi"/>
          <w:color w:val="2F2F2F"/>
          <w:sz w:val="22"/>
          <w:szCs w:val="22"/>
          <w:lang w:val="en"/>
        </w:rPr>
        <w:t>NDFA Team if you have any queries at all relating to the NDFA process on</w:t>
      </w:r>
      <w:r w:rsidR="002E641F" w:rsidRPr="0051466B">
        <w:rPr>
          <w:rStyle w:val="Strong"/>
          <w:rFonts w:asciiTheme="majorHAnsi" w:hAnsiTheme="majorHAnsi" w:cstheme="majorHAnsi"/>
          <w:color w:val="2F2F2F"/>
          <w:sz w:val="22"/>
          <w:szCs w:val="22"/>
          <w:lang w:val="en"/>
        </w:rPr>
        <w:t xml:space="preserve"> </w:t>
      </w:r>
      <w:r w:rsidRPr="0051466B">
        <w:rPr>
          <w:rStyle w:val="Strong"/>
          <w:rFonts w:asciiTheme="majorHAnsi" w:hAnsiTheme="majorHAnsi" w:cstheme="majorHAnsi"/>
          <w:color w:val="2F2F2F"/>
          <w:sz w:val="22"/>
          <w:szCs w:val="22"/>
          <w:lang w:val="en"/>
        </w:rPr>
        <w:t xml:space="preserve">03 9651 2327 or at </w:t>
      </w:r>
      <w:hyperlink r:id="rId9" w:history="1">
        <w:r w:rsidRPr="0051466B">
          <w:rPr>
            <w:rStyle w:val="Hyperlink"/>
            <w:rFonts w:asciiTheme="majorHAnsi" w:hAnsiTheme="majorHAnsi" w:cstheme="majorHAnsi"/>
            <w:b/>
            <w:bCs/>
            <w:sz w:val="22"/>
            <w:szCs w:val="22"/>
            <w:lang w:val="en"/>
          </w:rPr>
          <w:t>ndfa@dtf.vic.gov.au</w:t>
        </w:r>
      </w:hyperlink>
      <w:r w:rsidRPr="0051466B">
        <w:rPr>
          <w:rStyle w:val="Strong"/>
          <w:rFonts w:asciiTheme="majorHAnsi" w:hAnsiTheme="majorHAnsi" w:cstheme="majorHAnsi"/>
          <w:color w:val="2F2F2F"/>
          <w:sz w:val="22"/>
          <w:szCs w:val="22"/>
          <w:lang w:val="en"/>
        </w:rPr>
        <w:t>.</w:t>
      </w:r>
      <w:r w:rsidRPr="0051466B">
        <w:rPr>
          <w:rFonts w:asciiTheme="majorHAnsi" w:hAnsiTheme="majorHAnsi" w:cstheme="majorHAnsi"/>
          <w:b/>
          <w:bCs/>
          <w:color w:val="2F2F2F"/>
          <w:sz w:val="22"/>
          <w:szCs w:val="22"/>
          <w:lang w:val="en"/>
        </w:rPr>
        <w:br/>
      </w:r>
      <w:r w:rsidRPr="0051466B">
        <w:rPr>
          <w:rStyle w:val="Strong"/>
          <w:rFonts w:asciiTheme="majorHAnsi" w:hAnsiTheme="majorHAnsi" w:cstheme="majorHAnsi"/>
          <w:color w:val="2F2F2F"/>
          <w:sz w:val="22"/>
          <w:szCs w:val="22"/>
          <w:lang w:val="en"/>
        </w:rPr>
        <w:t> </w:t>
      </w:r>
    </w:p>
    <w:p w:rsidR="00FE21EC" w:rsidRPr="0051466B" w:rsidRDefault="00FE21EC" w:rsidP="00FE21EC">
      <w:pPr>
        <w:pStyle w:val="NormalWeb"/>
        <w:rPr>
          <w:rFonts w:asciiTheme="majorHAnsi" w:hAnsiTheme="majorHAnsi" w:cstheme="majorHAnsi"/>
          <w:color w:val="222222"/>
          <w:sz w:val="22"/>
          <w:szCs w:val="22"/>
          <w:lang w:val="en"/>
        </w:rPr>
      </w:pPr>
      <w:bookmarkStart w:id="1" w:name="_GoBack"/>
      <w:bookmarkEnd w:id="0"/>
      <w:bookmarkEnd w:id="1"/>
    </w:p>
    <w:sectPr w:rsidR="00FE21EC" w:rsidRPr="0051466B" w:rsidSect="00DA54E3">
      <w:headerReference w:type="default" r:id="rId10"/>
      <w:footerReference w:type="default" r:id="rId11"/>
      <w:pgSz w:w="11906" w:h="16838" w:code="9"/>
      <w:pgMar w:top="2160" w:right="1440" w:bottom="1134" w:left="1440"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53" w:rsidRDefault="008B3953" w:rsidP="002D711A">
      <w:pPr>
        <w:spacing w:after="0" w:line="240" w:lineRule="auto"/>
      </w:pPr>
      <w:r>
        <w:separator/>
      </w:r>
    </w:p>
  </w:endnote>
  <w:endnote w:type="continuationSeparator" w:id="0">
    <w:p w:rsidR="008B3953" w:rsidRDefault="008B395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001FA9" w:rsidP="0041689E">
    <w:pPr>
      <w:pStyle w:val="Footer"/>
    </w:pPr>
    <w:r>
      <w:rPr>
        <w:b/>
        <w:color w:val="0063A6" w:themeColor="accent1"/>
      </w:rPr>
      <w:t xml:space="preserve">Supporting Documentation required with Natural Disaster Claims – </w:t>
    </w:r>
    <w:r w:rsidR="006C135B">
      <w:rPr>
        <w:b/>
        <w:color w:val="0063A6" w:themeColor="accent1"/>
      </w:rPr>
      <w:t>August 2017</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411677">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53" w:rsidRDefault="008B3953" w:rsidP="002D711A">
      <w:pPr>
        <w:spacing w:after="0" w:line="240" w:lineRule="auto"/>
      </w:pPr>
      <w:r>
        <w:separator/>
      </w:r>
    </w:p>
  </w:footnote>
  <w:footnote w:type="continuationSeparator" w:id="0">
    <w:p w:rsidR="008B3953" w:rsidRDefault="008B395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2349A40" wp14:editId="770E5081">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B335B19" wp14:editId="7C3AC032">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D740EB"/>
    <w:multiLevelType w:val="multilevel"/>
    <w:tmpl w:val="4F42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9C6E25"/>
    <w:multiLevelType w:val="hybridMultilevel"/>
    <w:tmpl w:val="66FE7814"/>
    <w:lvl w:ilvl="0" w:tplc="9C46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40D4BA2"/>
    <w:multiLevelType w:val="hybridMultilevel"/>
    <w:tmpl w:val="464E9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7B2415"/>
    <w:multiLevelType w:val="hybridMultilevel"/>
    <w:tmpl w:val="CED43A9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2CAB573C"/>
    <w:multiLevelType w:val="hybridMultilevel"/>
    <w:tmpl w:val="9B0CAFE4"/>
    <w:lvl w:ilvl="0" w:tplc="2A6003A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7">
    <w:nsid w:val="32A80260"/>
    <w:multiLevelType w:val="hybridMultilevel"/>
    <w:tmpl w:val="ACB29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A771ACE"/>
    <w:multiLevelType w:val="hybridMultilevel"/>
    <w:tmpl w:val="E91EA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C682206"/>
    <w:multiLevelType w:val="hybridMultilevel"/>
    <w:tmpl w:val="EBFCABAE"/>
    <w:lvl w:ilvl="0" w:tplc="2A6003AE">
      <w:start w:val="1"/>
      <w:numFmt w:val="lowerLetter"/>
      <w:lvlText w:val="%1)"/>
      <w:lvlJc w:val="left"/>
      <w:pPr>
        <w:ind w:left="7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nsid w:val="48EC4E8C"/>
    <w:multiLevelType w:val="multilevel"/>
    <w:tmpl w:val="4F420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FF6661"/>
    <w:multiLevelType w:val="hybridMultilevel"/>
    <w:tmpl w:val="5B38D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BD6E50"/>
    <w:multiLevelType w:val="hybridMultilevel"/>
    <w:tmpl w:val="95AEAC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0"/>
  </w:num>
  <w:num w:numId="2">
    <w:abstractNumId w:val="10"/>
  </w:num>
  <w:num w:numId="3">
    <w:abstractNumId w:val="10"/>
  </w:num>
  <w:num w:numId="4">
    <w:abstractNumId w:val="16"/>
  </w:num>
  <w:num w:numId="5">
    <w:abstractNumId w:val="10"/>
  </w:num>
  <w:num w:numId="6">
    <w:abstractNumId w:val="10"/>
  </w:num>
  <w:num w:numId="7">
    <w:abstractNumId w:val="10"/>
  </w:num>
  <w:num w:numId="8">
    <w:abstractNumId w:val="10"/>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4"/>
  </w:num>
  <w:num w:numId="18">
    <w:abstractNumId w:val="4"/>
  </w:num>
  <w:num w:numId="19">
    <w:abstractNumId w:val="15"/>
  </w:num>
  <w:num w:numId="20">
    <w:abstractNumId w:val="14"/>
  </w:num>
  <w:num w:numId="21">
    <w:abstractNumId w:val="0"/>
  </w:num>
  <w:num w:numId="22">
    <w:abstractNumId w:val="0"/>
  </w:num>
  <w:num w:numId="23">
    <w:abstractNumId w:val="0"/>
  </w:num>
  <w:num w:numId="24">
    <w:abstractNumId w:val="15"/>
  </w:num>
  <w:num w:numId="25">
    <w:abstractNumId w:val="16"/>
  </w:num>
  <w:num w:numId="26">
    <w:abstractNumId w:val="4"/>
  </w:num>
  <w:num w:numId="27">
    <w:abstractNumId w:val="4"/>
  </w:num>
  <w:num w:numId="28">
    <w:abstractNumId w:val="13"/>
  </w:num>
  <w:num w:numId="29">
    <w:abstractNumId w:val="8"/>
  </w:num>
  <w:num w:numId="30">
    <w:abstractNumId w:val="3"/>
  </w:num>
  <w:num w:numId="31">
    <w:abstractNumId w:val="6"/>
  </w:num>
  <w:num w:numId="32">
    <w:abstractNumId w:val="9"/>
  </w:num>
  <w:num w:numId="33">
    <w:abstractNumId w:val="1"/>
  </w:num>
  <w:num w:numId="34">
    <w:abstractNumId w:val="11"/>
  </w:num>
  <w:num w:numId="35">
    <w:abstractNumId w:val="2"/>
  </w:num>
  <w:num w:numId="36">
    <w:abstractNumId w:val="7"/>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EC"/>
    <w:rsid w:val="00001FA9"/>
    <w:rsid w:val="000073F5"/>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168A9"/>
    <w:rsid w:val="00121252"/>
    <w:rsid w:val="00124609"/>
    <w:rsid w:val="001254CE"/>
    <w:rsid w:val="00126AF9"/>
    <w:rsid w:val="00134CEA"/>
    <w:rsid w:val="001422CC"/>
    <w:rsid w:val="001617B6"/>
    <w:rsid w:val="00162816"/>
    <w:rsid w:val="00165E66"/>
    <w:rsid w:val="00197D10"/>
    <w:rsid w:val="001A3A11"/>
    <w:rsid w:val="001A3DD1"/>
    <w:rsid w:val="001C7BAE"/>
    <w:rsid w:val="001D717E"/>
    <w:rsid w:val="001E31FA"/>
    <w:rsid w:val="001E64F6"/>
    <w:rsid w:val="00200BB3"/>
    <w:rsid w:val="00201703"/>
    <w:rsid w:val="00222BEB"/>
    <w:rsid w:val="00225E60"/>
    <w:rsid w:val="00227C39"/>
    <w:rsid w:val="0023202C"/>
    <w:rsid w:val="00236203"/>
    <w:rsid w:val="00241C75"/>
    <w:rsid w:val="00245043"/>
    <w:rsid w:val="00257760"/>
    <w:rsid w:val="00292D36"/>
    <w:rsid w:val="00297281"/>
    <w:rsid w:val="002A131A"/>
    <w:rsid w:val="002C54E0"/>
    <w:rsid w:val="002C5BE8"/>
    <w:rsid w:val="002D711A"/>
    <w:rsid w:val="002D7336"/>
    <w:rsid w:val="002E3396"/>
    <w:rsid w:val="002E641F"/>
    <w:rsid w:val="002E7797"/>
    <w:rsid w:val="003052A5"/>
    <w:rsid w:val="0031149C"/>
    <w:rsid w:val="0038771C"/>
    <w:rsid w:val="0039283F"/>
    <w:rsid w:val="00392A8F"/>
    <w:rsid w:val="0039405B"/>
    <w:rsid w:val="003A1C92"/>
    <w:rsid w:val="003A541A"/>
    <w:rsid w:val="003A6923"/>
    <w:rsid w:val="003C2C67"/>
    <w:rsid w:val="003C2EA2"/>
    <w:rsid w:val="003C5BA4"/>
    <w:rsid w:val="003C6748"/>
    <w:rsid w:val="003E3E26"/>
    <w:rsid w:val="003F1295"/>
    <w:rsid w:val="003F1B4A"/>
    <w:rsid w:val="003F76FC"/>
    <w:rsid w:val="004002EB"/>
    <w:rsid w:val="00400DD8"/>
    <w:rsid w:val="00405C57"/>
    <w:rsid w:val="00411677"/>
    <w:rsid w:val="0041689E"/>
    <w:rsid w:val="004236C8"/>
    <w:rsid w:val="00427681"/>
    <w:rsid w:val="00433DB7"/>
    <w:rsid w:val="00453750"/>
    <w:rsid w:val="00456941"/>
    <w:rsid w:val="004669E3"/>
    <w:rsid w:val="004702EA"/>
    <w:rsid w:val="00482D02"/>
    <w:rsid w:val="004A7519"/>
    <w:rsid w:val="004B41CA"/>
    <w:rsid w:val="004C52A1"/>
    <w:rsid w:val="004D3518"/>
    <w:rsid w:val="004D62D6"/>
    <w:rsid w:val="0051466B"/>
    <w:rsid w:val="005160C0"/>
    <w:rsid w:val="0053416C"/>
    <w:rsid w:val="00541C2F"/>
    <w:rsid w:val="00563527"/>
    <w:rsid w:val="0058124E"/>
    <w:rsid w:val="00584301"/>
    <w:rsid w:val="005875A3"/>
    <w:rsid w:val="005A3416"/>
    <w:rsid w:val="005B27FE"/>
    <w:rsid w:val="005C3E6D"/>
    <w:rsid w:val="005F0CA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135B"/>
    <w:rsid w:val="006C77A9"/>
    <w:rsid w:val="006F6693"/>
    <w:rsid w:val="00707FE8"/>
    <w:rsid w:val="00724962"/>
    <w:rsid w:val="00724A0F"/>
    <w:rsid w:val="0073072C"/>
    <w:rsid w:val="007320B4"/>
    <w:rsid w:val="00732162"/>
    <w:rsid w:val="00736732"/>
    <w:rsid w:val="00747959"/>
    <w:rsid w:val="00750CBE"/>
    <w:rsid w:val="00766B5A"/>
    <w:rsid w:val="007834F2"/>
    <w:rsid w:val="00791020"/>
    <w:rsid w:val="007A5F82"/>
    <w:rsid w:val="007A76B5"/>
    <w:rsid w:val="007B75A4"/>
    <w:rsid w:val="007C2C15"/>
    <w:rsid w:val="007D7F1A"/>
    <w:rsid w:val="007F1A4C"/>
    <w:rsid w:val="008022C3"/>
    <w:rsid w:val="008041E6"/>
    <w:rsid w:val="008065D2"/>
    <w:rsid w:val="0082194C"/>
    <w:rsid w:val="008220C4"/>
    <w:rsid w:val="008222FF"/>
    <w:rsid w:val="008241FF"/>
    <w:rsid w:val="008366CF"/>
    <w:rsid w:val="008411E9"/>
    <w:rsid w:val="00841F85"/>
    <w:rsid w:val="0084200F"/>
    <w:rsid w:val="00843B2C"/>
    <w:rsid w:val="008471C4"/>
    <w:rsid w:val="00853080"/>
    <w:rsid w:val="008629EE"/>
    <w:rsid w:val="008649C3"/>
    <w:rsid w:val="008A183D"/>
    <w:rsid w:val="008A439B"/>
    <w:rsid w:val="008A4900"/>
    <w:rsid w:val="008B2DD1"/>
    <w:rsid w:val="008B3953"/>
    <w:rsid w:val="008D0281"/>
    <w:rsid w:val="008E3C4E"/>
    <w:rsid w:val="008F6D45"/>
    <w:rsid w:val="00947004"/>
    <w:rsid w:val="009834C0"/>
    <w:rsid w:val="00984C95"/>
    <w:rsid w:val="00986AAC"/>
    <w:rsid w:val="009A1DA2"/>
    <w:rsid w:val="009A3704"/>
    <w:rsid w:val="009A4739"/>
    <w:rsid w:val="009A674F"/>
    <w:rsid w:val="009B199C"/>
    <w:rsid w:val="009B54C8"/>
    <w:rsid w:val="009B61F1"/>
    <w:rsid w:val="009B62E0"/>
    <w:rsid w:val="009C3D88"/>
    <w:rsid w:val="009C6277"/>
    <w:rsid w:val="009D2538"/>
    <w:rsid w:val="009E3858"/>
    <w:rsid w:val="009E70DD"/>
    <w:rsid w:val="009F2ED9"/>
    <w:rsid w:val="009F3231"/>
    <w:rsid w:val="009F5C58"/>
    <w:rsid w:val="00A012EC"/>
    <w:rsid w:val="00A023A0"/>
    <w:rsid w:val="00A1562B"/>
    <w:rsid w:val="00A170F4"/>
    <w:rsid w:val="00A2559E"/>
    <w:rsid w:val="00A25FD9"/>
    <w:rsid w:val="00A46BA8"/>
    <w:rsid w:val="00A47634"/>
    <w:rsid w:val="00A612FE"/>
    <w:rsid w:val="00AA26B8"/>
    <w:rsid w:val="00AA6FB5"/>
    <w:rsid w:val="00AB3FE2"/>
    <w:rsid w:val="00AC0A9C"/>
    <w:rsid w:val="00AC3F48"/>
    <w:rsid w:val="00AD3322"/>
    <w:rsid w:val="00AD7E4E"/>
    <w:rsid w:val="00AE02B5"/>
    <w:rsid w:val="00AF34DE"/>
    <w:rsid w:val="00AF4D58"/>
    <w:rsid w:val="00AF6666"/>
    <w:rsid w:val="00B06FC1"/>
    <w:rsid w:val="00B10154"/>
    <w:rsid w:val="00B11D39"/>
    <w:rsid w:val="00B61656"/>
    <w:rsid w:val="00B81B44"/>
    <w:rsid w:val="00B9053B"/>
    <w:rsid w:val="00BC3422"/>
    <w:rsid w:val="00BD1F86"/>
    <w:rsid w:val="00C015B9"/>
    <w:rsid w:val="00C022F9"/>
    <w:rsid w:val="00C032EA"/>
    <w:rsid w:val="00C05753"/>
    <w:rsid w:val="00C06EB5"/>
    <w:rsid w:val="00C10591"/>
    <w:rsid w:val="00C11371"/>
    <w:rsid w:val="00C1145F"/>
    <w:rsid w:val="00C600BB"/>
    <w:rsid w:val="00C637E1"/>
    <w:rsid w:val="00C70D50"/>
    <w:rsid w:val="00C8243E"/>
    <w:rsid w:val="00C907D7"/>
    <w:rsid w:val="00C92338"/>
    <w:rsid w:val="00CA7C3A"/>
    <w:rsid w:val="00CC2DB2"/>
    <w:rsid w:val="00CD0307"/>
    <w:rsid w:val="00CD3766"/>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A54E3"/>
    <w:rsid w:val="00DA5E15"/>
    <w:rsid w:val="00DB312B"/>
    <w:rsid w:val="00DC5654"/>
    <w:rsid w:val="00DC658F"/>
    <w:rsid w:val="00DE60CC"/>
    <w:rsid w:val="00E26B32"/>
    <w:rsid w:val="00E31444"/>
    <w:rsid w:val="00E407B6"/>
    <w:rsid w:val="00E41EF1"/>
    <w:rsid w:val="00E42942"/>
    <w:rsid w:val="00E468A6"/>
    <w:rsid w:val="00E50E6D"/>
    <w:rsid w:val="00E71BDF"/>
    <w:rsid w:val="00E83CA7"/>
    <w:rsid w:val="00EB2669"/>
    <w:rsid w:val="00EC171D"/>
    <w:rsid w:val="00ED487E"/>
    <w:rsid w:val="00EE7A0D"/>
    <w:rsid w:val="00EF0D21"/>
    <w:rsid w:val="00F17CE1"/>
    <w:rsid w:val="00F2115C"/>
    <w:rsid w:val="00F22ABA"/>
    <w:rsid w:val="00F2715F"/>
    <w:rsid w:val="00F36B12"/>
    <w:rsid w:val="00F417C3"/>
    <w:rsid w:val="00F47955"/>
    <w:rsid w:val="00F60F9F"/>
    <w:rsid w:val="00F64F08"/>
    <w:rsid w:val="00F734F5"/>
    <w:rsid w:val="00F966B1"/>
    <w:rsid w:val="00F97D48"/>
    <w:rsid w:val="00FA0311"/>
    <w:rsid w:val="00FA1222"/>
    <w:rsid w:val="00FC42E5"/>
    <w:rsid w:val="00FD4D21"/>
    <w:rsid w:val="00FD640F"/>
    <w:rsid w:val="00FD6B4C"/>
    <w:rsid w:val="00FD6BE9"/>
    <w:rsid w:val="00FE21E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FE21EC"/>
    <w:pPr>
      <w:spacing w:before="100" w:beforeAutospacing="1"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FE21EC"/>
    <w:rPr>
      <w:b/>
      <w:bCs/>
    </w:rPr>
  </w:style>
  <w:style w:type="character" w:styleId="Emphasis">
    <w:name w:val="Emphasis"/>
    <w:basedOn w:val="DefaultParagraphFont"/>
    <w:uiPriority w:val="20"/>
    <w:qFormat/>
    <w:rsid w:val="00FE21EC"/>
    <w:rPr>
      <w:i/>
      <w:iCs/>
    </w:rPr>
  </w:style>
  <w:style w:type="character" w:styleId="PlaceholderText">
    <w:name w:val="Placeholder Text"/>
    <w:basedOn w:val="DefaultParagraphFont"/>
    <w:uiPriority w:val="99"/>
    <w:semiHidden/>
    <w:rsid w:val="00001FA9"/>
    <w:rPr>
      <w:color w:val="808080"/>
    </w:rPr>
  </w:style>
  <w:style w:type="character" w:styleId="CommentReference">
    <w:name w:val="annotation reference"/>
    <w:basedOn w:val="DefaultParagraphFont"/>
    <w:uiPriority w:val="99"/>
    <w:semiHidden/>
    <w:rsid w:val="00CD3766"/>
    <w:rPr>
      <w:sz w:val="16"/>
      <w:szCs w:val="16"/>
    </w:rPr>
  </w:style>
  <w:style w:type="paragraph" w:styleId="CommentText">
    <w:name w:val="annotation text"/>
    <w:basedOn w:val="Normal"/>
    <w:link w:val="CommentTextChar"/>
    <w:uiPriority w:val="99"/>
    <w:semiHidden/>
    <w:rsid w:val="00CD3766"/>
    <w:pPr>
      <w:spacing w:line="240" w:lineRule="auto"/>
    </w:pPr>
  </w:style>
  <w:style w:type="character" w:customStyle="1" w:styleId="CommentTextChar">
    <w:name w:val="Comment Text Char"/>
    <w:basedOn w:val="DefaultParagraphFont"/>
    <w:link w:val="CommentText"/>
    <w:uiPriority w:val="99"/>
    <w:semiHidden/>
    <w:rsid w:val="00CD3766"/>
    <w:rPr>
      <w:spacing w:val="2"/>
    </w:rPr>
  </w:style>
  <w:style w:type="paragraph" w:styleId="CommentSubject">
    <w:name w:val="annotation subject"/>
    <w:basedOn w:val="CommentText"/>
    <w:next w:val="CommentText"/>
    <w:link w:val="CommentSubjectChar"/>
    <w:uiPriority w:val="99"/>
    <w:semiHidden/>
    <w:rsid w:val="00CD3766"/>
    <w:rPr>
      <w:b/>
      <w:bCs/>
    </w:rPr>
  </w:style>
  <w:style w:type="character" w:customStyle="1" w:styleId="CommentSubjectChar">
    <w:name w:val="Comment Subject Char"/>
    <w:basedOn w:val="CommentTextChar"/>
    <w:link w:val="CommentSubject"/>
    <w:uiPriority w:val="99"/>
    <w:semiHidden/>
    <w:rsid w:val="00CD3766"/>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FE21EC"/>
    <w:pPr>
      <w:spacing w:before="100" w:beforeAutospacing="1" w:afterAutospacing="1" w:line="240" w:lineRule="auto"/>
    </w:pPr>
    <w:rPr>
      <w:rFonts w:ascii="Times New Roman" w:eastAsia="Times New Roman" w:hAnsi="Times New Roman" w:cs="Times New Roman"/>
      <w:spacing w:val="0"/>
      <w:sz w:val="24"/>
      <w:szCs w:val="24"/>
    </w:rPr>
  </w:style>
  <w:style w:type="character" w:styleId="Strong">
    <w:name w:val="Strong"/>
    <w:basedOn w:val="DefaultParagraphFont"/>
    <w:uiPriority w:val="22"/>
    <w:qFormat/>
    <w:rsid w:val="00FE21EC"/>
    <w:rPr>
      <w:b/>
      <w:bCs/>
    </w:rPr>
  </w:style>
  <w:style w:type="character" w:styleId="Emphasis">
    <w:name w:val="Emphasis"/>
    <w:basedOn w:val="DefaultParagraphFont"/>
    <w:uiPriority w:val="20"/>
    <w:qFormat/>
    <w:rsid w:val="00FE21EC"/>
    <w:rPr>
      <w:i/>
      <w:iCs/>
    </w:rPr>
  </w:style>
  <w:style w:type="character" w:styleId="PlaceholderText">
    <w:name w:val="Placeholder Text"/>
    <w:basedOn w:val="DefaultParagraphFont"/>
    <w:uiPriority w:val="99"/>
    <w:semiHidden/>
    <w:rsid w:val="00001FA9"/>
    <w:rPr>
      <w:color w:val="808080"/>
    </w:rPr>
  </w:style>
  <w:style w:type="character" w:styleId="CommentReference">
    <w:name w:val="annotation reference"/>
    <w:basedOn w:val="DefaultParagraphFont"/>
    <w:uiPriority w:val="99"/>
    <w:semiHidden/>
    <w:rsid w:val="00CD3766"/>
    <w:rPr>
      <w:sz w:val="16"/>
      <w:szCs w:val="16"/>
    </w:rPr>
  </w:style>
  <w:style w:type="paragraph" w:styleId="CommentText">
    <w:name w:val="annotation text"/>
    <w:basedOn w:val="Normal"/>
    <w:link w:val="CommentTextChar"/>
    <w:uiPriority w:val="99"/>
    <w:semiHidden/>
    <w:rsid w:val="00CD3766"/>
    <w:pPr>
      <w:spacing w:line="240" w:lineRule="auto"/>
    </w:pPr>
  </w:style>
  <w:style w:type="character" w:customStyle="1" w:styleId="CommentTextChar">
    <w:name w:val="Comment Text Char"/>
    <w:basedOn w:val="DefaultParagraphFont"/>
    <w:link w:val="CommentText"/>
    <w:uiPriority w:val="99"/>
    <w:semiHidden/>
    <w:rsid w:val="00CD3766"/>
    <w:rPr>
      <w:spacing w:val="2"/>
    </w:rPr>
  </w:style>
  <w:style w:type="paragraph" w:styleId="CommentSubject">
    <w:name w:val="annotation subject"/>
    <w:basedOn w:val="CommentText"/>
    <w:next w:val="CommentText"/>
    <w:link w:val="CommentSubjectChar"/>
    <w:uiPriority w:val="99"/>
    <w:semiHidden/>
    <w:rsid w:val="00CD3766"/>
    <w:rPr>
      <w:b/>
      <w:bCs/>
    </w:rPr>
  </w:style>
  <w:style w:type="character" w:customStyle="1" w:styleId="CommentSubjectChar">
    <w:name w:val="Comment Subject Char"/>
    <w:basedOn w:val="CommentTextChar"/>
    <w:link w:val="CommentSubject"/>
    <w:uiPriority w:val="99"/>
    <w:semiHidden/>
    <w:rsid w:val="00CD3766"/>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dfa@dtf.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F1DF-AB21-457B-9B43-54E966BF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TotalTime>
  <Pages>3</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2017-06-08T03:44:00Z</cp:lastPrinted>
  <dcterms:created xsi:type="dcterms:W3CDTF">2018-01-29T00:12:00Z</dcterms:created>
  <dcterms:modified xsi:type="dcterms:W3CDTF">2018-01-29T00:12:00Z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6638795d-14c1-4c6e-bb62-b46c382b467c</vt:lpwstr>
  </property>
  <property fmtid="{D5CDD505-2E9C-101B-9397-08002B2CF9AE}" pid="3" name="PSPFClassification">
    <vt:lpwstr>Do Not Mark</vt:lpwstr>
  </property>
</Properties>
</file>