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32F0F" w14:textId="77777777" w:rsidR="00045296" w:rsidRPr="00F95F7A" w:rsidRDefault="00D54649" w:rsidP="00691C09">
      <w:pPr>
        <w:pStyle w:val="Title"/>
        <w:rPr>
          <w:i/>
          <w:sz w:val="44"/>
          <w:szCs w:val="44"/>
        </w:rPr>
      </w:pPr>
      <w:bookmarkStart w:id="0" w:name="_Toc442780672"/>
      <w:r w:rsidRPr="00F95F7A">
        <w:rPr>
          <w:sz w:val="44"/>
          <w:szCs w:val="44"/>
        </w:rPr>
        <w:t>R</w:t>
      </w:r>
      <w:r w:rsidR="002061AF" w:rsidRPr="00F95F7A">
        <w:rPr>
          <w:sz w:val="44"/>
          <w:szCs w:val="44"/>
        </w:rPr>
        <w:t>eporting of r</w:t>
      </w:r>
      <w:r w:rsidRPr="00F95F7A">
        <w:rPr>
          <w:sz w:val="44"/>
          <w:szCs w:val="44"/>
        </w:rPr>
        <w:t>emuneration</w:t>
      </w:r>
      <w:r w:rsidR="008C08B3" w:rsidRPr="00F95F7A">
        <w:rPr>
          <w:sz w:val="44"/>
          <w:szCs w:val="44"/>
        </w:rPr>
        <w:t xml:space="preserve"> in accordance</w:t>
      </w:r>
      <w:r w:rsidR="002061AF" w:rsidRPr="00F95F7A">
        <w:rPr>
          <w:sz w:val="44"/>
          <w:szCs w:val="44"/>
        </w:rPr>
        <w:t xml:space="preserve"> with AASB 124 </w:t>
      </w:r>
      <w:r w:rsidR="002061AF" w:rsidRPr="00F95F7A">
        <w:rPr>
          <w:i/>
          <w:sz w:val="44"/>
          <w:szCs w:val="44"/>
        </w:rPr>
        <w:t xml:space="preserve">Related Party Disclosures </w:t>
      </w:r>
    </w:p>
    <w:bookmarkEnd w:id="0"/>
    <w:p w14:paraId="5D7136A0" w14:textId="77777777" w:rsidR="00227C39" w:rsidRDefault="00227C39" w:rsidP="00043296"/>
    <w:p w14:paraId="5B4992B5" w14:textId="77777777" w:rsidR="007364B1" w:rsidRPr="00FE04BE" w:rsidRDefault="008C08B3" w:rsidP="00A16748">
      <w:pPr>
        <w:pStyle w:val="Heading2"/>
        <w:rPr>
          <w:sz w:val="26"/>
        </w:rPr>
      </w:pPr>
      <w:r w:rsidRPr="00FE04BE">
        <w:rPr>
          <w:sz w:val="26"/>
        </w:rPr>
        <w:t>Background</w:t>
      </w:r>
    </w:p>
    <w:p w14:paraId="308E09E3" w14:textId="5F690791" w:rsidR="00114AF4" w:rsidRDefault="00107FE7" w:rsidP="007469AF">
      <w:r w:rsidRPr="005915A1">
        <w:t xml:space="preserve">As part of the implementation of AASB 124 </w:t>
      </w:r>
      <w:r w:rsidRPr="005915A1">
        <w:rPr>
          <w:i/>
        </w:rPr>
        <w:t>Related Party Disclosures,</w:t>
      </w:r>
      <w:r w:rsidR="007E2862" w:rsidRPr="005915A1">
        <w:t xml:space="preserve"> </w:t>
      </w:r>
      <w:r w:rsidR="00812AED" w:rsidRPr="005915A1">
        <w:t xml:space="preserve">there </w:t>
      </w:r>
      <w:r w:rsidR="008D3587">
        <w:t>have been</w:t>
      </w:r>
      <w:r w:rsidR="00812AED" w:rsidRPr="005915A1">
        <w:t xml:space="preserve"> changes to</w:t>
      </w:r>
      <w:r w:rsidR="001C76B0" w:rsidRPr="005915A1">
        <w:t xml:space="preserve"> </w:t>
      </w:r>
      <w:r w:rsidR="00891244" w:rsidRPr="005915A1">
        <w:t xml:space="preserve">the reporting of remuneration </w:t>
      </w:r>
      <w:r w:rsidR="008C08B3" w:rsidRPr="005915A1">
        <w:t>for</w:t>
      </w:r>
      <w:r w:rsidR="001C76B0" w:rsidRPr="005915A1">
        <w:t xml:space="preserve"> </w:t>
      </w:r>
      <w:r w:rsidR="00812AED" w:rsidRPr="005915A1">
        <w:t>Key Management Personnel (</w:t>
      </w:r>
      <w:r w:rsidR="001C76B0" w:rsidRPr="005915A1">
        <w:t>KMP</w:t>
      </w:r>
      <w:r w:rsidR="00812AED" w:rsidRPr="005915A1">
        <w:t>) and executive o</w:t>
      </w:r>
      <w:r w:rsidR="008C08B3" w:rsidRPr="005915A1">
        <w:t>fficers</w:t>
      </w:r>
      <w:r w:rsidR="00F05FE4">
        <w:t xml:space="preserve"> in the financial statements,</w:t>
      </w:r>
      <w:r w:rsidR="008C08B3" w:rsidRPr="005915A1">
        <w:t xml:space="preserve"> to align FRD</w:t>
      </w:r>
      <w:r w:rsidR="005A3985" w:rsidRPr="005915A1">
        <w:t xml:space="preserve"> </w:t>
      </w:r>
      <w:r w:rsidR="008D3587" w:rsidRPr="005915A1">
        <w:t>21</w:t>
      </w:r>
      <w:r w:rsidR="008D3587">
        <w:t>C</w:t>
      </w:r>
      <w:r w:rsidR="008D3587" w:rsidRPr="005915A1">
        <w:t xml:space="preserve"> </w:t>
      </w:r>
      <w:r w:rsidR="007E06B3" w:rsidRPr="005915A1">
        <w:rPr>
          <w:i/>
        </w:rPr>
        <w:t xml:space="preserve">Disclosure of </w:t>
      </w:r>
      <w:r w:rsidR="00BC74A1">
        <w:rPr>
          <w:i/>
        </w:rPr>
        <w:t>r</w:t>
      </w:r>
      <w:r w:rsidR="007E06B3" w:rsidRPr="005915A1">
        <w:rPr>
          <w:i/>
        </w:rPr>
        <w:t xml:space="preserve">esponsible </w:t>
      </w:r>
      <w:r w:rsidR="00BC74A1">
        <w:rPr>
          <w:i/>
        </w:rPr>
        <w:t>p</w:t>
      </w:r>
      <w:r w:rsidR="007E06B3" w:rsidRPr="005915A1">
        <w:rPr>
          <w:i/>
        </w:rPr>
        <w:t>ersons</w:t>
      </w:r>
      <w:r w:rsidR="008D3587">
        <w:rPr>
          <w:i/>
        </w:rPr>
        <w:t xml:space="preserve"> and</w:t>
      </w:r>
      <w:r w:rsidR="008D3587" w:rsidRPr="005915A1">
        <w:rPr>
          <w:i/>
        </w:rPr>
        <w:t xml:space="preserve"> </w:t>
      </w:r>
      <w:r w:rsidR="00BC74A1">
        <w:rPr>
          <w:i/>
        </w:rPr>
        <w:t>e</w:t>
      </w:r>
      <w:r w:rsidR="007E06B3" w:rsidRPr="005915A1">
        <w:rPr>
          <w:i/>
        </w:rPr>
        <w:t xml:space="preserve">xecutive </w:t>
      </w:r>
      <w:r w:rsidR="00BC74A1">
        <w:rPr>
          <w:i/>
        </w:rPr>
        <w:t>o</w:t>
      </w:r>
      <w:r w:rsidR="008C08B3" w:rsidRPr="005915A1">
        <w:rPr>
          <w:i/>
        </w:rPr>
        <w:t>fficers</w:t>
      </w:r>
      <w:r w:rsidR="007E06B3" w:rsidRPr="005915A1">
        <w:rPr>
          <w:i/>
        </w:rPr>
        <w:t xml:space="preserve"> in the </w:t>
      </w:r>
      <w:r w:rsidR="00BC74A1">
        <w:rPr>
          <w:i/>
        </w:rPr>
        <w:t>fi</w:t>
      </w:r>
      <w:r w:rsidR="007E06B3" w:rsidRPr="005915A1">
        <w:rPr>
          <w:i/>
        </w:rPr>
        <w:t xml:space="preserve">nancial </w:t>
      </w:r>
      <w:r w:rsidR="00BC74A1" w:rsidRPr="005C6F44">
        <w:rPr>
          <w:i/>
        </w:rPr>
        <w:t>r</w:t>
      </w:r>
      <w:r w:rsidR="007E06B3" w:rsidRPr="005C6F44">
        <w:rPr>
          <w:i/>
        </w:rPr>
        <w:t>eport</w:t>
      </w:r>
      <w:r w:rsidR="00E02CF7" w:rsidRPr="005C6F44">
        <w:t xml:space="preserve"> </w:t>
      </w:r>
      <w:r w:rsidR="00BC74A1" w:rsidRPr="005C6F44">
        <w:t xml:space="preserve">with the </w:t>
      </w:r>
      <w:r w:rsidR="00E02CF7" w:rsidRPr="005C6F44">
        <w:t xml:space="preserve">disclosure requirements </w:t>
      </w:r>
      <w:r w:rsidR="00BC74A1" w:rsidRPr="005C6F44">
        <w:t>of</w:t>
      </w:r>
      <w:r w:rsidR="00E02CF7" w:rsidRPr="005C6F44">
        <w:t xml:space="preserve"> </w:t>
      </w:r>
      <w:r w:rsidR="005915A1" w:rsidRPr="005C6F44">
        <w:t>AASB 124</w:t>
      </w:r>
      <w:r w:rsidR="001C76B0" w:rsidRPr="005C6F44">
        <w:t xml:space="preserve">. </w:t>
      </w:r>
    </w:p>
    <w:p w14:paraId="541E2507" w14:textId="5B542283" w:rsidR="00114AF4" w:rsidRDefault="00114AF4" w:rsidP="007469AF">
      <w:r w:rsidRPr="00DC7032">
        <w:t>AASB 124 requires remuneration, including non-monetary benefits, to be disaggregated between five specified categories.</w:t>
      </w:r>
      <w:r w:rsidR="00DC6CDB" w:rsidRPr="00DC7032">
        <w:t xml:space="preserve"> </w:t>
      </w:r>
      <w:r w:rsidRPr="00DC7032">
        <w:t>Revisions to the FRD align the definition of ‘remuneration’</w:t>
      </w:r>
      <w:r w:rsidR="004640DF" w:rsidRPr="00DC7032">
        <w:t xml:space="preserve"> </w:t>
      </w:r>
      <w:r w:rsidRPr="00DC7032">
        <w:t>and the disclosure table for executive officers with the requirements in AASB 124, and ensure</w:t>
      </w:r>
      <w:r w:rsidR="008D3587">
        <w:t>s</w:t>
      </w:r>
      <w:r w:rsidRPr="00DC7032">
        <w:t xml:space="preserve"> consistency between the respective disclosur</w:t>
      </w:r>
      <w:r w:rsidR="004C09A8" w:rsidRPr="00DC7032">
        <w:t>es in the financial statements</w:t>
      </w:r>
      <w:r w:rsidRPr="00DC7032">
        <w:t>.</w:t>
      </w:r>
      <w:r>
        <w:t xml:space="preserve"> </w:t>
      </w:r>
    </w:p>
    <w:p w14:paraId="237F5609" w14:textId="77777777" w:rsidR="007364B1" w:rsidRPr="00FE04BE" w:rsidRDefault="008C08B3" w:rsidP="00A16748">
      <w:pPr>
        <w:pStyle w:val="Heading2"/>
        <w:rPr>
          <w:sz w:val="26"/>
        </w:rPr>
      </w:pPr>
      <w:r w:rsidRPr="00FE04BE">
        <w:rPr>
          <w:sz w:val="26"/>
        </w:rPr>
        <w:t>Guidance</w:t>
      </w:r>
      <w:r w:rsidR="007364B1" w:rsidRPr="00FE04BE">
        <w:rPr>
          <w:sz w:val="26"/>
        </w:rPr>
        <w:t xml:space="preserve"> </w:t>
      </w:r>
    </w:p>
    <w:p w14:paraId="67145E99" w14:textId="77777777" w:rsidR="009328BB" w:rsidRPr="008A0D55" w:rsidRDefault="009328BB" w:rsidP="00A16748">
      <w:pPr>
        <w:pStyle w:val="Heading3"/>
        <w:rPr>
          <w:sz w:val="20"/>
          <w:szCs w:val="20"/>
        </w:rPr>
      </w:pPr>
      <w:r w:rsidRPr="008A0D55">
        <w:rPr>
          <w:sz w:val="20"/>
          <w:szCs w:val="20"/>
        </w:rPr>
        <w:t xml:space="preserve">Changes to the definition of remuneration </w:t>
      </w:r>
    </w:p>
    <w:p w14:paraId="137E10CA" w14:textId="45BCD774" w:rsidR="005A3985" w:rsidRDefault="007D1F05" w:rsidP="007469AF">
      <w:r>
        <w:t>FRD 21B</w:t>
      </w:r>
      <w:r w:rsidR="002A5BD9">
        <w:t xml:space="preserve"> </w:t>
      </w:r>
      <w:r w:rsidR="008D3587">
        <w:t xml:space="preserve">previously defined </w:t>
      </w:r>
      <w:r w:rsidR="002A5BD9">
        <w:t>remuneration</w:t>
      </w:r>
      <w:r w:rsidR="005C6F44">
        <w:t xml:space="preserve"> as the rem</w:t>
      </w:r>
      <w:r w:rsidR="00B133B9">
        <w:t xml:space="preserve">uneration </w:t>
      </w:r>
      <w:r w:rsidR="005C6F44">
        <w:t>package comprised of</w:t>
      </w:r>
      <w:r>
        <w:t xml:space="preserve"> any money, consideration or benefit rec</w:t>
      </w:r>
      <w:r w:rsidR="008C08B3">
        <w:t>eived or recei</w:t>
      </w:r>
      <w:r w:rsidR="00E84DA8">
        <w:t xml:space="preserve">vable, </w:t>
      </w:r>
      <w:r w:rsidR="008C08B3">
        <w:t>excluding</w:t>
      </w:r>
      <w:r>
        <w:t xml:space="preserve"> reimbursement of out-of-pocket expenses</w:t>
      </w:r>
      <w:r w:rsidR="005C6F44">
        <w:t>, including any amount received or receivable from a related party transaction</w:t>
      </w:r>
      <w:r>
        <w:t>.</w:t>
      </w:r>
    </w:p>
    <w:p w14:paraId="6656DCDD" w14:textId="1211479A" w:rsidR="00B133B9" w:rsidRPr="0038684C" w:rsidRDefault="00E91D0C" w:rsidP="007469AF">
      <w:r>
        <w:t xml:space="preserve">Under </w:t>
      </w:r>
      <w:r w:rsidR="0038684C">
        <w:t>FRD 21C</w:t>
      </w:r>
      <w:r w:rsidR="007D1F05">
        <w:t xml:space="preserve">, the </w:t>
      </w:r>
      <w:r w:rsidR="0038684C">
        <w:t>definition</w:t>
      </w:r>
      <w:r w:rsidR="007D1F05">
        <w:t xml:space="preserve"> of remuneration</w:t>
      </w:r>
      <w:r w:rsidR="0038684C">
        <w:t xml:space="preserve"> has been aligned with the definition in AASB 124, and now includes all employee benefits (as defined in AASB 119 </w:t>
      </w:r>
      <w:r w:rsidR="0038684C">
        <w:rPr>
          <w:i/>
        </w:rPr>
        <w:t>Employee Benefits</w:t>
      </w:r>
      <w:r w:rsidR="0038684C">
        <w:t xml:space="preserve">). This is all forms </w:t>
      </w:r>
      <w:r>
        <w:t xml:space="preserve">of consideration paid, payable or provided by the entity, or on behalf of the entity, in exchange for services rendered. It also includes </w:t>
      </w:r>
      <w:r w:rsidR="005A3985">
        <w:t>amounts</w:t>
      </w:r>
      <w:r w:rsidR="0007339B">
        <w:t xml:space="preserve"> paid on behalf of </w:t>
      </w:r>
      <w:r w:rsidR="00E84DA8" w:rsidRPr="00DC486B">
        <w:rPr>
          <w:rFonts w:ascii="Arial" w:hAnsi="Arial" w:cs="Arial"/>
        </w:rPr>
        <w:t>a parent of the entity in respect of the entity.</w:t>
      </w:r>
    </w:p>
    <w:p w14:paraId="2D63EF11" w14:textId="1B5060EA" w:rsidR="00B133B9" w:rsidRDefault="00B133B9" w:rsidP="007469AF">
      <w:r w:rsidRPr="00B133B9">
        <w:t>Remunerati</w:t>
      </w:r>
      <w:r w:rsidR="007469AF">
        <w:t xml:space="preserve">on </w:t>
      </w:r>
      <w:r w:rsidRPr="00B133B9">
        <w:t>therefore include</w:t>
      </w:r>
      <w:r w:rsidR="00702812">
        <w:t>s</w:t>
      </w:r>
      <w:r w:rsidRPr="00B133B9">
        <w:t xml:space="preserve"> </w:t>
      </w:r>
      <w:r w:rsidRPr="00B16368">
        <w:rPr>
          <w:b/>
        </w:rPr>
        <w:t>non-monetary benefits</w:t>
      </w:r>
      <w:r w:rsidRPr="00B133B9">
        <w:t xml:space="preserve"> such as </w:t>
      </w:r>
      <w:r w:rsidR="00B077A0">
        <w:t xml:space="preserve">motor vehicles, </w:t>
      </w:r>
      <w:r w:rsidRPr="00B133B9">
        <w:t xml:space="preserve">private health </w:t>
      </w:r>
      <w:r w:rsidR="00147F0A">
        <w:t>care,</w:t>
      </w:r>
      <w:r w:rsidRPr="00B133B9">
        <w:t xml:space="preserve"> </w:t>
      </w:r>
      <w:r w:rsidR="00702812">
        <w:t>relocation</w:t>
      </w:r>
      <w:r w:rsidR="00702812" w:rsidRPr="00B133B9">
        <w:t xml:space="preserve"> </w:t>
      </w:r>
      <w:r w:rsidRPr="00B133B9">
        <w:t>o</w:t>
      </w:r>
      <w:r w:rsidR="00CD46BF">
        <w:t xml:space="preserve">r accommodation allowances and </w:t>
      </w:r>
      <w:r w:rsidRPr="00B133B9">
        <w:t>free or subsidised goods or services, which may require additional data collection.</w:t>
      </w:r>
    </w:p>
    <w:p w14:paraId="6DD71E6A" w14:textId="77777777" w:rsidR="009328BB" w:rsidRPr="008A0D55" w:rsidRDefault="009328BB" w:rsidP="00A16748">
      <w:pPr>
        <w:pStyle w:val="Heading3"/>
        <w:rPr>
          <w:sz w:val="20"/>
          <w:szCs w:val="20"/>
        </w:rPr>
      </w:pPr>
      <w:r w:rsidRPr="008A0D55">
        <w:rPr>
          <w:sz w:val="20"/>
          <w:szCs w:val="20"/>
        </w:rPr>
        <w:t xml:space="preserve">Changes to the disclosure of remuneration </w:t>
      </w:r>
    </w:p>
    <w:p w14:paraId="70B6AE08" w14:textId="2451CC3A" w:rsidR="002F5E44" w:rsidRDefault="00DC7032" w:rsidP="00D034C7">
      <w:r>
        <w:t xml:space="preserve">FRD 21B </w:t>
      </w:r>
      <w:r w:rsidR="008D3587">
        <w:t xml:space="preserve">previously required </w:t>
      </w:r>
      <w:r w:rsidR="00702812">
        <w:t xml:space="preserve">the </w:t>
      </w:r>
      <w:r>
        <w:t xml:space="preserve">base and total remuneration package for executive officers to be disclosed as an aggregate figure within $10 000 bands. </w:t>
      </w:r>
    </w:p>
    <w:p w14:paraId="2B3F6DE8" w14:textId="4F9B9889" w:rsidR="007469AF" w:rsidRDefault="00702812" w:rsidP="00D034C7">
      <w:r>
        <w:t>Under FRD 21C</w:t>
      </w:r>
      <w:r w:rsidR="00FC791E">
        <w:t>,</w:t>
      </w:r>
      <w:r>
        <w:t xml:space="preserve"> t</w:t>
      </w:r>
      <w:r w:rsidR="002F5E44">
        <w:t xml:space="preserve">he $10 000 bands </w:t>
      </w:r>
      <w:r w:rsidR="00E41140">
        <w:t>have been</w:t>
      </w:r>
      <w:r w:rsidR="002F5E44">
        <w:t xml:space="preserve"> removed, and </w:t>
      </w:r>
      <w:r w:rsidR="00B16749">
        <w:t xml:space="preserve">the components of </w:t>
      </w:r>
      <w:r w:rsidR="007469AF" w:rsidRPr="00627C53">
        <w:t xml:space="preserve">remuneration </w:t>
      </w:r>
      <w:r>
        <w:t xml:space="preserve">have </w:t>
      </w:r>
      <w:r w:rsidR="004E4B0E">
        <w:t>be</w:t>
      </w:r>
      <w:r>
        <w:t>en</w:t>
      </w:r>
      <w:r w:rsidR="007469AF" w:rsidRPr="00627C53">
        <w:t xml:space="preserve"> </w:t>
      </w:r>
      <w:r w:rsidR="00B16749">
        <w:t xml:space="preserve">split </w:t>
      </w:r>
      <w:r w:rsidR="00DC6CDB">
        <w:t>in</w:t>
      </w:r>
      <w:r w:rsidR="00B16749">
        <w:t>to</w:t>
      </w:r>
      <w:r w:rsidR="00CD46BF">
        <w:t xml:space="preserve"> five categories </w:t>
      </w:r>
      <w:r w:rsidR="007469AF" w:rsidRPr="00627C53">
        <w:t>based on the nature of the payment</w:t>
      </w:r>
      <w:r w:rsidR="00E41140">
        <w:t xml:space="preserve"> to align the re</w:t>
      </w:r>
      <w:r w:rsidR="00F21A2E">
        <w:t xml:space="preserve">quirements in </w:t>
      </w:r>
      <w:r>
        <w:t xml:space="preserve">the </w:t>
      </w:r>
      <w:r w:rsidR="00F21A2E">
        <w:t>FRD</w:t>
      </w:r>
      <w:r>
        <w:t xml:space="preserve"> </w:t>
      </w:r>
      <w:r w:rsidR="00F21A2E">
        <w:t>with AASB </w:t>
      </w:r>
      <w:r w:rsidR="00E41140">
        <w:t>124</w:t>
      </w:r>
      <w:r w:rsidR="00B16749">
        <w:t>.</w:t>
      </w:r>
      <w:r w:rsidR="00FA0A29">
        <w:t xml:space="preserve"> </w:t>
      </w:r>
    </w:p>
    <w:p w14:paraId="3B6820A4" w14:textId="7CD166A7" w:rsidR="00196D99" w:rsidRDefault="00196D99" w:rsidP="007469AF">
      <w:r>
        <w:t xml:space="preserve">As an example, benefits </w:t>
      </w:r>
      <w:r w:rsidR="00702812">
        <w:t xml:space="preserve">previously </w:t>
      </w:r>
      <w:r w:rsidR="003D600B">
        <w:t>included</w:t>
      </w:r>
      <w:r>
        <w:t xml:space="preserve"> </w:t>
      </w:r>
      <w:r w:rsidR="002542AD">
        <w:t xml:space="preserve">in the </w:t>
      </w:r>
      <w:r>
        <w:t xml:space="preserve">total remuneration </w:t>
      </w:r>
      <w:r w:rsidR="003D600B">
        <w:t xml:space="preserve">package </w:t>
      </w:r>
      <w:r w:rsidR="00D4621F">
        <w:t>are</w:t>
      </w:r>
      <w:r w:rsidR="00702812">
        <w:t xml:space="preserve"> now</w:t>
      </w:r>
      <w:r>
        <w:t xml:space="preserve"> separate</w:t>
      </w:r>
      <w:r w:rsidR="00451168">
        <w:t>ly</w:t>
      </w:r>
      <w:r>
        <w:t xml:space="preserve"> disclosed in the relevant category under AASB 124. L</w:t>
      </w:r>
      <w:r w:rsidR="00451168">
        <w:t xml:space="preserve">ong </w:t>
      </w:r>
      <w:r w:rsidR="004E4B0E">
        <w:t>s</w:t>
      </w:r>
      <w:r w:rsidR="00451168">
        <w:t xml:space="preserve">ervice </w:t>
      </w:r>
      <w:r w:rsidR="004E4B0E">
        <w:t>l</w:t>
      </w:r>
      <w:r w:rsidR="00E5544D">
        <w:t xml:space="preserve">eave </w:t>
      </w:r>
      <w:r w:rsidR="00702812">
        <w:t>is</w:t>
      </w:r>
      <w:r>
        <w:t xml:space="preserve"> reported under </w:t>
      </w:r>
      <w:r w:rsidR="003D600B">
        <w:t>‘</w:t>
      </w:r>
      <w:r>
        <w:t>other long-term benefits</w:t>
      </w:r>
      <w:r w:rsidR="003D600B">
        <w:t>’</w:t>
      </w:r>
      <w:r>
        <w:t xml:space="preserve">, retirement benefits </w:t>
      </w:r>
      <w:r w:rsidR="00D4621F">
        <w:t>are</w:t>
      </w:r>
      <w:r>
        <w:t xml:space="preserve"> reported under </w:t>
      </w:r>
      <w:r w:rsidR="003D600B">
        <w:t>‘</w:t>
      </w:r>
      <w:r>
        <w:t>post-employment benefits</w:t>
      </w:r>
      <w:r w:rsidR="003D600B">
        <w:t>’</w:t>
      </w:r>
      <w:r>
        <w:t xml:space="preserve"> and redundancy payments </w:t>
      </w:r>
      <w:r w:rsidR="00D4621F">
        <w:t>are</w:t>
      </w:r>
      <w:r>
        <w:t xml:space="preserve"> reported under </w:t>
      </w:r>
      <w:r w:rsidR="003D600B">
        <w:t>‘</w:t>
      </w:r>
      <w:r>
        <w:t>termination benefits</w:t>
      </w:r>
      <w:r w:rsidR="003D600B">
        <w:t>’</w:t>
      </w:r>
      <w:r>
        <w:t xml:space="preserve">. </w:t>
      </w:r>
    </w:p>
    <w:p w14:paraId="7A3FDAD5" w14:textId="77777777" w:rsidR="0093034B" w:rsidRDefault="0093034B" w:rsidP="007469AF"/>
    <w:p w14:paraId="7EBB1D5A" w14:textId="77777777" w:rsidR="0093034B" w:rsidRDefault="0093034B" w:rsidP="007469AF"/>
    <w:p w14:paraId="24B918BC" w14:textId="77777777" w:rsidR="0007339B" w:rsidRDefault="002542AD" w:rsidP="007469AF">
      <w:r>
        <w:lastRenderedPageBreak/>
        <w:t xml:space="preserve">The remuneration categories prescribed in </w:t>
      </w:r>
      <w:r w:rsidR="00393394">
        <w:t xml:space="preserve">the </w:t>
      </w:r>
      <w:r w:rsidR="00D54C4B">
        <w:t xml:space="preserve">accounting </w:t>
      </w:r>
      <w:r w:rsidR="00393394">
        <w:t>standard</w:t>
      </w:r>
      <w:r w:rsidR="00B92486">
        <w:t xml:space="preserve"> include</w:t>
      </w:r>
      <w:r w:rsidR="0007339B">
        <w:t>:</w:t>
      </w:r>
    </w:p>
    <w:p w14:paraId="22CABA60" w14:textId="188922C5" w:rsidR="00FA1ABD" w:rsidRPr="00FA1ABD" w:rsidRDefault="0007339B" w:rsidP="00CD4058">
      <w:pPr>
        <w:pStyle w:val="Bullet1"/>
        <w:rPr>
          <w:rFonts w:cstheme="minorHAnsi"/>
          <w:color w:val="000000"/>
          <w:spacing w:val="0"/>
        </w:rPr>
      </w:pPr>
      <w:r w:rsidRPr="00D034C7">
        <w:rPr>
          <w:b/>
        </w:rPr>
        <w:t>Short-term benefi</w:t>
      </w:r>
      <w:r w:rsidR="00812AED" w:rsidRPr="00D034C7">
        <w:rPr>
          <w:b/>
        </w:rPr>
        <w:t>ts:</w:t>
      </w:r>
      <w:r w:rsidRPr="00D034C7">
        <w:rPr>
          <w:b/>
        </w:rPr>
        <w:t xml:space="preserve"> </w:t>
      </w:r>
      <w:r w:rsidR="00D54C4B">
        <w:t>wages, salarie</w:t>
      </w:r>
      <w:r w:rsidR="00787885">
        <w:t>s,</w:t>
      </w:r>
      <w:r w:rsidR="00E36F21">
        <w:t xml:space="preserve"> </w:t>
      </w:r>
      <w:r w:rsidRPr="00D034C7">
        <w:t xml:space="preserve">paid annual leave and paid sick leave, profit-sharing and bonuses (if payable within </w:t>
      </w:r>
      <w:r w:rsidR="00D54C4B">
        <w:t>12</w:t>
      </w:r>
      <w:r w:rsidRPr="00D034C7">
        <w:t xml:space="preserve"> months of the end of the period)</w:t>
      </w:r>
      <w:r w:rsidR="00D034C7" w:rsidRPr="00D034C7">
        <w:t xml:space="preserve"> and non-monetary benefits </w:t>
      </w:r>
      <w:r w:rsidRPr="00D034C7">
        <w:t xml:space="preserve">such as </w:t>
      </w:r>
      <w:r w:rsidR="00D034C7" w:rsidRPr="00D034C7">
        <w:t>car</w:t>
      </w:r>
      <w:r w:rsidR="00D54C4B">
        <w:t xml:space="preserve"> (</w:t>
      </w:r>
      <w:r w:rsidR="00CD46BF">
        <w:t xml:space="preserve">parking, </w:t>
      </w:r>
      <w:r w:rsidR="00D54C4B">
        <w:t>e-tag</w:t>
      </w:r>
      <w:r w:rsidR="00CD46BF">
        <w:t>s and chauffer allowances</w:t>
      </w:r>
      <w:r w:rsidR="00D54C4B">
        <w:t>)</w:t>
      </w:r>
      <w:r w:rsidR="00CD46BF">
        <w:t xml:space="preserve">, </w:t>
      </w:r>
      <w:r w:rsidR="00FA1ABD">
        <w:t xml:space="preserve">medical care, accommodation (housing) or relocation benefits and free or subsidised goods or services. </w:t>
      </w:r>
    </w:p>
    <w:p w14:paraId="6F658A60" w14:textId="77777777" w:rsidR="00CD4058" w:rsidRPr="001977C7" w:rsidRDefault="00CD4058" w:rsidP="00CD4058">
      <w:pPr>
        <w:pStyle w:val="Bullet1"/>
        <w:numPr>
          <w:ilvl w:val="0"/>
          <w:numId w:val="0"/>
        </w:numPr>
        <w:ind w:left="360"/>
        <w:rPr>
          <w:rFonts w:cstheme="minorHAnsi"/>
          <w:color w:val="000000"/>
          <w:spacing w:val="0"/>
        </w:rPr>
      </w:pPr>
    </w:p>
    <w:p w14:paraId="72401AE6" w14:textId="086B5D8F" w:rsidR="00950571" w:rsidRPr="00950571" w:rsidRDefault="0007339B" w:rsidP="00CD4058">
      <w:pPr>
        <w:pStyle w:val="Bullet1"/>
        <w:rPr>
          <w:b/>
        </w:rPr>
      </w:pPr>
      <w:r w:rsidRPr="00950571">
        <w:rPr>
          <w:b/>
        </w:rPr>
        <w:t>Post-employment benefits</w:t>
      </w:r>
      <w:r w:rsidR="00812AED" w:rsidRPr="00950571">
        <w:rPr>
          <w:b/>
        </w:rPr>
        <w:t>:</w:t>
      </w:r>
      <w:r w:rsidRPr="00950571">
        <w:rPr>
          <w:b/>
        </w:rPr>
        <w:t xml:space="preserve"> </w:t>
      </w:r>
      <w:r w:rsidR="00FA1ABD" w:rsidRPr="00950571">
        <w:t xml:space="preserve">pensions, </w:t>
      </w:r>
      <w:r w:rsidRPr="00950571">
        <w:t>post-employment life insurance</w:t>
      </w:r>
      <w:r w:rsidR="00B645F6" w:rsidRPr="00950571">
        <w:t>,</w:t>
      </w:r>
      <w:r w:rsidRPr="00950571">
        <w:t xml:space="preserve"> post-employment </w:t>
      </w:r>
      <w:r w:rsidR="00B645F6" w:rsidRPr="00950571">
        <w:t>health care</w:t>
      </w:r>
      <w:r w:rsidR="00CD46BF" w:rsidRPr="00950571">
        <w:t>,</w:t>
      </w:r>
      <w:r w:rsidR="00393394" w:rsidRPr="00950571">
        <w:t xml:space="preserve"> superannuation entitlements</w:t>
      </w:r>
      <w:r w:rsidR="00CE4DC1" w:rsidRPr="00950571">
        <w:t xml:space="preserve"> </w:t>
      </w:r>
      <w:r w:rsidR="00800C29">
        <w:t>and other retirement benefits</w:t>
      </w:r>
      <w:r w:rsidR="004E7101" w:rsidRPr="00950571">
        <w:t xml:space="preserve">. </w:t>
      </w:r>
      <w:r w:rsidR="00476A80">
        <w:t xml:space="preserve"> </w:t>
      </w:r>
    </w:p>
    <w:p w14:paraId="6343D403" w14:textId="77777777" w:rsidR="00950571" w:rsidRDefault="00950571" w:rsidP="00950571">
      <w:pPr>
        <w:pStyle w:val="Bullet1"/>
        <w:numPr>
          <w:ilvl w:val="0"/>
          <w:numId w:val="0"/>
        </w:numPr>
        <w:ind w:left="360"/>
        <w:rPr>
          <w:b/>
        </w:rPr>
      </w:pPr>
    </w:p>
    <w:p w14:paraId="40964BCF" w14:textId="7BF59CB1" w:rsidR="001640DA" w:rsidRPr="001640DA" w:rsidRDefault="0007339B" w:rsidP="007469AF">
      <w:pPr>
        <w:pStyle w:val="Bullet1"/>
        <w:rPr>
          <w:b/>
        </w:rPr>
      </w:pPr>
      <w:r w:rsidRPr="001640DA">
        <w:rPr>
          <w:b/>
        </w:rPr>
        <w:t>Ot</w:t>
      </w:r>
      <w:r w:rsidR="00E903B9" w:rsidRPr="001640DA">
        <w:rPr>
          <w:b/>
        </w:rPr>
        <w:t>her long-term benefits:</w:t>
      </w:r>
      <w:r w:rsidRPr="001640DA">
        <w:rPr>
          <w:b/>
        </w:rPr>
        <w:t xml:space="preserve"> </w:t>
      </w:r>
      <w:r w:rsidRPr="001640DA">
        <w:t xml:space="preserve">long-service leave or sabbatical leave, jubilee or other long-service benefits, long-term disability benefits </w:t>
      </w:r>
      <w:r w:rsidR="001640DA" w:rsidRPr="001640DA">
        <w:t xml:space="preserve">deferred compensation and profit-sharing and bonuses (not payable wholly within </w:t>
      </w:r>
      <w:r w:rsidR="006853DD">
        <w:t>12</w:t>
      </w:r>
      <w:r w:rsidR="001640DA" w:rsidRPr="001640DA">
        <w:t xml:space="preserve"> months</w:t>
      </w:r>
      <w:r w:rsidR="00C84D25">
        <w:t xml:space="preserve"> </w:t>
      </w:r>
      <w:r w:rsidR="00C84D25" w:rsidRPr="00D034C7">
        <w:t>of the end of the period</w:t>
      </w:r>
      <w:r w:rsidR="001640DA" w:rsidRPr="001640DA">
        <w:t xml:space="preserve">). </w:t>
      </w:r>
    </w:p>
    <w:p w14:paraId="60E708E8" w14:textId="77777777" w:rsidR="001640DA" w:rsidRPr="001640DA" w:rsidRDefault="001640DA" w:rsidP="007469AF">
      <w:pPr>
        <w:pStyle w:val="Bullet1"/>
        <w:numPr>
          <w:ilvl w:val="0"/>
          <w:numId w:val="0"/>
        </w:numPr>
        <w:ind w:left="360"/>
        <w:rPr>
          <w:highlight w:val="yellow"/>
        </w:rPr>
      </w:pPr>
    </w:p>
    <w:p w14:paraId="1A4D9BC7" w14:textId="68A9092E" w:rsidR="00393394" w:rsidRPr="00EB2E6F" w:rsidRDefault="00C123DA" w:rsidP="007469AF">
      <w:pPr>
        <w:pStyle w:val="Bullet1"/>
        <w:rPr>
          <w:b/>
        </w:rPr>
      </w:pPr>
      <w:r w:rsidRPr="00EB2E6F">
        <w:rPr>
          <w:b/>
        </w:rPr>
        <w:t>Termination benefits:</w:t>
      </w:r>
      <w:r w:rsidR="0007339B" w:rsidRPr="00EB2E6F">
        <w:rPr>
          <w:b/>
        </w:rPr>
        <w:t xml:space="preserve"> </w:t>
      </w:r>
      <w:r w:rsidR="00B44252" w:rsidRPr="00EB2E6F">
        <w:t xml:space="preserve">employee benefits provided </w:t>
      </w:r>
      <w:r w:rsidR="00033D30" w:rsidRPr="00EB2E6F">
        <w:t xml:space="preserve">on </w:t>
      </w:r>
      <w:r w:rsidR="00B44252" w:rsidRPr="00EB2E6F">
        <w:t xml:space="preserve">termination of employment as a result of either an entity’s decision to terminate an </w:t>
      </w:r>
      <w:r w:rsidR="00033D30" w:rsidRPr="00EB2E6F">
        <w:t>employee</w:t>
      </w:r>
      <w:r w:rsidR="00B44252" w:rsidRPr="00EB2E6F">
        <w:t xml:space="preserve"> before the normal retirement date</w:t>
      </w:r>
      <w:r w:rsidR="007E5364">
        <w:t>,</w:t>
      </w:r>
      <w:r w:rsidR="00B44252" w:rsidRPr="00EB2E6F">
        <w:t xml:space="preserve"> or an employee’s decision to accept an offer of benefits in exchange for the termination of employment</w:t>
      </w:r>
      <w:r w:rsidR="00D840B6">
        <w:t xml:space="preserve"> (</w:t>
      </w:r>
      <w:r w:rsidR="006853DD">
        <w:t>i.e.</w:t>
      </w:r>
      <w:r w:rsidR="00D840B6">
        <w:t xml:space="preserve"> voluntary departure packages and targeted separation packages)</w:t>
      </w:r>
      <w:r w:rsidR="00B44252" w:rsidRPr="00EB2E6F">
        <w:t xml:space="preserve">. </w:t>
      </w:r>
    </w:p>
    <w:p w14:paraId="2E5DDF8F" w14:textId="77777777" w:rsidR="00033D30" w:rsidRPr="00EB2E6F" w:rsidRDefault="00033D30" w:rsidP="007469AF">
      <w:pPr>
        <w:pStyle w:val="Bullet1"/>
        <w:numPr>
          <w:ilvl w:val="0"/>
          <w:numId w:val="0"/>
        </w:numPr>
        <w:ind w:left="360"/>
        <w:rPr>
          <w:b/>
        </w:rPr>
      </w:pPr>
    </w:p>
    <w:p w14:paraId="6256489D" w14:textId="26A1DD4A" w:rsidR="00033D30" w:rsidRDefault="00B44252" w:rsidP="007469AF">
      <w:pPr>
        <w:pStyle w:val="Bullet1"/>
        <w:rPr>
          <w:b/>
        </w:rPr>
      </w:pPr>
      <w:r w:rsidRPr="00EB2E6F">
        <w:rPr>
          <w:b/>
        </w:rPr>
        <w:t xml:space="preserve">Share-based payment: </w:t>
      </w:r>
      <w:r w:rsidR="00617232" w:rsidRPr="00617232">
        <w:t xml:space="preserve">benefits paid according to </w:t>
      </w:r>
      <w:r w:rsidRPr="00617232">
        <w:t>an</w:t>
      </w:r>
      <w:r w:rsidRPr="00EB2E6F">
        <w:t xml:space="preserve"> agreement between the entity and </w:t>
      </w:r>
      <w:r w:rsidR="00033D30" w:rsidRPr="00EB2E6F">
        <w:t>the employee</w:t>
      </w:r>
      <w:r w:rsidRPr="00EB2E6F">
        <w:t xml:space="preserve"> that entitles </w:t>
      </w:r>
      <w:r w:rsidR="00033D30" w:rsidRPr="00EB2E6F">
        <w:t>them</w:t>
      </w:r>
      <w:r w:rsidRPr="00EB2E6F">
        <w:t xml:space="preserve"> to receive cash or other assets for amounts that are based on the price of shares or share options</w:t>
      </w:r>
      <w:r w:rsidR="00171D0D" w:rsidRPr="00EB2E6F">
        <w:t xml:space="preserve"> provided the specified vesting conditions, if any, are met. </w:t>
      </w:r>
      <w:r w:rsidR="00171D0D" w:rsidRPr="00CD46BF">
        <w:rPr>
          <w:b/>
        </w:rPr>
        <w:t xml:space="preserve">This category is </w:t>
      </w:r>
      <w:r w:rsidR="00B652DF">
        <w:rPr>
          <w:b/>
        </w:rPr>
        <w:t>not</w:t>
      </w:r>
      <w:r w:rsidR="00171D0D" w:rsidRPr="00CD46BF">
        <w:rPr>
          <w:b/>
        </w:rPr>
        <w:t xml:space="preserve"> applicable to </w:t>
      </w:r>
      <w:r w:rsidR="00EB2E6F" w:rsidRPr="00CD46BF">
        <w:rPr>
          <w:b/>
        </w:rPr>
        <w:t>public sector not-for-profit</w:t>
      </w:r>
      <w:r w:rsidR="00171D0D" w:rsidRPr="00CD46BF">
        <w:rPr>
          <w:b/>
        </w:rPr>
        <w:t xml:space="preserve"> entities. </w:t>
      </w:r>
    </w:p>
    <w:p w14:paraId="232C9CCF" w14:textId="77777777" w:rsidR="007364B1" w:rsidRPr="00A323BC" w:rsidRDefault="008523BA" w:rsidP="00A16748">
      <w:pPr>
        <w:pStyle w:val="Heading4"/>
        <w:rPr>
          <w:color w:val="auto"/>
          <w:sz w:val="22"/>
          <w:szCs w:val="22"/>
        </w:rPr>
      </w:pPr>
      <w:r w:rsidRPr="00A323BC">
        <w:rPr>
          <w:color w:val="auto"/>
          <w:sz w:val="22"/>
          <w:szCs w:val="22"/>
        </w:rPr>
        <w:t xml:space="preserve">Previous </w:t>
      </w:r>
      <w:r w:rsidR="007364B1" w:rsidRPr="00A323BC">
        <w:rPr>
          <w:color w:val="auto"/>
          <w:sz w:val="22"/>
          <w:szCs w:val="22"/>
        </w:rPr>
        <w:t>dis</w:t>
      </w:r>
      <w:r w:rsidR="00B155DB" w:rsidRPr="00A323BC">
        <w:rPr>
          <w:color w:val="auto"/>
          <w:sz w:val="22"/>
          <w:szCs w:val="22"/>
        </w:rPr>
        <w:t xml:space="preserve">closure in </w:t>
      </w:r>
      <w:r w:rsidR="006E6D66" w:rsidRPr="00A323BC">
        <w:rPr>
          <w:color w:val="auto"/>
          <w:sz w:val="22"/>
          <w:szCs w:val="22"/>
        </w:rPr>
        <w:t xml:space="preserve">the </w:t>
      </w:r>
      <w:r w:rsidR="00B155DB" w:rsidRPr="00A323BC">
        <w:rPr>
          <w:color w:val="auto"/>
          <w:sz w:val="22"/>
          <w:szCs w:val="22"/>
        </w:rPr>
        <w:t>financial statements</w:t>
      </w:r>
    </w:p>
    <w:p w14:paraId="018868A6" w14:textId="77777777" w:rsidR="00DE72C5" w:rsidRDefault="00A84408" w:rsidP="007469AF">
      <w:r w:rsidRPr="007F411F">
        <w:t>FRD</w:t>
      </w:r>
      <w:r w:rsidR="000B4224" w:rsidRPr="007F411F">
        <w:t xml:space="preserve"> 21B</w:t>
      </w:r>
      <w:r w:rsidR="002A5BD9">
        <w:t xml:space="preserve"> </w:t>
      </w:r>
      <w:r w:rsidR="008523BA">
        <w:t xml:space="preserve">previously </w:t>
      </w:r>
      <w:r w:rsidR="002A5BD9">
        <w:t>require</w:t>
      </w:r>
      <w:r w:rsidR="008523BA">
        <w:t>d</w:t>
      </w:r>
      <w:r w:rsidR="00593E20">
        <w:t xml:space="preserve"> </w:t>
      </w:r>
      <w:r w:rsidR="007E2862" w:rsidRPr="007F411F">
        <w:t xml:space="preserve">total and base remuneration </w:t>
      </w:r>
      <w:r w:rsidR="002A5BD9">
        <w:t>to be</w:t>
      </w:r>
      <w:r w:rsidR="000826CB">
        <w:t xml:space="preserve"> disclosed within $10 </w:t>
      </w:r>
      <w:r w:rsidR="007E2862" w:rsidRPr="007F411F">
        <w:t>000 band</w:t>
      </w:r>
      <w:r w:rsidR="000826CB">
        <w:t>s</w:t>
      </w:r>
      <w:r w:rsidR="00A556BF">
        <w:t xml:space="preserve">. </w:t>
      </w:r>
      <w:r w:rsidR="00D801D0">
        <w:t xml:space="preserve">The following table </w:t>
      </w:r>
      <w:r w:rsidR="00A556BF">
        <w:t>illustrate</w:t>
      </w:r>
      <w:r w:rsidR="00D801D0">
        <w:t>s the existing note disclosure</w:t>
      </w:r>
      <w:r w:rsidR="000826CB">
        <w:t xml:space="preserve"> in the financial statements</w:t>
      </w:r>
      <w:r w:rsidR="00D801D0">
        <w:t xml:space="preserve">: </w:t>
      </w:r>
    </w:p>
    <w:p w14:paraId="3263E236" w14:textId="77777777" w:rsidR="0026486D" w:rsidRDefault="0026486D" w:rsidP="0026486D">
      <w:pPr>
        <w:spacing w:before="0" w:after="0" w:line="240" w:lineRule="auto"/>
      </w:pPr>
    </w:p>
    <w:tbl>
      <w:tblPr>
        <w:tblStyle w:val="DTFfinancialtable"/>
        <w:tblW w:w="9140" w:type="dxa"/>
        <w:tblLook w:val="0260" w:firstRow="1" w:lastRow="1" w:firstColumn="0" w:lastColumn="0" w:noHBand="1" w:noVBand="0"/>
      </w:tblPr>
      <w:tblGrid>
        <w:gridCol w:w="2609"/>
        <w:gridCol w:w="1701"/>
        <w:gridCol w:w="1559"/>
        <w:gridCol w:w="1701"/>
        <w:gridCol w:w="1570"/>
      </w:tblGrid>
      <w:tr w:rsidR="00974B6A" w14:paraId="46547DB5" w14:textId="77777777" w:rsidTr="007A5608">
        <w:trPr>
          <w:cnfStyle w:val="100000000000" w:firstRow="1" w:lastRow="0" w:firstColumn="0" w:lastColumn="0" w:oddVBand="0" w:evenVBand="0" w:oddHBand="0"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2609" w:type="dxa"/>
          </w:tcPr>
          <w:p w14:paraId="69236BAA" w14:textId="77777777" w:rsidR="00974B6A" w:rsidRPr="000A466E" w:rsidRDefault="00974B6A" w:rsidP="007A5608">
            <w:pPr>
              <w:spacing w:before="120" w:after="0"/>
              <w:jc w:val="center"/>
              <w:rPr>
                <w:sz w:val="18"/>
                <w:szCs w:val="18"/>
              </w:rPr>
            </w:pPr>
            <w:r w:rsidRPr="000A466E">
              <w:rPr>
                <w:sz w:val="18"/>
                <w:szCs w:val="18"/>
              </w:rPr>
              <w:t>Income band</w:t>
            </w:r>
          </w:p>
        </w:tc>
        <w:tc>
          <w:tcPr>
            <w:cnfStyle w:val="000001000000" w:firstRow="0" w:lastRow="0" w:firstColumn="0" w:lastColumn="0" w:oddVBand="0" w:evenVBand="1" w:oddHBand="0" w:evenHBand="0" w:firstRowFirstColumn="0" w:firstRowLastColumn="0" w:lastRowFirstColumn="0" w:lastRowLastColumn="0"/>
            <w:tcW w:w="3260" w:type="dxa"/>
            <w:gridSpan w:val="2"/>
          </w:tcPr>
          <w:p w14:paraId="0EE63DEA" w14:textId="77777777" w:rsidR="00974B6A" w:rsidRPr="000A466E" w:rsidRDefault="00974B6A" w:rsidP="007A5608">
            <w:pPr>
              <w:spacing w:before="120" w:after="0"/>
              <w:jc w:val="center"/>
              <w:rPr>
                <w:sz w:val="18"/>
                <w:szCs w:val="18"/>
              </w:rPr>
            </w:pPr>
            <w:r w:rsidRPr="000A466E">
              <w:rPr>
                <w:sz w:val="18"/>
                <w:szCs w:val="18"/>
              </w:rPr>
              <w:t>Total remuneration</w:t>
            </w:r>
          </w:p>
        </w:tc>
        <w:tc>
          <w:tcPr>
            <w:cnfStyle w:val="000010000000" w:firstRow="0" w:lastRow="0" w:firstColumn="0" w:lastColumn="0" w:oddVBand="1" w:evenVBand="0" w:oddHBand="0" w:evenHBand="0" w:firstRowFirstColumn="0" w:firstRowLastColumn="0" w:lastRowFirstColumn="0" w:lastRowLastColumn="0"/>
            <w:tcW w:w="3271" w:type="dxa"/>
            <w:gridSpan w:val="2"/>
          </w:tcPr>
          <w:p w14:paraId="31E20131" w14:textId="77777777" w:rsidR="00974B6A" w:rsidRPr="000A466E" w:rsidRDefault="00974B6A" w:rsidP="007A5608">
            <w:pPr>
              <w:spacing w:before="120" w:after="0"/>
              <w:jc w:val="center"/>
              <w:rPr>
                <w:sz w:val="18"/>
                <w:szCs w:val="18"/>
              </w:rPr>
            </w:pPr>
            <w:r w:rsidRPr="000A466E">
              <w:rPr>
                <w:sz w:val="18"/>
                <w:szCs w:val="18"/>
              </w:rPr>
              <w:t>Base remuneration</w:t>
            </w:r>
          </w:p>
        </w:tc>
      </w:tr>
      <w:tr w:rsidR="00EA3AD6" w14:paraId="4AC2E4B7" w14:textId="77777777" w:rsidTr="007A5608">
        <w:trPr>
          <w:trHeight w:val="652"/>
        </w:trPr>
        <w:tc>
          <w:tcPr>
            <w:cnfStyle w:val="000010000000" w:firstRow="0" w:lastRow="0" w:firstColumn="0" w:lastColumn="0" w:oddVBand="1" w:evenVBand="0" w:oddHBand="0" w:evenHBand="0" w:firstRowFirstColumn="0" w:firstRowLastColumn="0" w:lastRowFirstColumn="0" w:lastRowLastColumn="0"/>
            <w:tcW w:w="2609" w:type="dxa"/>
            <w:shd w:val="clear" w:color="auto" w:fill="0063A6" w:themeFill="accent1"/>
          </w:tcPr>
          <w:p w14:paraId="3267587B" w14:textId="77777777" w:rsidR="00EA3AD6" w:rsidRPr="000A466E" w:rsidRDefault="00EA3AD6" w:rsidP="007A5608">
            <w:pPr>
              <w:spacing w:before="120" w:after="0"/>
              <w:rPr>
                <w:color w:val="FFFFFF" w:themeColor="background1"/>
                <w:sz w:val="18"/>
                <w:szCs w:val="18"/>
              </w:rPr>
            </w:pPr>
          </w:p>
        </w:tc>
        <w:tc>
          <w:tcPr>
            <w:cnfStyle w:val="000001000000" w:firstRow="0" w:lastRow="0" w:firstColumn="0" w:lastColumn="0" w:oddVBand="0" w:evenVBand="1" w:oddHBand="0" w:evenHBand="0" w:firstRowFirstColumn="0" w:firstRowLastColumn="0" w:lastRowFirstColumn="0" w:lastRowLastColumn="0"/>
            <w:tcW w:w="1701" w:type="dxa"/>
            <w:shd w:val="clear" w:color="auto" w:fill="0063A6" w:themeFill="accent1"/>
          </w:tcPr>
          <w:p w14:paraId="41BA245A" w14:textId="77777777" w:rsidR="00EA3AD6" w:rsidRPr="000A466E" w:rsidRDefault="00EA3AD6" w:rsidP="007A5608">
            <w:pPr>
              <w:spacing w:before="120" w:after="0"/>
              <w:rPr>
                <w:color w:val="FFFFFF" w:themeColor="background1"/>
                <w:sz w:val="18"/>
                <w:szCs w:val="18"/>
              </w:rPr>
            </w:pPr>
            <w:r w:rsidRPr="000A466E">
              <w:rPr>
                <w:color w:val="FFFFFF" w:themeColor="background1"/>
                <w:sz w:val="18"/>
                <w:szCs w:val="18"/>
              </w:rPr>
              <w:t>20</w:t>
            </w:r>
            <w:r w:rsidR="000826CB">
              <w:rPr>
                <w:color w:val="FFFFFF" w:themeColor="background1"/>
                <w:sz w:val="18"/>
                <w:szCs w:val="18"/>
              </w:rPr>
              <w:t>1</w:t>
            </w:r>
            <w:r w:rsidR="00CE22DE">
              <w:rPr>
                <w:color w:val="FFFFFF" w:themeColor="background1"/>
                <w:sz w:val="18"/>
                <w:szCs w:val="18"/>
              </w:rPr>
              <w:t>Y</w:t>
            </w:r>
          </w:p>
          <w:p w14:paraId="1D1156FB" w14:textId="77777777" w:rsidR="00EA3AD6" w:rsidRPr="000A466E" w:rsidRDefault="00EA3AD6" w:rsidP="007A5608">
            <w:pPr>
              <w:spacing w:before="120" w:after="0"/>
              <w:rPr>
                <w:color w:val="FFFFFF" w:themeColor="background1"/>
                <w:sz w:val="18"/>
                <w:szCs w:val="18"/>
              </w:rPr>
            </w:pPr>
            <w:r w:rsidRPr="000A466E">
              <w:rPr>
                <w:color w:val="FFFFFF" w:themeColor="background1"/>
                <w:sz w:val="18"/>
                <w:szCs w:val="18"/>
              </w:rPr>
              <w:t>No.</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0063A6" w:themeFill="accent1"/>
          </w:tcPr>
          <w:p w14:paraId="3D429D32" w14:textId="77777777" w:rsidR="00EA3AD6" w:rsidRPr="000A466E" w:rsidRDefault="00EA3AD6" w:rsidP="007A5608">
            <w:pPr>
              <w:spacing w:before="120" w:after="0"/>
              <w:rPr>
                <w:color w:val="FFFFFF" w:themeColor="background1"/>
                <w:sz w:val="18"/>
                <w:szCs w:val="18"/>
              </w:rPr>
            </w:pPr>
            <w:r w:rsidRPr="000A466E">
              <w:rPr>
                <w:color w:val="FFFFFF" w:themeColor="background1"/>
                <w:sz w:val="18"/>
                <w:szCs w:val="18"/>
              </w:rPr>
              <w:t>20</w:t>
            </w:r>
            <w:r w:rsidR="000826CB">
              <w:rPr>
                <w:color w:val="FFFFFF" w:themeColor="background1"/>
                <w:sz w:val="18"/>
                <w:szCs w:val="18"/>
              </w:rPr>
              <w:t>1</w:t>
            </w:r>
            <w:r w:rsidR="00CE22DE">
              <w:rPr>
                <w:color w:val="FFFFFF" w:themeColor="background1"/>
                <w:sz w:val="18"/>
                <w:szCs w:val="18"/>
              </w:rPr>
              <w:t>X</w:t>
            </w:r>
          </w:p>
          <w:p w14:paraId="3F9561FA" w14:textId="77777777" w:rsidR="00EA3AD6" w:rsidRPr="000A466E" w:rsidRDefault="00EA3AD6" w:rsidP="007A5608">
            <w:pPr>
              <w:spacing w:before="120" w:after="0"/>
              <w:rPr>
                <w:color w:val="FFFFFF" w:themeColor="background1"/>
                <w:sz w:val="18"/>
                <w:szCs w:val="18"/>
              </w:rPr>
            </w:pPr>
            <w:r w:rsidRPr="000A466E">
              <w:rPr>
                <w:color w:val="FFFFFF" w:themeColor="background1"/>
                <w:sz w:val="18"/>
                <w:szCs w:val="18"/>
              </w:rPr>
              <w:t>No.</w:t>
            </w:r>
          </w:p>
        </w:tc>
        <w:tc>
          <w:tcPr>
            <w:cnfStyle w:val="000001000000" w:firstRow="0" w:lastRow="0" w:firstColumn="0" w:lastColumn="0" w:oddVBand="0" w:evenVBand="1" w:oddHBand="0" w:evenHBand="0" w:firstRowFirstColumn="0" w:firstRowLastColumn="0" w:lastRowFirstColumn="0" w:lastRowLastColumn="0"/>
            <w:tcW w:w="1701" w:type="dxa"/>
            <w:shd w:val="clear" w:color="auto" w:fill="0063A6" w:themeFill="accent1"/>
          </w:tcPr>
          <w:p w14:paraId="60DC935A" w14:textId="77777777" w:rsidR="00CE22DE" w:rsidRDefault="000826CB" w:rsidP="007A5608">
            <w:pPr>
              <w:spacing w:before="120" w:after="0"/>
              <w:rPr>
                <w:color w:val="FFFFFF" w:themeColor="background1"/>
                <w:sz w:val="18"/>
                <w:szCs w:val="18"/>
              </w:rPr>
            </w:pPr>
            <w:r w:rsidRPr="000A466E">
              <w:rPr>
                <w:color w:val="FFFFFF" w:themeColor="background1"/>
                <w:sz w:val="18"/>
                <w:szCs w:val="18"/>
              </w:rPr>
              <w:t>20</w:t>
            </w:r>
            <w:r>
              <w:rPr>
                <w:color w:val="FFFFFF" w:themeColor="background1"/>
                <w:sz w:val="18"/>
                <w:szCs w:val="18"/>
              </w:rPr>
              <w:t>1</w:t>
            </w:r>
            <w:r w:rsidR="00CE22DE">
              <w:rPr>
                <w:color w:val="FFFFFF" w:themeColor="background1"/>
                <w:sz w:val="18"/>
                <w:szCs w:val="18"/>
              </w:rPr>
              <w:t>Y</w:t>
            </w:r>
            <w:r w:rsidRPr="000A466E">
              <w:rPr>
                <w:color w:val="FFFFFF" w:themeColor="background1"/>
                <w:sz w:val="18"/>
                <w:szCs w:val="18"/>
              </w:rPr>
              <w:t xml:space="preserve"> </w:t>
            </w:r>
          </w:p>
          <w:p w14:paraId="090DD43E" w14:textId="77777777" w:rsidR="00EA3AD6" w:rsidRPr="000A466E" w:rsidRDefault="00EA3AD6" w:rsidP="007A5608">
            <w:pPr>
              <w:spacing w:before="120" w:after="0"/>
              <w:rPr>
                <w:color w:val="FFFFFF" w:themeColor="background1"/>
                <w:sz w:val="18"/>
                <w:szCs w:val="18"/>
              </w:rPr>
            </w:pPr>
            <w:r w:rsidRPr="000A466E">
              <w:rPr>
                <w:color w:val="FFFFFF" w:themeColor="background1"/>
                <w:sz w:val="18"/>
                <w:szCs w:val="18"/>
              </w:rPr>
              <w:t>No.</w:t>
            </w:r>
          </w:p>
        </w:tc>
        <w:tc>
          <w:tcPr>
            <w:cnfStyle w:val="000010000000" w:firstRow="0" w:lastRow="0" w:firstColumn="0" w:lastColumn="0" w:oddVBand="1" w:evenVBand="0" w:oddHBand="0" w:evenHBand="0" w:firstRowFirstColumn="0" w:firstRowLastColumn="0" w:lastRowFirstColumn="0" w:lastRowLastColumn="0"/>
            <w:tcW w:w="1570" w:type="dxa"/>
            <w:shd w:val="clear" w:color="auto" w:fill="0063A6" w:themeFill="accent1"/>
          </w:tcPr>
          <w:p w14:paraId="7293FB41" w14:textId="77777777" w:rsidR="000826CB" w:rsidRPr="000A466E" w:rsidRDefault="000826CB" w:rsidP="007A5608">
            <w:pPr>
              <w:spacing w:before="120" w:after="0"/>
              <w:rPr>
                <w:color w:val="FFFFFF" w:themeColor="background1"/>
                <w:sz w:val="18"/>
                <w:szCs w:val="18"/>
              </w:rPr>
            </w:pPr>
            <w:r w:rsidRPr="000A466E">
              <w:rPr>
                <w:color w:val="FFFFFF" w:themeColor="background1"/>
                <w:sz w:val="18"/>
                <w:szCs w:val="18"/>
              </w:rPr>
              <w:t>20</w:t>
            </w:r>
            <w:r>
              <w:rPr>
                <w:color w:val="FFFFFF" w:themeColor="background1"/>
                <w:sz w:val="18"/>
                <w:szCs w:val="18"/>
              </w:rPr>
              <w:t>1</w:t>
            </w:r>
            <w:r w:rsidR="00CE22DE">
              <w:rPr>
                <w:color w:val="FFFFFF" w:themeColor="background1"/>
                <w:sz w:val="18"/>
                <w:szCs w:val="18"/>
              </w:rPr>
              <w:t>X</w:t>
            </w:r>
          </w:p>
          <w:p w14:paraId="321AD750" w14:textId="77777777" w:rsidR="00EA3AD6" w:rsidRPr="000A466E" w:rsidRDefault="00EA3AD6" w:rsidP="007A5608">
            <w:pPr>
              <w:spacing w:before="120" w:after="0"/>
              <w:rPr>
                <w:color w:val="FFFFFF" w:themeColor="background1"/>
                <w:sz w:val="18"/>
                <w:szCs w:val="18"/>
              </w:rPr>
            </w:pPr>
            <w:r w:rsidRPr="000A466E">
              <w:rPr>
                <w:color w:val="FFFFFF" w:themeColor="background1"/>
                <w:sz w:val="18"/>
                <w:szCs w:val="18"/>
              </w:rPr>
              <w:t>No.</w:t>
            </w:r>
          </w:p>
        </w:tc>
      </w:tr>
      <w:tr w:rsidR="00EA3AD6" w14:paraId="00273CA0" w14:textId="77777777" w:rsidTr="000A466E">
        <w:tc>
          <w:tcPr>
            <w:cnfStyle w:val="000010000000" w:firstRow="0" w:lastRow="0" w:firstColumn="0" w:lastColumn="0" w:oddVBand="1" w:evenVBand="0" w:oddHBand="0" w:evenHBand="0" w:firstRowFirstColumn="0" w:firstRowLastColumn="0" w:lastRowFirstColumn="0" w:lastRowLastColumn="0"/>
            <w:tcW w:w="2609" w:type="dxa"/>
          </w:tcPr>
          <w:p w14:paraId="31CD135A" w14:textId="77777777" w:rsidR="00EA3AD6" w:rsidRPr="000A466E" w:rsidRDefault="00EA3AD6" w:rsidP="00CE22DE">
            <w:pPr>
              <w:jc w:val="left"/>
              <w:rPr>
                <w:sz w:val="18"/>
                <w:szCs w:val="18"/>
              </w:rPr>
            </w:pPr>
            <w:r w:rsidRPr="000A466E">
              <w:rPr>
                <w:sz w:val="18"/>
                <w:szCs w:val="18"/>
              </w:rPr>
              <w:t>$100,000 – 109,999</w:t>
            </w:r>
          </w:p>
        </w:tc>
        <w:tc>
          <w:tcPr>
            <w:cnfStyle w:val="000001000000" w:firstRow="0" w:lastRow="0" w:firstColumn="0" w:lastColumn="0" w:oddVBand="0" w:evenVBand="1" w:oddHBand="0" w:evenHBand="0" w:firstRowFirstColumn="0" w:firstRowLastColumn="0" w:lastRowFirstColumn="0" w:lastRowLastColumn="0"/>
            <w:tcW w:w="1701" w:type="dxa"/>
            <w:shd w:val="clear" w:color="auto" w:fill="E3EBF4" w:themeFill="accent3" w:themeFillTint="33"/>
          </w:tcPr>
          <w:p w14:paraId="236C397E" w14:textId="77777777" w:rsidR="00EA3AD6" w:rsidRPr="000A466E" w:rsidRDefault="00EA3AD6" w:rsidP="008A70AF">
            <w:pPr>
              <w:rPr>
                <w:sz w:val="18"/>
                <w:szCs w:val="18"/>
              </w:rPr>
            </w:pPr>
            <w:r w:rsidRPr="000A466E">
              <w:rPr>
                <w:sz w:val="18"/>
                <w:szCs w:val="18"/>
              </w:rPr>
              <w:t>12</w:t>
            </w:r>
          </w:p>
        </w:tc>
        <w:tc>
          <w:tcPr>
            <w:cnfStyle w:val="000010000000" w:firstRow="0" w:lastRow="0" w:firstColumn="0" w:lastColumn="0" w:oddVBand="1" w:evenVBand="0" w:oddHBand="0" w:evenHBand="0" w:firstRowFirstColumn="0" w:firstRowLastColumn="0" w:lastRowFirstColumn="0" w:lastRowLastColumn="0"/>
            <w:tcW w:w="1559" w:type="dxa"/>
          </w:tcPr>
          <w:p w14:paraId="09E6496E" w14:textId="77777777" w:rsidR="00EA3AD6" w:rsidRPr="000A466E" w:rsidRDefault="00EA3AD6" w:rsidP="008A70AF">
            <w:pPr>
              <w:rPr>
                <w:sz w:val="18"/>
                <w:szCs w:val="18"/>
              </w:rPr>
            </w:pPr>
            <w:r w:rsidRPr="000A466E">
              <w:rPr>
                <w:sz w:val="18"/>
                <w:szCs w:val="18"/>
              </w:rPr>
              <w:t>26</w:t>
            </w:r>
          </w:p>
        </w:tc>
        <w:tc>
          <w:tcPr>
            <w:cnfStyle w:val="000001000000" w:firstRow="0" w:lastRow="0" w:firstColumn="0" w:lastColumn="0" w:oddVBand="0" w:evenVBand="1" w:oddHBand="0" w:evenHBand="0" w:firstRowFirstColumn="0" w:firstRowLastColumn="0" w:lastRowFirstColumn="0" w:lastRowLastColumn="0"/>
            <w:tcW w:w="1701" w:type="dxa"/>
            <w:shd w:val="clear" w:color="auto" w:fill="E3EBF4" w:themeFill="accent3" w:themeFillTint="33"/>
          </w:tcPr>
          <w:p w14:paraId="629BAC58" w14:textId="77777777" w:rsidR="00EA3AD6" w:rsidRPr="000A466E" w:rsidRDefault="00EA3AD6" w:rsidP="008A70AF">
            <w:pPr>
              <w:rPr>
                <w:sz w:val="18"/>
                <w:szCs w:val="18"/>
              </w:rPr>
            </w:pPr>
            <w:r w:rsidRPr="000A466E">
              <w:rPr>
                <w:sz w:val="18"/>
                <w:szCs w:val="18"/>
              </w:rPr>
              <w:t>27</w:t>
            </w:r>
          </w:p>
        </w:tc>
        <w:tc>
          <w:tcPr>
            <w:cnfStyle w:val="000010000000" w:firstRow="0" w:lastRow="0" w:firstColumn="0" w:lastColumn="0" w:oddVBand="1" w:evenVBand="0" w:oddHBand="0" w:evenHBand="0" w:firstRowFirstColumn="0" w:firstRowLastColumn="0" w:lastRowFirstColumn="0" w:lastRowLastColumn="0"/>
            <w:tcW w:w="1570" w:type="dxa"/>
          </w:tcPr>
          <w:p w14:paraId="092F8C55" w14:textId="77777777" w:rsidR="00EA3AD6" w:rsidRPr="000A466E" w:rsidRDefault="00EA3AD6" w:rsidP="008A70AF">
            <w:pPr>
              <w:rPr>
                <w:sz w:val="18"/>
                <w:szCs w:val="18"/>
              </w:rPr>
            </w:pPr>
            <w:r w:rsidRPr="000A466E">
              <w:rPr>
                <w:sz w:val="18"/>
                <w:szCs w:val="18"/>
              </w:rPr>
              <w:t>41</w:t>
            </w:r>
          </w:p>
        </w:tc>
      </w:tr>
      <w:tr w:rsidR="00EA3AD6" w14:paraId="527D43D4" w14:textId="77777777" w:rsidTr="000A466E">
        <w:tc>
          <w:tcPr>
            <w:cnfStyle w:val="000010000000" w:firstRow="0" w:lastRow="0" w:firstColumn="0" w:lastColumn="0" w:oddVBand="1" w:evenVBand="0" w:oddHBand="0" w:evenHBand="0" w:firstRowFirstColumn="0" w:firstRowLastColumn="0" w:lastRowFirstColumn="0" w:lastRowLastColumn="0"/>
            <w:tcW w:w="2609" w:type="dxa"/>
          </w:tcPr>
          <w:p w14:paraId="7C4D6BE3" w14:textId="77777777" w:rsidR="00EA3AD6" w:rsidRPr="000A466E" w:rsidRDefault="00EA3AD6" w:rsidP="00CE22DE">
            <w:pPr>
              <w:jc w:val="left"/>
              <w:rPr>
                <w:sz w:val="18"/>
                <w:szCs w:val="18"/>
              </w:rPr>
            </w:pPr>
            <w:r w:rsidRPr="000A466E">
              <w:rPr>
                <w:sz w:val="18"/>
                <w:szCs w:val="18"/>
              </w:rPr>
              <w:t>$110,000 – 119,999</w:t>
            </w:r>
          </w:p>
        </w:tc>
        <w:tc>
          <w:tcPr>
            <w:cnfStyle w:val="000001000000" w:firstRow="0" w:lastRow="0" w:firstColumn="0" w:lastColumn="0" w:oddVBand="0" w:evenVBand="1" w:oddHBand="0" w:evenHBand="0" w:firstRowFirstColumn="0" w:firstRowLastColumn="0" w:lastRowFirstColumn="0" w:lastRowLastColumn="0"/>
            <w:tcW w:w="1701" w:type="dxa"/>
            <w:shd w:val="clear" w:color="auto" w:fill="E3EBF4" w:themeFill="accent3" w:themeFillTint="33"/>
          </w:tcPr>
          <w:p w14:paraId="4130D249" w14:textId="77777777" w:rsidR="00EA3AD6" w:rsidRPr="000A466E" w:rsidRDefault="00EA3AD6" w:rsidP="008A70AF">
            <w:pPr>
              <w:rPr>
                <w:sz w:val="18"/>
                <w:szCs w:val="18"/>
              </w:rPr>
            </w:pPr>
            <w:r w:rsidRPr="000A466E">
              <w:rPr>
                <w:sz w:val="18"/>
                <w:szCs w:val="18"/>
              </w:rPr>
              <w:t>7</w:t>
            </w:r>
          </w:p>
        </w:tc>
        <w:tc>
          <w:tcPr>
            <w:cnfStyle w:val="000010000000" w:firstRow="0" w:lastRow="0" w:firstColumn="0" w:lastColumn="0" w:oddVBand="1" w:evenVBand="0" w:oddHBand="0" w:evenHBand="0" w:firstRowFirstColumn="0" w:firstRowLastColumn="0" w:lastRowFirstColumn="0" w:lastRowLastColumn="0"/>
            <w:tcW w:w="1559" w:type="dxa"/>
          </w:tcPr>
          <w:p w14:paraId="09001543" w14:textId="77777777" w:rsidR="00EA3AD6" w:rsidRPr="000A466E" w:rsidRDefault="00EA3AD6" w:rsidP="008A70AF">
            <w:pPr>
              <w:rPr>
                <w:sz w:val="18"/>
                <w:szCs w:val="18"/>
              </w:rPr>
            </w:pPr>
            <w:r w:rsidRPr="000A466E">
              <w:rPr>
                <w:sz w:val="18"/>
                <w:szCs w:val="18"/>
              </w:rPr>
              <w:t>9</w:t>
            </w:r>
          </w:p>
        </w:tc>
        <w:tc>
          <w:tcPr>
            <w:cnfStyle w:val="000001000000" w:firstRow="0" w:lastRow="0" w:firstColumn="0" w:lastColumn="0" w:oddVBand="0" w:evenVBand="1" w:oddHBand="0" w:evenHBand="0" w:firstRowFirstColumn="0" w:firstRowLastColumn="0" w:lastRowFirstColumn="0" w:lastRowLastColumn="0"/>
            <w:tcW w:w="1701" w:type="dxa"/>
            <w:shd w:val="clear" w:color="auto" w:fill="E3EBF4" w:themeFill="accent3" w:themeFillTint="33"/>
          </w:tcPr>
          <w:p w14:paraId="633C5D8A" w14:textId="77777777" w:rsidR="00EA3AD6" w:rsidRPr="000A466E" w:rsidRDefault="00EA3AD6" w:rsidP="008A70AF">
            <w:pPr>
              <w:rPr>
                <w:sz w:val="18"/>
                <w:szCs w:val="18"/>
              </w:rPr>
            </w:pPr>
            <w:r w:rsidRPr="000A466E">
              <w:rPr>
                <w:sz w:val="18"/>
                <w:szCs w:val="18"/>
              </w:rPr>
              <w:t>9</w:t>
            </w:r>
          </w:p>
        </w:tc>
        <w:tc>
          <w:tcPr>
            <w:cnfStyle w:val="000010000000" w:firstRow="0" w:lastRow="0" w:firstColumn="0" w:lastColumn="0" w:oddVBand="1" w:evenVBand="0" w:oddHBand="0" w:evenHBand="0" w:firstRowFirstColumn="0" w:firstRowLastColumn="0" w:lastRowFirstColumn="0" w:lastRowLastColumn="0"/>
            <w:tcW w:w="1570" w:type="dxa"/>
          </w:tcPr>
          <w:p w14:paraId="1DDD6BCC" w14:textId="77777777" w:rsidR="00EA3AD6" w:rsidRPr="000A466E" w:rsidRDefault="00EA3AD6" w:rsidP="008A70AF">
            <w:pPr>
              <w:rPr>
                <w:sz w:val="18"/>
                <w:szCs w:val="18"/>
              </w:rPr>
            </w:pPr>
            <w:r w:rsidRPr="000A466E">
              <w:rPr>
                <w:sz w:val="18"/>
                <w:szCs w:val="18"/>
              </w:rPr>
              <w:t>5</w:t>
            </w:r>
          </w:p>
        </w:tc>
      </w:tr>
      <w:tr w:rsidR="00EA3AD6" w14:paraId="6E807B4D" w14:textId="77777777" w:rsidTr="000A466E">
        <w:tc>
          <w:tcPr>
            <w:cnfStyle w:val="000010000000" w:firstRow="0" w:lastRow="0" w:firstColumn="0" w:lastColumn="0" w:oddVBand="1" w:evenVBand="0" w:oddHBand="0" w:evenHBand="0" w:firstRowFirstColumn="0" w:firstRowLastColumn="0" w:lastRowFirstColumn="0" w:lastRowLastColumn="0"/>
            <w:tcW w:w="2609" w:type="dxa"/>
          </w:tcPr>
          <w:p w14:paraId="2AA00A3D" w14:textId="77777777" w:rsidR="00EA3AD6" w:rsidRPr="000A466E" w:rsidRDefault="00EA3AD6" w:rsidP="00CE22DE">
            <w:pPr>
              <w:jc w:val="left"/>
              <w:rPr>
                <w:sz w:val="18"/>
                <w:szCs w:val="18"/>
              </w:rPr>
            </w:pPr>
            <w:r w:rsidRPr="000A466E">
              <w:rPr>
                <w:sz w:val="18"/>
                <w:szCs w:val="18"/>
              </w:rPr>
              <w:t>$120,000 – 129,999</w:t>
            </w:r>
          </w:p>
        </w:tc>
        <w:tc>
          <w:tcPr>
            <w:cnfStyle w:val="000001000000" w:firstRow="0" w:lastRow="0" w:firstColumn="0" w:lastColumn="0" w:oddVBand="0" w:evenVBand="1" w:oddHBand="0" w:evenHBand="0" w:firstRowFirstColumn="0" w:firstRowLastColumn="0" w:lastRowFirstColumn="0" w:lastRowLastColumn="0"/>
            <w:tcW w:w="1701" w:type="dxa"/>
            <w:shd w:val="clear" w:color="auto" w:fill="E3EBF4" w:themeFill="accent3" w:themeFillTint="33"/>
          </w:tcPr>
          <w:p w14:paraId="58B5810D" w14:textId="77777777" w:rsidR="00EA3AD6" w:rsidRPr="000A466E" w:rsidRDefault="00EA3AD6" w:rsidP="0089585D">
            <w:pPr>
              <w:rPr>
                <w:sz w:val="18"/>
                <w:szCs w:val="18"/>
              </w:rPr>
            </w:pPr>
            <w:r w:rsidRPr="000A466E">
              <w:rPr>
                <w:sz w:val="18"/>
                <w:szCs w:val="18"/>
              </w:rPr>
              <w:t>11</w:t>
            </w:r>
          </w:p>
        </w:tc>
        <w:tc>
          <w:tcPr>
            <w:cnfStyle w:val="000010000000" w:firstRow="0" w:lastRow="0" w:firstColumn="0" w:lastColumn="0" w:oddVBand="1" w:evenVBand="0" w:oddHBand="0" w:evenHBand="0" w:firstRowFirstColumn="0" w:firstRowLastColumn="0" w:lastRowFirstColumn="0" w:lastRowLastColumn="0"/>
            <w:tcW w:w="1559" w:type="dxa"/>
          </w:tcPr>
          <w:p w14:paraId="4624C715" w14:textId="77777777" w:rsidR="00EA3AD6" w:rsidRPr="000A466E" w:rsidRDefault="00EA3AD6" w:rsidP="0089585D">
            <w:pPr>
              <w:rPr>
                <w:sz w:val="18"/>
                <w:szCs w:val="18"/>
              </w:rPr>
            </w:pPr>
            <w:r w:rsidRPr="000A466E">
              <w:rPr>
                <w:sz w:val="18"/>
                <w:szCs w:val="18"/>
              </w:rPr>
              <w:t>7</w:t>
            </w:r>
          </w:p>
        </w:tc>
        <w:tc>
          <w:tcPr>
            <w:cnfStyle w:val="000001000000" w:firstRow="0" w:lastRow="0" w:firstColumn="0" w:lastColumn="0" w:oddVBand="0" w:evenVBand="1" w:oddHBand="0" w:evenHBand="0" w:firstRowFirstColumn="0" w:firstRowLastColumn="0" w:lastRowFirstColumn="0" w:lastRowLastColumn="0"/>
            <w:tcW w:w="1701" w:type="dxa"/>
            <w:shd w:val="clear" w:color="auto" w:fill="E3EBF4" w:themeFill="accent3" w:themeFillTint="33"/>
          </w:tcPr>
          <w:p w14:paraId="0BF65809" w14:textId="77777777" w:rsidR="00EA3AD6" w:rsidRPr="000A466E" w:rsidRDefault="00EA3AD6" w:rsidP="0089585D">
            <w:pPr>
              <w:rPr>
                <w:sz w:val="18"/>
                <w:szCs w:val="18"/>
              </w:rPr>
            </w:pPr>
            <w:r w:rsidRPr="000A466E">
              <w:rPr>
                <w:sz w:val="18"/>
                <w:szCs w:val="18"/>
              </w:rPr>
              <w:t>12</w:t>
            </w:r>
          </w:p>
        </w:tc>
        <w:tc>
          <w:tcPr>
            <w:cnfStyle w:val="000010000000" w:firstRow="0" w:lastRow="0" w:firstColumn="0" w:lastColumn="0" w:oddVBand="1" w:evenVBand="0" w:oddHBand="0" w:evenHBand="0" w:firstRowFirstColumn="0" w:firstRowLastColumn="0" w:lastRowFirstColumn="0" w:lastRowLastColumn="0"/>
            <w:tcW w:w="1570" w:type="dxa"/>
          </w:tcPr>
          <w:p w14:paraId="049BF7DD" w14:textId="77777777" w:rsidR="00EA3AD6" w:rsidRPr="000A466E" w:rsidRDefault="00EA3AD6" w:rsidP="0089585D">
            <w:pPr>
              <w:rPr>
                <w:sz w:val="18"/>
                <w:szCs w:val="18"/>
              </w:rPr>
            </w:pPr>
            <w:r w:rsidRPr="000A466E">
              <w:rPr>
                <w:sz w:val="18"/>
                <w:szCs w:val="18"/>
              </w:rPr>
              <w:t>6</w:t>
            </w:r>
          </w:p>
        </w:tc>
      </w:tr>
      <w:tr w:rsidR="00EA3AD6" w14:paraId="6ECC2AAB" w14:textId="77777777" w:rsidTr="000A466E">
        <w:tc>
          <w:tcPr>
            <w:cnfStyle w:val="000010000000" w:firstRow="0" w:lastRow="0" w:firstColumn="0" w:lastColumn="0" w:oddVBand="1" w:evenVBand="0" w:oddHBand="0" w:evenHBand="0" w:firstRowFirstColumn="0" w:firstRowLastColumn="0" w:lastRowFirstColumn="0" w:lastRowLastColumn="0"/>
            <w:tcW w:w="2609" w:type="dxa"/>
          </w:tcPr>
          <w:p w14:paraId="520724A5" w14:textId="77777777" w:rsidR="00EA3AD6" w:rsidRPr="000A466E" w:rsidRDefault="00EA3AD6" w:rsidP="00CE22DE">
            <w:pPr>
              <w:jc w:val="left"/>
              <w:rPr>
                <w:sz w:val="18"/>
                <w:szCs w:val="18"/>
              </w:rPr>
            </w:pPr>
            <w:r w:rsidRPr="000A466E">
              <w:rPr>
                <w:sz w:val="18"/>
                <w:szCs w:val="18"/>
              </w:rPr>
              <w:t>$130,000 – 139,999</w:t>
            </w:r>
          </w:p>
        </w:tc>
        <w:tc>
          <w:tcPr>
            <w:cnfStyle w:val="000001000000" w:firstRow="0" w:lastRow="0" w:firstColumn="0" w:lastColumn="0" w:oddVBand="0" w:evenVBand="1" w:oddHBand="0" w:evenHBand="0" w:firstRowFirstColumn="0" w:firstRowLastColumn="0" w:lastRowFirstColumn="0" w:lastRowLastColumn="0"/>
            <w:tcW w:w="1701" w:type="dxa"/>
            <w:shd w:val="clear" w:color="auto" w:fill="E3EBF4" w:themeFill="accent3" w:themeFillTint="33"/>
          </w:tcPr>
          <w:p w14:paraId="7715A887" w14:textId="77777777" w:rsidR="00EA3AD6" w:rsidRPr="000A466E" w:rsidRDefault="00EA3AD6" w:rsidP="008A70AF">
            <w:pPr>
              <w:rPr>
                <w:sz w:val="18"/>
                <w:szCs w:val="18"/>
              </w:rPr>
            </w:pPr>
            <w:r w:rsidRPr="000A466E">
              <w:rPr>
                <w:sz w:val="18"/>
                <w:szCs w:val="18"/>
              </w:rPr>
              <w:t>8</w:t>
            </w:r>
          </w:p>
        </w:tc>
        <w:tc>
          <w:tcPr>
            <w:cnfStyle w:val="000010000000" w:firstRow="0" w:lastRow="0" w:firstColumn="0" w:lastColumn="0" w:oddVBand="1" w:evenVBand="0" w:oddHBand="0" w:evenHBand="0" w:firstRowFirstColumn="0" w:firstRowLastColumn="0" w:lastRowFirstColumn="0" w:lastRowLastColumn="0"/>
            <w:tcW w:w="1559" w:type="dxa"/>
          </w:tcPr>
          <w:p w14:paraId="14EF340A" w14:textId="77777777" w:rsidR="00EA3AD6" w:rsidRPr="000A466E" w:rsidRDefault="00EA3AD6" w:rsidP="008A70AF">
            <w:pPr>
              <w:rPr>
                <w:sz w:val="18"/>
                <w:szCs w:val="18"/>
              </w:rPr>
            </w:pPr>
            <w:r w:rsidRPr="000A466E">
              <w:rPr>
                <w:sz w:val="18"/>
                <w:szCs w:val="18"/>
              </w:rPr>
              <w:t>5</w:t>
            </w:r>
          </w:p>
        </w:tc>
        <w:tc>
          <w:tcPr>
            <w:cnfStyle w:val="000001000000" w:firstRow="0" w:lastRow="0" w:firstColumn="0" w:lastColumn="0" w:oddVBand="0" w:evenVBand="1" w:oddHBand="0" w:evenHBand="0" w:firstRowFirstColumn="0" w:firstRowLastColumn="0" w:lastRowFirstColumn="0" w:lastRowLastColumn="0"/>
            <w:tcW w:w="1701" w:type="dxa"/>
            <w:shd w:val="clear" w:color="auto" w:fill="E3EBF4" w:themeFill="accent3" w:themeFillTint="33"/>
          </w:tcPr>
          <w:p w14:paraId="37AC13D0" w14:textId="77777777" w:rsidR="00EA3AD6" w:rsidRPr="000A466E" w:rsidRDefault="00EA3AD6" w:rsidP="008A70AF">
            <w:pPr>
              <w:rPr>
                <w:sz w:val="18"/>
                <w:szCs w:val="18"/>
              </w:rPr>
            </w:pPr>
            <w:r w:rsidRPr="000A466E">
              <w:rPr>
                <w:sz w:val="18"/>
                <w:szCs w:val="18"/>
              </w:rPr>
              <w:t>5</w:t>
            </w:r>
          </w:p>
        </w:tc>
        <w:tc>
          <w:tcPr>
            <w:cnfStyle w:val="000010000000" w:firstRow="0" w:lastRow="0" w:firstColumn="0" w:lastColumn="0" w:oddVBand="1" w:evenVBand="0" w:oddHBand="0" w:evenHBand="0" w:firstRowFirstColumn="0" w:firstRowLastColumn="0" w:lastRowFirstColumn="0" w:lastRowLastColumn="0"/>
            <w:tcW w:w="1570" w:type="dxa"/>
          </w:tcPr>
          <w:p w14:paraId="5F80E488" w14:textId="77777777" w:rsidR="00EA3AD6" w:rsidRPr="000A466E" w:rsidRDefault="00EA3AD6" w:rsidP="008A70AF">
            <w:pPr>
              <w:rPr>
                <w:sz w:val="18"/>
                <w:szCs w:val="18"/>
              </w:rPr>
            </w:pPr>
            <w:r w:rsidRPr="000A466E">
              <w:rPr>
                <w:sz w:val="18"/>
                <w:szCs w:val="18"/>
              </w:rPr>
              <w:t>2</w:t>
            </w:r>
          </w:p>
        </w:tc>
      </w:tr>
      <w:tr w:rsidR="00EA3AD6" w14:paraId="61896DED" w14:textId="77777777" w:rsidTr="000A466E">
        <w:tc>
          <w:tcPr>
            <w:cnfStyle w:val="000010000000" w:firstRow="0" w:lastRow="0" w:firstColumn="0" w:lastColumn="0" w:oddVBand="1" w:evenVBand="0" w:oddHBand="0" w:evenHBand="0" w:firstRowFirstColumn="0" w:firstRowLastColumn="0" w:lastRowFirstColumn="0" w:lastRowLastColumn="0"/>
            <w:tcW w:w="2609" w:type="dxa"/>
          </w:tcPr>
          <w:p w14:paraId="298DC63A" w14:textId="77777777" w:rsidR="00EA3AD6" w:rsidRPr="000A466E" w:rsidRDefault="00EA3AD6" w:rsidP="00CE22DE">
            <w:pPr>
              <w:jc w:val="left"/>
              <w:rPr>
                <w:sz w:val="18"/>
                <w:szCs w:val="18"/>
              </w:rPr>
            </w:pPr>
            <w:r w:rsidRPr="000A466E">
              <w:rPr>
                <w:sz w:val="18"/>
                <w:szCs w:val="18"/>
              </w:rPr>
              <w:t>$150,000 – 159,999</w:t>
            </w:r>
          </w:p>
        </w:tc>
        <w:tc>
          <w:tcPr>
            <w:cnfStyle w:val="000001000000" w:firstRow="0" w:lastRow="0" w:firstColumn="0" w:lastColumn="0" w:oddVBand="0" w:evenVBand="1" w:oddHBand="0" w:evenHBand="0" w:firstRowFirstColumn="0" w:firstRowLastColumn="0" w:lastRowFirstColumn="0" w:lastRowLastColumn="0"/>
            <w:tcW w:w="1701" w:type="dxa"/>
            <w:shd w:val="clear" w:color="auto" w:fill="E3EBF4" w:themeFill="accent3" w:themeFillTint="33"/>
          </w:tcPr>
          <w:p w14:paraId="3EFA6C52" w14:textId="77777777" w:rsidR="00EA3AD6" w:rsidRPr="000A466E" w:rsidRDefault="00EA3AD6" w:rsidP="008A70AF">
            <w:pPr>
              <w:rPr>
                <w:sz w:val="18"/>
                <w:szCs w:val="18"/>
              </w:rPr>
            </w:pPr>
            <w:r w:rsidRPr="000A466E">
              <w:rPr>
                <w:sz w:val="18"/>
                <w:szCs w:val="18"/>
              </w:rPr>
              <w:t>6</w:t>
            </w:r>
          </w:p>
        </w:tc>
        <w:tc>
          <w:tcPr>
            <w:cnfStyle w:val="000010000000" w:firstRow="0" w:lastRow="0" w:firstColumn="0" w:lastColumn="0" w:oddVBand="1" w:evenVBand="0" w:oddHBand="0" w:evenHBand="0" w:firstRowFirstColumn="0" w:firstRowLastColumn="0" w:lastRowFirstColumn="0" w:lastRowLastColumn="0"/>
            <w:tcW w:w="1559" w:type="dxa"/>
          </w:tcPr>
          <w:p w14:paraId="281A6A0B" w14:textId="77777777" w:rsidR="00EA3AD6" w:rsidRPr="000A466E" w:rsidRDefault="00EA3AD6" w:rsidP="008A70AF">
            <w:pPr>
              <w:rPr>
                <w:sz w:val="18"/>
                <w:szCs w:val="18"/>
              </w:rPr>
            </w:pPr>
            <w:r w:rsidRPr="000A466E">
              <w:rPr>
                <w:sz w:val="18"/>
                <w:szCs w:val="18"/>
              </w:rPr>
              <w:t>3</w:t>
            </w:r>
          </w:p>
        </w:tc>
        <w:tc>
          <w:tcPr>
            <w:cnfStyle w:val="000001000000" w:firstRow="0" w:lastRow="0" w:firstColumn="0" w:lastColumn="0" w:oddVBand="0" w:evenVBand="1" w:oddHBand="0" w:evenHBand="0" w:firstRowFirstColumn="0" w:firstRowLastColumn="0" w:lastRowFirstColumn="0" w:lastRowLastColumn="0"/>
            <w:tcW w:w="1701" w:type="dxa"/>
            <w:shd w:val="clear" w:color="auto" w:fill="E3EBF4" w:themeFill="accent3" w:themeFillTint="33"/>
          </w:tcPr>
          <w:p w14:paraId="18630330" w14:textId="77777777" w:rsidR="00EA3AD6" w:rsidRPr="000A466E" w:rsidRDefault="00EA3AD6" w:rsidP="008A70AF">
            <w:pPr>
              <w:rPr>
                <w:sz w:val="18"/>
                <w:szCs w:val="18"/>
              </w:rPr>
            </w:pPr>
            <w:r w:rsidRPr="000A466E">
              <w:rPr>
                <w:sz w:val="18"/>
                <w:szCs w:val="18"/>
              </w:rPr>
              <w:t>1</w:t>
            </w:r>
          </w:p>
        </w:tc>
        <w:tc>
          <w:tcPr>
            <w:cnfStyle w:val="000010000000" w:firstRow="0" w:lastRow="0" w:firstColumn="0" w:lastColumn="0" w:oddVBand="1" w:evenVBand="0" w:oddHBand="0" w:evenHBand="0" w:firstRowFirstColumn="0" w:firstRowLastColumn="0" w:lastRowFirstColumn="0" w:lastRowLastColumn="0"/>
            <w:tcW w:w="1570" w:type="dxa"/>
          </w:tcPr>
          <w:p w14:paraId="297DFE16" w14:textId="77777777" w:rsidR="00EA3AD6" w:rsidRPr="000A466E" w:rsidRDefault="00EA3AD6" w:rsidP="008A70AF">
            <w:pPr>
              <w:rPr>
                <w:sz w:val="18"/>
                <w:szCs w:val="18"/>
              </w:rPr>
            </w:pPr>
            <w:r w:rsidRPr="000A466E">
              <w:rPr>
                <w:sz w:val="18"/>
                <w:szCs w:val="18"/>
              </w:rPr>
              <w:t>1</w:t>
            </w:r>
          </w:p>
        </w:tc>
      </w:tr>
      <w:tr w:rsidR="00EA3AD6" w14:paraId="1515F494" w14:textId="77777777" w:rsidTr="000A466E">
        <w:tc>
          <w:tcPr>
            <w:cnfStyle w:val="000010000000" w:firstRow="0" w:lastRow="0" w:firstColumn="0" w:lastColumn="0" w:oddVBand="1" w:evenVBand="0" w:oddHBand="0" w:evenHBand="0" w:firstRowFirstColumn="0" w:firstRowLastColumn="0" w:lastRowFirstColumn="0" w:lastRowLastColumn="0"/>
            <w:tcW w:w="2609" w:type="dxa"/>
          </w:tcPr>
          <w:p w14:paraId="704B186D" w14:textId="77777777" w:rsidR="00EA3AD6" w:rsidRPr="000A466E" w:rsidRDefault="00EA3AD6" w:rsidP="00CE22DE">
            <w:pPr>
              <w:jc w:val="left"/>
              <w:rPr>
                <w:sz w:val="18"/>
                <w:szCs w:val="18"/>
              </w:rPr>
            </w:pPr>
            <w:r w:rsidRPr="000A466E">
              <w:rPr>
                <w:sz w:val="18"/>
                <w:szCs w:val="18"/>
              </w:rPr>
              <w:t>$200,000 – 209,999</w:t>
            </w:r>
          </w:p>
        </w:tc>
        <w:tc>
          <w:tcPr>
            <w:cnfStyle w:val="000001000000" w:firstRow="0" w:lastRow="0" w:firstColumn="0" w:lastColumn="0" w:oddVBand="0" w:evenVBand="1" w:oddHBand="0" w:evenHBand="0" w:firstRowFirstColumn="0" w:firstRowLastColumn="0" w:lastRowFirstColumn="0" w:lastRowLastColumn="0"/>
            <w:tcW w:w="1701" w:type="dxa"/>
            <w:shd w:val="clear" w:color="auto" w:fill="E3EBF4" w:themeFill="accent3" w:themeFillTint="33"/>
          </w:tcPr>
          <w:p w14:paraId="0BF50D0E" w14:textId="77777777" w:rsidR="00EA3AD6" w:rsidRPr="000A466E" w:rsidRDefault="00EA3AD6" w:rsidP="008A70AF">
            <w:pPr>
              <w:rPr>
                <w:sz w:val="18"/>
                <w:szCs w:val="18"/>
              </w:rPr>
            </w:pPr>
            <w:r w:rsidRPr="000A466E">
              <w:rPr>
                <w:sz w:val="18"/>
                <w:szCs w:val="18"/>
              </w:rPr>
              <w:t>1</w:t>
            </w:r>
          </w:p>
        </w:tc>
        <w:tc>
          <w:tcPr>
            <w:cnfStyle w:val="000010000000" w:firstRow="0" w:lastRow="0" w:firstColumn="0" w:lastColumn="0" w:oddVBand="1" w:evenVBand="0" w:oddHBand="0" w:evenHBand="0" w:firstRowFirstColumn="0" w:firstRowLastColumn="0" w:lastRowFirstColumn="0" w:lastRowLastColumn="0"/>
            <w:tcW w:w="1559" w:type="dxa"/>
          </w:tcPr>
          <w:p w14:paraId="53028483" w14:textId="77777777" w:rsidR="00EA3AD6" w:rsidRPr="000A466E" w:rsidRDefault="00EA3AD6" w:rsidP="008A70AF">
            <w:pPr>
              <w:rPr>
                <w:sz w:val="18"/>
                <w:szCs w:val="18"/>
              </w:rPr>
            </w:pPr>
            <w:r w:rsidRPr="000A466E">
              <w:rPr>
                <w:sz w:val="18"/>
                <w:szCs w:val="18"/>
              </w:rPr>
              <w:t>3</w:t>
            </w:r>
          </w:p>
        </w:tc>
        <w:tc>
          <w:tcPr>
            <w:cnfStyle w:val="000001000000" w:firstRow="0" w:lastRow="0" w:firstColumn="0" w:lastColumn="0" w:oddVBand="0" w:evenVBand="1" w:oddHBand="0" w:evenHBand="0" w:firstRowFirstColumn="0" w:firstRowLastColumn="0" w:lastRowFirstColumn="0" w:lastRowLastColumn="0"/>
            <w:tcW w:w="1701" w:type="dxa"/>
            <w:shd w:val="clear" w:color="auto" w:fill="E3EBF4" w:themeFill="accent3" w:themeFillTint="33"/>
          </w:tcPr>
          <w:p w14:paraId="22A278CC" w14:textId="77777777" w:rsidR="00EA3AD6" w:rsidRPr="000A466E" w:rsidRDefault="00EA3AD6" w:rsidP="008A70AF">
            <w:pPr>
              <w:rPr>
                <w:sz w:val="18"/>
                <w:szCs w:val="18"/>
              </w:rPr>
            </w:pPr>
            <w:r w:rsidRPr="000A466E">
              <w:rPr>
                <w:sz w:val="18"/>
                <w:szCs w:val="18"/>
              </w:rPr>
              <w:t>0</w:t>
            </w:r>
          </w:p>
        </w:tc>
        <w:tc>
          <w:tcPr>
            <w:cnfStyle w:val="000010000000" w:firstRow="0" w:lastRow="0" w:firstColumn="0" w:lastColumn="0" w:oddVBand="1" w:evenVBand="0" w:oddHBand="0" w:evenHBand="0" w:firstRowFirstColumn="0" w:firstRowLastColumn="0" w:lastRowFirstColumn="0" w:lastRowLastColumn="0"/>
            <w:tcW w:w="1570" w:type="dxa"/>
          </w:tcPr>
          <w:p w14:paraId="4E00F077" w14:textId="77777777" w:rsidR="00EA3AD6" w:rsidRPr="000A466E" w:rsidRDefault="00EA3AD6" w:rsidP="008A70AF">
            <w:pPr>
              <w:rPr>
                <w:sz w:val="18"/>
                <w:szCs w:val="18"/>
              </w:rPr>
            </w:pPr>
            <w:r w:rsidRPr="000A466E">
              <w:rPr>
                <w:sz w:val="18"/>
                <w:szCs w:val="18"/>
              </w:rPr>
              <w:t>0</w:t>
            </w:r>
          </w:p>
        </w:tc>
      </w:tr>
      <w:tr w:rsidR="00EA3AD6" w14:paraId="2718473A" w14:textId="77777777" w:rsidTr="000A466E">
        <w:tc>
          <w:tcPr>
            <w:cnfStyle w:val="000010000000" w:firstRow="0" w:lastRow="0" w:firstColumn="0" w:lastColumn="0" w:oddVBand="1" w:evenVBand="0" w:oddHBand="0" w:evenHBand="0" w:firstRowFirstColumn="0" w:firstRowLastColumn="0" w:lastRowFirstColumn="0" w:lastRowLastColumn="0"/>
            <w:tcW w:w="2609" w:type="dxa"/>
            <w:tcBorders>
              <w:bottom w:val="single" w:sz="4" w:space="0" w:color="auto"/>
            </w:tcBorders>
          </w:tcPr>
          <w:p w14:paraId="06548219" w14:textId="77777777" w:rsidR="00EA3AD6" w:rsidRPr="000A466E" w:rsidRDefault="00EA3AD6" w:rsidP="00CE22DE">
            <w:pPr>
              <w:jc w:val="left"/>
              <w:rPr>
                <w:sz w:val="18"/>
                <w:szCs w:val="18"/>
              </w:rPr>
            </w:pPr>
            <w:r w:rsidRPr="000A466E">
              <w:rPr>
                <w:sz w:val="18"/>
                <w:szCs w:val="18"/>
              </w:rPr>
              <w:t>$250,000 – 259,999</w:t>
            </w:r>
          </w:p>
        </w:tc>
        <w:tc>
          <w:tcPr>
            <w:cnfStyle w:val="000001000000" w:firstRow="0" w:lastRow="0" w:firstColumn="0" w:lastColumn="0" w:oddVBand="0" w:evenVBand="1" w:oddHBand="0" w:evenHBand="0" w:firstRowFirstColumn="0" w:firstRowLastColumn="0" w:lastRowFirstColumn="0" w:lastRowLastColumn="0"/>
            <w:tcW w:w="1701" w:type="dxa"/>
            <w:tcBorders>
              <w:bottom w:val="single" w:sz="4" w:space="0" w:color="auto"/>
            </w:tcBorders>
            <w:shd w:val="clear" w:color="auto" w:fill="E3EBF4" w:themeFill="accent3" w:themeFillTint="33"/>
          </w:tcPr>
          <w:p w14:paraId="730FB2A0" w14:textId="77777777" w:rsidR="00EA3AD6" w:rsidRPr="000A466E" w:rsidRDefault="00EA3AD6" w:rsidP="008A70AF">
            <w:pPr>
              <w:rPr>
                <w:sz w:val="18"/>
                <w:szCs w:val="18"/>
              </w:rPr>
            </w:pPr>
            <w:r w:rsidRPr="000A466E">
              <w:rPr>
                <w:sz w:val="18"/>
                <w:szCs w:val="18"/>
              </w:rPr>
              <w:t>2</w:t>
            </w:r>
          </w:p>
        </w:tc>
        <w:tc>
          <w:tcPr>
            <w:cnfStyle w:val="000010000000" w:firstRow="0" w:lastRow="0" w:firstColumn="0" w:lastColumn="0" w:oddVBand="1" w:evenVBand="0" w:oddHBand="0" w:evenHBand="0" w:firstRowFirstColumn="0" w:firstRowLastColumn="0" w:lastRowFirstColumn="0" w:lastRowLastColumn="0"/>
            <w:tcW w:w="1559" w:type="dxa"/>
            <w:tcBorders>
              <w:bottom w:val="single" w:sz="4" w:space="0" w:color="auto"/>
            </w:tcBorders>
          </w:tcPr>
          <w:p w14:paraId="3C449125" w14:textId="77777777" w:rsidR="00EA3AD6" w:rsidRPr="000A466E" w:rsidRDefault="00602E6B" w:rsidP="008A70AF">
            <w:pPr>
              <w:rPr>
                <w:sz w:val="18"/>
                <w:szCs w:val="18"/>
              </w:rPr>
            </w:pPr>
            <w:r w:rsidRPr="000A466E">
              <w:rPr>
                <w:sz w:val="18"/>
                <w:szCs w:val="18"/>
              </w:rPr>
              <w:t>1</w:t>
            </w:r>
          </w:p>
        </w:tc>
        <w:tc>
          <w:tcPr>
            <w:cnfStyle w:val="000001000000" w:firstRow="0" w:lastRow="0" w:firstColumn="0" w:lastColumn="0" w:oddVBand="0" w:evenVBand="1" w:oddHBand="0" w:evenHBand="0" w:firstRowFirstColumn="0" w:firstRowLastColumn="0" w:lastRowFirstColumn="0" w:lastRowLastColumn="0"/>
            <w:tcW w:w="1701" w:type="dxa"/>
            <w:tcBorders>
              <w:bottom w:val="single" w:sz="4" w:space="0" w:color="auto"/>
            </w:tcBorders>
            <w:shd w:val="clear" w:color="auto" w:fill="E3EBF4" w:themeFill="accent3" w:themeFillTint="33"/>
          </w:tcPr>
          <w:p w14:paraId="2D811D5F" w14:textId="77777777" w:rsidR="00EA3AD6" w:rsidRPr="000A466E" w:rsidRDefault="00EA3AD6" w:rsidP="008A70AF">
            <w:pPr>
              <w:rPr>
                <w:sz w:val="18"/>
                <w:szCs w:val="18"/>
              </w:rPr>
            </w:pPr>
            <w:r w:rsidRPr="000A466E">
              <w:rPr>
                <w:sz w:val="18"/>
                <w:szCs w:val="18"/>
              </w:rPr>
              <w:t>1</w:t>
            </w:r>
          </w:p>
        </w:tc>
        <w:tc>
          <w:tcPr>
            <w:cnfStyle w:val="000010000000" w:firstRow="0" w:lastRow="0" w:firstColumn="0" w:lastColumn="0" w:oddVBand="1" w:evenVBand="0" w:oddHBand="0" w:evenHBand="0" w:firstRowFirstColumn="0" w:firstRowLastColumn="0" w:lastRowFirstColumn="0" w:lastRowLastColumn="0"/>
            <w:tcW w:w="1570" w:type="dxa"/>
            <w:tcBorders>
              <w:bottom w:val="single" w:sz="4" w:space="0" w:color="auto"/>
            </w:tcBorders>
          </w:tcPr>
          <w:p w14:paraId="4D5092B0" w14:textId="77777777" w:rsidR="00EA3AD6" w:rsidRPr="000A466E" w:rsidRDefault="00EA3AD6" w:rsidP="008A70AF">
            <w:pPr>
              <w:rPr>
                <w:sz w:val="18"/>
                <w:szCs w:val="18"/>
              </w:rPr>
            </w:pPr>
            <w:r w:rsidRPr="000A466E">
              <w:rPr>
                <w:sz w:val="18"/>
                <w:szCs w:val="18"/>
              </w:rPr>
              <w:t>0</w:t>
            </w:r>
          </w:p>
        </w:tc>
      </w:tr>
      <w:tr w:rsidR="00EA3AD6" w14:paraId="1C60DDC9" w14:textId="77777777" w:rsidTr="000A466E">
        <w:tc>
          <w:tcPr>
            <w:cnfStyle w:val="000010000000" w:firstRow="0" w:lastRow="0" w:firstColumn="0" w:lastColumn="0" w:oddVBand="1" w:evenVBand="0" w:oddHBand="0" w:evenHBand="0" w:firstRowFirstColumn="0" w:firstRowLastColumn="0" w:lastRowFirstColumn="0" w:lastRowLastColumn="0"/>
            <w:tcW w:w="2609" w:type="dxa"/>
            <w:tcBorders>
              <w:top w:val="single" w:sz="4" w:space="0" w:color="auto"/>
              <w:bottom w:val="single" w:sz="4" w:space="0" w:color="auto"/>
            </w:tcBorders>
          </w:tcPr>
          <w:p w14:paraId="69713503" w14:textId="77777777" w:rsidR="00EA3AD6" w:rsidRPr="000A466E" w:rsidRDefault="00EA3AD6" w:rsidP="00CE22DE">
            <w:pPr>
              <w:jc w:val="left"/>
              <w:rPr>
                <w:b/>
                <w:sz w:val="18"/>
                <w:szCs w:val="18"/>
              </w:rPr>
            </w:pPr>
            <w:r w:rsidRPr="000A466E">
              <w:rPr>
                <w:b/>
                <w:sz w:val="18"/>
                <w:szCs w:val="18"/>
              </w:rPr>
              <w:t>Total number of executives</w:t>
            </w:r>
          </w:p>
        </w:tc>
        <w:tc>
          <w:tcPr>
            <w:cnfStyle w:val="000001000000" w:firstRow="0" w:lastRow="0" w:firstColumn="0" w:lastColumn="0" w:oddVBand="0" w:evenVBand="1" w:oddHBand="0" w:evenHBand="0" w:firstRowFirstColumn="0" w:firstRowLastColumn="0" w:lastRowFirstColumn="0" w:lastRowLastColumn="0"/>
            <w:tcW w:w="1701" w:type="dxa"/>
            <w:tcBorders>
              <w:top w:val="single" w:sz="4" w:space="0" w:color="auto"/>
              <w:bottom w:val="single" w:sz="4" w:space="0" w:color="auto"/>
            </w:tcBorders>
            <w:shd w:val="clear" w:color="auto" w:fill="E3EBF4" w:themeFill="accent3" w:themeFillTint="33"/>
          </w:tcPr>
          <w:p w14:paraId="370BB617" w14:textId="77777777" w:rsidR="00EA3AD6" w:rsidRPr="000A466E" w:rsidRDefault="00602E6B" w:rsidP="008A70AF">
            <w:pPr>
              <w:rPr>
                <w:sz w:val="18"/>
                <w:szCs w:val="18"/>
                <w:highlight w:val="yellow"/>
              </w:rPr>
            </w:pPr>
            <w:r w:rsidRPr="000A466E">
              <w:rPr>
                <w:sz w:val="18"/>
                <w:szCs w:val="18"/>
              </w:rPr>
              <w:t>5</w:t>
            </w:r>
            <w:r w:rsidR="00EA3AD6" w:rsidRPr="000A466E">
              <w:rPr>
                <w:sz w:val="18"/>
                <w:szCs w:val="18"/>
              </w:rPr>
              <w:t>5</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bottom w:val="single" w:sz="4" w:space="0" w:color="auto"/>
            </w:tcBorders>
          </w:tcPr>
          <w:p w14:paraId="57556FD0" w14:textId="77777777" w:rsidR="00EA3AD6" w:rsidRPr="000A466E" w:rsidRDefault="00602E6B" w:rsidP="00602E6B">
            <w:pPr>
              <w:rPr>
                <w:sz w:val="18"/>
                <w:szCs w:val="18"/>
                <w:highlight w:val="yellow"/>
              </w:rPr>
            </w:pPr>
            <w:r w:rsidRPr="000A466E">
              <w:rPr>
                <w:sz w:val="18"/>
                <w:szCs w:val="18"/>
              </w:rPr>
              <w:t>56</w:t>
            </w:r>
          </w:p>
        </w:tc>
        <w:tc>
          <w:tcPr>
            <w:cnfStyle w:val="000001000000" w:firstRow="0" w:lastRow="0" w:firstColumn="0" w:lastColumn="0" w:oddVBand="0" w:evenVBand="1" w:oddHBand="0" w:evenHBand="0" w:firstRowFirstColumn="0" w:firstRowLastColumn="0" w:lastRowFirstColumn="0" w:lastRowLastColumn="0"/>
            <w:tcW w:w="1701" w:type="dxa"/>
            <w:tcBorders>
              <w:top w:val="single" w:sz="4" w:space="0" w:color="auto"/>
              <w:bottom w:val="single" w:sz="4" w:space="0" w:color="auto"/>
            </w:tcBorders>
            <w:shd w:val="clear" w:color="auto" w:fill="E3EBF4" w:themeFill="accent3" w:themeFillTint="33"/>
          </w:tcPr>
          <w:p w14:paraId="03AF6824" w14:textId="77777777" w:rsidR="00EA3AD6" w:rsidRPr="000A466E" w:rsidRDefault="00602E6B" w:rsidP="00602E6B">
            <w:pPr>
              <w:rPr>
                <w:sz w:val="18"/>
                <w:szCs w:val="18"/>
              </w:rPr>
            </w:pPr>
            <w:r w:rsidRPr="000A466E">
              <w:rPr>
                <w:sz w:val="18"/>
                <w:szCs w:val="18"/>
              </w:rPr>
              <w:t>55</w:t>
            </w:r>
          </w:p>
        </w:tc>
        <w:tc>
          <w:tcPr>
            <w:cnfStyle w:val="000010000000" w:firstRow="0" w:lastRow="0" w:firstColumn="0" w:lastColumn="0" w:oddVBand="1" w:evenVBand="0" w:oddHBand="0" w:evenHBand="0" w:firstRowFirstColumn="0" w:firstRowLastColumn="0" w:lastRowFirstColumn="0" w:lastRowLastColumn="0"/>
            <w:tcW w:w="1570" w:type="dxa"/>
            <w:tcBorders>
              <w:top w:val="single" w:sz="4" w:space="0" w:color="auto"/>
              <w:bottom w:val="single" w:sz="4" w:space="0" w:color="auto"/>
            </w:tcBorders>
          </w:tcPr>
          <w:p w14:paraId="7B3ADDEE" w14:textId="77777777" w:rsidR="00EA3AD6" w:rsidRPr="000A466E" w:rsidRDefault="00602E6B" w:rsidP="00602E6B">
            <w:pPr>
              <w:rPr>
                <w:sz w:val="18"/>
                <w:szCs w:val="18"/>
              </w:rPr>
            </w:pPr>
            <w:r w:rsidRPr="000A466E">
              <w:rPr>
                <w:sz w:val="18"/>
                <w:szCs w:val="18"/>
              </w:rPr>
              <w:t>56</w:t>
            </w:r>
          </w:p>
        </w:tc>
      </w:tr>
      <w:tr w:rsidR="00EA3AD6" w14:paraId="2B5209BB" w14:textId="77777777" w:rsidTr="000A466E">
        <w:tc>
          <w:tcPr>
            <w:cnfStyle w:val="000010000000" w:firstRow="0" w:lastRow="0" w:firstColumn="0" w:lastColumn="0" w:oddVBand="1" w:evenVBand="0" w:oddHBand="0" w:evenHBand="0" w:firstRowFirstColumn="0" w:firstRowLastColumn="0" w:lastRowFirstColumn="0" w:lastRowLastColumn="0"/>
            <w:tcW w:w="2609" w:type="dxa"/>
            <w:tcBorders>
              <w:top w:val="single" w:sz="4" w:space="0" w:color="auto"/>
              <w:bottom w:val="single" w:sz="4" w:space="0" w:color="auto"/>
            </w:tcBorders>
          </w:tcPr>
          <w:p w14:paraId="4B293844" w14:textId="77777777" w:rsidR="00EA3AD6" w:rsidRPr="000A466E" w:rsidRDefault="00EA3AD6" w:rsidP="00CE22DE">
            <w:pPr>
              <w:jc w:val="left"/>
              <w:rPr>
                <w:b/>
                <w:sz w:val="18"/>
                <w:szCs w:val="18"/>
              </w:rPr>
            </w:pPr>
            <w:r w:rsidRPr="000A466E">
              <w:rPr>
                <w:b/>
                <w:sz w:val="18"/>
                <w:szCs w:val="18"/>
              </w:rPr>
              <w:t>Total annualised employee equivalents (AEE)</w:t>
            </w:r>
          </w:p>
        </w:tc>
        <w:tc>
          <w:tcPr>
            <w:cnfStyle w:val="000001000000" w:firstRow="0" w:lastRow="0" w:firstColumn="0" w:lastColumn="0" w:oddVBand="0" w:evenVBand="1" w:oddHBand="0" w:evenHBand="0" w:firstRowFirstColumn="0" w:firstRowLastColumn="0" w:lastRowFirstColumn="0" w:lastRowLastColumn="0"/>
            <w:tcW w:w="1701" w:type="dxa"/>
            <w:tcBorders>
              <w:top w:val="single" w:sz="4" w:space="0" w:color="auto"/>
              <w:bottom w:val="single" w:sz="4" w:space="0" w:color="auto"/>
            </w:tcBorders>
            <w:shd w:val="clear" w:color="auto" w:fill="E3EBF4" w:themeFill="accent3" w:themeFillTint="33"/>
          </w:tcPr>
          <w:p w14:paraId="07607727" w14:textId="77777777" w:rsidR="00EA3AD6" w:rsidRPr="000A466E" w:rsidRDefault="00EA3AD6" w:rsidP="008A70AF">
            <w:pPr>
              <w:rPr>
                <w:sz w:val="18"/>
                <w:szCs w:val="18"/>
              </w:rPr>
            </w:pPr>
            <w:r w:rsidRPr="000A466E">
              <w:rPr>
                <w:sz w:val="18"/>
                <w:szCs w:val="18"/>
              </w:rPr>
              <w:t>55.2</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bottom w:val="single" w:sz="4" w:space="0" w:color="auto"/>
            </w:tcBorders>
          </w:tcPr>
          <w:p w14:paraId="1AC7BC9B" w14:textId="77777777" w:rsidR="00EA3AD6" w:rsidRPr="000A466E" w:rsidRDefault="00EA3AD6" w:rsidP="008A70AF">
            <w:pPr>
              <w:rPr>
                <w:sz w:val="18"/>
                <w:szCs w:val="18"/>
              </w:rPr>
            </w:pPr>
            <w:r w:rsidRPr="000A466E">
              <w:rPr>
                <w:sz w:val="18"/>
                <w:szCs w:val="18"/>
              </w:rPr>
              <w:t>51.8</w:t>
            </w:r>
          </w:p>
        </w:tc>
        <w:tc>
          <w:tcPr>
            <w:cnfStyle w:val="000001000000" w:firstRow="0" w:lastRow="0" w:firstColumn="0" w:lastColumn="0" w:oddVBand="0" w:evenVBand="1" w:oddHBand="0" w:evenHBand="0" w:firstRowFirstColumn="0" w:firstRowLastColumn="0" w:lastRowFirstColumn="0" w:lastRowLastColumn="0"/>
            <w:tcW w:w="1701" w:type="dxa"/>
            <w:tcBorders>
              <w:top w:val="single" w:sz="4" w:space="0" w:color="auto"/>
              <w:bottom w:val="single" w:sz="4" w:space="0" w:color="auto"/>
            </w:tcBorders>
            <w:shd w:val="clear" w:color="auto" w:fill="E3EBF4" w:themeFill="accent3" w:themeFillTint="33"/>
          </w:tcPr>
          <w:p w14:paraId="7B9B4AF1" w14:textId="77777777" w:rsidR="00EA3AD6" w:rsidRPr="000A466E" w:rsidRDefault="00EA3AD6" w:rsidP="008A70AF">
            <w:pPr>
              <w:rPr>
                <w:sz w:val="18"/>
                <w:szCs w:val="18"/>
              </w:rPr>
            </w:pPr>
            <w:r w:rsidRPr="000A466E">
              <w:rPr>
                <w:sz w:val="18"/>
                <w:szCs w:val="18"/>
              </w:rPr>
              <w:t>55.2</w:t>
            </w:r>
          </w:p>
        </w:tc>
        <w:tc>
          <w:tcPr>
            <w:cnfStyle w:val="000010000000" w:firstRow="0" w:lastRow="0" w:firstColumn="0" w:lastColumn="0" w:oddVBand="1" w:evenVBand="0" w:oddHBand="0" w:evenHBand="0" w:firstRowFirstColumn="0" w:firstRowLastColumn="0" w:lastRowFirstColumn="0" w:lastRowLastColumn="0"/>
            <w:tcW w:w="1570" w:type="dxa"/>
            <w:tcBorders>
              <w:top w:val="single" w:sz="4" w:space="0" w:color="auto"/>
              <w:bottom w:val="single" w:sz="4" w:space="0" w:color="auto"/>
            </w:tcBorders>
          </w:tcPr>
          <w:p w14:paraId="0F96E814" w14:textId="77777777" w:rsidR="00EA3AD6" w:rsidRPr="000A466E" w:rsidRDefault="00EA3AD6" w:rsidP="008A70AF">
            <w:pPr>
              <w:rPr>
                <w:sz w:val="18"/>
                <w:szCs w:val="18"/>
              </w:rPr>
            </w:pPr>
            <w:r w:rsidRPr="000A466E">
              <w:rPr>
                <w:sz w:val="18"/>
                <w:szCs w:val="18"/>
              </w:rPr>
              <w:t>51.8</w:t>
            </w:r>
          </w:p>
        </w:tc>
      </w:tr>
      <w:tr w:rsidR="00EA3AD6" w14:paraId="577B03B1" w14:textId="77777777" w:rsidTr="000A466E">
        <w:trPr>
          <w:cnfStyle w:val="010000000000" w:firstRow="0" w:lastRow="1"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9" w:type="dxa"/>
            <w:tcBorders>
              <w:top w:val="single" w:sz="4" w:space="0" w:color="auto"/>
              <w:bottom w:val="single" w:sz="4" w:space="0" w:color="auto"/>
            </w:tcBorders>
          </w:tcPr>
          <w:p w14:paraId="054C02D6" w14:textId="77777777" w:rsidR="00EA3AD6" w:rsidRPr="000A466E" w:rsidRDefault="00EA3AD6" w:rsidP="0087099D">
            <w:pPr>
              <w:jc w:val="left"/>
              <w:rPr>
                <w:sz w:val="18"/>
                <w:szCs w:val="18"/>
              </w:rPr>
            </w:pPr>
            <w:r w:rsidRPr="000A466E">
              <w:rPr>
                <w:sz w:val="18"/>
                <w:szCs w:val="18"/>
              </w:rPr>
              <w:t>Total remuneration</w:t>
            </w:r>
          </w:p>
        </w:tc>
        <w:tc>
          <w:tcPr>
            <w:cnfStyle w:val="000001000000" w:firstRow="0" w:lastRow="0" w:firstColumn="0" w:lastColumn="0" w:oddVBand="0" w:evenVBand="1" w:oddHBand="0" w:evenHBand="0" w:firstRowFirstColumn="0" w:firstRowLastColumn="0" w:lastRowFirstColumn="0" w:lastRowLastColumn="0"/>
            <w:tcW w:w="1701" w:type="dxa"/>
            <w:tcBorders>
              <w:top w:val="single" w:sz="4" w:space="0" w:color="auto"/>
              <w:bottom w:val="single" w:sz="4" w:space="0" w:color="auto"/>
            </w:tcBorders>
            <w:shd w:val="clear" w:color="auto" w:fill="E3EBF4" w:themeFill="accent3" w:themeFillTint="33"/>
          </w:tcPr>
          <w:p w14:paraId="50156C2F" w14:textId="77777777" w:rsidR="00EA3AD6" w:rsidRPr="000A466E" w:rsidRDefault="00980AEB" w:rsidP="008A70AF">
            <w:pPr>
              <w:rPr>
                <w:sz w:val="18"/>
                <w:szCs w:val="18"/>
              </w:rPr>
            </w:pPr>
            <w:r>
              <w:rPr>
                <w:sz w:val="18"/>
                <w:szCs w:val="18"/>
              </w:rPr>
              <w:t xml:space="preserve">$8 915 </w:t>
            </w:r>
            <w:r w:rsidR="00B2178D" w:rsidRPr="000A466E">
              <w:rPr>
                <w:sz w:val="18"/>
                <w:szCs w:val="18"/>
              </w:rPr>
              <w:t>851</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bottom w:val="single" w:sz="4" w:space="0" w:color="auto"/>
            </w:tcBorders>
          </w:tcPr>
          <w:p w14:paraId="60E439DD" w14:textId="77777777" w:rsidR="00EA3AD6" w:rsidRPr="000A466E" w:rsidRDefault="00980AEB" w:rsidP="008A70AF">
            <w:pPr>
              <w:rPr>
                <w:sz w:val="18"/>
                <w:szCs w:val="18"/>
              </w:rPr>
            </w:pPr>
            <w:r>
              <w:rPr>
                <w:sz w:val="18"/>
                <w:szCs w:val="18"/>
              </w:rPr>
              <w:t xml:space="preserve">$7 303 </w:t>
            </w:r>
            <w:r w:rsidR="00B2178D" w:rsidRPr="000A466E">
              <w:rPr>
                <w:sz w:val="18"/>
                <w:szCs w:val="18"/>
              </w:rPr>
              <w:t>964</w:t>
            </w:r>
          </w:p>
        </w:tc>
        <w:tc>
          <w:tcPr>
            <w:cnfStyle w:val="000001000000" w:firstRow="0" w:lastRow="0" w:firstColumn="0" w:lastColumn="0" w:oddVBand="0" w:evenVBand="1" w:oddHBand="0" w:evenHBand="0" w:firstRowFirstColumn="0" w:firstRowLastColumn="0" w:lastRowFirstColumn="0" w:lastRowLastColumn="0"/>
            <w:tcW w:w="1701" w:type="dxa"/>
            <w:tcBorders>
              <w:top w:val="single" w:sz="4" w:space="0" w:color="auto"/>
              <w:bottom w:val="single" w:sz="4" w:space="0" w:color="auto"/>
            </w:tcBorders>
            <w:shd w:val="clear" w:color="auto" w:fill="E3EBF4" w:themeFill="accent3" w:themeFillTint="33"/>
          </w:tcPr>
          <w:p w14:paraId="2E8CB79E" w14:textId="77777777" w:rsidR="00EA3AD6" w:rsidRPr="000A466E" w:rsidRDefault="00980AEB" w:rsidP="008A70AF">
            <w:pPr>
              <w:rPr>
                <w:sz w:val="18"/>
                <w:szCs w:val="18"/>
              </w:rPr>
            </w:pPr>
            <w:r>
              <w:rPr>
                <w:sz w:val="18"/>
                <w:szCs w:val="18"/>
              </w:rPr>
              <w:t xml:space="preserve">$7 287 </w:t>
            </w:r>
            <w:r w:rsidR="00B2178D" w:rsidRPr="000A466E">
              <w:rPr>
                <w:sz w:val="18"/>
                <w:szCs w:val="18"/>
              </w:rPr>
              <w:t>310</w:t>
            </w:r>
          </w:p>
        </w:tc>
        <w:tc>
          <w:tcPr>
            <w:cnfStyle w:val="000010000000" w:firstRow="0" w:lastRow="0" w:firstColumn="0" w:lastColumn="0" w:oddVBand="1" w:evenVBand="0" w:oddHBand="0" w:evenHBand="0" w:firstRowFirstColumn="0" w:firstRowLastColumn="0" w:lastRowFirstColumn="0" w:lastRowLastColumn="0"/>
            <w:tcW w:w="1570" w:type="dxa"/>
            <w:tcBorders>
              <w:top w:val="single" w:sz="4" w:space="0" w:color="auto"/>
              <w:bottom w:val="single" w:sz="4" w:space="0" w:color="auto"/>
            </w:tcBorders>
          </w:tcPr>
          <w:p w14:paraId="676CE430" w14:textId="77777777" w:rsidR="00EA3AD6" w:rsidRPr="000A466E" w:rsidRDefault="00980AEB" w:rsidP="008A70AF">
            <w:pPr>
              <w:rPr>
                <w:sz w:val="18"/>
                <w:szCs w:val="18"/>
              </w:rPr>
            </w:pPr>
            <w:r>
              <w:rPr>
                <w:sz w:val="18"/>
                <w:szCs w:val="18"/>
              </w:rPr>
              <w:t xml:space="preserve">$6 383 </w:t>
            </w:r>
            <w:r w:rsidR="00B2178D" w:rsidRPr="000A466E">
              <w:rPr>
                <w:sz w:val="18"/>
                <w:szCs w:val="18"/>
              </w:rPr>
              <w:t>420</w:t>
            </w:r>
          </w:p>
        </w:tc>
      </w:tr>
    </w:tbl>
    <w:p w14:paraId="2549799D" w14:textId="77777777" w:rsidR="00BD011C" w:rsidRDefault="00BD011C" w:rsidP="00A16748">
      <w:pPr>
        <w:pStyle w:val="Heading4"/>
        <w:rPr>
          <w:color w:val="auto"/>
          <w:sz w:val="22"/>
          <w:szCs w:val="22"/>
        </w:rPr>
        <w:sectPr w:rsidR="00BD011C" w:rsidSect="003174A6">
          <w:headerReference w:type="even" r:id="rId9"/>
          <w:headerReference w:type="default" r:id="rId10"/>
          <w:footerReference w:type="even" r:id="rId11"/>
          <w:footerReference w:type="default" r:id="rId12"/>
          <w:headerReference w:type="first" r:id="rId13"/>
          <w:footerReference w:type="first" r:id="rId14"/>
          <w:pgSz w:w="11906" w:h="16838" w:code="9"/>
          <w:pgMar w:top="1985" w:right="1440" w:bottom="1135" w:left="1440" w:header="706" w:footer="461" w:gutter="0"/>
          <w:cols w:space="708"/>
          <w:docGrid w:linePitch="360"/>
        </w:sectPr>
      </w:pPr>
    </w:p>
    <w:p w14:paraId="0ECB4D7C" w14:textId="77777777" w:rsidR="00C36704" w:rsidRPr="00A323BC" w:rsidRDefault="008523BA" w:rsidP="00A16748">
      <w:pPr>
        <w:pStyle w:val="Heading4"/>
        <w:rPr>
          <w:color w:val="auto"/>
          <w:sz w:val="22"/>
          <w:szCs w:val="22"/>
        </w:rPr>
      </w:pPr>
      <w:r w:rsidRPr="00A323BC">
        <w:rPr>
          <w:color w:val="auto"/>
          <w:sz w:val="22"/>
          <w:szCs w:val="22"/>
        </w:rPr>
        <w:lastRenderedPageBreak/>
        <w:t>Revised</w:t>
      </w:r>
      <w:r w:rsidR="00C36704" w:rsidRPr="00A323BC">
        <w:rPr>
          <w:color w:val="auto"/>
          <w:sz w:val="22"/>
          <w:szCs w:val="22"/>
        </w:rPr>
        <w:t xml:space="preserve"> disclosure in the financial statements</w:t>
      </w:r>
    </w:p>
    <w:p w14:paraId="453305FF" w14:textId="754004C7" w:rsidR="004D649B" w:rsidRPr="004D649B" w:rsidRDefault="008523BA" w:rsidP="0007339B">
      <w:pPr>
        <w:rPr>
          <w:b/>
          <w:sz w:val="4"/>
          <w:szCs w:val="4"/>
        </w:rPr>
      </w:pPr>
      <w:r>
        <w:t>R</w:t>
      </w:r>
      <w:r w:rsidR="00CD1102" w:rsidRPr="007F411F">
        <w:t>emuneration</w:t>
      </w:r>
      <w:r>
        <w:t xml:space="preserve"> under FRD 21C</w:t>
      </w:r>
      <w:r w:rsidR="00CD1102" w:rsidRPr="007F411F">
        <w:t xml:space="preserve"> </w:t>
      </w:r>
      <w:r w:rsidR="00AB5EC7">
        <w:t>is</w:t>
      </w:r>
      <w:r w:rsidR="00CD1102" w:rsidRPr="007F411F">
        <w:t xml:space="preserve"> disaggregated and </w:t>
      </w:r>
      <w:r w:rsidR="00CD1102">
        <w:t>separately disclosed</w:t>
      </w:r>
      <w:r w:rsidR="005B41B3">
        <w:t xml:space="preserve"> according to the nature of the payment</w:t>
      </w:r>
      <w:r>
        <w:t>, consistent with the requirements of AASB 124</w:t>
      </w:r>
      <w:r w:rsidR="00CD1102" w:rsidRPr="007F411F">
        <w:t xml:space="preserve">. The following table </w:t>
      </w:r>
      <w:r w:rsidR="005B41B3">
        <w:t>illustrate</w:t>
      </w:r>
      <w:r w:rsidR="00CD1102" w:rsidRPr="007F411F">
        <w:t xml:space="preserve">s the </w:t>
      </w:r>
      <w:r w:rsidR="005B41B3">
        <w:t xml:space="preserve">proposed note </w:t>
      </w:r>
      <w:r w:rsidR="00CD1102" w:rsidRPr="007F411F">
        <w:t xml:space="preserve">disclosure </w:t>
      </w:r>
      <w:r w:rsidR="00CD1102">
        <w:t xml:space="preserve">in </w:t>
      </w:r>
      <w:r w:rsidR="005B41B3">
        <w:t xml:space="preserve">the </w:t>
      </w:r>
      <w:r w:rsidR="00CD1102">
        <w:t>financi</w:t>
      </w:r>
      <w:r w:rsidR="00CD1102" w:rsidRPr="007F411F">
        <w:t>al statements</w:t>
      </w:r>
      <w:r w:rsidR="00CD1102">
        <w:t xml:space="preserve">: </w:t>
      </w:r>
    </w:p>
    <w:tbl>
      <w:tblPr>
        <w:tblStyle w:val="TableGrid"/>
        <w:tblW w:w="9072" w:type="dxa"/>
        <w:tblInd w:w="57" w:type="dxa"/>
        <w:tblLook w:val="0260" w:firstRow="1" w:lastRow="1" w:firstColumn="0" w:lastColumn="0" w:noHBand="1" w:noVBand="0"/>
      </w:tblPr>
      <w:tblGrid>
        <w:gridCol w:w="4395"/>
        <w:gridCol w:w="2409"/>
        <w:gridCol w:w="2268"/>
      </w:tblGrid>
      <w:tr w:rsidR="00F777B4" w:rsidRPr="004D649B" w14:paraId="17C059D3" w14:textId="77777777" w:rsidTr="00ED7F1B">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95" w:type="dxa"/>
          </w:tcPr>
          <w:p w14:paraId="5179D244" w14:textId="77777777" w:rsidR="00F777B4" w:rsidRPr="000A466E" w:rsidRDefault="00F777B4" w:rsidP="003C0B40">
            <w:pPr>
              <w:rPr>
                <w:sz w:val="18"/>
                <w:szCs w:val="18"/>
              </w:rPr>
            </w:pPr>
            <w:r w:rsidRPr="000A466E">
              <w:rPr>
                <w:sz w:val="18"/>
                <w:szCs w:val="18"/>
              </w:rPr>
              <w:t>Remuneration</w:t>
            </w:r>
          </w:p>
        </w:tc>
        <w:tc>
          <w:tcPr>
            <w:cnfStyle w:val="000001000000" w:firstRow="0" w:lastRow="0" w:firstColumn="0" w:lastColumn="0" w:oddVBand="0" w:evenVBand="1" w:oddHBand="0" w:evenHBand="0" w:firstRowFirstColumn="0" w:firstRowLastColumn="0" w:lastRowFirstColumn="0" w:lastRowLastColumn="0"/>
            <w:tcW w:w="2409" w:type="dxa"/>
          </w:tcPr>
          <w:p w14:paraId="4984513F" w14:textId="77777777" w:rsidR="00F777B4" w:rsidRPr="000A466E" w:rsidRDefault="00F777B4" w:rsidP="003C0B40">
            <w:pPr>
              <w:jc w:val="right"/>
              <w:rPr>
                <w:sz w:val="18"/>
                <w:szCs w:val="18"/>
              </w:rPr>
            </w:pPr>
            <w:r w:rsidRPr="000A466E">
              <w:rPr>
                <w:sz w:val="18"/>
                <w:szCs w:val="18"/>
              </w:rPr>
              <w:t>20</w:t>
            </w:r>
            <w:r w:rsidR="000A4D40">
              <w:rPr>
                <w:sz w:val="18"/>
                <w:szCs w:val="18"/>
              </w:rPr>
              <w:t>1</w:t>
            </w:r>
            <w:r w:rsidR="003C0B40">
              <w:rPr>
                <w:sz w:val="18"/>
                <w:szCs w:val="18"/>
              </w:rPr>
              <w:t>Y</w:t>
            </w:r>
          </w:p>
        </w:tc>
        <w:tc>
          <w:tcPr>
            <w:cnfStyle w:val="000010000000" w:firstRow="0" w:lastRow="0" w:firstColumn="0" w:lastColumn="0" w:oddVBand="1" w:evenVBand="0" w:oddHBand="0" w:evenHBand="0" w:firstRowFirstColumn="0" w:firstRowLastColumn="0" w:lastRowFirstColumn="0" w:lastRowLastColumn="0"/>
            <w:tcW w:w="2268" w:type="dxa"/>
          </w:tcPr>
          <w:p w14:paraId="742DAFDB" w14:textId="77777777" w:rsidR="00F777B4" w:rsidRPr="00F308C5" w:rsidRDefault="003C0B40" w:rsidP="00F308C5">
            <w:pPr>
              <w:jc w:val="right"/>
              <w:rPr>
                <w:sz w:val="18"/>
                <w:szCs w:val="18"/>
                <w:vertAlign w:val="superscript"/>
              </w:rPr>
            </w:pPr>
            <w:r>
              <w:rPr>
                <w:sz w:val="18"/>
                <w:szCs w:val="18"/>
              </w:rPr>
              <w:t>201X</w:t>
            </w:r>
            <w:r w:rsidR="00F308C5">
              <w:rPr>
                <w:sz w:val="18"/>
                <w:szCs w:val="18"/>
                <w:vertAlign w:val="superscript"/>
              </w:rPr>
              <w:t>(a)</w:t>
            </w:r>
          </w:p>
        </w:tc>
      </w:tr>
      <w:tr w:rsidR="00F777B4" w:rsidRPr="004D649B" w14:paraId="6A628339" w14:textId="77777777" w:rsidTr="00ED7F1B">
        <w:tc>
          <w:tcPr>
            <w:cnfStyle w:val="000010000000" w:firstRow="0" w:lastRow="0" w:firstColumn="0" w:lastColumn="0" w:oddVBand="1" w:evenVBand="0" w:oddHBand="0" w:evenHBand="0" w:firstRowFirstColumn="0" w:firstRowLastColumn="0" w:lastRowFirstColumn="0" w:lastRowLastColumn="0"/>
            <w:tcW w:w="4395" w:type="dxa"/>
          </w:tcPr>
          <w:p w14:paraId="4942B178" w14:textId="77777777" w:rsidR="00F777B4" w:rsidRPr="000A466E" w:rsidRDefault="00DA3D15" w:rsidP="003C0B40">
            <w:pPr>
              <w:jc w:val="left"/>
              <w:rPr>
                <w:sz w:val="18"/>
                <w:szCs w:val="18"/>
              </w:rPr>
            </w:pPr>
            <w:r>
              <w:rPr>
                <w:sz w:val="18"/>
                <w:szCs w:val="18"/>
              </w:rPr>
              <w:t>S</w:t>
            </w:r>
            <w:r w:rsidR="00F777B4" w:rsidRPr="000A466E">
              <w:rPr>
                <w:sz w:val="18"/>
                <w:szCs w:val="18"/>
              </w:rPr>
              <w:t>hort-term benefits</w:t>
            </w:r>
          </w:p>
        </w:tc>
        <w:tc>
          <w:tcPr>
            <w:cnfStyle w:val="000001000000" w:firstRow="0" w:lastRow="0" w:firstColumn="0" w:lastColumn="0" w:oddVBand="0" w:evenVBand="1" w:oddHBand="0" w:evenHBand="0" w:firstRowFirstColumn="0" w:firstRowLastColumn="0" w:lastRowFirstColumn="0" w:lastRowLastColumn="0"/>
            <w:tcW w:w="2409" w:type="dxa"/>
            <w:shd w:val="clear" w:color="auto" w:fill="E3EBF4" w:themeFill="accent3" w:themeFillTint="33"/>
          </w:tcPr>
          <w:p w14:paraId="1E9F1CD1" w14:textId="77777777" w:rsidR="00F777B4" w:rsidRPr="000A466E" w:rsidRDefault="00786C98" w:rsidP="00EE1882">
            <w:pPr>
              <w:rPr>
                <w:sz w:val="18"/>
                <w:szCs w:val="18"/>
              </w:rPr>
            </w:pPr>
            <w:r w:rsidRPr="000A466E">
              <w:rPr>
                <w:sz w:val="18"/>
                <w:szCs w:val="18"/>
              </w:rPr>
              <w:t>$</w:t>
            </w:r>
            <w:r w:rsidR="000A4D40">
              <w:rPr>
                <w:sz w:val="18"/>
                <w:szCs w:val="18"/>
              </w:rPr>
              <w:t xml:space="preserve">5 609 </w:t>
            </w:r>
            <w:r w:rsidR="00CF042E" w:rsidRPr="000A466E">
              <w:rPr>
                <w:sz w:val="18"/>
                <w:szCs w:val="18"/>
              </w:rPr>
              <w:t>300</w:t>
            </w:r>
            <w:r w:rsidR="00F777B4" w:rsidRPr="000A466E">
              <w:rPr>
                <w:sz w:val="18"/>
                <w:szCs w:val="18"/>
              </w:rPr>
              <w:t xml:space="preserve"> </w:t>
            </w:r>
          </w:p>
        </w:tc>
        <w:tc>
          <w:tcPr>
            <w:cnfStyle w:val="000010000000" w:firstRow="0" w:lastRow="0" w:firstColumn="0" w:lastColumn="0" w:oddVBand="1" w:evenVBand="0" w:oddHBand="0" w:evenHBand="0" w:firstRowFirstColumn="0" w:firstRowLastColumn="0" w:lastRowFirstColumn="0" w:lastRowLastColumn="0"/>
            <w:tcW w:w="2268" w:type="dxa"/>
          </w:tcPr>
          <w:p w14:paraId="592137B2" w14:textId="77777777" w:rsidR="00F777B4" w:rsidRPr="000A466E" w:rsidRDefault="000A4D40" w:rsidP="0089585D">
            <w:pPr>
              <w:rPr>
                <w:sz w:val="18"/>
                <w:szCs w:val="18"/>
              </w:rPr>
            </w:pPr>
            <w:r>
              <w:rPr>
                <w:sz w:val="18"/>
                <w:szCs w:val="18"/>
              </w:rPr>
              <w:t xml:space="preserve">$4 967 </w:t>
            </w:r>
            <w:r w:rsidR="004B7533">
              <w:rPr>
                <w:sz w:val="18"/>
                <w:szCs w:val="18"/>
              </w:rPr>
              <w:t>250</w:t>
            </w:r>
          </w:p>
        </w:tc>
      </w:tr>
      <w:tr w:rsidR="00F777B4" w:rsidRPr="004D649B" w14:paraId="3DEE4980" w14:textId="77777777" w:rsidTr="00ED7F1B">
        <w:tc>
          <w:tcPr>
            <w:cnfStyle w:val="000010000000" w:firstRow="0" w:lastRow="0" w:firstColumn="0" w:lastColumn="0" w:oddVBand="1" w:evenVBand="0" w:oddHBand="0" w:evenHBand="0" w:firstRowFirstColumn="0" w:firstRowLastColumn="0" w:lastRowFirstColumn="0" w:lastRowLastColumn="0"/>
            <w:tcW w:w="4395" w:type="dxa"/>
          </w:tcPr>
          <w:p w14:paraId="6051208F" w14:textId="77777777" w:rsidR="00F777B4" w:rsidRPr="000A466E" w:rsidRDefault="00F777B4" w:rsidP="003C0B40">
            <w:pPr>
              <w:jc w:val="left"/>
              <w:rPr>
                <w:sz w:val="18"/>
                <w:szCs w:val="18"/>
              </w:rPr>
            </w:pPr>
            <w:r w:rsidRPr="000A466E">
              <w:rPr>
                <w:sz w:val="18"/>
                <w:szCs w:val="18"/>
              </w:rPr>
              <w:t>Post-employment benefits</w:t>
            </w:r>
          </w:p>
        </w:tc>
        <w:tc>
          <w:tcPr>
            <w:cnfStyle w:val="000001000000" w:firstRow="0" w:lastRow="0" w:firstColumn="0" w:lastColumn="0" w:oddVBand="0" w:evenVBand="1" w:oddHBand="0" w:evenHBand="0" w:firstRowFirstColumn="0" w:firstRowLastColumn="0" w:lastRowFirstColumn="0" w:lastRowLastColumn="0"/>
            <w:tcW w:w="2409" w:type="dxa"/>
            <w:shd w:val="clear" w:color="auto" w:fill="E3EBF4" w:themeFill="accent3" w:themeFillTint="33"/>
          </w:tcPr>
          <w:p w14:paraId="235AFBA5" w14:textId="77777777" w:rsidR="00F777B4" w:rsidRPr="000A466E" w:rsidRDefault="00786C98" w:rsidP="0089585D">
            <w:pPr>
              <w:rPr>
                <w:sz w:val="18"/>
                <w:szCs w:val="18"/>
              </w:rPr>
            </w:pPr>
            <w:r w:rsidRPr="000A466E">
              <w:rPr>
                <w:sz w:val="18"/>
                <w:szCs w:val="18"/>
              </w:rPr>
              <w:t>$</w:t>
            </w:r>
            <w:r w:rsidR="00EE1882">
              <w:rPr>
                <w:sz w:val="18"/>
                <w:szCs w:val="18"/>
              </w:rPr>
              <w:t>1</w:t>
            </w:r>
            <w:r w:rsidR="000A4D40">
              <w:rPr>
                <w:sz w:val="18"/>
                <w:szCs w:val="18"/>
              </w:rPr>
              <w:t xml:space="preserve"> 260 </w:t>
            </w:r>
            <w:r w:rsidR="00CF042E" w:rsidRPr="000A466E">
              <w:rPr>
                <w:sz w:val="18"/>
                <w:szCs w:val="18"/>
              </w:rPr>
              <w:t>070</w:t>
            </w:r>
          </w:p>
        </w:tc>
        <w:tc>
          <w:tcPr>
            <w:cnfStyle w:val="000010000000" w:firstRow="0" w:lastRow="0" w:firstColumn="0" w:lastColumn="0" w:oddVBand="1" w:evenVBand="0" w:oddHBand="0" w:evenHBand="0" w:firstRowFirstColumn="0" w:firstRowLastColumn="0" w:lastRowFirstColumn="0" w:lastRowLastColumn="0"/>
            <w:tcW w:w="2268" w:type="dxa"/>
          </w:tcPr>
          <w:p w14:paraId="7474BFC8" w14:textId="77777777" w:rsidR="00F777B4" w:rsidRPr="000A466E" w:rsidRDefault="000A4D40" w:rsidP="0089585D">
            <w:pPr>
              <w:rPr>
                <w:sz w:val="18"/>
                <w:szCs w:val="18"/>
              </w:rPr>
            </w:pPr>
            <w:r>
              <w:rPr>
                <w:sz w:val="18"/>
                <w:szCs w:val="18"/>
              </w:rPr>
              <w:t xml:space="preserve">$1 365 </w:t>
            </w:r>
            <w:r w:rsidR="004B7533">
              <w:rPr>
                <w:sz w:val="18"/>
                <w:szCs w:val="18"/>
              </w:rPr>
              <w:t>708</w:t>
            </w:r>
          </w:p>
        </w:tc>
      </w:tr>
      <w:tr w:rsidR="00F777B4" w:rsidRPr="004D649B" w14:paraId="4F13140D" w14:textId="77777777" w:rsidTr="00ED7F1B">
        <w:tc>
          <w:tcPr>
            <w:cnfStyle w:val="000010000000" w:firstRow="0" w:lastRow="0" w:firstColumn="0" w:lastColumn="0" w:oddVBand="1" w:evenVBand="0" w:oddHBand="0" w:evenHBand="0" w:firstRowFirstColumn="0" w:firstRowLastColumn="0" w:lastRowFirstColumn="0" w:lastRowLastColumn="0"/>
            <w:tcW w:w="4395" w:type="dxa"/>
          </w:tcPr>
          <w:p w14:paraId="7986986D" w14:textId="77777777" w:rsidR="00F777B4" w:rsidRPr="000A466E" w:rsidRDefault="00F777B4" w:rsidP="003C0B40">
            <w:pPr>
              <w:jc w:val="left"/>
              <w:rPr>
                <w:sz w:val="18"/>
                <w:szCs w:val="18"/>
              </w:rPr>
            </w:pPr>
            <w:r w:rsidRPr="000A466E">
              <w:rPr>
                <w:sz w:val="18"/>
                <w:szCs w:val="18"/>
              </w:rPr>
              <w:t>Other long-term benefits</w:t>
            </w:r>
          </w:p>
        </w:tc>
        <w:tc>
          <w:tcPr>
            <w:cnfStyle w:val="000001000000" w:firstRow="0" w:lastRow="0" w:firstColumn="0" w:lastColumn="0" w:oddVBand="0" w:evenVBand="1" w:oddHBand="0" w:evenHBand="0" w:firstRowFirstColumn="0" w:firstRowLastColumn="0" w:lastRowFirstColumn="0" w:lastRowLastColumn="0"/>
            <w:tcW w:w="2409" w:type="dxa"/>
            <w:shd w:val="clear" w:color="auto" w:fill="E3EBF4" w:themeFill="accent3" w:themeFillTint="33"/>
          </w:tcPr>
          <w:p w14:paraId="3B928123" w14:textId="77777777" w:rsidR="00F777B4" w:rsidRPr="000A466E" w:rsidRDefault="003705FC" w:rsidP="0089585D">
            <w:pPr>
              <w:rPr>
                <w:sz w:val="18"/>
                <w:szCs w:val="18"/>
              </w:rPr>
            </w:pPr>
            <w:r>
              <w:rPr>
                <w:sz w:val="18"/>
                <w:szCs w:val="18"/>
              </w:rPr>
              <w:t>$</w:t>
            </w:r>
            <w:r w:rsidR="000A4D40">
              <w:rPr>
                <w:sz w:val="18"/>
                <w:szCs w:val="18"/>
              </w:rPr>
              <w:t xml:space="preserve">1 726 </w:t>
            </w:r>
            <w:r w:rsidR="00EE1882">
              <w:rPr>
                <w:sz w:val="18"/>
                <w:szCs w:val="18"/>
              </w:rPr>
              <w:t>701</w:t>
            </w:r>
          </w:p>
        </w:tc>
        <w:tc>
          <w:tcPr>
            <w:cnfStyle w:val="000010000000" w:firstRow="0" w:lastRow="0" w:firstColumn="0" w:lastColumn="0" w:oddVBand="1" w:evenVBand="0" w:oddHBand="0" w:evenHBand="0" w:firstRowFirstColumn="0" w:firstRowLastColumn="0" w:lastRowFirstColumn="0" w:lastRowLastColumn="0"/>
            <w:tcW w:w="2268" w:type="dxa"/>
          </w:tcPr>
          <w:p w14:paraId="7E70F926" w14:textId="77777777" w:rsidR="00F777B4" w:rsidRPr="000A466E" w:rsidRDefault="000A4D40" w:rsidP="0089585D">
            <w:pPr>
              <w:rPr>
                <w:sz w:val="18"/>
                <w:szCs w:val="18"/>
              </w:rPr>
            </w:pPr>
            <w:r>
              <w:rPr>
                <w:sz w:val="18"/>
                <w:szCs w:val="18"/>
              </w:rPr>
              <w:t xml:space="preserve">$451 </w:t>
            </w:r>
            <w:r w:rsidR="004B7533">
              <w:rPr>
                <w:sz w:val="18"/>
                <w:szCs w:val="18"/>
              </w:rPr>
              <w:t>006</w:t>
            </w:r>
          </w:p>
        </w:tc>
      </w:tr>
      <w:tr w:rsidR="00F777B4" w:rsidRPr="004D649B" w14:paraId="6E8CBD61" w14:textId="77777777" w:rsidTr="00ED7F1B">
        <w:tc>
          <w:tcPr>
            <w:cnfStyle w:val="000010000000" w:firstRow="0" w:lastRow="0" w:firstColumn="0" w:lastColumn="0" w:oddVBand="1" w:evenVBand="0" w:oddHBand="0" w:evenHBand="0" w:firstRowFirstColumn="0" w:firstRowLastColumn="0" w:lastRowFirstColumn="0" w:lastRowLastColumn="0"/>
            <w:tcW w:w="4395" w:type="dxa"/>
            <w:tcBorders>
              <w:bottom w:val="nil"/>
            </w:tcBorders>
          </w:tcPr>
          <w:p w14:paraId="29F50A45" w14:textId="77777777" w:rsidR="00F777B4" w:rsidRPr="000A466E" w:rsidRDefault="008963CA" w:rsidP="003C0B40">
            <w:pPr>
              <w:jc w:val="left"/>
              <w:rPr>
                <w:sz w:val="18"/>
                <w:szCs w:val="18"/>
              </w:rPr>
            </w:pPr>
            <w:r w:rsidRPr="000A466E">
              <w:rPr>
                <w:sz w:val="18"/>
                <w:szCs w:val="18"/>
              </w:rPr>
              <w:t>Termination benefits</w:t>
            </w:r>
          </w:p>
        </w:tc>
        <w:tc>
          <w:tcPr>
            <w:cnfStyle w:val="000001000000" w:firstRow="0" w:lastRow="0" w:firstColumn="0" w:lastColumn="0" w:oddVBand="0" w:evenVBand="1" w:oddHBand="0" w:evenHBand="0" w:firstRowFirstColumn="0" w:firstRowLastColumn="0" w:lastRowFirstColumn="0" w:lastRowLastColumn="0"/>
            <w:tcW w:w="2409" w:type="dxa"/>
            <w:tcBorders>
              <w:bottom w:val="nil"/>
            </w:tcBorders>
            <w:shd w:val="clear" w:color="auto" w:fill="E3EBF4" w:themeFill="accent3" w:themeFillTint="33"/>
          </w:tcPr>
          <w:p w14:paraId="3897C0D9" w14:textId="77777777" w:rsidR="00F777B4" w:rsidRPr="000A466E" w:rsidRDefault="003705FC" w:rsidP="008963CA">
            <w:pPr>
              <w:rPr>
                <w:sz w:val="18"/>
                <w:szCs w:val="18"/>
              </w:rPr>
            </w:pPr>
            <w:r>
              <w:rPr>
                <w:sz w:val="18"/>
                <w:szCs w:val="18"/>
              </w:rPr>
              <w:t>$</w:t>
            </w:r>
            <w:r w:rsidR="000A4D40">
              <w:rPr>
                <w:sz w:val="18"/>
                <w:szCs w:val="18"/>
              </w:rPr>
              <w:t xml:space="preserve">319 </w:t>
            </w:r>
            <w:r w:rsidR="00EE1882">
              <w:rPr>
                <w:sz w:val="18"/>
                <w:szCs w:val="18"/>
              </w:rPr>
              <w:t>780</w:t>
            </w:r>
          </w:p>
        </w:tc>
        <w:tc>
          <w:tcPr>
            <w:cnfStyle w:val="000010000000" w:firstRow="0" w:lastRow="0" w:firstColumn="0" w:lastColumn="0" w:oddVBand="1" w:evenVBand="0" w:oddHBand="0" w:evenHBand="0" w:firstRowFirstColumn="0" w:firstRowLastColumn="0" w:lastRowFirstColumn="0" w:lastRowLastColumn="0"/>
            <w:tcW w:w="2268" w:type="dxa"/>
            <w:tcBorders>
              <w:bottom w:val="nil"/>
            </w:tcBorders>
          </w:tcPr>
          <w:p w14:paraId="30CE1F1F" w14:textId="77777777" w:rsidR="00F777B4" w:rsidRPr="000A466E" w:rsidRDefault="000A4D40" w:rsidP="008963CA">
            <w:pPr>
              <w:rPr>
                <w:sz w:val="18"/>
                <w:szCs w:val="18"/>
              </w:rPr>
            </w:pPr>
            <w:r>
              <w:rPr>
                <w:sz w:val="18"/>
                <w:szCs w:val="18"/>
              </w:rPr>
              <w:t xml:space="preserve">$520 </w:t>
            </w:r>
            <w:r w:rsidR="004B7533">
              <w:rPr>
                <w:sz w:val="18"/>
                <w:szCs w:val="18"/>
              </w:rPr>
              <w:t>000</w:t>
            </w:r>
          </w:p>
        </w:tc>
      </w:tr>
      <w:tr w:rsidR="008963CA" w:rsidRPr="004D649B" w14:paraId="1048A592" w14:textId="77777777" w:rsidTr="00ED7F1B">
        <w:tc>
          <w:tcPr>
            <w:cnfStyle w:val="000010000000" w:firstRow="0" w:lastRow="0" w:firstColumn="0" w:lastColumn="0" w:oddVBand="1" w:evenVBand="0" w:oddHBand="0" w:evenHBand="0" w:firstRowFirstColumn="0" w:firstRowLastColumn="0" w:lastRowFirstColumn="0" w:lastRowLastColumn="0"/>
            <w:tcW w:w="4395" w:type="dxa"/>
            <w:tcBorders>
              <w:bottom w:val="single" w:sz="4" w:space="0" w:color="auto"/>
            </w:tcBorders>
          </w:tcPr>
          <w:p w14:paraId="284A1944" w14:textId="77777777" w:rsidR="008963CA" w:rsidRPr="000A466E" w:rsidRDefault="008963CA" w:rsidP="003C0B40">
            <w:pPr>
              <w:jc w:val="left"/>
              <w:rPr>
                <w:sz w:val="18"/>
                <w:szCs w:val="18"/>
              </w:rPr>
            </w:pPr>
            <w:r w:rsidRPr="000A466E">
              <w:rPr>
                <w:sz w:val="18"/>
                <w:szCs w:val="18"/>
              </w:rPr>
              <w:t>Share-based payment</w:t>
            </w:r>
            <w:r w:rsidR="0028031C" w:rsidRPr="000A466E">
              <w:rPr>
                <w:sz w:val="18"/>
                <w:szCs w:val="18"/>
              </w:rPr>
              <w:t>s</w:t>
            </w:r>
          </w:p>
        </w:tc>
        <w:tc>
          <w:tcPr>
            <w:cnfStyle w:val="000001000000" w:firstRow="0" w:lastRow="0" w:firstColumn="0" w:lastColumn="0" w:oddVBand="0" w:evenVBand="1" w:oddHBand="0" w:evenHBand="0" w:firstRowFirstColumn="0" w:firstRowLastColumn="0" w:lastRowFirstColumn="0" w:lastRowLastColumn="0"/>
            <w:tcW w:w="2409" w:type="dxa"/>
            <w:tcBorders>
              <w:bottom w:val="single" w:sz="4" w:space="0" w:color="auto"/>
            </w:tcBorders>
            <w:shd w:val="clear" w:color="auto" w:fill="E3EBF4" w:themeFill="accent3" w:themeFillTint="33"/>
          </w:tcPr>
          <w:p w14:paraId="3DB81640" w14:textId="77777777" w:rsidR="008963CA" w:rsidRPr="000A466E" w:rsidRDefault="00561135" w:rsidP="008963CA">
            <w:pPr>
              <w:rPr>
                <w:sz w:val="18"/>
                <w:szCs w:val="18"/>
              </w:rPr>
            </w:pPr>
            <w:r>
              <w:rPr>
                <w:sz w:val="18"/>
                <w:szCs w:val="18"/>
              </w:rPr>
              <w:t>n/a</w:t>
            </w:r>
          </w:p>
        </w:tc>
        <w:tc>
          <w:tcPr>
            <w:cnfStyle w:val="000010000000" w:firstRow="0" w:lastRow="0" w:firstColumn="0" w:lastColumn="0" w:oddVBand="1" w:evenVBand="0" w:oddHBand="0" w:evenHBand="0" w:firstRowFirstColumn="0" w:firstRowLastColumn="0" w:lastRowFirstColumn="0" w:lastRowLastColumn="0"/>
            <w:tcW w:w="2268" w:type="dxa"/>
            <w:tcBorders>
              <w:bottom w:val="single" w:sz="4" w:space="0" w:color="auto"/>
            </w:tcBorders>
          </w:tcPr>
          <w:p w14:paraId="5A3A7934" w14:textId="77777777" w:rsidR="008963CA" w:rsidRPr="000A466E" w:rsidRDefault="00561135" w:rsidP="008963CA">
            <w:pPr>
              <w:rPr>
                <w:sz w:val="18"/>
                <w:szCs w:val="18"/>
              </w:rPr>
            </w:pPr>
            <w:r>
              <w:rPr>
                <w:sz w:val="18"/>
                <w:szCs w:val="18"/>
              </w:rPr>
              <w:t>n/a</w:t>
            </w:r>
          </w:p>
        </w:tc>
      </w:tr>
      <w:tr w:rsidR="00F777B4" w14:paraId="5598F9AB" w14:textId="77777777" w:rsidTr="00ED7F1B">
        <w:tc>
          <w:tcPr>
            <w:cnfStyle w:val="000010000000" w:firstRow="0" w:lastRow="0" w:firstColumn="0" w:lastColumn="0" w:oddVBand="1" w:evenVBand="0" w:oddHBand="0" w:evenHBand="0" w:firstRowFirstColumn="0" w:firstRowLastColumn="0" w:lastRowFirstColumn="0" w:lastRowLastColumn="0"/>
            <w:tcW w:w="4395" w:type="dxa"/>
            <w:tcBorders>
              <w:top w:val="single" w:sz="4" w:space="0" w:color="auto"/>
              <w:bottom w:val="single" w:sz="4" w:space="0" w:color="auto"/>
            </w:tcBorders>
          </w:tcPr>
          <w:p w14:paraId="4E04982C" w14:textId="77777777" w:rsidR="00F777B4" w:rsidRPr="00F308C5" w:rsidRDefault="00F777B4" w:rsidP="003C0B40">
            <w:pPr>
              <w:jc w:val="left"/>
              <w:rPr>
                <w:b/>
                <w:sz w:val="18"/>
                <w:szCs w:val="18"/>
                <w:vertAlign w:val="superscript"/>
              </w:rPr>
            </w:pPr>
            <w:r w:rsidRPr="00561135">
              <w:rPr>
                <w:b/>
                <w:sz w:val="18"/>
                <w:szCs w:val="18"/>
              </w:rPr>
              <w:t>Total</w:t>
            </w:r>
            <w:r w:rsidR="004D649B" w:rsidRPr="00561135">
              <w:rPr>
                <w:b/>
                <w:sz w:val="18"/>
                <w:szCs w:val="18"/>
              </w:rPr>
              <w:t xml:space="preserve"> remuneration</w:t>
            </w:r>
            <w:r w:rsidR="00F308C5">
              <w:rPr>
                <w:b/>
                <w:sz w:val="18"/>
                <w:szCs w:val="18"/>
                <w:vertAlign w:val="superscript"/>
              </w:rPr>
              <w:t>(b)</w:t>
            </w:r>
          </w:p>
        </w:tc>
        <w:tc>
          <w:tcPr>
            <w:cnfStyle w:val="000001000000" w:firstRow="0" w:lastRow="0" w:firstColumn="0" w:lastColumn="0" w:oddVBand="0" w:evenVBand="1" w:oddHBand="0" w:evenHBand="0" w:firstRowFirstColumn="0" w:firstRowLastColumn="0" w:lastRowFirstColumn="0" w:lastRowLastColumn="0"/>
            <w:tcW w:w="2409" w:type="dxa"/>
            <w:tcBorders>
              <w:top w:val="single" w:sz="4" w:space="0" w:color="auto"/>
              <w:bottom w:val="single" w:sz="4" w:space="0" w:color="auto"/>
            </w:tcBorders>
            <w:shd w:val="clear" w:color="auto" w:fill="E3EBF4" w:themeFill="accent3" w:themeFillTint="33"/>
          </w:tcPr>
          <w:p w14:paraId="214EAA6D" w14:textId="77777777" w:rsidR="00F777B4" w:rsidRPr="00561135" w:rsidRDefault="00561135" w:rsidP="0089585D">
            <w:pPr>
              <w:rPr>
                <w:b/>
                <w:sz w:val="18"/>
                <w:szCs w:val="18"/>
              </w:rPr>
            </w:pPr>
            <w:r>
              <w:rPr>
                <w:b/>
                <w:sz w:val="18"/>
                <w:szCs w:val="18"/>
              </w:rPr>
              <w:t xml:space="preserve">$8 915 </w:t>
            </w:r>
            <w:r w:rsidR="009B0D3B" w:rsidRPr="00561135">
              <w:rPr>
                <w:b/>
                <w:sz w:val="18"/>
                <w:szCs w:val="18"/>
              </w:rPr>
              <w:t>851</w:t>
            </w:r>
          </w:p>
        </w:tc>
        <w:tc>
          <w:tcPr>
            <w:cnfStyle w:val="000010000000" w:firstRow="0" w:lastRow="0" w:firstColumn="0" w:lastColumn="0" w:oddVBand="1" w:evenVBand="0" w:oddHBand="0" w:evenHBand="0" w:firstRowFirstColumn="0" w:firstRowLastColumn="0" w:lastRowFirstColumn="0" w:lastRowLastColumn="0"/>
            <w:tcW w:w="2268" w:type="dxa"/>
            <w:tcBorders>
              <w:top w:val="single" w:sz="4" w:space="0" w:color="auto"/>
              <w:bottom w:val="single" w:sz="4" w:space="0" w:color="auto"/>
            </w:tcBorders>
          </w:tcPr>
          <w:p w14:paraId="61ECD44A" w14:textId="77777777" w:rsidR="00F777B4" w:rsidRPr="00561135" w:rsidRDefault="00561135" w:rsidP="0089585D">
            <w:pPr>
              <w:rPr>
                <w:b/>
                <w:sz w:val="18"/>
                <w:szCs w:val="18"/>
              </w:rPr>
            </w:pPr>
            <w:r>
              <w:rPr>
                <w:b/>
                <w:sz w:val="18"/>
                <w:szCs w:val="18"/>
              </w:rPr>
              <w:t xml:space="preserve">$7 303 </w:t>
            </w:r>
            <w:r w:rsidR="009B0D3B" w:rsidRPr="00561135">
              <w:rPr>
                <w:b/>
                <w:sz w:val="18"/>
                <w:szCs w:val="18"/>
              </w:rPr>
              <w:t>964</w:t>
            </w:r>
          </w:p>
        </w:tc>
      </w:tr>
      <w:tr w:rsidR="00561135" w14:paraId="0DC20F17" w14:textId="77777777" w:rsidTr="00ED7F1B">
        <w:tc>
          <w:tcPr>
            <w:cnfStyle w:val="000010000000" w:firstRow="0" w:lastRow="0" w:firstColumn="0" w:lastColumn="0" w:oddVBand="1" w:evenVBand="0" w:oddHBand="0" w:evenHBand="0" w:firstRowFirstColumn="0" w:firstRowLastColumn="0" w:lastRowFirstColumn="0" w:lastRowLastColumn="0"/>
            <w:tcW w:w="4395" w:type="dxa"/>
            <w:tcBorders>
              <w:top w:val="single" w:sz="4" w:space="0" w:color="auto"/>
              <w:bottom w:val="single" w:sz="4" w:space="0" w:color="auto"/>
            </w:tcBorders>
          </w:tcPr>
          <w:p w14:paraId="68AEE657" w14:textId="1CD42EFF" w:rsidR="00561135" w:rsidRPr="00561135" w:rsidRDefault="00561135" w:rsidP="00BF2929">
            <w:pPr>
              <w:jc w:val="left"/>
              <w:rPr>
                <w:b/>
                <w:sz w:val="18"/>
                <w:szCs w:val="18"/>
              </w:rPr>
            </w:pPr>
            <w:r w:rsidRPr="00561135">
              <w:rPr>
                <w:b/>
                <w:sz w:val="18"/>
                <w:szCs w:val="18"/>
              </w:rPr>
              <w:t>Total number of executives</w:t>
            </w:r>
            <w:r w:rsidR="00BF2929">
              <w:rPr>
                <w:b/>
                <w:sz w:val="18"/>
                <w:szCs w:val="18"/>
                <w:vertAlign w:val="superscript"/>
              </w:rPr>
              <w:t>(c)</w:t>
            </w:r>
          </w:p>
        </w:tc>
        <w:tc>
          <w:tcPr>
            <w:cnfStyle w:val="000001000000" w:firstRow="0" w:lastRow="0" w:firstColumn="0" w:lastColumn="0" w:oddVBand="0" w:evenVBand="1" w:oddHBand="0" w:evenHBand="0" w:firstRowFirstColumn="0" w:firstRowLastColumn="0" w:lastRowFirstColumn="0" w:lastRowLastColumn="0"/>
            <w:tcW w:w="2409" w:type="dxa"/>
            <w:tcBorders>
              <w:top w:val="single" w:sz="4" w:space="0" w:color="auto"/>
              <w:bottom w:val="single" w:sz="4" w:space="0" w:color="auto"/>
            </w:tcBorders>
            <w:shd w:val="clear" w:color="auto" w:fill="E3EBF4" w:themeFill="accent3" w:themeFillTint="33"/>
          </w:tcPr>
          <w:p w14:paraId="18C793EA" w14:textId="77777777" w:rsidR="00561135" w:rsidRPr="00561135" w:rsidRDefault="00561135" w:rsidP="0089585D">
            <w:pPr>
              <w:rPr>
                <w:b/>
                <w:sz w:val="18"/>
                <w:szCs w:val="18"/>
                <w:highlight w:val="yellow"/>
              </w:rPr>
            </w:pPr>
            <w:r w:rsidRPr="00561135">
              <w:rPr>
                <w:b/>
                <w:sz w:val="18"/>
                <w:szCs w:val="18"/>
              </w:rPr>
              <w:t>55</w:t>
            </w:r>
          </w:p>
        </w:tc>
        <w:tc>
          <w:tcPr>
            <w:cnfStyle w:val="000010000000" w:firstRow="0" w:lastRow="0" w:firstColumn="0" w:lastColumn="0" w:oddVBand="1" w:evenVBand="0" w:oddHBand="0" w:evenHBand="0" w:firstRowFirstColumn="0" w:firstRowLastColumn="0" w:lastRowFirstColumn="0" w:lastRowLastColumn="0"/>
            <w:tcW w:w="2268" w:type="dxa"/>
            <w:tcBorders>
              <w:top w:val="single" w:sz="4" w:space="0" w:color="auto"/>
              <w:bottom w:val="single" w:sz="4" w:space="0" w:color="auto"/>
            </w:tcBorders>
          </w:tcPr>
          <w:p w14:paraId="3B823899" w14:textId="77777777" w:rsidR="00561135" w:rsidRPr="00561135" w:rsidRDefault="00561135" w:rsidP="0089585D">
            <w:pPr>
              <w:rPr>
                <w:b/>
                <w:sz w:val="18"/>
                <w:szCs w:val="18"/>
                <w:highlight w:val="yellow"/>
              </w:rPr>
            </w:pPr>
            <w:r w:rsidRPr="00561135">
              <w:rPr>
                <w:b/>
                <w:sz w:val="18"/>
                <w:szCs w:val="18"/>
              </w:rPr>
              <w:t>56</w:t>
            </w:r>
          </w:p>
        </w:tc>
      </w:tr>
      <w:tr w:rsidR="00561135" w14:paraId="14FD036E" w14:textId="77777777" w:rsidTr="00ED7F1B">
        <w:trPr>
          <w:cnfStyle w:val="010000000000" w:firstRow="0" w:lastRow="1"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95" w:type="dxa"/>
            <w:tcBorders>
              <w:top w:val="single" w:sz="4" w:space="0" w:color="auto"/>
              <w:bottom w:val="single" w:sz="4" w:space="0" w:color="auto"/>
            </w:tcBorders>
          </w:tcPr>
          <w:p w14:paraId="68C9A019" w14:textId="03C4E1A2" w:rsidR="00561135" w:rsidRPr="00F308C5" w:rsidRDefault="00561135" w:rsidP="00BF2929">
            <w:pPr>
              <w:jc w:val="left"/>
              <w:rPr>
                <w:sz w:val="18"/>
                <w:szCs w:val="18"/>
                <w:vertAlign w:val="superscript"/>
              </w:rPr>
            </w:pPr>
            <w:r w:rsidRPr="00561135">
              <w:rPr>
                <w:sz w:val="18"/>
                <w:szCs w:val="18"/>
              </w:rPr>
              <w:t>Total</w:t>
            </w:r>
            <w:r w:rsidR="002F6E67">
              <w:rPr>
                <w:sz w:val="18"/>
                <w:szCs w:val="18"/>
              </w:rPr>
              <w:t xml:space="preserve"> annualised employee equivalent</w:t>
            </w:r>
            <w:r w:rsidRPr="00561135">
              <w:rPr>
                <w:sz w:val="18"/>
                <w:szCs w:val="18"/>
              </w:rPr>
              <w:t xml:space="preserve"> (AEE)</w:t>
            </w:r>
            <w:r w:rsidR="00F308C5">
              <w:rPr>
                <w:sz w:val="18"/>
                <w:szCs w:val="18"/>
                <w:vertAlign w:val="superscript"/>
              </w:rPr>
              <w:t>(</w:t>
            </w:r>
            <w:r w:rsidR="00BF2929">
              <w:rPr>
                <w:sz w:val="18"/>
                <w:szCs w:val="18"/>
                <w:vertAlign w:val="superscript"/>
              </w:rPr>
              <w:t>d</w:t>
            </w:r>
            <w:r w:rsidR="00F308C5">
              <w:rPr>
                <w:sz w:val="18"/>
                <w:szCs w:val="18"/>
                <w:vertAlign w:val="superscript"/>
              </w:rPr>
              <w:t>)</w:t>
            </w:r>
          </w:p>
        </w:tc>
        <w:tc>
          <w:tcPr>
            <w:cnfStyle w:val="000001000000" w:firstRow="0" w:lastRow="0" w:firstColumn="0" w:lastColumn="0" w:oddVBand="0" w:evenVBand="1" w:oddHBand="0" w:evenHBand="0" w:firstRowFirstColumn="0" w:firstRowLastColumn="0" w:lastRowFirstColumn="0" w:lastRowLastColumn="0"/>
            <w:tcW w:w="2409" w:type="dxa"/>
            <w:tcBorders>
              <w:top w:val="single" w:sz="4" w:space="0" w:color="auto"/>
              <w:bottom w:val="single" w:sz="4" w:space="0" w:color="auto"/>
            </w:tcBorders>
            <w:shd w:val="clear" w:color="auto" w:fill="E3EBF4" w:themeFill="accent3" w:themeFillTint="33"/>
          </w:tcPr>
          <w:p w14:paraId="1A0FC882" w14:textId="77777777" w:rsidR="00561135" w:rsidRPr="00561135" w:rsidRDefault="00561135" w:rsidP="00561135">
            <w:pPr>
              <w:rPr>
                <w:sz w:val="18"/>
                <w:szCs w:val="18"/>
              </w:rPr>
            </w:pPr>
            <w:r w:rsidRPr="00561135">
              <w:rPr>
                <w:sz w:val="18"/>
                <w:szCs w:val="18"/>
              </w:rPr>
              <w:t>5</w:t>
            </w:r>
            <w:r>
              <w:rPr>
                <w:sz w:val="18"/>
                <w:szCs w:val="18"/>
              </w:rPr>
              <w:t>4</w:t>
            </w:r>
            <w:r w:rsidRPr="00561135">
              <w:rPr>
                <w:sz w:val="18"/>
                <w:szCs w:val="18"/>
              </w:rPr>
              <w:t>.2</w:t>
            </w:r>
          </w:p>
        </w:tc>
        <w:tc>
          <w:tcPr>
            <w:cnfStyle w:val="000010000000" w:firstRow="0" w:lastRow="0" w:firstColumn="0" w:lastColumn="0" w:oddVBand="1" w:evenVBand="0" w:oddHBand="0" w:evenHBand="0" w:firstRowFirstColumn="0" w:firstRowLastColumn="0" w:lastRowFirstColumn="0" w:lastRowLastColumn="0"/>
            <w:tcW w:w="2268" w:type="dxa"/>
            <w:tcBorders>
              <w:top w:val="single" w:sz="4" w:space="0" w:color="auto"/>
              <w:bottom w:val="single" w:sz="4" w:space="0" w:color="auto"/>
            </w:tcBorders>
          </w:tcPr>
          <w:p w14:paraId="6A8BEC81" w14:textId="77777777" w:rsidR="00561135" w:rsidRPr="00561135" w:rsidRDefault="00561135" w:rsidP="0089585D">
            <w:pPr>
              <w:rPr>
                <w:sz w:val="18"/>
                <w:szCs w:val="18"/>
              </w:rPr>
            </w:pPr>
            <w:r w:rsidRPr="00561135">
              <w:rPr>
                <w:sz w:val="18"/>
                <w:szCs w:val="18"/>
              </w:rPr>
              <w:t>51.8</w:t>
            </w:r>
          </w:p>
        </w:tc>
      </w:tr>
    </w:tbl>
    <w:p w14:paraId="49796262" w14:textId="77777777" w:rsidR="00953626" w:rsidRPr="00953626" w:rsidRDefault="00F308C5" w:rsidP="00953626">
      <w:pPr>
        <w:pStyle w:val="ListParagraph"/>
        <w:numPr>
          <w:ilvl w:val="0"/>
          <w:numId w:val="33"/>
        </w:numPr>
        <w:ind w:left="426"/>
        <w:rPr>
          <w:i/>
          <w:sz w:val="16"/>
          <w:szCs w:val="16"/>
        </w:rPr>
      </w:pPr>
      <w:r w:rsidRPr="00953626">
        <w:rPr>
          <w:sz w:val="16"/>
          <w:szCs w:val="16"/>
        </w:rPr>
        <w:t xml:space="preserve">Note that for the first year of implementation (2016-17), no comparatives will be required to be disclosed. </w:t>
      </w:r>
    </w:p>
    <w:p w14:paraId="11101D5B" w14:textId="5F6012FA" w:rsidR="00BF2929" w:rsidRPr="00953626" w:rsidRDefault="00953626" w:rsidP="00953626">
      <w:pPr>
        <w:pStyle w:val="ListParagraph"/>
        <w:ind w:left="426"/>
        <w:rPr>
          <w:i/>
          <w:sz w:val="16"/>
          <w:szCs w:val="16"/>
        </w:rPr>
      </w:pPr>
      <w:r w:rsidRPr="00953626">
        <w:rPr>
          <w:i/>
          <w:sz w:val="16"/>
          <w:szCs w:val="16"/>
        </w:rPr>
        <w:t xml:space="preserve">[No comparatives have been reported because remuneration in the prior year was determined in line with the basis and definition under FRD 21B. Remuneration previously excluded non-monetary benefits and comprised any money, consideration or benefit received or receivable, excluding reimbursement of out-of-pocket expenses, including any amount received or receivable from a related party transaction.  Refer to prior year’s financial statements for executive remuneration for the 2015-16 reporting period.] </w:t>
      </w:r>
    </w:p>
    <w:p w14:paraId="0CBC31AE" w14:textId="140C2FCE" w:rsidR="00BF2929" w:rsidRPr="00D55AE3" w:rsidRDefault="00BF2929" w:rsidP="00BF2929">
      <w:pPr>
        <w:pStyle w:val="ListParagraph"/>
        <w:numPr>
          <w:ilvl w:val="0"/>
          <w:numId w:val="33"/>
        </w:numPr>
        <w:ind w:left="426"/>
        <w:rPr>
          <w:sz w:val="16"/>
          <w:szCs w:val="16"/>
        </w:rPr>
      </w:pPr>
      <w:r w:rsidRPr="00D55AE3">
        <w:rPr>
          <w:sz w:val="16"/>
          <w:szCs w:val="16"/>
        </w:rPr>
        <w:t xml:space="preserve">Remuneration represents the expenses incurred by the entity in the current reporting period for the employee, in accordance with AASB 119 </w:t>
      </w:r>
      <w:r w:rsidRPr="008311BF">
        <w:rPr>
          <w:i/>
          <w:sz w:val="16"/>
          <w:szCs w:val="16"/>
        </w:rPr>
        <w:t>Employee Benefits</w:t>
      </w:r>
      <w:r w:rsidRPr="00D55AE3">
        <w:rPr>
          <w:sz w:val="16"/>
          <w:szCs w:val="16"/>
        </w:rPr>
        <w:t>.</w:t>
      </w:r>
    </w:p>
    <w:p w14:paraId="7935D407" w14:textId="7FA23445" w:rsidR="00F308C5" w:rsidRDefault="00F308C5" w:rsidP="00DB366B">
      <w:pPr>
        <w:pStyle w:val="ListParagraph"/>
        <w:numPr>
          <w:ilvl w:val="0"/>
          <w:numId w:val="33"/>
        </w:numPr>
        <w:ind w:left="426"/>
        <w:rPr>
          <w:sz w:val="16"/>
          <w:szCs w:val="16"/>
        </w:rPr>
      </w:pPr>
      <w:r>
        <w:rPr>
          <w:sz w:val="16"/>
          <w:szCs w:val="16"/>
        </w:rPr>
        <w:t xml:space="preserve">The total number of executive officers includes persons who meet the definition of Key Management Personnel (KMP) under AASB 124 </w:t>
      </w:r>
      <w:r>
        <w:rPr>
          <w:i/>
          <w:sz w:val="16"/>
          <w:szCs w:val="16"/>
        </w:rPr>
        <w:t>Related Party Disclosures</w:t>
      </w:r>
      <w:r>
        <w:rPr>
          <w:sz w:val="16"/>
          <w:szCs w:val="16"/>
        </w:rPr>
        <w:t xml:space="preserve"> and are also reported within the related parties note disclosure.</w:t>
      </w:r>
    </w:p>
    <w:p w14:paraId="2113F76C" w14:textId="77777777" w:rsidR="00F308C5" w:rsidRPr="00F308C5" w:rsidRDefault="00F308C5" w:rsidP="00BF05F5">
      <w:pPr>
        <w:pStyle w:val="ListParagraph"/>
        <w:numPr>
          <w:ilvl w:val="0"/>
          <w:numId w:val="33"/>
        </w:numPr>
        <w:ind w:left="426"/>
        <w:rPr>
          <w:sz w:val="16"/>
          <w:szCs w:val="16"/>
        </w:rPr>
      </w:pPr>
      <w:r>
        <w:rPr>
          <w:sz w:val="16"/>
          <w:szCs w:val="16"/>
        </w:rPr>
        <w:t xml:space="preserve">Annualised employee equivalent is based on the time fraction worked during the reporting period. </w:t>
      </w:r>
      <w:r w:rsidR="00BF05F5" w:rsidRPr="00BF05F5">
        <w:rPr>
          <w:sz w:val="16"/>
          <w:szCs w:val="16"/>
        </w:rPr>
        <w:t xml:space="preserve">This is calculated </w:t>
      </w:r>
      <w:r w:rsidR="00BF05F5">
        <w:rPr>
          <w:sz w:val="16"/>
          <w:szCs w:val="16"/>
        </w:rPr>
        <w:t>as</w:t>
      </w:r>
      <w:r w:rsidR="00BF05F5" w:rsidRPr="00BF05F5">
        <w:rPr>
          <w:sz w:val="16"/>
          <w:szCs w:val="16"/>
        </w:rPr>
        <w:t xml:space="preserve"> the total number of days </w:t>
      </w:r>
      <w:r w:rsidR="00BF05F5">
        <w:rPr>
          <w:sz w:val="16"/>
          <w:szCs w:val="16"/>
        </w:rPr>
        <w:t>the</w:t>
      </w:r>
      <w:r w:rsidR="00BF05F5" w:rsidRPr="00BF05F5">
        <w:rPr>
          <w:sz w:val="16"/>
          <w:szCs w:val="16"/>
        </w:rPr>
        <w:t xml:space="preserve"> employee is engaged to work during the week by the total number of full-time working days per week (this is generally five full working days per week).</w:t>
      </w:r>
    </w:p>
    <w:p w14:paraId="1607ACD9" w14:textId="77777777" w:rsidR="006966B5" w:rsidRPr="00600A48" w:rsidRDefault="006966B5" w:rsidP="006966B5">
      <w:pPr>
        <w:rPr>
          <w:b/>
          <w:sz w:val="19"/>
          <w:szCs w:val="19"/>
        </w:rPr>
      </w:pPr>
      <w:r w:rsidRPr="00600A48">
        <w:rPr>
          <w:b/>
          <w:sz w:val="19"/>
          <w:szCs w:val="19"/>
        </w:rPr>
        <w:t xml:space="preserve">Note: </w:t>
      </w:r>
    </w:p>
    <w:p w14:paraId="697E048B" w14:textId="560FD4AD" w:rsidR="0047064A" w:rsidRPr="0047064A" w:rsidRDefault="00484B9F" w:rsidP="0047064A">
      <w:pPr>
        <w:pStyle w:val="Bullet1"/>
        <w:rPr>
          <w:sz w:val="19"/>
          <w:szCs w:val="19"/>
        </w:rPr>
      </w:pPr>
      <w:r w:rsidRPr="00600A48">
        <w:rPr>
          <w:sz w:val="19"/>
          <w:szCs w:val="19"/>
        </w:rPr>
        <w:t>If a person became a KMP of a reporting entity during the reporting period, no disclosure is required for any remuner</w:t>
      </w:r>
      <w:r w:rsidR="00B65462" w:rsidRPr="00600A48">
        <w:rPr>
          <w:sz w:val="19"/>
          <w:szCs w:val="19"/>
        </w:rPr>
        <w:t>ation paid to that person prior to</w:t>
      </w:r>
      <w:r w:rsidRPr="00600A48">
        <w:rPr>
          <w:sz w:val="19"/>
          <w:szCs w:val="19"/>
        </w:rPr>
        <w:t xml:space="preserve"> that person’s appointment as </w:t>
      </w:r>
      <w:r w:rsidR="00B65462" w:rsidRPr="00600A48">
        <w:rPr>
          <w:sz w:val="19"/>
          <w:szCs w:val="19"/>
        </w:rPr>
        <w:t xml:space="preserve">a </w:t>
      </w:r>
      <w:r w:rsidRPr="00600A48">
        <w:rPr>
          <w:sz w:val="19"/>
          <w:szCs w:val="19"/>
        </w:rPr>
        <w:t xml:space="preserve">KMP. </w:t>
      </w:r>
    </w:p>
    <w:p w14:paraId="7D984CAF" w14:textId="77777777" w:rsidR="007364B1" w:rsidRPr="00600A48" w:rsidRDefault="00484B9F" w:rsidP="005279D8">
      <w:pPr>
        <w:pStyle w:val="Bullet1"/>
        <w:rPr>
          <w:sz w:val="19"/>
          <w:szCs w:val="19"/>
        </w:rPr>
      </w:pPr>
      <w:r w:rsidRPr="00600A48">
        <w:rPr>
          <w:sz w:val="19"/>
          <w:szCs w:val="19"/>
        </w:rPr>
        <w:t>If a person ceases to be</w:t>
      </w:r>
      <w:r w:rsidR="00B65462" w:rsidRPr="00600A48">
        <w:rPr>
          <w:sz w:val="19"/>
          <w:szCs w:val="19"/>
        </w:rPr>
        <w:t xml:space="preserve"> a KMP during the</w:t>
      </w:r>
      <w:r w:rsidRPr="00600A48">
        <w:rPr>
          <w:sz w:val="19"/>
          <w:szCs w:val="19"/>
        </w:rPr>
        <w:t xml:space="preserve"> reportin</w:t>
      </w:r>
      <w:r w:rsidR="00B65462" w:rsidRPr="00600A48">
        <w:rPr>
          <w:sz w:val="19"/>
          <w:szCs w:val="19"/>
        </w:rPr>
        <w:t xml:space="preserve">g period, the entity is </w:t>
      </w:r>
      <w:r w:rsidR="002A5BD9" w:rsidRPr="00600A48">
        <w:rPr>
          <w:sz w:val="19"/>
          <w:szCs w:val="19"/>
        </w:rPr>
        <w:t xml:space="preserve">only </w:t>
      </w:r>
      <w:r w:rsidR="00B65462" w:rsidRPr="00600A48">
        <w:rPr>
          <w:sz w:val="19"/>
          <w:szCs w:val="19"/>
        </w:rPr>
        <w:t>required</w:t>
      </w:r>
      <w:r w:rsidRPr="00600A48">
        <w:rPr>
          <w:sz w:val="19"/>
          <w:szCs w:val="19"/>
        </w:rPr>
        <w:t xml:space="preserve"> to disclose that person’s compensation for the period</w:t>
      </w:r>
      <w:r w:rsidR="00B65462" w:rsidRPr="00600A48">
        <w:rPr>
          <w:sz w:val="19"/>
          <w:szCs w:val="19"/>
        </w:rPr>
        <w:t xml:space="preserve"> up until the end of their term of employment</w:t>
      </w:r>
      <w:r w:rsidRPr="00600A48">
        <w:rPr>
          <w:sz w:val="19"/>
          <w:szCs w:val="19"/>
        </w:rPr>
        <w:t>.</w:t>
      </w:r>
    </w:p>
    <w:p w14:paraId="56C2C91D" w14:textId="77777777" w:rsidR="008F2D5D" w:rsidRPr="00A35761" w:rsidRDefault="00F15AD4" w:rsidP="008F2D5D">
      <w:pPr>
        <w:pStyle w:val="Heading3"/>
        <w:rPr>
          <w:sz w:val="23"/>
          <w:szCs w:val="23"/>
        </w:rPr>
      </w:pPr>
      <w:r w:rsidRPr="00A35761">
        <w:rPr>
          <w:sz w:val="23"/>
          <w:szCs w:val="23"/>
        </w:rPr>
        <w:t xml:space="preserve">Next steps </w:t>
      </w:r>
    </w:p>
    <w:p w14:paraId="09AA3AF9" w14:textId="4C66458A" w:rsidR="00FF5849" w:rsidRDefault="00E41B46" w:rsidP="00E41B46">
      <w:r>
        <w:t xml:space="preserve">The </w:t>
      </w:r>
      <w:r w:rsidR="00B44A0B">
        <w:t>changes to the definition of ‘remuneration’ and the disclosure table</w:t>
      </w:r>
      <w:r>
        <w:t xml:space="preserve"> require</w:t>
      </w:r>
      <w:r w:rsidR="00DB1F57">
        <w:t>s</w:t>
      </w:r>
      <w:r>
        <w:t xml:space="preserve"> entities to</w:t>
      </w:r>
      <w:r w:rsidR="00FF5849">
        <w:t>:</w:t>
      </w:r>
    </w:p>
    <w:p w14:paraId="62A52956" w14:textId="77777777" w:rsidR="00600A48" w:rsidRDefault="00FF5849" w:rsidP="00600A48">
      <w:pPr>
        <w:pStyle w:val="Bullet1"/>
      </w:pPr>
      <w:r>
        <w:t xml:space="preserve">engage with their respective  payroll teams to determine what types of monetary and non-monetary payments, benefits and allowances (in addition to wages and salaries) are provided to their executive officers; </w:t>
      </w:r>
    </w:p>
    <w:p w14:paraId="752FC1FF" w14:textId="0330DFA0" w:rsidR="00FF5849" w:rsidRDefault="00600A48" w:rsidP="00600A48">
      <w:pPr>
        <w:pStyle w:val="Bullet1"/>
      </w:pPr>
      <w:r>
        <w:t xml:space="preserve">implement data </w:t>
      </w:r>
      <w:r w:rsidR="00BC2085">
        <w:t xml:space="preserve">collection </w:t>
      </w:r>
      <w:r>
        <w:t>process</w:t>
      </w:r>
      <w:r w:rsidR="00513121">
        <w:t>es</w:t>
      </w:r>
      <w:r>
        <w:t xml:space="preserve"> to capture the </w:t>
      </w:r>
      <w:r w:rsidR="00E41B46">
        <w:t xml:space="preserve">additional </w:t>
      </w:r>
      <w:r w:rsidR="00EA3256">
        <w:t>information</w:t>
      </w:r>
      <w:r w:rsidR="00E41B46">
        <w:t xml:space="preserve"> o</w:t>
      </w:r>
      <w:r w:rsidR="00EA3256">
        <w:t>n</w:t>
      </w:r>
      <w:r w:rsidR="00E41B46">
        <w:t xml:space="preserve"> </w:t>
      </w:r>
      <w:r w:rsidR="00FF5849">
        <w:t>amounts</w:t>
      </w:r>
      <w:r w:rsidR="00E41B46">
        <w:t xml:space="preserve"> paid, payable or provided by the entity during the reporting </w:t>
      </w:r>
      <w:r w:rsidR="00FF5849">
        <w:t>period</w:t>
      </w:r>
      <w:r>
        <w:t xml:space="preserve"> for inclusion in the note disclosure</w:t>
      </w:r>
      <w:r w:rsidR="00FF5849">
        <w:t>; and</w:t>
      </w:r>
    </w:p>
    <w:p w14:paraId="44325A35" w14:textId="77777777" w:rsidR="00600A48" w:rsidRDefault="00FF5849" w:rsidP="00E41B46">
      <w:pPr>
        <w:pStyle w:val="Bullet1"/>
      </w:pPr>
      <w:r>
        <w:t xml:space="preserve">perform an assessment </w:t>
      </w:r>
      <w:r w:rsidR="00600A48">
        <w:t>to determine how the data will be split into the remuneration categories in accordance with the reporting requirements in AASB 124.</w:t>
      </w:r>
    </w:p>
    <w:p w14:paraId="1F6B6DC4" w14:textId="75403C0F" w:rsidR="000323AB" w:rsidRDefault="00DE4D2C" w:rsidP="00D142EC">
      <w:pPr>
        <w:pStyle w:val="Heading1"/>
      </w:pPr>
      <w:r>
        <w:lastRenderedPageBreak/>
        <w:t xml:space="preserve">Appendix – Frequently Asked Questions </w:t>
      </w:r>
    </w:p>
    <w:p w14:paraId="3375C5DC" w14:textId="77777777" w:rsidR="00A86BD9" w:rsidRDefault="00F0507D" w:rsidP="00E14D93">
      <w:r w:rsidRPr="006C6596">
        <w:t xml:space="preserve">The objective of </w:t>
      </w:r>
      <w:r w:rsidR="00F26623" w:rsidRPr="006C6596">
        <w:t xml:space="preserve">the remuneration disclosure under </w:t>
      </w:r>
      <w:r w:rsidRPr="006C6596">
        <w:t xml:space="preserve">AASB 124 </w:t>
      </w:r>
      <w:r w:rsidRPr="006C6596">
        <w:rPr>
          <w:i/>
        </w:rPr>
        <w:t>Related Party Disclosures</w:t>
      </w:r>
      <w:r w:rsidRPr="006C6596">
        <w:t xml:space="preserve"> is to capture the</w:t>
      </w:r>
      <w:r w:rsidR="00F26623" w:rsidRPr="006C6596">
        <w:t xml:space="preserve"> total remuneration attributable to the entity’s Key Management Personnel (KMP) for the reporting period. </w:t>
      </w:r>
    </w:p>
    <w:p w14:paraId="124F8810" w14:textId="68AF7FFA" w:rsidR="006C6596" w:rsidRPr="006C6596" w:rsidRDefault="006C6596" w:rsidP="00E14D93">
      <w:r>
        <w:t xml:space="preserve">As a result, amounts </w:t>
      </w:r>
      <w:r w:rsidR="0008260B">
        <w:t>reported for KMP under AASB 124</w:t>
      </w:r>
      <w:r>
        <w:t xml:space="preserve"> and executive officers under FRD 21C, should reflect the expenses recognised in the entity’s Statement of Comprehensive Income (in line with the relevant accounting standards), for services provided by the </w:t>
      </w:r>
      <w:r w:rsidR="0008260B">
        <w:t xml:space="preserve">relevant </w:t>
      </w:r>
      <w:r>
        <w:t>employees</w:t>
      </w:r>
      <w:r w:rsidR="0008260B">
        <w:t>,</w:t>
      </w:r>
      <w:r>
        <w:t xml:space="preserve"> for the reporting period.  </w:t>
      </w:r>
    </w:p>
    <w:p w14:paraId="3A234FB6" w14:textId="607E140E" w:rsidR="0033142D" w:rsidRDefault="00EE175E" w:rsidP="002D5EF7">
      <w:pPr>
        <w:pStyle w:val="Heading3"/>
        <w:numPr>
          <w:ilvl w:val="0"/>
          <w:numId w:val="43"/>
        </w:numPr>
        <w:ind w:left="426" w:hanging="426"/>
      </w:pPr>
      <w:r>
        <w:t>H</w:t>
      </w:r>
      <w:r w:rsidR="00C14C01">
        <w:t>ow do we disclose</w:t>
      </w:r>
      <w:r>
        <w:t xml:space="preserve"> monetary and non-monetary benefits</w:t>
      </w:r>
      <w:r w:rsidR="00026C23">
        <w:t xml:space="preserve"> for executives</w:t>
      </w:r>
      <w:r w:rsidR="0033142D">
        <w:t xml:space="preserve">? </w:t>
      </w:r>
    </w:p>
    <w:p w14:paraId="77B5BA4D" w14:textId="77777777" w:rsidR="0033142D" w:rsidRDefault="0033142D" w:rsidP="0033142D">
      <w:r>
        <w:t>The Total Remuneration Package (TRP) for executives typically includes:</w:t>
      </w:r>
    </w:p>
    <w:p w14:paraId="11B91D3A" w14:textId="22AF679C" w:rsidR="0033142D" w:rsidRPr="002B0D77" w:rsidRDefault="0033142D" w:rsidP="0033142D">
      <w:pPr>
        <w:pStyle w:val="Bullet1"/>
      </w:pPr>
      <w:r w:rsidRPr="002B0D77">
        <w:t xml:space="preserve">salary (including any post-tax contributions </w:t>
      </w:r>
      <w:r w:rsidR="00026C23">
        <w:t xml:space="preserve">or </w:t>
      </w:r>
      <w:r w:rsidRPr="002B0D77">
        <w:t>deductibles);</w:t>
      </w:r>
    </w:p>
    <w:p w14:paraId="05A2FA4A" w14:textId="77777777" w:rsidR="0033142D" w:rsidRPr="002B0D77" w:rsidRDefault="0033142D" w:rsidP="0033142D">
      <w:pPr>
        <w:pStyle w:val="Bullet1"/>
      </w:pPr>
      <w:r w:rsidRPr="002B0D77">
        <w:t>non-</w:t>
      </w:r>
      <w:r>
        <w:t>salary</w:t>
      </w:r>
      <w:r w:rsidRPr="002B0D77">
        <w:t xml:space="preserve"> benefits</w:t>
      </w:r>
      <w:r>
        <w:t xml:space="preserve"> (full cost of any benefits met by the executive)</w:t>
      </w:r>
      <w:r w:rsidRPr="002B0D77">
        <w:t>;</w:t>
      </w:r>
    </w:p>
    <w:p w14:paraId="58688F8B" w14:textId="77777777" w:rsidR="0033142D" w:rsidRPr="002B0D77" w:rsidRDefault="0033142D" w:rsidP="002D5EF7">
      <w:pPr>
        <w:pStyle w:val="Bullet1"/>
        <w:tabs>
          <w:tab w:val="clear" w:pos="360"/>
        </w:tabs>
      </w:pPr>
      <w:r w:rsidRPr="002B0D77">
        <w:t>employer superannuation contributions</w:t>
      </w:r>
      <w:r>
        <w:t xml:space="preserve"> (compulsory employer contributions and pre-tax contributions directed by the executive)</w:t>
      </w:r>
      <w:r w:rsidRPr="002B0D77">
        <w:t>; and</w:t>
      </w:r>
    </w:p>
    <w:p w14:paraId="3E57BD35" w14:textId="77777777" w:rsidR="0033142D" w:rsidRPr="002B0D77" w:rsidRDefault="0033142D" w:rsidP="0033142D">
      <w:pPr>
        <w:pStyle w:val="Bullet1"/>
      </w:pPr>
      <w:r w:rsidRPr="002B0D77">
        <w:t>any applicable fringe benefits tax arising from the provision of employee benefits.</w:t>
      </w:r>
    </w:p>
    <w:p w14:paraId="470281CE" w14:textId="77777777" w:rsidR="0033142D" w:rsidRDefault="0033142D" w:rsidP="0033142D">
      <w:r>
        <w:t>Items that may be salary sacrificed as non-monetary benefits include, but are not limited to:</w:t>
      </w:r>
    </w:p>
    <w:p w14:paraId="463A96B9" w14:textId="77777777" w:rsidR="0033142D" w:rsidRPr="00B302A8" w:rsidRDefault="0033142D" w:rsidP="0033142D">
      <w:pPr>
        <w:pStyle w:val="Bullet1"/>
        <w:rPr>
          <w:rFonts w:eastAsiaTheme="minorEastAsia"/>
        </w:rPr>
      </w:pPr>
      <w:r>
        <w:rPr>
          <w:rFonts w:eastAsiaTheme="minorEastAsia"/>
        </w:rPr>
        <w:t xml:space="preserve">a motor vehicle; </w:t>
      </w:r>
    </w:p>
    <w:p w14:paraId="50B51DB5" w14:textId="280EFEB4" w:rsidR="0033142D" w:rsidRPr="002E15A5" w:rsidRDefault="00026C23" w:rsidP="002E15A5">
      <w:pPr>
        <w:pStyle w:val="Bullet1"/>
        <w:rPr>
          <w:rFonts w:eastAsiaTheme="minorEastAsia"/>
        </w:rPr>
      </w:pPr>
      <w:r>
        <w:rPr>
          <w:rFonts w:eastAsiaTheme="minorEastAsia"/>
        </w:rPr>
        <w:t>accommodation (ho</w:t>
      </w:r>
      <w:r w:rsidR="002E15A5">
        <w:rPr>
          <w:rFonts w:eastAsiaTheme="minorEastAsia"/>
        </w:rPr>
        <w:t xml:space="preserve">using) or relocation benefits; </w:t>
      </w:r>
      <w:r w:rsidRPr="002E15A5">
        <w:rPr>
          <w:rFonts w:eastAsiaTheme="minorEastAsia"/>
        </w:rPr>
        <w:t xml:space="preserve">and </w:t>
      </w:r>
      <w:r w:rsidR="0033142D" w:rsidRPr="002E15A5">
        <w:rPr>
          <w:rFonts w:eastAsiaTheme="minorEastAsia"/>
        </w:rPr>
        <w:t xml:space="preserve"> </w:t>
      </w:r>
    </w:p>
    <w:p w14:paraId="4F41952D" w14:textId="07166646" w:rsidR="0033142D" w:rsidRDefault="0033142D" w:rsidP="0033142D">
      <w:pPr>
        <w:pStyle w:val="Bullet1"/>
        <w:rPr>
          <w:rFonts w:eastAsiaTheme="minorEastAsia"/>
        </w:rPr>
      </w:pPr>
      <w:r>
        <w:rPr>
          <w:rFonts w:eastAsiaTheme="minorEastAsia"/>
        </w:rPr>
        <w:t>additional pre-tax</w:t>
      </w:r>
      <w:r w:rsidR="00C01E03">
        <w:rPr>
          <w:rFonts w:eastAsiaTheme="minorEastAsia"/>
        </w:rPr>
        <w:t xml:space="preserve"> contributions directed by the executive</w:t>
      </w:r>
      <w:r>
        <w:rPr>
          <w:rFonts w:eastAsiaTheme="minorEastAsia"/>
        </w:rPr>
        <w:t xml:space="preserve"> to be made to their super</w:t>
      </w:r>
      <w:r w:rsidR="00CA735C">
        <w:rPr>
          <w:rFonts w:eastAsiaTheme="minorEastAsia"/>
        </w:rPr>
        <w:t xml:space="preserve">annuation </w:t>
      </w:r>
      <w:r>
        <w:rPr>
          <w:rFonts w:eastAsiaTheme="minorEastAsia"/>
        </w:rPr>
        <w:t xml:space="preserve">fund. </w:t>
      </w:r>
    </w:p>
    <w:p w14:paraId="2204B2D2" w14:textId="77777777" w:rsidR="0033142D" w:rsidRDefault="0033142D" w:rsidP="0033142D">
      <w:pPr>
        <w:pStyle w:val="Bullet1"/>
        <w:numPr>
          <w:ilvl w:val="0"/>
          <w:numId w:val="0"/>
        </w:numPr>
        <w:rPr>
          <w:rFonts w:eastAsiaTheme="minorEastAsia"/>
        </w:rPr>
      </w:pPr>
    </w:p>
    <w:p w14:paraId="294CE31B" w14:textId="69FC8D9C" w:rsidR="0033142D" w:rsidRPr="00FD631D" w:rsidRDefault="0033142D" w:rsidP="0033142D">
      <w:pPr>
        <w:pStyle w:val="Bullet1"/>
        <w:numPr>
          <w:ilvl w:val="0"/>
          <w:numId w:val="0"/>
        </w:numPr>
        <w:rPr>
          <w:rFonts w:eastAsiaTheme="minorEastAsia"/>
          <w:b/>
        </w:rPr>
      </w:pPr>
      <w:r w:rsidRPr="00FD631D">
        <w:rPr>
          <w:rFonts w:eastAsiaTheme="minorEastAsia"/>
          <w:b/>
        </w:rPr>
        <w:t>For the purposes of the remuneration disclosure required under AASB 124, all amounts forming a</w:t>
      </w:r>
      <w:r w:rsidR="00055C3A" w:rsidRPr="00FD631D">
        <w:rPr>
          <w:rFonts w:eastAsiaTheme="minorEastAsia"/>
          <w:b/>
        </w:rPr>
        <w:t>n</w:t>
      </w:r>
      <w:r w:rsidRPr="00FD631D">
        <w:rPr>
          <w:rFonts w:eastAsiaTheme="minorEastAsia"/>
          <w:b/>
        </w:rPr>
        <w:t xml:space="preserve"> </w:t>
      </w:r>
      <w:r w:rsidR="00055C3A" w:rsidRPr="00FD631D">
        <w:rPr>
          <w:rFonts w:eastAsiaTheme="minorEastAsia"/>
          <w:b/>
        </w:rPr>
        <w:t>executive’</w:t>
      </w:r>
      <w:r w:rsidRPr="00FD631D">
        <w:rPr>
          <w:rFonts w:eastAsiaTheme="minorEastAsia"/>
          <w:b/>
        </w:rPr>
        <w:t xml:space="preserve">s TRP should be disclosed. </w:t>
      </w:r>
      <w:r w:rsidR="001E1B8C">
        <w:rPr>
          <w:rFonts w:eastAsiaTheme="minorEastAsia"/>
          <w:b/>
        </w:rPr>
        <w:t xml:space="preserve">Note </w:t>
      </w:r>
      <w:r w:rsidR="007C7FD6">
        <w:rPr>
          <w:rFonts w:eastAsiaTheme="minorEastAsia"/>
          <w:b/>
        </w:rPr>
        <w:t xml:space="preserve">that </w:t>
      </w:r>
      <w:r w:rsidR="001E1B8C">
        <w:rPr>
          <w:rFonts w:eastAsiaTheme="minorEastAsia"/>
          <w:b/>
        </w:rPr>
        <w:t xml:space="preserve">for specialist </w:t>
      </w:r>
      <w:r w:rsidR="007C7FD6">
        <w:rPr>
          <w:rFonts w:eastAsiaTheme="minorEastAsia"/>
          <w:b/>
        </w:rPr>
        <w:t>executive officer</w:t>
      </w:r>
      <w:r w:rsidR="00E470E8">
        <w:rPr>
          <w:rFonts w:eastAsiaTheme="minorEastAsia"/>
          <w:b/>
        </w:rPr>
        <w:t>s</w:t>
      </w:r>
      <w:r w:rsidR="007C7FD6">
        <w:rPr>
          <w:rFonts w:eastAsiaTheme="minorEastAsia"/>
          <w:b/>
        </w:rPr>
        <w:t xml:space="preserve"> o</w:t>
      </w:r>
      <w:r w:rsidR="00E470E8">
        <w:rPr>
          <w:rFonts w:eastAsiaTheme="minorEastAsia"/>
          <w:b/>
        </w:rPr>
        <w:t>r</w:t>
      </w:r>
      <w:r w:rsidR="007C7FD6">
        <w:rPr>
          <w:rFonts w:eastAsiaTheme="minorEastAsia"/>
          <w:b/>
        </w:rPr>
        <w:t xml:space="preserve"> equivalent </w:t>
      </w:r>
      <w:r w:rsidR="00E470E8">
        <w:rPr>
          <w:rFonts w:eastAsiaTheme="minorEastAsia"/>
          <w:b/>
        </w:rPr>
        <w:t>executive officer r</w:t>
      </w:r>
      <w:r w:rsidR="001E1B8C">
        <w:rPr>
          <w:rFonts w:eastAsiaTheme="minorEastAsia"/>
          <w:b/>
        </w:rPr>
        <w:t xml:space="preserve">oles, this </w:t>
      </w:r>
      <w:r w:rsidR="007C7FD6">
        <w:rPr>
          <w:rFonts w:eastAsiaTheme="minorEastAsia"/>
          <w:b/>
        </w:rPr>
        <w:t>may include</w:t>
      </w:r>
      <w:r w:rsidR="001E1B8C">
        <w:rPr>
          <w:rFonts w:eastAsiaTheme="minorEastAsia"/>
          <w:b/>
        </w:rPr>
        <w:t xml:space="preserve"> any benefits negotiated as part of their enterprise bargaining agreement (EBA). </w:t>
      </w:r>
    </w:p>
    <w:p w14:paraId="05B13ADC" w14:textId="77777777" w:rsidR="0033142D" w:rsidRDefault="0033142D" w:rsidP="0033142D">
      <w:pPr>
        <w:pStyle w:val="Bullet1"/>
        <w:numPr>
          <w:ilvl w:val="0"/>
          <w:numId w:val="0"/>
        </w:numPr>
        <w:rPr>
          <w:rFonts w:eastAsiaTheme="minorEastAsia"/>
        </w:rPr>
      </w:pPr>
    </w:p>
    <w:p w14:paraId="7B2BB84D" w14:textId="77777777" w:rsidR="0033142D" w:rsidRDefault="0033142D" w:rsidP="0033142D">
      <w:pPr>
        <w:pStyle w:val="Bullet1"/>
        <w:numPr>
          <w:ilvl w:val="0"/>
          <w:numId w:val="0"/>
        </w:numPr>
        <w:rPr>
          <w:rFonts w:eastAsiaTheme="minorEastAsia"/>
        </w:rPr>
      </w:pPr>
      <w:r>
        <w:rPr>
          <w:rFonts w:eastAsiaTheme="minorEastAsia"/>
        </w:rPr>
        <w:t xml:space="preserve">Amounts that should be </w:t>
      </w:r>
      <w:r w:rsidRPr="00A96C71">
        <w:rPr>
          <w:rFonts w:eastAsiaTheme="minorEastAsia"/>
          <w:b/>
        </w:rPr>
        <w:t>excluded</w:t>
      </w:r>
      <w:r>
        <w:rPr>
          <w:rFonts w:eastAsiaTheme="minorEastAsia"/>
        </w:rPr>
        <w:t xml:space="preserve"> from the remuneration disclosure include: </w:t>
      </w:r>
    </w:p>
    <w:p w14:paraId="574A4C85" w14:textId="77777777" w:rsidR="0033142D" w:rsidRDefault="0033142D" w:rsidP="0033142D">
      <w:pPr>
        <w:pStyle w:val="Bullet1"/>
        <w:numPr>
          <w:ilvl w:val="0"/>
          <w:numId w:val="0"/>
        </w:numPr>
        <w:rPr>
          <w:rFonts w:eastAsiaTheme="minorEastAsia"/>
        </w:rPr>
      </w:pPr>
    </w:p>
    <w:p w14:paraId="58666F65" w14:textId="19E25D2F" w:rsidR="0033142D" w:rsidRDefault="0033142D" w:rsidP="0033142D">
      <w:pPr>
        <w:pStyle w:val="Bullet1"/>
        <w:rPr>
          <w:rFonts w:eastAsiaTheme="minorEastAsia"/>
        </w:rPr>
      </w:pPr>
      <w:r>
        <w:rPr>
          <w:rFonts w:eastAsiaTheme="minorEastAsia"/>
        </w:rPr>
        <w:t xml:space="preserve">allowances or benefits incurred in the nature of the </w:t>
      </w:r>
      <w:r w:rsidR="00693756">
        <w:rPr>
          <w:rFonts w:eastAsiaTheme="minorEastAsia"/>
        </w:rPr>
        <w:t>executive</w:t>
      </w:r>
      <w:r>
        <w:rPr>
          <w:rFonts w:eastAsiaTheme="minorEastAsia"/>
        </w:rPr>
        <w:t xml:space="preserve">’s position that assist them to perform their role (i.e. laptop, mobile phone, training/workshops); and </w:t>
      </w:r>
    </w:p>
    <w:p w14:paraId="6CCC50CD" w14:textId="3310AB0A" w:rsidR="0033142D" w:rsidRDefault="0033142D" w:rsidP="0033142D">
      <w:pPr>
        <w:pStyle w:val="Bullet1"/>
        <w:rPr>
          <w:rFonts w:eastAsiaTheme="minorEastAsia"/>
        </w:rPr>
      </w:pPr>
      <w:r>
        <w:rPr>
          <w:rFonts w:eastAsiaTheme="minorEastAsia"/>
        </w:rPr>
        <w:t xml:space="preserve">work-related expenses that are reimbursed to the </w:t>
      </w:r>
      <w:r w:rsidR="00693756">
        <w:rPr>
          <w:rFonts w:eastAsiaTheme="minorEastAsia"/>
        </w:rPr>
        <w:t>executive</w:t>
      </w:r>
      <w:r>
        <w:rPr>
          <w:rFonts w:eastAsiaTheme="minorEastAsia"/>
        </w:rPr>
        <w:t xml:space="preserve"> (i.e. travel, accommodation, meals</w:t>
      </w:r>
      <w:r w:rsidR="00755BB2">
        <w:rPr>
          <w:rFonts w:eastAsiaTheme="minorEastAsia"/>
        </w:rPr>
        <w:t>, professional membership fees</w:t>
      </w:r>
      <w:r>
        <w:rPr>
          <w:rFonts w:eastAsiaTheme="minorEastAsia"/>
        </w:rPr>
        <w:t xml:space="preserve">). </w:t>
      </w:r>
    </w:p>
    <w:p w14:paraId="7544C3E0" w14:textId="736B85BE" w:rsidR="0033142D" w:rsidRDefault="0033142D" w:rsidP="0033142D">
      <w:r w:rsidRPr="00724D3D">
        <w:rPr>
          <w:rFonts w:cs="Calibri"/>
        </w:rPr>
        <w:t>I</w:t>
      </w:r>
      <w:r w:rsidRPr="00724D3D">
        <w:t>n most cases, it should be possible to attribute a dollar value to non-monetary benefits, and entities should make all reasonable efforts to do so. However, where it is not</w:t>
      </w:r>
      <w:r w:rsidR="00A86BD9">
        <w:t xml:space="preserve"> possible to attribute a value </w:t>
      </w:r>
      <w:r w:rsidRPr="00724D3D">
        <w:t xml:space="preserve">entities should provide a qualitative description of the benefit in a footnote to the disclosure table. </w:t>
      </w:r>
    </w:p>
    <w:p w14:paraId="2B24513B" w14:textId="53D25E73" w:rsidR="005968D6" w:rsidRDefault="005968D6" w:rsidP="0033142D">
      <w:r>
        <w:t xml:space="preserve">Refer to the illustrative example below on how to disclose monetary and non-monetary benefits as part of an executive’s Total Remuneration Package. </w:t>
      </w:r>
    </w:p>
    <w:p w14:paraId="38CB5D38" w14:textId="11C54651" w:rsidR="00C14C01" w:rsidRDefault="00C14C01" w:rsidP="002D5EF7">
      <w:pPr>
        <w:pStyle w:val="Heading3"/>
        <w:numPr>
          <w:ilvl w:val="0"/>
          <w:numId w:val="43"/>
        </w:numPr>
        <w:ind w:left="426" w:hanging="426"/>
      </w:pPr>
      <w:r>
        <w:t xml:space="preserve">How do we disclose </w:t>
      </w:r>
      <w:r w:rsidR="000C35AB">
        <w:t xml:space="preserve">employer </w:t>
      </w:r>
      <w:r>
        <w:t xml:space="preserve">superannuation contributions? </w:t>
      </w:r>
    </w:p>
    <w:p w14:paraId="6CC40801" w14:textId="58273C5C" w:rsidR="00C14C01" w:rsidRDefault="00C14C01" w:rsidP="00C14C01">
      <w:pPr>
        <w:rPr>
          <w:i/>
        </w:rPr>
      </w:pPr>
      <w:r>
        <w:t xml:space="preserve">For the remuneration disclosure required under AASB 124, </w:t>
      </w:r>
      <w:r w:rsidR="000C35AB">
        <w:t xml:space="preserve">employer </w:t>
      </w:r>
      <w:r>
        <w:t>superannuation contributions should be categorised as ‘post-employment benefits</w:t>
      </w:r>
      <w:r w:rsidR="00903970">
        <w:t xml:space="preserve">’, in accordance with AASB 119 </w:t>
      </w:r>
      <w:r w:rsidR="00903970">
        <w:rPr>
          <w:i/>
        </w:rPr>
        <w:t xml:space="preserve">Employee Benefits. </w:t>
      </w:r>
    </w:p>
    <w:p w14:paraId="515A5B4E" w14:textId="73BC87BB" w:rsidR="00E277C4" w:rsidRDefault="00903970" w:rsidP="004D555A">
      <w:r>
        <w:t xml:space="preserve">For </w:t>
      </w:r>
      <w:r w:rsidRPr="00903970">
        <w:rPr>
          <w:b/>
        </w:rPr>
        <w:t>defined contribution plans</w:t>
      </w:r>
      <w:r w:rsidR="00FF13D6">
        <w:rPr>
          <w:b/>
        </w:rPr>
        <w:t xml:space="preserve"> (i.e. accumulation schemes)</w:t>
      </w:r>
      <w:r>
        <w:t xml:space="preserve">, the amount disclosed </w:t>
      </w:r>
      <w:r w:rsidR="00095C3E">
        <w:t xml:space="preserve">should </w:t>
      </w:r>
      <w:r>
        <w:t xml:space="preserve">be based on the total expense recognised under AASB 119, which is the equivalent of the </w:t>
      </w:r>
      <w:r>
        <w:lastRenderedPageBreak/>
        <w:t xml:space="preserve">contributions payable to the plan, for services provided by the executive in the reporting period. </w:t>
      </w:r>
      <w:r w:rsidR="00FF13D6">
        <w:t xml:space="preserve">The </w:t>
      </w:r>
      <w:r w:rsidR="00B652DF">
        <w:t xml:space="preserve">compulsory superannuation </w:t>
      </w:r>
      <w:r w:rsidR="00FF13D6">
        <w:t xml:space="preserve">contribution </w:t>
      </w:r>
      <w:r w:rsidR="00B652DF">
        <w:t xml:space="preserve">rate </w:t>
      </w:r>
      <w:r w:rsidR="00FF13D6">
        <w:t>is currently 9.5 per cent</w:t>
      </w:r>
      <w:r w:rsidR="00B652DF">
        <w:t xml:space="preserve"> for the financial reporting period ending 30 June 2017</w:t>
      </w:r>
      <w:r w:rsidR="00FF13D6">
        <w:t xml:space="preserve">. </w:t>
      </w:r>
    </w:p>
    <w:p w14:paraId="151AFCAC" w14:textId="005658F1" w:rsidR="00E277C4" w:rsidRDefault="00903970" w:rsidP="004D555A">
      <w:r w:rsidRPr="00356FBF">
        <w:t xml:space="preserve">For </w:t>
      </w:r>
      <w:r w:rsidRPr="00356FBF">
        <w:rPr>
          <w:b/>
        </w:rPr>
        <w:t>defined benefit plans</w:t>
      </w:r>
      <w:r w:rsidR="00356FBF">
        <w:t xml:space="preserve">, the amount disclosed </w:t>
      </w:r>
      <w:r w:rsidR="00FD4811">
        <w:t>should</w:t>
      </w:r>
      <w:r w:rsidR="00356FBF">
        <w:t xml:space="preserve"> be based on the total expense recognised under AASB 119. Appendix I of the </w:t>
      </w:r>
      <w:r w:rsidR="00356FBF" w:rsidRPr="00A96EBF">
        <w:rPr>
          <w:i/>
        </w:rPr>
        <w:t>Victorian Public Sector Executive Employment Handbook</w:t>
      </w:r>
      <w:r w:rsidR="00356FBF">
        <w:t xml:space="preserve"> provides</w:t>
      </w:r>
      <w:r w:rsidR="00356FBF" w:rsidRPr="00356FBF">
        <w:t xml:space="preserve"> </w:t>
      </w:r>
      <w:r w:rsidR="00356FBF">
        <w:t>employment contribution rates</w:t>
      </w:r>
      <w:r w:rsidR="00356FBF" w:rsidRPr="00356FBF">
        <w:t xml:space="preserve"> </w:t>
      </w:r>
      <w:r w:rsidR="00356FBF">
        <w:t xml:space="preserve">to </w:t>
      </w:r>
      <w:r w:rsidR="0053004A">
        <w:t>calculate</w:t>
      </w:r>
      <w:r w:rsidR="00356FBF">
        <w:t xml:space="preserve"> the cost of superannuation that is deducted from the TRP</w:t>
      </w:r>
      <w:r w:rsidR="0053004A">
        <w:t xml:space="preserve"> </w:t>
      </w:r>
      <w:r w:rsidR="00E277C4">
        <w:t xml:space="preserve">of executives who remain members of the plan. </w:t>
      </w:r>
    </w:p>
    <w:p w14:paraId="1A5CA45E" w14:textId="3900266F" w:rsidR="0017570F" w:rsidRDefault="00356FBF" w:rsidP="004D555A">
      <w:r>
        <w:t>Note h</w:t>
      </w:r>
      <w:r w:rsidR="004D555A" w:rsidRPr="00356FBF">
        <w:t>owever</w:t>
      </w:r>
      <w:r w:rsidR="004D555A" w:rsidRPr="003444C4">
        <w:t xml:space="preserve">, the expense recognised under AASB 119 </w:t>
      </w:r>
      <w:r w:rsidR="00FD4811">
        <w:t>may differ</w:t>
      </w:r>
      <w:r w:rsidR="004D555A" w:rsidRPr="003444C4">
        <w:t xml:space="preserve"> from the contributions payable to the plan</w:t>
      </w:r>
      <w:r w:rsidR="0074327E">
        <w:t>. A</w:t>
      </w:r>
      <w:r w:rsidR="00FD4811">
        <w:t>s</w:t>
      </w:r>
      <w:r w:rsidR="004D555A" w:rsidRPr="003444C4">
        <w:t xml:space="preserve"> the contributions payable do not reflect the benefits provided by the entity in exchange for services provided by the employee, </w:t>
      </w:r>
      <w:r w:rsidR="004D555A" w:rsidRPr="00356FBF">
        <w:t xml:space="preserve">entities </w:t>
      </w:r>
      <w:r w:rsidR="00FD4811">
        <w:t>should</w:t>
      </w:r>
      <w:r w:rsidR="00C22C4A">
        <w:t xml:space="preserve"> include </w:t>
      </w:r>
      <w:r w:rsidR="0017570F">
        <w:t>the following</w:t>
      </w:r>
      <w:r w:rsidR="00C22C4A">
        <w:t xml:space="preserve"> footnote</w:t>
      </w:r>
      <w:r w:rsidR="0017570F">
        <w:t xml:space="preserve">: </w:t>
      </w:r>
    </w:p>
    <w:p w14:paraId="4F0810DD" w14:textId="6A90F27F" w:rsidR="0053004A" w:rsidRPr="00B31F1C" w:rsidRDefault="00C018A1" w:rsidP="00C018A1">
      <w:pPr>
        <w:ind w:left="284" w:right="237"/>
        <w:rPr>
          <w:i/>
        </w:rPr>
      </w:pPr>
      <w:r w:rsidRPr="00B31F1C">
        <w:rPr>
          <w:i/>
        </w:rPr>
        <w:t xml:space="preserve">Employer superannuation contributions disclosed for members of defined benefit plans represents the total expense recognised by the department/agency for the period. The </w:t>
      </w:r>
      <w:r w:rsidR="0017570F" w:rsidRPr="00B31F1C">
        <w:rPr>
          <w:i/>
        </w:rPr>
        <w:t xml:space="preserve">Victorian Government is committed to fully funding the plan for existing members by </w:t>
      </w:r>
      <w:r w:rsidR="00095C3E">
        <w:rPr>
          <w:i/>
        </w:rPr>
        <w:t>2035</w:t>
      </w:r>
      <w:r w:rsidR="0017570F" w:rsidRPr="00B31F1C">
        <w:rPr>
          <w:i/>
        </w:rPr>
        <w:t xml:space="preserve">, </w:t>
      </w:r>
      <w:r w:rsidR="00095C3E">
        <w:rPr>
          <w:i/>
        </w:rPr>
        <w:t>and the contributions to meet this commitment are paid at the Whole of State level and have not been included in this disclosure</w:t>
      </w:r>
      <w:r w:rsidR="0017570F" w:rsidRPr="00B31F1C">
        <w:rPr>
          <w:i/>
        </w:rPr>
        <w:t xml:space="preserve">. </w:t>
      </w:r>
      <w:r w:rsidR="00C22C4A" w:rsidRPr="00B31F1C">
        <w:t xml:space="preserve"> </w:t>
      </w:r>
    </w:p>
    <w:p w14:paraId="301AB30B" w14:textId="09695428" w:rsidR="005968D6" w:rsidRDefault="005968D6" w:rsidP="004D555A">
      <w:r w:rsidRPr="005968D6">
        <w:t xml:space="preserve">Refer to the illustrative example below on how to disclose </w:t>
      </w:r>
      <w:r>
        <w:t>superannuation contributions</w:t>
      </w:r>
      <w:r w:rsidRPr="005968D6">
        <w:t xml:space="preserve"> as part of an executive’s Total Remuneration Package.</w:t>
      </w:r>
    </w:p>
    <w:p w14:paraId="792559E7" w14:textId="7635030E" w:rsidR="005B78B8" w:rsidRPr="008018A3" w:rsidRDefault="00172412" w:rsidP="002D5EF7">
      <w:pPr>
        <w:pStyle w:val="Heading3"/>
        <w:numPr>
          <w:ilvl w:val="0"/>
          <w:numId w:val="43"/>
        </w:numPr>
        <w:ind w:left="426" w:hanging="426"/>
      </w:pPr>
      <w:r w:rsidRPr="008018A3">
        <w:t xml:space="preserve">How do we </w:t>
      </w:r>
      <w:r w:rsidR="00997905" w:rsidRPr="008018A3">
        <w:t>disclose</w:t>
      </w:r>
      <w:r w:rsidRPr="008018A3">
        <w:t xml:space="preserve"> annual leave and long service leave? </w:t>
      </w:r>
    </w:p>
    <w:p w14:paraId="6260D425" w14:textId="7B561D34" w:rsidR="00D40F6E" w:rsidRPr="00D40F6E" w:rsidRDefault="00FC47AB" w:rsidP="0013141E">
      <w:r>
        <w:t xml:space="preserve">For the purposes of the remuneration disclosure, annual leave and long service leave disclosed is the </w:t>
      </w:r>
      <w:r w:rsidR="00B42404">
        <w:t>e</w:t>
      </w:r>
      <w:r w:rsidR="00BA3506">
        <w:t>xecutive</w:t>
      </w:r>
      <w:r w:rsidR="00B42404">
        <w:t xml:space="preserve">’s </w:t>
      </w:r>
      <w:r>
        <w:t xml:space="preserve">entitlement for services </w:t>
      </w:r>
      <w:r w:rsidR="00783A68">
        <w:t>performe</w:t>
      </w:r>
      <w:r>
        <w:t>d during the year</w:t>
      </w:r>
      <w:r w:rsidR="00B053F2">
        <w:t xml:space="preserve">, </w:t>
      </w:r>
      <w:r>
        <w:t>irrespective of amounts paid or previously accrued, to align with AASB 119</w:t>
      </w:r>
      <w:r>
        <w:rPr>
          <w:i/>
        </w:rPr>
        <w:t xml:space="preserve">. </w:t>
      </w:r>
    </w:p>
    <w:p w14:paraId="3EC9F2EE" w14:textId="06F6F63C" w:rsidR="00E50AF1" w:rsidRDefault="00574B41" w:rsidP="00E50AF1">
      <w:pPr>
        <w:pStyle w:val="Heading4"/>
      </w:pPr>
      <w:r>
        <w:t>A</w:t>
      </w:r>
      <w:r w:rsidR="00712DA1">
        <w:t xml:space="preserve">nnual leave </w:t>
      </w:r>
      <w:r>
        <w:t>example</w:t>
      </w:r>
    </w:p>
    <w:p w14:paraId="3BAB349D" w14:textId="47237128" w:rsidR="00E50AF1" w:rsidRDefault="00E50AF1" w:rsidP="00E50AF1">
      <w:r>
        <w:t>Executive A works full-time for the 201X-</w:t>
      </w:r>
      <w:r w:rsidR="00D24C62">
        <w:t>1Y reporting period and is entitled to 4 weeks of annual leave</w:t>
      </w:r>
      <w:r w:rsidR="0049417C">
        <w:t xml:space="preserve"> each year</w:t>
      </w:r>
      <w:r w:rsidR="00D24C62">
        <w:t xml:space="preserve">. </w:t>
      </w:r>
      <w:r>
        <w:t xml:space="preserve">At 30 June 201Y, </w:t>
      </w:r>
      <w:r w:rsidR="0049417C">
        <w:t>s</w:t>
      </w:r>
      <w:r w:rsidR="00405E69">
        <w:t>he</w:t>
      </w:r>
      <w:r>
        <w:t xml:space="preserve"> has taken 2 weeks of annual leave, and has a carried forward leave balance </w:t>
      </w:r>
      <w:r w:rsidR="00FF1A54">
        <w:t xml:space="preserve">from prior years </w:t>
      </w:r>
      <w:r>
        <w:t>of 8 we</w:t>
      </w:r>
      <w:r w:rsidR="00311006">
        <w:t>eks</w:t>
      </w:r>
      <w:r>
        <w:t xml:space="preserve">.  </w:t>
      </w:r>
    </w:p>
    <w:p w14:paraId="30096462" w14:textId="5575E8CD" w:rsidR="00E50AF1" w:rsidRDefault="00E50AF1" w:rsidP="00E50AF1">
      <w:r w:rsidRPr="00FD4F3C">
        <w:t xml:space="preserve">For the remuneration disclosure required under AASB 124 for the 201X-1Y reporting period, the entity </w:t>
      </w:r>
      <w:r w:rsidR="00F7799D">
        <w:t xml:space="preserve">only </w:t>
      </w:r>
      <w:r w:rsidRPr="00FD4F3C">
        <w:t xml:space="preserve">discloses the annual leave entitlement of 4 </w:t>
      </w:r>
      <w:r w:rsidR="00405E69" w:rsidRPr="00FD4F3C">
        <w:t>weeks</w:t>
      </w:r>
      <w:r w:rsidR="007C3C6A" w:rsidRPr="00FD4F3C">
        <w:t xml:space="preserve"> (including any associated leave loading)</w:t>
      </w:r>
      <w:r w:rsidR="00405E69" w:rsidRPr="00FD4F3C">
        <w:t xml:space="preserve"> </w:t>
      </w:r>
      <w:r w:rsidR="000A099B" w:rsidRPr="00FD4F3C">
        <w:t xml:space="preserve">that Executive A </w:t>
      </w:r>
      <w:r w:rsidR="00BB204B" w:rsidRPr="00FD4F3C">
        <w:t>is entitled to</w:t>
      </w:r>
      <w:r w:rsidR="008A6BD3" w:rsidRPr="00FD4F3C">
        <w:t xml:space="preserve"> </w:t>
      </w:r>
      <w:r w:rsidR="00405E69" w:rsidRPr="00FD4F3C">
        <w:t>for services rendered in the current reporting period.</w:t>
      </w:r>
      <w:r w:rsidR="00405E69">
        <w:t xml:space="preserve"> </w:t>
      </w:r>
    </w:p>
    <w:p w14:paraId="7338AD93" w14:textId="1438730D" w:rsidR="00712DA1" w:rsidRDefault="00574B41" w:rsidP="00712DA1">
      <w:pPr>
        <w:pStyle w:val="Heading4"/>
      </w:pPr>
      <w:r>
        <w:t>L</w:t>
      </w:r>
      <w:r w:rsidR="00712DA1">
        <w:t>ong service leave</w:t>
      </w:r>
      <w:r>
        <w:t xml:space="preserve"> example </w:t>
      </w:r>
    </w:p>
    <w:p w14:paraId="7B4A3158" w14:textId="35B8EAC4" w:rsidR="0020362D" w:rsidRPr="001C0A09" w:rsidRDefault="007371A0" w:rsidP="00E50AF1">
      <w:r w:rsidRPr="001C0A09">
        <w:t xml:space="preserve">Executive A has worked full-time for </w:t>
      </w:r>
      <w:r w:rsidR="00886FB8" w:rsidRPr="001C0A09">
        <w:t>one entity</w:t>
      </w:r>
      <w:r w:rsidRPr="001C0A09">
        <w:t xml:space="preserve"> </w:t>
      </w:r>
      <w:r w:rsidR="00BA4C79" w:rsidRPr="001C0A09">
        <w:t xml:space="preserve">for 8 years. </w:t>
      </w:r>
      <w:r w:rsidR="0020362D" w:rsidRPr="001C0A09">
        <w:t>As Executive A has completed more than 7 years of service</w:t>
      </w:r>
      <w:r w:rsidR="00A96299" w:rsidRPr="001C0A09">
        <w:t xml:space="preserve">, </w:t>
      </w:r>
      <w:r w:rsidR="0049417C">
        <w:t>s</w:t>
      </w:r>
      <w:r w:rsidR="00A96299" w:rsidRPr="001C0A09">
        <w:t xml:space="preserve">he has met the vesting period for </w:t>
      </w:r>
      <w:r w:rsidR="0049417C" w:rsidRPr="001C0A09">
        <w:t>h</w:t>
      </w:r>
      <w:r w:rsidR="0049417C">
        <w:t>er</w:t>
      </w:r>
      <w:r w:rsidR="0049417C" w:rsidRPr="001C0A09">
        <w:t xml:space="preserve"> </w:t>
      </w:r>
      <w:r w:rsidR="00A96299" w:rsidRPr="001C0A09">
        <w:t xml:space="preserve">long service leave entitlement to be paid out on termination/resignation. </w:t>
      </w:r>
    </w:p>
    <w:p w14:paraId="3B692F69" w14:textId="03E278FA" w:rsidR="00632214" w:rsidRPr="00632214" w:rsidRDefault="00632214" w:rsidP="00BA4C79">
      <w:r w:rsidRPr="00632214">
        <w:t>In accordance with</w:t>
      </w:r>
      <w:r w:rsidR="00A96299" w:rsidRPr="00632214">
        <w:t xml:space="preserve"> the </w:t>
      </w:r>
      <w:r w:rsidR="0032780B" w:rsidRPr="00632214">
        <w:rPr>
          <w:i/>
        </w:rPr>
        <w:t>Victorian Public Sector</w:t>
      </w:r>
      <w:r w:rsidR="001C387D" w:rsidRPr="00632214">
        <w:rPr>
          <w:i/>
        </w:rPr>
        <w:t xml:space="preserve"> Enterprise Agreement 2016</w:t>
      </w:r>
      <w:r w:rsidRPr="00632214">
        <w:t xml:space="preserve"> and the </w:t>
      </w:r>
      <w:r w:rsidRPr="00632214">
        <w:rPr>
          <w:i/>
        </w:rPr>
        <w:t>Victorian Public Sector Executive Employment Handbook</w:t>
      </w:r>
      <w:r w:rsidR="008529E9" w:rsidRPr="00632214">
        <w:rPr>
          <w:i/>
        </w:rPr>
        <w:t>,</w:t>
      </w:r>
      <w:r w:rsidR="00A96299" w:rsidRPr="00632214">
        <w:t xml:space="preserve"> </w:t>
      </w:r>
      <w:r w:rsidRPr="00632214">
        <w:t>Executive A is entitled to three months paid long service leave every ten years of continuous service in the Victorian Public Sector (i.e. 1.3 weeks per year).</w:t>
      </w:r>
    </w:p>
    <w:p w14:paraId="6CAB2616" w14:textId="5CEC2897" w:rsidR="00BA4C79" w:rsidRDefault="00BA4C79" w:rsidP="00BA4C79">
      <w:r w:rsidRPr="00DD5C03">
        <w:t xml:space="preserve">For the remuneration disclosure required under AASB 124 for the 201X-1Y reporting period, the entity discloses the long service leave entitlement of </w:t>
      </w:r>
      <w:r w:rsidR="00476FE4" w:rsidRPr="00DD5C03">
        <w:t>1.3</w:t>
      </w:r>
      <w:r w:rsidRPr="00DD5C03">
        <w:t xml:space="preserve"> weeks that Executive A is entitled to for services </w:t>
      </w:r>
      <w:r w:rsidR="00783A68" w:rsidRPr="00DD5C03">
        <w:t>performe</w:t>
      </w:r>
      <w:r w:rsidRPr="00DD5C03">
        <w:t>d in the current reporting period.</w:t>
      </w:r>
      <w:r>
        <w:t xml:space="preserve"> </w:t>
      </w:r>
      <w:r w:rsidR="006E421A">
        <w:t xml:space="preserve"> </w:t>
      </w:r>
    </w:p>
    <w:p w14:paraId="64F5A532" w14:textId="77777777" w:rsidR="004245E6" w:rsidRDefault="004245E6" w:rsidP="004245E6">
      <w:r w:rsidRPr="005968D6">
        <w:t xml:space="preserve">Refer to the illustrative example below on how to disclose </w:t>
      </w:r>
      <w:r>
        <w:t>annual leave and long service leave</w:t>
      </w:r>
      <w:r w:rsidRPr="005968D6">
        <w:t xml:space="preserve"> as part of an executive’s Total Remuneration Package.</w:t>
      </w:r>
    </w:p>
    <w:p w14:paraId="5E557417" w14:textId="73048366" w:rsidR="00071EAB" w:rsidRDefault="00071EAB" w:rsidP="00071EAB">
      <w:pPr>
        <w:pStyle w:val="Heading4"/>
      </w:pPr>
      <w:r>
        <w:lastRenderedPageBreak/>
        <w:t xml:space="preserve">Other leave considerations </w:t>
      </w:r>
    </w:p>
    <w:p w14:paraId="66D5E40F" w14:textId="2BD9D1E1" w:rsidR="00032502" w:rsidRPr="00F9183F" w:rsidRDefault="00FE7580" w:rsidP="00E50AF1">
      <w:pPr>
        <w:rPr>
          <w:b/>
        </w:rPr>
      </w:pPr>
      <w:r w:rsidRPr="00FE7580">
        <w:t>N</w:t>
      </w:r>
      <w:r w:rsidR="0020362D" w:rsidRPr="00FE7580">
        <w:t>on</w:t>
      </w:r>
      <w:r w:rsidR="00032502" w:rsidRPr="00FE7580">
        <w:t>-vesting entitlements</w:t>
      </w:r>
      <w:r w:rsidR="00032502" w:rsidRPr="00F9183F">
        <w:t xml:space="preserve"> are when employees are not entitled to payment on termination or resignation</w:t>
      </w:r>
      <w:r w:rsidR="00525017">
        <w:t>,</w:t>
      </w:r>
      <w:r w:rsidR="00032502" w:rsidRPr="00F9183F">
        <w:t xml:space="preserve"> consistent with the requirements of AASB 119 (i.e. when the employee has not met the vesting period for their </w:t>
      </w:r>
      <w:r w:rsidR="001718F9">
        <w:t xml:space="preserve">long service leave </w:t>
      </w:r>
      <w:r w:rsidR="00032502" w:rsidRPr="00F9183F">
        <w:t xml:space="preserve">entitlement to be paid out). </w:t>
      </w:r>
    </w:p>
    <w:p w14:paraId="71232145" w14:textId="151953A1" w:rsidR="00E36CBF" w:rsidRDefault="00032502" w:rsidP="00E50AF1">
      <w:r w:rsidRPr="00F9183F">
        <w:t xml:space="preserve">In accordance with </w:t>
      </w:r>
      <w:r w:rsidR="00525017">
        <w:t>the standard</w:t>
      </w:r>
      <w:r w:rsidRPr="00F9183F">
        <w:t>, a liability for non-vesting leave</w:t>
      </w:r>
      <w:r w:rsidR="00573D31">
        <w:t xml:space="preserve"> </w:t>
      </w:r>
      <w:r w:rsidRPr="00F9183F">
        <w:t xml:space="preserve">is recognised when the entity has assessed that </w:t>
      </w:r>
      <w:r w:rsidR="00511943">
        <w:t>there is a</w:t>
      </w:r>
      <w:r w:rsidRPr="00F9183F">
        <w:t xml:space="preserve"> high </w:t>
      </w:r>
      <w:r w:rsidR="00511943" w:rsidRPr="00F9183F">
        <w:t>probab</w:t>
      </w:r>
      <w:r w:rsidR="00511943">
        <w:t>ility</w:t>
      </w:r>
      <w:r w:rsidR="00511943" w:rsidRPr="00F9183F">
        <w:t xml:space="preserve"> </w:t>
      </w:r>
      <w:r w:rsidRPr="00F9183F">
        <w:t xml:space="preserve">that employees will </w:t>
      </w:r>
      <w:r w:rsidR="00064969">
        <w:t xml:space="preserve">be </w:t>
      </w:r>
      <w:r w:rsidRPr="00F9183F">
        <w:t xml:space="preserve">entitled to their entitlement (i.e. the likelihood that the </w:t>
      </w:r>
      <w:r w:rsidR="00064969">
        <w:t xml:space="preserve">leave entitlement will vest and therefore there is a high probability that the </w:t>
      </w:r>
      <w:r w:rsidRPr="00F9183F">
        <w:t xml:space="preserve">liability will crystalise). </w:t>
      </w:r>
      <w:r w:rsidR="00F9183F">
        <w:t xml:space="preserve">This assessment </w:t>
      </w:r>
      <w:r w:rsidR="00064969">
        <w:t xml:space="preserve">will be </w:t>
      </w:r>
      <w:r w:rsidR="00F9183F">
        <w:t xml:space="preserve">based on </w:t>
      </w:r>
      <w:r w:rsidR="00F9183F" w:rsidRPr="00F9183F">
        <w:t>management’s</w:t>
      </w:r>
      <w:r w:rsidR="00064969">
        <w:t xml:space="preserve"> judgement and dependent on their</w:t>
      </w:r>
      <w:r w:rsidR="00F9183F" w:rsidRPr="00F9183F">
        <w:t xml:space="preserve"> own reasonable expectations and their internal policies</w:t>
      </w:r>
      <w:r w:rsidR="00F9183F">
        <w:t xml:space="preserve">. </w:t>
      </w:r>
    </w:p>
    <w:p w14:paraId="3CBE6DC2" w14:textId="7B560C40" w:rsidR="00056B23" w:rsidRDefault="00F9183F" w:rsidP="00E50AF1">
      <w:r w:rsidRPr="001F650C">
        <w:t>For the purposes</w:t>
      </w:r>
      <w:r w:rsidR="00D24789" w:rsidRPr="001F650C">
        <w:t xml:space="preserve"> of the remuneration disclosure, </w:t>
      </w:r>
      <w:r w:rsidR="001F650C" w:rsidRPr="001F650C">
        <w:t>the methodology for disclosing</w:t>
      </w:r>
      <w:r w:rsidR="00D73C95" w:rsidRPr="001F650C">
        <w:t xml:space="preserve"> non-vesting entitlements should </w:t>
      </w:r>
      <w:r w:rsidR="001F650C" w:rsidRPr="001F650C">
        <w:t>align with how long service leave liabilities are recognised in the employee benefits disclosure</w:t>
      </w:r>
      <w:r w:rsidR="001F650C">
        <w:t xml:space="preserve"> of the entity’s financial statements. </w:t>
      </w:r>
    </w:p>
    <w:p w14:paraId="7A9A2D7C" w14:textId="3E69E668" w:rsidR="00177594" w:rsidRDefault="000E6F93" w:rsidP="00E50AF1">
      <w:r>
        <w:t>In general,</w:t>
      </w:r>
      <w:r w:rsidR="00677903">
        <w:t xml:space="preserve"> Victorian public sector entities do not provide a liability for sick leave</w:t>
      </w:r>
      <w:r w:rsidR="00D60068">
        <w:t xml:space="preserve"> as it is non vesting</w:t>
      </w:r>
      <w:r w:rsidR="00677903">
        <w:t xml:space="preserve">, </w:t>
      </w:r>
      <w:r w:rsidR="00D60068">
        <w:t>so</w:t>
      </w:r>
      <w:r w:rsidR="00677903">
        <w:t xml:space="preserve"> it is recognised when incurred. </w:t>
      </w:r>
    </w:p>
    <w:p w14:paraId="5DF793DD" w14:textId="7A268C40" w:rsidR="002D5EF7" w:rsidRPr="00745C4D" w:rsidRDefault="00B21096" w:rsidP="00971E0C">
      <w:pPr>
        <w:pStyle w:val="Heading3"/>
      </w:pPr>
      <w:r w:rsidRPr="00745C4D">
        <w:t xml:space="preserve">Illustrative example </w:t>
      </w:r>
    </w:p>
    <w:p w14:paraId="3A0F8D02" w14:textId="3A5C89A6" w:rsidR="00971E0C" w:rsidRDefault="00971E0C" w:rsidP="00971E0C">
      <w:pPr>
        <w:pStyle w:val="Heading4"/>
      </w:pPr>
      <w:r>
        <w:t>Example 1</w:t>
      </w:r>
      <w:r w:rsidR="005208E5">
        <w:t xml:space="preserve"> – Where the </w:t>
      </w:r>
      <w:r w:rsidR="005A56EF">
        <w:t>e</w:t>
      </w:r>
      <w:r w:rsidR="005208E5">
        <w:t xml:space="preserve">xecutive has not taken any long service leave </w:t>
      </w:r>
      <w:r w:rsidR="005A56EF">
        <w:t>during</w:t>
      </w:r>
      <w:r w:rsidR="005208E5">
        <w:t xml:space="preserve"> the period</w:t>
      </w:r>
    </w:p>
    <w:p w14:paraId="7DF0651D" w14:textId="349C30D4" w:rsidR="002D5EF7" w:rsidRPr="000A099B" w:rsidRDefault="002D5EF7" w:rsidP="002D5EF7">
      <w:r w:rsidRPr="000A099B">
        <w:t xml:space="preserve">Executive A </w:t>
      </w:r>
      <w:r w:rsidR="008A1D46">
        <w:t>has been</w:t>
      </w:r>
      <w:r w:rsidRPr="000A099B">
        <w:t xml:space="preserve"> employed by </w:t>
      </w:r>
      <w:r>
        <w:t>a department</w:t>
      </w:r>
      <w:r w:rsidRPr="000A099B">
        <w:t xml:space="preserve"> on a full-time basis</w:t>
      </w:r>
      <w:r w:rsidR="008A1D46">
        <w:t xml:space="preserve"> for </w:t>
      </w:r>
      <w:r w:rsidR="00971E0C">
        <w:t xml:space="preserve">10 </w:t>
      </w:r>
      <w:r w:rsidR="008A1D46">
        <w:t>years</w:t>
      </w:r>
      <w:r w:rsidRPr="000A099B">
        <w:t>. Executive A’s tot</w:t>
      </w:r>
      <w:r>
        <w:t xml:space="preserve">al remuneration package is $225 </w:t>
      </w:r>
      <w:r w:rsidRPr="000A099B">
        <w:t xml:space="preserve">000 per year, and </w:t>
      </w:r>
      <w:r>
        <w:t xml:space="preserve">receives </w:t>
      </w:r>
      <w:r w:rsidRPr="000A099B">
        <w:t>her TRP as follows:</w:t>
      </w:r>
    </w:p>
    <w:p w14:paraId="0A6415F4" w14:textId="50DF68CC" w:rsidR="002D5EF7" w:rsidRPr="00092587" w:rsidRDefault="002D5EF7" w:rsidP="002D5EF7">
      <w:pPr>
        <w:pStyle w:val="Bullet1"/>
      </w:pPr>
      <w:r>
        <w:t xml:space="preserve">$175 </w:t>
      </w:r>
      <w:r w:rsidRPr="00092587">
        <w:t xml:space="preserve">000 </w:t>
      </w:r>
      <w:r>
        <w:t xml:space="preserve">as </w:t>
      </w:r>
      <w:r w:rsidRPr="00092587">
        <w:t>salary</w:t>
      </w:r>
      <w:r w:rsidR="001E0514">
        <w:t xml:space="preserve"> </w:t>
      </w:r>
      <w:r w:rsidR="001E0514" w:rsidRPr="00AA1FFD">
        <w:t>(</w:t>
      </w:r>
      <w:r w:rsidR="00DD2F84">
        <w:t xml:space="preserve">includes </w:t>
      </w:r>
      <w:r w:rsidR="001E0514" w:rsidRPr="00AA1FFD">
        <w:t>48 weeks of work plus 4 weeks annual leave entitlement)</w:t>
      </w:r>
      <w:r w:rsidRPr="00AA1FFD">
        <w:t>;</w:t>
      </w:r>
    </w:p>
    <w:p w14:paraId="3CAAF441" w14:textId="5A3689A8" w:rsidR="002D5EF7" w:rsidRPr="00092587" w:rsidRDefault="002D5EF7" w:rsidP="002D5EF7">
      <w:pPr>
        <w:pStyle w:val="Bullet1"/>
      </w:pPr>
      <w:r>
        <w:t>$</w:t>
      </w:r>
      <w:r w:rsidR="00D52B43">
        <w:t>21 375</w:t>
      </w:r>
      <w:r w:rsidRPr="00092587">
        <w:t xml:space="preserve"> of employer superannuation contributions</w:t>
      </w:r>
      <w:r w:rsidRPr="00974843">
        <w:t>;</w:t>
      </w:r>
      <w:r w:rsidRPr="00092587">
        <w:t xml:space="preserve"> </w:t>
      </w:r>
    </w:p>
    <w:p w14:paraId="05692773" w14:textId="77777777" w:rsidR="002D5EF7" w:rsidRPr="00092587" w:rsidRDefault="002D5EF7" w:rsidP="002D5EF7">
      <w:pPr>
        <w:pStyle w:val="Bullet1"/>
      </w:pPr>
      <w:r>
        <w:t xml:space="preserve">$16 </w:t>
      </w:r>
      <w:r w:rsidRPr="00092587">
        <w:t xml:space="preserve">625 for a motor vehicle under the Executive Motor Vehicle Scheme; and </w:t>
      </w:r>
    </w:p>
    <w:p w14:paraId="2E1B2558" w14:textId="37F40064" w:rsidR="002D5EF7" w:rsidRPr="000A099B" w:rsidRDefault="002D5EF7" w:rsidP="00CF2E0D">
      <w:pPr>
        <w:pStyle w:val="Bullet1"/>
        <w:tabs>
          <w:tab w:val="clear" w:pos="360"/>
        </w:tabs>
      </w:pPr>
      <w:r>
        <w:t>$</w:t>
      </w:r>
      <w:r w:rsidR="00F62F40">
        <w:t>1</w:t>
      </w:r>
      <w:r w:rsidR="00D52B43">
        <w:t>2</w:t>
      </w:r>
      <w:r w:rsidR="00F62F40">
        <w:t xml:space="preserve"> </w:t>
      </w:r>
      <w:r w:rsidR="00D52B43">
        <w:t>00</w:t>
      </w:r>
      <w:r w:rsidR="00F62F40" w:rsidRPr="00092587">
        <w:t xml:space="preserve">0 </w:t>
      </w:r>
      <w:r w:rsidRPr="00092587">
        <w:t>additional pr</w:t>
      </w:r>
      <w:r w:rsidR="00213BE3">
        <w:t xml:space="preserve">e-tax contributions made to </w:t>
      </w:r>
      <w:r>
        <w:t>her</w:t>
      </w:r>
      <w:r w:rsidRPr="00092587">
        <w:t xml:space="preserve"> super</w:t>
      </w:r>
      <w:r>
        <w:t>annuation</w:t>
      </w:r>
      <w:r w:rsidRPr="00092587">
        <w:t xml:space="preserve"> fund</w:t>
      </w:r>
      <w:r w:rsidRPr="000A099B">
        <w:t>.</w:t>
      </w:r>
    </w:p>
    <w:p w14:paraId="4CFAEF75" w14:textId="206CC15E" w:rsidR="008A1D46" w:rsidRDefault="00235985" w:rsidP="002D5EF7">
      <w:r>
        <w:t xml:space="preserve">For the </w:t>
      </w:r>
      <w:r w:rsidR="008A1D46">
        <w:t>30 June</w:t>
      </w:r>
      <w:r>
        <w:t xml:space="preserve"> 201Y reporting period</w:t>
      </w:r>
      <w:r w:rsidR="008A1D46">
        <w:t xml:space="preserve">, </w:t>
      </w:r>
      <w:r w:rsidR="00074729">
        <w:t xml:space="preserve">Executive </w:t>
      </w:r>
      <w:r>
        <w:t xml:space="preserve">A has accrued a </w:t>
      </w:r>
      <w:r w:rsidR="008A1D46" w:rsidRPr="001C0A09">
        <w:t xml:space="preserve">long service leave entitlement </w:t>
      </w:r>
      <w:r>
        <w:t xml:space="preserve">of </w:t>
      </w:r>
      <w:r w:rsidR="0043246D">
        <w:t>1.3</w:t>
      </w:r>
      <w:r w:rsidR="008A1D46" w:rsidRPr="001C0A09">
        <w:t xml:space="preserve"> weeks</w:t>
      </w:r>
      <w:r w:rsidR="00494E56">
        <w:t xml:space="preserve"> ($</w:t>
      </w:r>
      <w:r w:rsidR="0043246D">
        <w:t>4 375</w:t>
      </w:r>
      <w:r w:rsidR="00494E56">
        <w:t>)</w:t>
      </w:r>
      <w:r w:rsidR="00706676">
        <w:t>. This</w:t>
      </w:r>
      <w:r w:rsidR="008A1D46">
        <w:t xml:space="preserve"> is calculated as being</w:t>
      </w:r>
      <w:r w:rsidR="00706676">
        <w:t xml:space="preserve"> </w:t>
      </w:r>
      <w:r w:rsidR="00841BCD">
        <w:t>her</w:t>
      </w:r>
      <w:r w:rsidR="00706676">
        <w:t xml:space="preserve"> weekly salary amount of </w:t>
      </w:r>
      <w:r w:rsidR="00494E56">
        <w:t xml:space="preserve">$3 </w:t>
      </w:r>
      <w:r w:rsidR="000D1293">
        <w:t>365 ($175 000 / 52 </w:t>
      </w:r>
      <w:r w:rsidR="00706676">
        <w:t xml:space="preserve">weeks) multiplied by </w:t>
      </w:r>
      <w:r w:rsidR="00841BCD">
        <w:t>her</w:t>
      </w:r>
      <w:r w:rsidR="00706676">
        <w:t xml:space="preserve"> long service l</w:t>
      </w:r>
      <w:r w:rsidR="00494E56">
        <w:t xml:space="preserve">eave entitlement of </w:t>
      </w:r>
      <w:r w:rsidR="0043246D">
        <w:t>1.3</w:t>
      </w:r>
      <w:r w:rsidR="00494E56">
        <w:t xml:space="preserve"> weeks</w:t>
      </w:r>
      <w:r w:rsidR="008A1D46">
        <w:t xml:space="preserve">. </w:t>
      </w:r>
      <w:r w:rsidR="00DB6559">
        <w:t xml:space="preserve">During the year, Executive A </w:t>
      </w:r>
      <w:r>
        <w:t xml:space="preserve">has not taken </w:t>
      </w:r>
      <w:r w:rsidR="00DB6559">
        <w:t>any long service leave.</w:t>
      </w:r>
    </w:p>
    <w:p w14:paraId="62746E25" w14:textId="16F577A2" w:rsidR="002D5EF7" w:rsidRDefault="002D5EF7" w:rsidP="002D5EF7">
      <w:r w:rsidRPr="00092587">
        <w:t>For the remuneration disclosure required under AASB 124 for the 201X-1Y reporting period, the reporting entity discloses Executive A’s TRP of $225,000 which represents all monetary and non-monetary benefits paid</w:t>
      </w:r>
      <w:r>
        <w:t>,</w:t>
      </w:r>
      <w:r w:rsidRPr="00092587">
        <w:t xml:space="preserve"> </w:t>
      </w:r>
      <w:r w:rsidR="006373C5">
        <w:t xml:space="preserve">and </w:t>
      </w:r>
      <w:r w:rsidR="000A03BE">
        <w:t>her</w:t>
      </w:r>
      <w:r w:rsidR="006373C5">
        <w:t xml:space="preserve"> leave entitlements, </w:t>
      </w:r>
      <w:r w:rsidRPr="00092587">
        <w:t xml:space="preserve">as follows: </w:t>
      </w:r>
    </w:p>
    <w:tbl>
      <w:tblPr>
        <w:tblStyle w:val="TableGrid"/>
        <w:tblW w:w="9177" w:type="dxa"/>
        <w:tblInd w:w="57" w:type="dxa"/>
        <w:tblBorders>
          <w:bottom w:val="none" w:sz="0" w:space="0" w:color="auto"/>
        </w:tblBorders>
        <w:tblLook w:val="0260" w:firstRow="1" w:lastRow="1" w:firstColumn="0" w:lastColumn="0" w:noHBand="1" w:noVBand="0"/>
      </w:tblPr>
      <w:tblGrid>
        <w:gridCol w:w="3997"/>
        <w:gridCol w:w="1479"/>
        <w:gridCol w:w="3701"/>
      </w:tblGrid>
      <w:tr w:rsidR="00936D8E" w:rsidRPr="004D649B" w14:paraId="01A16761" w14:textId="129F4A84" w:rsidTr="006E3DA7">
        <w:trPr>
          <w:cnfStyle w:val="100000000000" w:firstRow="1" w:lastRow="0" w:firstColumn="0" w:lastColumn="0" w:oddVBand="0" w:evenVBand="0" w:oddHBand="0" w:evenHBand="0" w:firstRowFirstColumn="0" w:firstRowLastColumn="0" w:lastRowFirstColumn="0" w:lastRowLastColumn="0"/>
          <w:trHeight w:val="478"/>
        </w:trPr>
        <w:tc>
          <w:tcPr>
            <w:cnfStyle w:val="000010000000" w:firstRow="0" w:lastRow="0" w:firstColumn="0" w:lastColumn="0" w:oddVBand="1" w:evenVBand="0" w:oddHBand="0" w:evenHBand="0" w:firstRowFirstColumn="0" w:firstRowLastColumn="0" w:lastRowFirstColumn="0" w:lastRowLastColumn="0"/>
            <w:tcW w:w="3997" w:type="dxa"/>
          </w:tcPr>
          <w:p w14:paraId="27B25EBB" w14:textId="578B4618" w:rsidR="00393777" w:rsidRPr="000A466E" w:rsidRDefault="00393777" w:rsidP="008E0A67">
            <w:pPr>
              <w:rPr>
                <w:sz w:val="18"/>
                <w:szCs w:val="18"/>
              </w:rPr>
            </w:pPr>
            <w:r w:rsidRPr="000A466E">
              <w:rPr>
                <w:sz w:val="18"/>
                <w:szCs w:val="18"/>
              </w:rPr>
              <w:t>Remuneration</w:t>
            </w:r>
            <w:r w:rsidR="004E3659">
              <w:rPr>
                <w:sz w:val="18"/>
                <w:szCs w:val="18"/>
              </w:rPr>
              <w:t xml:space="preserve"> </w:t>
            </w:r>
            <w:r>
              <w:rPr>
                <w:sz w:val="18"/>
                <w:szCs w:val="18"/>
              </w:rPr>
              <w:t xml:space="preserve">of Executive A </w:t>
            </w:r>
          </w:p>
        </w:tc>
        <w:tc>
          <w:tcPr>
            <w:cnfStyle w:val="000001000000" w:firstRow="0" w:lastRow="0" w:firstColumn="0" w:lastColumn="0" w:oddVBand="0" w:evenVBand="1" w:oddHBand="0" w:evenHBand="0" w:firstRowFirstColumn="0" w:firstRowLastColumn="0" w:lastRowFirstColumn="0" w:lastRowLastColumn="0"/>
            <w:tcW w:w="1479" w:type="dxa"/>
          </w:tcPr>
          <w:p w14:paraId="00E8E4E2" w14:textId="29252CE5" w:rsidR="00393777" w:rsidRPr="000A466E" w:rsidRDefault="00393777" w:rsidP="008E0A67">
            <w:pPr>
              <w:jc w:val="right"/>
              <w:rPr>
                <w:sz w:val="18"/>
                <w:szCs w:val="18"/>
              </w:rPr>
            </w:pPr>
            <w:r>
              <w:rPr>
                <w:sz w:val="18"/>
                <w:szCs w:val="18"/>
              </w:rPr>
              <w:t>201Y</w:t>
            </w:r>
            <w:r w:rsidR="00A13FDC">
              <w:rPr>
                <w:sz w:val="18"/>
                <w:szCs w:val="18"/>
              </w:rPr>
              <w:t xml:space="preserve"> ($)</w:t>
            </w:r>
          </w:p>
        </w:tc>
        <w:tc>
          <w:tcPr>
            <w:cnfStyle w:val="000010000000" w:firstRow="0" w:lastRow="0" w:firstColumn="0" w:lastColumn="0" w:oddVBand="1" w:evenVBand="0" w:oddHBand="0" w:evenHBand="0" w:firstRowFirstColumn="0" w:firstRowLastColumn="0" w:lastRowFirstColumn="0" w:lastRowLastColumn="0"/>
            <w:tcW w:w="3701" w:type="dxa"/>
          </w:tcPr>
          <w:p w14:paraId="03FA56EA" w14:textId="31AB4422" w:rsidR="00393777" w:rsidRDefault="00747814" w:rsidP="00936D8E">
            <w:pPr>
              <w:ind w:left="84"/>
              <w:rPr>
                <w:sz w:val="18"/>
                <w:szCs w:val="18"/>
              </w:rPr>
            </w:pPr>
            <w:r>
              <w:rPr>
                <w:sz w:val="18"/>
                <w:szCs w:val="18"/>
              </w:rPr>
              <w:t>Note</w:t>
            </w:r>
          </w:p>
        </w:tc>
      </w:tr>
      <w:tr w:rsidR="00936D8E" w:rsidRPr="004D649B" w14:paraId="6F8C8180" w14:textId="35E501E3" w:rsidTr="00936D8E">
        <w:trPr>
          <w:trHeight w:val="823"/>
        </w:trPr>
        <w:tc>
          <w:tcPr>
            <w:cnfStyle w:val="000010000000" w:firstRow="0" w:lastRow="0" w:firstColumn="0" w:lastColumn="0" w:oddVBand="1" w:evenVBand="0" w:oddHBand="0" w:evenHBand="0" w:firstRowFirstColumn="0" w:firstRowLastColumn="0" w:lastRowFirstColumn="0" w:lastRowLastColumn="0"/>
            <w:tcW w:w="3997" w:type="dxa"/>
            <w:shd w:val="clear" w:color="auto" w:fill="auto"/>
          </w:tcPr>
          <w:p w14:paraId="2807AD56" w14:textId="77777777" w:rsidR="00393777" w:rsidRPr="000A466E" w:rsidRDefault="00393777" w:rsidP="008E0A67">
            <w:pPr>
              <w:jc w:val="left"/>
              <w:rPr>
                <w:sz w:val="18"/>
                <w:szCs w:val="18"/>
              </w:rPr>
            </w:pPr>
            <w:r>
              <w:rPr>
                <w:sz w:val="18"/>
                <w:szCs w:val="18"/>
              </w:rPr>
              <w:t>S</w:t>
            </w:r>
            <w:r w:rsidRPr="000A466E">
              <w:rPr>
                <w:sz w:val="18"/>
                <w:szCs w:val="18"/>
              </w:rPr>
              <w:t>hort-term benefits</w:t>
            </w:r>
          </w:p>
        </w:tc>
        <w:tc>
          <w:tcPr>
            <w:cnfStyle w:val="000001000000" w:firstRow="0" w:lastRow="0" w:firstColumn="0" w:lastColumn="0" w:oddVBand="0" w:evenVBand="1" w:oddHBand="0" w:evenHBand="0" w:firstRowFirstColumn="0" w:firstRowLastColumn="0" w:lastRowFirstColumn="0" w:lastRowLastColumn="0"/>
            <w:tcW w:w="1479" w:type="dxa"/>
            <w:shd w:val="clear" w:color="auto" w:fill="E3EBF4" w:themeFill="accent3" w:themeFillTint="33"/>
          </w:tcPr>
          <w:p w14:paraId="49918AF4" w14:textId="575A4F2C" w:rsidR="00393777" w:rsidRPr="000A466E" w:rsidRDefault="008C49D5" w:rsidP="00D52B43">
            <w:pPr>
              <w:rPr>
                <w:sz w:val="18"/>
                <w:szCs w:val="18"/>
              </w:rPr>
            </w:pPr>
            <w:r>
              <w:rPr>
                <w:sz w:val="18"/>
                <w:szCs w:val="18"/>
              </w:rPr>
              <w:t>20</w:t>
            </w:r>
            <w:r w:rsidR="00D52B43">
              <w:rPr>
                <w:sz w:val="18"/>
                <w:szCs w:val="18"/>
              </w:rPr>
              <w:t>3</w:t>
            </w:r>
            <w:r>
              <w:rPr>
                <w:sz w:val="18"/>
                <w:szCs w:val="18"/>
              </w:rPr>
              <w:t xml:space="preserve"> </w:t>
            </w:r>
            <w:r w:rsidR="00D52B43">
              <w:rPr>
                <w:sz w:val="18"/>
                <w:szCs w:val="18"/>
              </w:rPr>
              <w:t>62</w:t>
            </w:r>
            <w:r>
              <w:rPr>
                <w:sz w:val="18"/>
                <w:szCs w:val="18"/>
              </w:rPr>
              <w:t xml:space="preserve">5 </w:t>
            </w:r>
          </w:p>
        </w:tc>
        <w:tc>
          <w:tcPr>
            <w:cnfStyle w:val="000010000000" w:firstRow="0" w:lastRow="0" w:firstColumn="0" w:lastColumn="0" w:oddVBand="1" w:evenVBand="0" w:oddHBand="0" w:evenHBand="0" w:firstRowFirstColumn="0" w:firstRowLastColumn="0" w:lastRowFirstColumn="0" w:lastRowLastColumn="0"/>
            <w:tcW w:w="3701" w:type="dxa"/>
            <w:shd w:val="clear" w:color="auto" w:fill="auto"/>
            <w:vAlign w:val="center"/>
          </w:tcPr>
          <w:p w14:paraId="2D8621C1" w14:textId="758B2948" w:rsidR="00393777" w:rsidRPr="00936D8E" w:rsidRDefault="00393777" w:rsidP="003A0BAD">
            <w:pPr>
              <w:spacing w:before="0" w:after="0"/>
              <w:ind w:left="85"/>
              <w:jc w:val="left"/>
              <w:rPr>
                <w:i/>
                <w:sz w:val="18"/>
                <w:szCs w:val="18"/>
              </w:rPr>
            </w:pPr>
            <w:r w:rsidRPr="00936D8E">
              <w:rPr>
                <w:i/>
                <w:sz w:val="18"/>
                <w:szCs w:val="18"/>
              </w:rPr>
              <w:t>Representing Executive A’s TRP (includin</w:t>
            </w:r>
            <w:r w:rsidR="003A0BAD">
              <w:rPr>
                <w:i/>
                <w:sz w:val="18"/>
                <w:szCs w:val="18"/>
              </w:rPr>
              <w:t xml:space="preserve">g the annual leave entitlement), </w:t>
            </w:r>
            <w:r w:rsidRPr="00936D8E">
              <w:rPr>
                <w:i/>
                <w:sz w:val="18"/>
                <w:szCs w:val="18"/>
              </w:rPr>
              <w:t xml:space="preserve">minus </w:t>
            </w:r>
            <w:r w:rsidR="003A0BAD">
              <w:rPr>
                <w:i/>
                <w:sz w:val="18"/>
                <w:szCs w:val="18"/>
              </w:rPr>
              <w:t>the employer superannuation contribution</w:t>
            </w:r>
          </w:p>
        </w:tc>
      </w:tr>
      <w:tr w:rsidR="00936D8E" w:rsidRPr="004D649B" w14:paraId="73046151" w14:textId="0DC9BD1C" w:rsidTr="00936D8E">
        <w:trPr>
          <w:trHeight w:val="865"/>
        </w:trPr>
        <w:tc>
          <w:tcPr>
            <w:cnfStyle w:val="000010000000" w:firstRow="0" w:lastRow="0" w:firstColumn="0" w:lastColumn="0" w:oddVBand="1" w:evenVBand="0" w:oddHBand="0" w:evenHBand="0" w:firstRowFirstColumn="0" w:firstRowLastColumn="0" w:lastRowFirstColumn="0" w:lastRowLastColumn="0"/>
            <w:tcW w:w="3997" w:type="dxa"/>
            <w:shd w:val="clear" w:color="auto" w:fill="auto"/>
          </w:tcPr>
          <w:p w14:paraId="7C50FF56" w14:textId="77777777" w:rsidR="00393777" w:rsidRPr="000A466E" w:rsidRDefault="00393777" w:rsidP="008E0A67">
            <w:pPr>
              <w:jc w:val="left"/>
              <w:rPr>
                <w:sz w:val="18"/>
                <w:szCs w:val="18"/>
              </w:rPr>
            </w:pPr>
            <w:r w:rsidRPr="000A466E">
              <w:rPr>
                <w:sz w:val="18"/>
                <w:szCs w:val="18"/>
              </w:rPr>
              <w:t>Post-employment benefits</w:t>
            </w:r>
          </w:p>
        </w:tc>
        <w:tc>
          <w:tcPr>
            <w:cnfStyle w:val="000001000000" w:firstRow="0" w:lastRow="0" w:firstColumn="0" w:lastColumn="0" w:oddVBand="0" w:evenVBand="1" w:oddHBand="0" w:evenHBand="0" w:firstRowFirstColumn="0" w:firstRowLastColumn="0" w:lastRowFirstColumn="0" w:lastRowLastColumn="0"/>
            <w:tcW w:w="1479" w:type="dxa"/>
            <w:shd w:val="clear" w:color="auto" w:fill="E3EBF4" w:themeFill="accent3" w:themeFillTint="33"/>
          </w:tcPr>
          <w:p w14:paraId="4A607F67" w14:textId="08BBA2B3" w:rsidR="00393777" w:rsidRPr="000A466E" w:rsidRDefault="00D52B43" w:rsidP="008E0A67">
            <w:pPr>
              <w:rPr>
                <w:sz w:val="18"/>
                <w:szCs w:val="18"/>
              </w:rPr>
            </w:pPr>
            <w:r>
              <w:rPr>
                <w:sz w:val="18"/>
                <w:szCs w:val="18"/>
              </w:rPr>
              <w:t>21 375</w:t>
            </w:r>
          </w:p>
        </w:tc>
        <w:tc>
          <w:tcPr>
            <w:cnfStyle w:val="000010000000" w:firstRow="0" w:lastRow="0" w:firstColumn="0" w:lastColumn="0" w:oddVBand="1" w:evenVBand="0" w:oddHBand="0" w:evenHBand="0" w:firstRowFirstColumn="0" w:firstRowLastColumn="0" w:lastRowFirstColumn="0" w:lastRowLastColumn="0"/>
            <w:tcW w:w="3701" w:type="dxa"/>
            <w:shd w:val="clear" w:color="auto" w:fill="auto"/>
            <w:vAlign w:val="center"/>
          </w:tcPr>
          <w:p w14:paraId="0F68A667" w14:textId="62DA0E10" w:rsidR="00393777" w:rsidRPr="00936D8E" w:rsidRDefault="00393777" w:rsidP="003A0BAD">
            <w:pPr>
              <w:spacing w:before="0" w:after="0"/>
              <w:ind w:left="85"/>
              <w:jc w:val="left"/>
              <w:rPr>
                <w:i/>
                <w:sz w:val="18"/>
                <w:szCs w:val="18"/>
              </w:rPr>
            </w:pPr>
            <w:r w:rsidRPr="00936D8E">
              <w:rPr>
                <w:i/>
                <w:sz w:val="18"/>
                <w:szCs w:val="18"/>
              </w:rPr>
              <w:t xml:space="preserve">Representing </w:t>
            </w:r>
            <w:r w:rsidR="003A0BAD">
              <w:rPr>
                <w:i/>
                <w:sz w:val="18"/>
                <w:szCs w:val="18"/>
              </w:rPr>
              <w:t xml:space="preserve">the </w:t>
            </w:r>
            <w:r w:rsidRPr="00936D8E">
              <w:rPr>
                <w:i/>
                <w:sz w:val="18"/>
                <w:szCs w:val="18"/>
              </w:rPr>
              <w:t xml:space="preserve">employer superannuation </w:t>
            </w:r>
            <w:r w:rsidR="003A0BAD">
              <w:rPr>
                <w:i/>
                <w:sz w:val="18"/>
                <w:szCs w:val="18"/>
              </w:rPr>
              <w:t xml:space="preserve">contribution </w:t>
            </w:r>
            <w:r w:rsidRPr="00936D8E">
              <w:rPr>
                <w:i/>
                <w:sz w:val="18"/>
                <w:szCs w:val="18"/>
              </w:rPr>
              <w:t xml:space="preserve"> </w:t>
            </w:r>
          </w:p>
        </w:tc>
      </w:tr>
      <w:tr w:rsidR="00936D8E" w:rsidRPr="004D649B" w14:paraId="22695D42" w14:textId="3CC47EFB" w:rsidTr="00936D8E">
        <w:trPr>
          <w:trHeight w:val="563"/>
        </w:trPr>
        <w:tc>
          <w:tcPr>
            <w:cnfStyle w:val="000010000000" w:firstRow="0" w:lastRow="0" w:firstColumn="0" w:lastColumn="0" w:oddVBand="1" w:evenVBand="0" w:oddHBand="0" w:evenHBand="0" w:firstRowFirstColumn="0" w:firstRowLastColumn="0" w:lastRowFirstColumn="0" w:lastRowLastColumn="0"/>
            <w:tcW w:w="3997" w:type="dxa"/>
            <w:tcBorders>
              <w:bottom w:val="single" w:sz="4" w:space="0" w:color="auto"/>
            </w:tcBorders>
            <w:shd w:val="clear" w:color="auto" w:fill="auto"/>
          </w:tcPr>
          <w:p w14:paraId="6857AB5B" w14:textId="3F2B609A" w:rsidR="00393777" w:rsidRPr="000A466E" w:rsidRDefault="00393777" w:rsidP="00B21096">
            <w:pPr>
              <w:jc w:val="left"/>
              <w:rPr>
                <w:sz w:val="18"/>
                <w:szCs w:val="18"/>
              </w:rPr>
            </w:pPr>
            <w:r>
              <w:rPr>
                <w:sz w:val="18"/>
                <w:szCs w:val="18"/>
              </w:rPr>
              <w:t xml:space="preserve">Other long-term benefits </w:t>
            </w:r>
          </w:p>
        </w:tc>
        <w:tc>
          <w:tcPr>
            <w:cnfStyle w:val="000001000000" w:firstRow="0" w:lastRow="0" w:firstColumn="0" w:lastColumn="0" w:oddVBand="0" w:evenVBand="1" w:oddHBand="0" w:evenHBand="0" w:firstRowFirstColumn="0" w:firstRowLastColumn="0" w:lastRowFirstColumn="0" w:lastRowLastColumn="0"/>
            <w:tcW w:w="1479" w:type="dxa"/>
            <w:tcBorders>
              <w:bottom w:val="single" w:sz="4" w:space="0" w:color="auto"/>
            </w:tcBorders>
            <w:shd w:val="clear" w:color="auto" w:fill="E3EBF4" w:themeFill="accent3" w:themeFillTint="33"/>
          </w:tcPr>
          <w:p w14:paraId="0655BE12" w14:textId="4D1C4AFA" w:rsidR="00393777" w:rsidRDefault="0043246D" w:rsidP="007742A1">
            <w:pPr>
              <w:rPr>
                <w:noProof/>
                <w:sz w:val="18"/>
                <w:szCs w:val="18"/>
              </w:rPr>
            </w:pPr>
            <w:r>
              <w:rPr>
                <w:noProof/>
                <w:sz w:val="18"/>
                <w:szCs w:val="18"/>
              </w:rPr>
              <w:t>4 375</w:t>
            </w:r>
          </w:p>
        </w:tc>
        <w:tc>
          <w:tcPr>
            <w:cnfStyle w:val="000010000000" w:firstRow="0" w:lastRow="0" w:firstColumn="0" w:lastColumn="0" w:oddVBand="1" w:evenVBand="0" w:oddHBand="0" w:evenHBand="0" w:firstRowFirstColumn="0" w:firstRowLastColumn="0" w:lastRowFirstColumn="0" w:lastRowLastColumn="0"/>
            <w:tcW w:w="3701" w:type="dxa"/>
            <w:shd w:val="clear" w:color="auto" w:fill="auto"/>
            <w:vAlign w:val="center"/>
          </w:tcPr>
          <w:p w14:paraId="59483A8C" w14:textId="6B8A80A5" w:rsidR="00393777" w:rsidRPr="00936D8E" w:rsidRDefault="00393777" w:rsidP="00936D8E">
            <w:pPr>
              <w:spacing w:before="0" w:after="0"/>
              <w:ind w:left="85"/>
              <w:jc w:val="left"/>
              <w:rPr>
                <w:i/>
                <w:sz w:val="18"/>
                <w:szCs w:val="18"/>
              </w:rPr>
            </w:pPr>
            <w:r w:rsidRPr="00936D8E">
              <w:rPr>
                <w:i/>
                <w:sz w:val="18"/>
                <w:szCs w:val="18"/>
              </w:rPr>
              <w:t xml:space="preserve">Representing Executive A’s </w:t>
            </w:r>
            <w:r w:rsidR="003A0BAD">
              <w:rPr>
                <w:i/>
                <w:sz w:val="18"/>
                <w:szCs w:val="18"/>
              </w:rPr>
              <w:t>long service leave entitlement</w:t>
            </w:r>
            <w:r w:rsidR="00010225">
              <w:rPr>
                <w:i/>
                <w:sz w:val="18"/>
                <w:szCs w:val="18"/>
              </w:rPr>
              <w:t xml:space="preserve"> accrued during the period</w:t>
            </w:r>
          </w:p>
        </w:tc>
      </w:tr>
      <w:tr w:rsidR="00936D8E" w14:paraId="7AB72B48" w14:textId="42FB051F" w:rsidTr="00936D8E">
        <w:trPr>
          <w:cnfStyle w:val="010000000000" w:firstRow="0" w:lastRow="1" w:firstColumn="0" w:lastColumn="0" w:oddVBand="0" w:evenVBand="0" w:oddHBand="0" w:evenHBand="0" w:firstRowFirstColumn="0" w:firstRowLastColumn="0" w:lastRowFirstColumn="0" w:lastRowLastColumn="0"/>
          <w:trHeight w:val="465"/>
        </w:trPr>
        <w:tc>
          <w:tcPr>
            <w:cnfStyle w:val="000010000000" w:firstRow="0" w:lastRow="0" w:firstColumn="0" w:lastColumn="0" w:oddVBand="1" w:evenVBand="0" w:oddHBand="0" w:evenHBand="0" w:firstRowFirstColumn="0" w:firstRowLastColumn="0" w:lastRowFirstColumn="0" w:lastRowLastColumn="0"/>
            <w:tcW w:w="3997" w:type="dxa"/>
            <w:tcBorders>
              <w:top w:val="single" w:sz="4" w:space="0" w:color="auto"/>
              <w:bottom w:val="single" w:sz="4" w:space="0" w:color="auto"/>
            </w:tcBorders>
            <w:shd w:val="clear" w:color="auto" w:fill="auto"/>
          </w:tcPr>
          <w:p w14:paraId="0A164489" w14:textId="77777777" w:rsidR="00393777" w:rsidRPr="00F308C5" w:rsidRDefault="00393777" w:rsidP="008E0A67">
            <w:pPr>
              <w:jc w:val="left"/>
              <w:rPr>
                <w:b w:val="0"/>
                <w:sz w:val="18"/>
                <w:szCs w:val="18"/>
                <w:vertAlign w:val="superscript"/>
              </w:rPr>
            </w:pPr>
            <w:r w:rsidRPr="00561135">
              <w:rPr>
                <w:sz w:val="18"/>
                <w:szCs w:val="18"/>
              </w:rPr>
              <w:t>Total remuneration</w:t>
            </w:r>
          </w:p>
        </w:tc>
        <w:tc>
          <w:tcPr>
            <w:cnfStyle w:val="000001000000" w:firstRow="0" w:lastRow="0" w:firstColumn="0" w:lastColumn="0" w:oddVBand="0" w:evenVBand="1" w:oddHBand="0" w:evenHBand="0" w:firstRowFirstColumn="0" w:firstRowLastColumn="0" w:lastRowFirstColumn="0" w:lastRowLastColumn="0"/>
            <w:tcW w:w="1479" w:type="dxa"/>
            <w:tcBorders>
              <w:top w:val="single" w:sz="4" w:space="0" w:color="auto"/>
              <w:bottom w:val="single" w:sz="4" w:space="0" w:color="auto"/>
            </w:tcBorders>
            <w:shd w:val="clear" w:color="auto" w:fill="E3EBF4" w:themeFill="accent3" w:themeFillTint="33"/>
          </w:tcPr>
          <w:p w14:paraId="134FE2A9" w14:textId="2ABE0DEB" w:rsidR="00393777" w:rsidRPr="00425B47" w:rsidRDefault="007F29B8" w:rsidP="007742A1">
            <w:pPr>
              <w:rPr>
                <w:sz w:val="18"/>
                <w:szCs w:val="18"/>
              </w:rPr>
            </w:pPr>
            <w:r>
              <w:rPr>
                <w:sz w:val="18"/>
                <w:szCs w:val="18"/>
              </w:rPr>
              <w:t>229 375</w:t>
            </w:r>
          </w:p>
        </w:tc>
        <w:tc>
          <w:tcPr>
            <w:cnfStyle w:val="000010000000" w:firstRow="0" w:lastRow="0" w:firstColumn="0" w:lastColumn="0" w:oddVBand="1" w:evenVBand="0" w:oddHBand="0" w:evenHBand="0" w:firstRowFirstColumn="0" w:firstRowLastColumn="0" w:lastRowFirstColumn="0" w:lastRowLastColumn="0"/>
            <w:tcW w:w="3701" w:type="dxa"/>
            <w:tcBorders>
              <w:top w:val="none" w:sz="0" w:space="0" w:color="auto"/>
              <w:bottom w:val="none" w:sz="0" w:space="0" w:color="auto"/>
            </w:tcBorders>
            <w:shd w:val="clear" w:color="auto" w:fill="auto"/>
          </w:tcPr>
          <w:p w14:paraId="33003E32" w14:textId="77777777" w:rsidR="00393777" w:rsidRPr="00425B47" w:rsidRDefault="00393777" w:rsidP="00425B47">
            <w:pPr>
              <w:rPr>
                <w:sz w:val="18"/>
                <w:szCs w:val="18"/>
              </w:rPr>
            </w:pPr>
          </w:p>
        </w:tc>
      </w:tr>
    </w:tbl>
    <w:p w14:paraId="247E7DD8" w14:textId="77777777" w:rsidR="002D5EF7" w:rsidRDefault="002D5EF7" w:rsidP="002D5EF7">
      <w:r>
        <w:lastRenderedPageBreak/>
        <w:t xml:space="preserve">During the 201X-1Y reporting period, Executive A is provided with a laptop and mobile phone. In addition, she attends a number of business conferences interstate, to which she receives travel, accommodation and meal allowances of $6,000 to cover all costs incurred for the trip. </w:t>
      </w:r>
    </w:p>
    <w:p w14:paraId="23AE8403" w14:textId="77777777" w:rsidR="002D5EF7" w:rsidRDefault="002D5EF7" w:rsidP="002D5EF7">
      <w:r w:rsidRPr="006B3F71">
        <w:t xml:space="preserve">For the remuneration disclosure required under AASB 124 for the 201X-1Y reporting period, the reporting entity excludes these </w:t>
      </w:r>
      <w:r>
        <w:t>benefits and allowances</w:t>
      </w:r>
      <w:r w:rsidRPr="006B3F71">
        <w:t xml:space="preserve"> when disclosing the remuneration for Executive A</w:t>
      </w:r>
      <w:r>
        <w:t xml:space="preserve">. This is because the benefits and allowances are incurred to assist the executive to perform her role, and do not form part of her TRP for the period. </w:t>
      </w:r>
    </w:p>
    <w:p w14:paraId="295E9F2F" w14:textId="65D6DC57" w:rsidR="00623526" w:rsidRDefault="00623526" w:rsidP="00623526">
      <w:pPr>
        <w:pStyle w:val="Heading4"/>
      </w:pPr>
      <w:r>
        <w:t>Example 2</w:t>
      </w:r>
      <w:r w:rsidR="005208E5">
        <w:t xml:space="preserve"> – Where the Executive has taken long service leave during the period </w:t>
      </w:r>
    </w:p>
    <w:p w14:paraId="5CD94CCD" w14:textId="1B10F6EA" w:rsidR="00623526" w:rsidRDefault="00623526" w:rsidP="00623526">
      <w:r w:rsidRPr="000A099B">
        <w:t xml:space="preserve">Executive </w:t>
      </w:r>
      <w:r w:rsidR="00E0077E">
        <w:t>B</w:t>
      </w:r>
      <w:r w:rsidRPr="000A099B">
        <w:t xml:space="preserve"> </w:t>
      </w:r>
      <w:r>
        <w:t>has been</w:t>
      </w:r>
      <w:r w:rsidRPr="000A099B">
        <w:t xml:space="preserve"> employed by </w:t>
      </w:r>
      <w:r>
        <w:t>a department</w:t>
      </w:r>
      <w:r w:rsidRPr="000A099B">
        <w:t xml:space="preserve"> on a full-time basis</w:t>
      </w:r>
      <w:r>
        <w:t xml:space="preserve"> for 10 years</w:t>
      </w:r>
      <w:r w:rsidRPr="000A099B">
        <w:t xml:space="preserve">. Executive </w:t>
      </w:r>
      <w:r w:rsidR="00E0077E">
        <w:t>B</w:t>
      </w:r>
      <w:r w:rsidRPr="000A099B">
        <w:t>’s tot</w:t>
      </w:r>
      <w:r>
        <w:t xml:space="preserve">al remuneration package is $225 </w:t>
      </w:r>
      <w:r w:rsidRPr="000A099B">
        <w:t>000 per year</w:t>
      </w:r>
      <w:r w:rsidR="00E0077E">
        <w:t xml:space="preserve">. </w:t>
      </w:r>
    </w:p>
    <w:p w14:paraId="4C9616EA" w14:textId="7D2B0898" w:rsidR="00905323" w:rsidRDefault="00905323" w:rsidP="00905323">
      <w:r>
        <w:t xml:space="preserve">For the 30 June 201Y reporting period, Executive </w:t>
      </w:r>
      <w:r w:rsidR="00B50826">
        <w:t>B</w:t>
      </w:r>
      <w:r>
        <w:t xml:space="preserve"> has accrued a </w:t>
      </w:r>
      <w:r w:rsidRPr="001C0A09">
        <w:t xml:space="preserve">long service leave entitlement </w:t>
      </w:r>
      <w:r w:rsidR="00D54B01">
        <w:t xml:space="preserve">of </w:t>
      </w:r>
      <w:r>
        <w:t>1.3</w:t>
      </w:r>
      <w:r w:rsidRPr="001C0A09">
        <w:t xml:space="preserve"> weeks</w:t>
      </w:r>
      <w:r>
        <w:t xml:space="preserve"> ($4 375). This is calculated as being h</w:t>
      </w:r>
      <w:r w:rsidR="00B50826">
        <w:t>is</w:t>
      </w:r>
      <w:r>
        <w:t xml:space="preserve"> weekly salary amount of $3 365 ($175 000 / 52</w:t>
      </w:r>
      <w:r w:rsidR="00AA22ED">
        <w:t> </w:t>
      </w:r>
      <w:r>
        <w:t>weeks) multiplied by h</w:t>
      </w:r>
      <w:r w:rsidR="00B50826">
        <w:t>is</w:t>
      </w:r>
      <w:r>
        <w:t xml:space="preserve"> long service leave entitlement of 1.3 weeks. </w:t>
      </w:r>
    </w:p>
    <w:p w14:paraId="354A4896" w14:textId="410BCFAD" w:rsidR="00F3392B" w:rsidRDefault="00F3392B" w:rsidP="00F3392B">
      <w:r>
        <w:t xml:space="preserve">During the year, Executive </w:t>
      </w:r>
      <w:r w:rsidR="00B50826">
        <w:t>B</w:t>
      </w:r>
      <w:r>
        <w:t xml:space="preserve"> has taken 2 weeks of long service leave, calculated as being $6,730 (weekly salary amount of $3 365 multiplied by two weeks of leave taken).</w:t>
      </w:r>
      <w:r w:rsidR="006E3DA7">
        <w:t xml:space="preserve"> The</w:t>
      </w:r>
      <w:r w:rsidR="00941EF4">
        <w:t xml:space="preserve"> long service leave taken during the year has been expensed in prior periods</w:t>
      </w:r>
      <w:r w:rsidR="006E3DA7">
        <w:t xml:space="preserve"> as required by AASB 119</w:t>
      </w:r>
      <w:r w:rsidR="005E4BD9">
        <w:rPr>
          <w:i/>
        </w:rPr>
        <w:t xml:space="preserve"> </w:t>
      </w:r>
      <w:r w:rsidR="00EA0E17">
        <w:t>t</w:t>
      </w:r>
      <w:r w:rsidR="006E3DA7" w:rsidRPr="006E3DA7">
        <w:t xml:space="preserve">herefore, </w:t>
      </w:r>
      <w:r w:rsidR="00EA0E17">
        <w:t xml:space="preserve">it </w:t>
      </w:r>
      <w:r w:rsidR="006E3DA7" w:rsidRPr="006E3DA7">
        <w:t xml:space="preserve">is </w:t>
      </w:r>
      <w:bookmarkStart w:id="1" w:name="_GoBack"/>
      <w:bookmarkEnd w:id="1"/>
      <w:r w:rsidR="00941EF4" w:rsidRPr="006E3DA7">
        <w:t>not included in the</w:t>
      </w:r>
      <w:r w:rsidR="005B1CE1">
        <w:t xml:space="preserve"> </w:t>
      </w:r>
      <w:r w:rsidR="00941EF4" w:rsidRPr="006E3DA7">
        <w:t>disclosure</w:t>
      </w:r>
      <w:r w:rsidR="006E3DA7" w:rsidRPr="006E3DA7">
        <w:t xml:space="preserve"> </w:t>
      </w:r>
      <w:r w:rsidR="005B1CE1">
        <w:t>as</w:t>
      </w:r>
      <w:r w:rsidR="006E3DA7" w:rsidRPr="006E3DA7">
        <w:t xml:space="preserve"> remuneration represents the expenses incurred by the entity in the current reporting period </w:t>
      </w:r>
      <w:r w:rsidR="00EA0E17">
        <w:t>only</w:t>
      </w:r>
      <w:r w:rsidR="006E3DA7">
        <w:rPr>
          <w:i/>
        </w:rPr>
        <w:t xml:space="preserve">. </w:t>
      </w:r>
    </w:p>
    <w:p w14:paraId="426796CC" w14:textId="5AA98337" w:rsidR="00E0077E" w:rsidRPr="000A099B" w:rsidRDefault="00E0077E" w:rsidP="00623526">
      <w:r>
        <w:t xml:space="preserve">Accordingly, Executive B has received </w:t>
      </w:r>
      <w:r w:rsidR="00CF3559">
        <w:t xml:space="preserve">remuneration </w:t>
      </w:r>
      <w:r>
        <w:t xml:space="preserve">as follows: </w:t>
      </w:r>
    </w:p>
    <w:p w14:paraId="17644C5C" w14:textId="681D60FF" w:rsidR="00623526" w:rsidRPr="00092587" w:rsidRDefault="00623526" w:rsidP="00623526">
      <w:pPr>
        <w:pStyle w:val="Bullet1"/>
      </w:pPr>
      <w:r>
        <w:t>$1</w:t>
      </w:r>
      <w:r w:rsidR="00DA3DA1">
        <w:t>68</w:t>
      </w:r>
      <w:r>
        <w:t xml:space="preserve"> </w:t>
      </w:r>
      <w:r w:rsidR="00DA3DA1">
        <w:t>27</w:t>
      </w:r>
      <w:r w:rsidRPr="00092587">
        <w:t xml:space="preserve">0 </w:t>
      </w:r>
      <w:r>
        <w:t xml:space="preserve">as </w:t>
      </w:r>
      <w:r w:rsidRPr="00092587">
        <w:t>salary</w:t>
      </w:r>
      <w:r>
        <w:t xml:space="preserve"> </w:t>
      </w:r>
      <w:r w:rsidRPr="00AA1FFD">
        <w:t>(</w:t>
      </w:r>
      <w:r w:rsidR="00941EF4">
        <w:t xml:space="preserve">calculated as </w:t>
      </w:r>
      <w:r w:rsidRPr="00AA1FFD">
        <w:t>4</w:t>
      </w:r>
      <w:r w:rsidR="00941EF4">
        <w:t>8</w:t>
      </w:r>
      <w:r w:rsidRPr="00AA1FFD">
        <w:t xml:space="preserve"> weeks of work plus 4 weeks annual leave entitlemen</w:t>
      </w:r>
      <w:r w:rsidR="00D13C08">
        <w:t>t</w:t>
      </w:r>
      <w:r w:rsidR="00941EF4">
        <w:t xml:space="preserve">, less </w:t>
      </w:r>
      <w:r w:rsidR="00DA3DA1">
        <w:t>2 weeks of long service leave taken</w:t>
      </w:r>
      <w:r w:rsidRPr="00AA1FFD">
        <w:t>);</w:t>
      </w:r>
    </w:p>
    <w:p w14:paraId="7DD230DF" w14:textId="77777777" w:rsidR="00623526" w:rsidRPr="00092587" w:rsidRDefault="00623526" w:rsidP="00623526">
      <w:pPr>
        <w:pStyle w:val="Bullet1"/>
      </w:pPr>
      <w:r>
        <w:t>$21 375</w:t>
      </w:r>
      <w:r w:rsidRPr="00092587">
        <w:t xml:space="preserve"> of employer superannuation contributions</w:t>
      </w:r>
      <w:r w:rsidRPr="00974843">
        <w:t>;</w:t>
      </w:r>
      <w:r w:rsidRPr="00092587">
        <w:t xml:space="preserve"> </w:t>
      </w:r>
    </w:p>
    <w:p w14:paraId="03A9D7D9" w14:textId="77777777" w:rsidR="00623526" w:rsidRPr="00092587" w:rsidRDefault="00623526" w:rsidP="00623526">
      <w:pPr>
        <w:pStyle w:val="Bullet1"/>
      </w:pPr>
      <w:r>
        <w:t xml:space="preserve">$16 </w:t>
      </w:r>
      <w:r w:rsidRPr="00092587">
        <w:t xml:space="preserve">625 for a motor vehicle under the Executive Motor Vehicle Scheme; and </w:t>
      </w:r>
    </w:p>
    <w:p w14:paraId="25CA4479" w14:textId="77777777" w:rsidR="00623526" w:rsidRPr="000A099B" w:rsidRDefault="00623526" w:rsidP="00623526">
      <w:pPr>
        <w:pStyle w:val="Bullet1"/>
        <w:tabs>
          <w:tab w:val="clear" w:pos="360"/>
        </w:tabs>
      </w:pPr>
      <w:r>
        <w:t>$12 00</w:t>
      </w:r>
      <w:r w:rsidRPr="00092587">
        <w:t>0 additional pr</w:t>
      </w:r>
      <w:r>
        <w:t>e-tax contributions made to her</w:t>
      </w:r>
      <w:r w:rsidRPr="00092587">
        <w:t xml:space="preserve"> super</w:t>
      </w:r>
      <w:r>
        <w:t>annuation</w:t>
      </w:r>
      <w:r w:rsidRPr="00092587">
        <w:t xml:space="preserve"> fund</w:t>
      </w:r>
      <w:r w:rsidRPr="000A099B">
        <w:t>.</w:t>
      </w:r>
    </w:p>
    <w:p w14:paraId="49AC628D" w14:textId="5962F0DB" w:rsidR="00623526" w:rsidRDefault="00623526" w:rsidP="00623526">
      <w:r w:rsidRPr="00092587">
        <w:t xml:space="preserve">For the remuneration disclosure required under AASB 124 for the 201X-1Y reporting period, the reporting entity discloses Executive </w:t>
      </w:r>
      <w:r w:rsidR="00F57E2A">
        <w:t>B</w:t>
      </w:r>
      <w:r w:rsidRPr="00092587">
        <w:t xml:space="preserve">’s </w:t>
      </w:r>
      <w:r w:rsidR="002B7635">
        <w:t>remuneration</w:t>
      </w:r>
      <w:r>
        <w:t xml:space="preserve"> </w:t>
      </w:r>
      <w:r w:rsidRPr="00092587">
        <w:t>as follows</w:t>
      </w:r>
      <w:r w:rsidR="00941EF4">
        <w:t>:</w:t>
      </w:r>
    </w:p>
    <w:tbl>
      <w:tblPr>
        <w:tblStyle w:val="TableGrid"/>
        <w:tblW w:w="9177" w:type="dxa"/>
        <w:tblInd w:w="57" w:type="dxa"/>
        <w:tblBorders>
          <w:bottom w:val="none" w:sz="0" w:space="0" w:color="auto"/>
        </w:tblBorders>
        <w:tblLook w:val="0260" w:firstRow="1" w:lastRow="1" w:firstColumn="0" w:lastColumn="0" w:noHBand="1" w:noVBand="0"/>
      </w:tblPr>
      <w:tblGrid>
        <w:gridCol w:w="3997"/>
        <w:gridCol w:w="1479"/>
        <w:gridCol w:w="3701"/>
      </w:tblGrid>
      <w:tr w:rsidR="00AB1C54" w:rsidRPr="004D649B" w14:paraId="5F9C4CB5" w14:textId="77777777" w:rsidTr="006E3DA7">
        <w:trPr>
          <w:cnfStyle w:val="100000000000" w:firstRow="1" w:lastRow="0" w:firstColumn="0" w:lastColumn="0" w:oddVBand="0" w:evenVBand="0" w:oddHBand="0" w:evenHBand="0" w:firstRowFirstColumn="0" w:firstRowLastColumn="0" w:lastRowFirstColumn="0" w:lastRowLastColumn="0"/>
          <w:trHeight w:val="478"/>
        </w:trPr>
        <w:tc>
          <w:tcPr>
            <w:cnfStyle w:val="000010000000" w:firstRow="0" w:lastRow="0" w:firstColumn="0" w:lastColumn="0" w:oddVBand="1" w:evenVBand="0" w:oddHBand="0" w:evenHBand="0" w:firstRowFirstColumn="0" w:firstRowLastColumn="0" w:lastRowFirstColumn="0" w:lastRowLastColumn="0"/>
            <w:tcW w:w="3997" w:type="dxa"/>
          </w:tcPr>
          <w:p w14:paraId="5DEE8977" w14:textId="36108A68" w:rsidR="00AB1C54" w:rsidRPr="000A466E" w:rsidRDefault="00AB1C54" w:rsidP="00D4778E">
            <w:pPr>
              <w:rPr>
                <w:sz w:val="18"/>
                <w:szCs w:val="18"/>
              </w:rPr>
            </w:pPr>
            <w:r w:rsidRPr="000A466E">
              <w:rPr>
                <w:sz w:val="18"/>
                <w:szCs w:val="18"/>
              </w:rPr>
              <w:t>Remuneration</w:t>
            </w:r>
            <w:r>
              <w:rPr>
                <w:sz w:val="18"/>
                <w:szCs w:val="18"/>
              </w:rPr>
              <w:t xml:space="preserve"> of Executive </w:t>
            </w:r>
            <w:r w:rsidR="00D4778E">
              <w:rPr>
                <w:sz w:val="18"/>
                <w:szCs w:val="18"/>
              </w:rPr>
              <w:t>B</w:t>
            </w:r>
            <w:r>
              <w:rPr>
                <w:sz w:val="18"/>
                <w:szCs w:val="18"/>
              </w:rPr>
              <w:t xml:space="preserve"> </w:t>
            </w:r>
          </w:p>
        </w:tc>
        <w:tc>
          <w:tcPr>
            <w:cnfStyle w:val="000001000000" w:firstRow="0" w:lastRow="0" w:firstColumn="0" w:lastColumn="0" w:oddVBand="0" w:evenVBand="1" w:oddHBand="0" w:evenHBand="0" w:firstRowFirstColumn="0" w:firstRowLastColumn="0" w:lastRowFirstColumn="0" w:lastRowLastColumn="0"/>
            <w:tcW w:w="1479" w:type="dxa"/>
          </w:tcPr>
          <w:p w14:paraId="231C8CF3" w14:textId="77777777" w:rsidR="00AB1C54" w:rsidRPr="000A466E" w:rsidRDefault="00AB1C54" w:rsidP="00F80453">
            <w:pPr>
              <w:jc w:val="right"/>
              <w:rPr>
                <w:sz w:val="18"/>
                <w:szCs w:val="18"/>
              </w:rPr>
            </w:pPr>
            <w:r>
              <w:rPr>
                <w:sz w:val="18"/>
                <w:szCs w:val="18"/>
              </w:rPr>
              <w:t>201Y ($)</w:t>
            </w:r>
          </w:p>
        </w:tc>
        <w:tc>
          <w:tcPr>
            <w:cnfStyle w:val="000010000000" w:firstRow="0" w:lastRow="0" w:firstColumn="0" w:lastColumn="0" w:oddVBand="1" w:evenVBand="0" w:oddHBand="0" w:evenHBand="0" w:firstRowFirstColumn="0" w:firstRowLastColumn="0" w:lastRowFirstColumn="0" w:lastRowLastColumn="0"/>
            <w:tcW w:w="3701" w:type="dxa"/>
          </w:tcPr>
          <w:p w14:paraId="1957FD47" w14:textId="43BEF267" w:rsidR="00AB1C54" w:rsidRDefault="00450002" w:rsidP="00F80453">
            <w:pPr>
              <w:ind w:left="84"/>
              <w:rPr>
                <w:sz w:val="18"/>
                <w:szCs w:val="18"/>
              </w:rPr>
            </w:pPr>
            <w:r>
              <w:rPr>
                <w:sz w:val="18"/>
                <w:szCs w:val="18"/>
              </w:rPr>
              <w:t>Note</w:t>
            </w:r>
          </w:p>
        </w:tc>
      </w:tr>
      <w:tr w:rsidR="00AB1C54" w:rsidRPr="004D649B" w14:paraId="7C2C3148" w14:textId="77777777" w:rsidTr="00F80453">
        <w:trPr>
          <w:trHeight w:val="823"/>
        </w:trPr>
        <w:tc>
          <w:tcPr>
            <w:cnfStyle w:val="000010000000" w:firstRow="0" w:lastRow="0" w:firstColumn="0" w:lastColumn="0" w:oddVBand="1" w:evenVBand="0" w:oddHBand="0" w:evenHBand="0" w:firstRowFirstColumn="0" w:firstRowLastColumn="0" w:lastRowFirstColumn="0" w:lastRowLastColumn="0"/>
            <w:tcW w:w="3997" w:type="dxa"/>
            <w:shd w:val="clear" w:color="auto" w:fill="auto"/>
          </w:tcPr>
          <w:p w14:paraId="0A379346" w14:textId="77777777" w:rsidR="00AB1C54" w:rsidRPr="000A466E" w:rsidRDefault="00AB1C54" w:rsidP="00F80453">
            <w:pPr>
              <w:jc w:val="left"/>
              <w:rPr>
                <w:sz w:val="18"/>
                <w:szCs w:val="18"/>
              </w:rPr>
            </w:pPr>
            <w:r>
              <w:rPr>
                <w:sz w:val="18"/>
                <w:szCs w:val="18"/>
              </w:rPr>
              <w:t>S</w:t>
            </w:r>
            <w:r w:rsidRPr="000A466E">
              <w:rPr>
                <w:sz w:val="18"/>
                <w:szCs w:val="18"/>
              </w:rPr>
              <w:t>hort-term benefits</w:t>
            </w:r>
          </w:p>
        </w:tc>
        <w:tc>
          <w:tcPr>
            <w:cnfStyle w:val="000001000000" w:firstRow="0" w:lastRow="0" w:firstColumn="0" w:lastColumn="0" w:oddVBand="0" w:evenVBand="1" w:oddHBand="0" w:evenHBand="0" w:firstRowFirstColumn="0" w:firstRowLastColumn="0" w:lastRowFirstColumn="0" w:lastRowLastColumn="0"/>
            <w:tcW w:w="1479" w:type="dxa"/>
            <w:shd w:val="clear" w:color="auto" w:fill="E3EBF4" w:themeFill="accent3" w:themeFillTint="33"/>
          </w:tcPr>
          <w:p w14:paraId="11199DE7" w14:textId="7B007A6B" w:rsidR="00AB1C54" w:rsidRPr="000A466E" w:rsidRDefault="00A93556" w:rsidP="00F80453">
            <w:pPr>
              <w:rPr>
                <w:sz w:val="18"/>
                <w:szCs w:val="18"/>
              </w:rPr>
            </w:pPr>
            <w:r>
              <w:rPr>
                <w:sz w:val="18"/>
                <w:szCs w:val="18"/>
              </w:rPr>
              <w:t>196 895</w:t>
            </w:r>
            <w:r w:rsidR="003C041E">
              <w:rPr>
                <w:sz w:val="18"/>
                <w:szCs w:val="18"/>
                <w:vertAlign w:val="superscript"/>
              </w:rPr>
              <w:t>(a)</w:t>
            </w:r>
            <w:r w:rsidR="00AB1C54">
              <w:rPr>
                <w:sz w:val="18"/>
                <w:szCs w:val="18"/>
              </w:rPr>
              <w:t xml:space="preserve"> </w:t>
            </w:r>
          </w:p>
        </w:tc>
        <w:tc>
          <w:tcPr>
            <w:cnfStyle w:val="000010000000" w:firstRow="0" w:lastRow="0" w:firstColumn="0" w:lastColumn="0" w:oddVBand="1" w:evenVBand="0" w:oddHBand="0" w:evenHBand="0" w:firstRowFirstColumn="0" w:firstRowLastColumn="0" w:lastRowFirstColumn="0" w:lastRowLastColumn="0"/>
            <w:tcW w:w="3701" w:type="dxa"/>
            <w:shd w:val="clear" w:color="auto" w:fill="auto"/>
            <w:vAlign w:val="center"/>
          </w:tcPr>
          <w:p w14:paraId="3FA9E750" w14:textId="3CD1B5C3" w:rsidR="00B020E2" w:rsidRDefault="00AB1C54" w:rsidP="00886FED">
            <w:pPr>
              <w:spacing w:before="0" w:after="0"/>
              <w:ind w:left="85"/>
              <w:jc w:val="left"/>
              <w:rPr>
                <w:i/>
                <w:sz w:val="18"/>
                <w:szCs w:val="18"/>
              </w:rPr>
            </w:pPr>
            <w:r w:rsidRPr="00936D8E">
              <w:rPr>
                <w:i/>
                <w:sz w:val="18"/>
                <w:szCs w:val="18"/>
              </w:rPr>
              <w:t xml:space="preserve">Representing Executive </w:t>
            </w:r>
            <w:r w:rsidR="006F4FBC">
              <w:rPr>
                <w:i/>
                <w:sz w:val="18"/>
                <w:szCs w:val="18"/>
              </w:rPr>
              <w:t>B</w:t>
            </w:r>
            <w:r w:rsidRPr="00936D8E">
              <w:rPr>
                <w:i/>
                <w:sz w:val="18"/>
                <w:szCs w:val="18"/>
              </w:rPr>
              <w:t>’s TRP (includin</w:t>
            </w:r>
            <w:r>
              <w:rPr>
                <w:i/>
                <w:sz w:val="18"/>
                <w:szCs w:val="18"/>
              </w:rPr>
              <w:t xml:space="preserve">g the annual leave entitlement), </w:t>
            </w:r>
            <w:r w:rsidRPr="00936D8E">
              <w:rPr>
                <w:i/>
                <w:sz w:val="18"/>
                <w:szCs w:val="18"/>
              </w:rPr>
              <w:t>minus</w:t>
            </w:r>
            <w:r w:rsidR="00B020E2">
              <w:rPr>
                <w:i/>
                <w:sz w:val="18"/>
                <w:szCs w:val="18"/>
              </w:rPr>
              <w:t xml:space="preserve">: </w:t>
            </w:r>
          </w:p>
          <w:p w14:paraId="2EBE8F86" w14:textId="2C11C3E2" w:rsidR="00B55335" w:rsidRPr="001D2FE1" w:rsidRDefault="00AB1C54" w:rsidP="00B020E2">
            <w:pPr>
              <w:pStyle w:val="ListParagraph"/>
              <w:numPr>
                <w:ilvl w:val="0"/>
                <w:numId w:val="44"/>
              </w:numPr>
              <w:spacing w:before="0" w:after="0"/>
              <w:ind w:left="421" w:hanging="284"/>
              <w:jc w:val="left"/>
              <w:rPr>
                <w:i/>
                <w:sz w:val="18"/>
                <w:szCs w:val="18"/>
              </w:rPr>
            </w:pPr>
            <w:r w:rsidRPr="001D2FE1">
              <w:rPr>
                <w:i/>
                <w:sz w:val="18"/>
                <w:szCs w:val="18"/>
              </w:rPr>
              <w:t>the employer superannuation contribution</w:t>
            </w:r>
            <w:r w:rsidR="00677F65" w:rsidRPr="001D2FE1">
              <w:rPr>
                <w:i/>
                <w:sz w:val="18"/>
                <w:szCs w:val="18"/>
              </w:rPr>
              <w:t>; and</w:t>
            </w:r>
          </w:p>
          <w:p w14:paraId="1ECB669C" w14:textId="501F3CE4" w:rsidR="00AB1C54" w:rsidRPr="00B020E2" w:rsidRDefault="00987A65" w:rsidP="001D2FE1">
            <w:pPr>
              <w:pStyle w:val="ListParagraph"/>
              <w:numPr>
                <w:ilvl w:val="0"/>
                <w:numId w:val="44"/>
              </w:numPr>
              <w:spacing w:before="0" w:after="0"/>
              <w:ind w:left="421" w:hanging="284"/>
              <w:jc w:val="left"/>
              <w:rPr>
                <w:i/>
                <w:sz w:val="18"/>
                <w:szCs w:val="18"/>
              </w:rPr>
            </w:pPr>
            <w:r>
              <w:rPr>
                <w:i/>
                <w:sz w:val="18"/>
                <w:szCs w:val="18"/>
              </w:rPr>
              <w:t>previously accrued</w:t>
            </w:r>
            <w:r w:rsidRPr="001D2FE1">
              <w:rPr>
                <w:i/>
                <w:sz w:val="18"/>
                <w:szCs w:val="18"/>
              </w:rPr>
              <w:t xml:space="preserve"> </w:t>
            </w:r>
            <w:r w:rsidR="001D2FE1" w:rsidRPr="001D2FE1">
              <w:rPr>
                <w:i/>
                <w:sz w:val="18"/>
                <w:szCs w:val="18"/>
              </w:rPr>
              <w:t>LSL taken</w:t>
            </w:r>
            <w:r w:rsidR="00E219DB" w:rsidRPr="00B020E2">
              <w:rPr>
                <w:i/>
                <w:sz w:val="18"/>
                <w:szCs w:val="18"/>
              </w:rPr>
              <w:t xml:space="preserve"> </w:t>
            </w:r>
            <w:r w:rsidR="001D2FE1">
              <w:rPr>
                <w:i/>
                <w:sz w:val="18"/>
                <w:szCs w:val="18"/>
              </w:rPr>
              <w:t xml:space="preserve">during the period. </w:t>
            </w:r>
          </w:p>
        </w:tc>
      </w:tr>
      <w:tr w:rsidR="00AB1C54" w:rsidRPr="004D649B" w14:paraId="64C36A42" w14:textId="77777777" w:rsidTr="00F80453">
        <w:trPr>
          <w:trHeight w:val="865"/>
        </w:trPr>
        <w:tc>
          <w:tcPr>
            <w:cnfStyle w:val="000010000000" w:firstRow="0" w:lastRow="0" w:firstColumn="0" w:lastColumn="0" w:oddVBand="1" w:evenVBand="0" w:oddHBand="0" w:evenHBand="0" w:firstRowFirstColumn="0" w:firstRowLastColumn="0" w:lastRowFirstColumn="0" w:lastRowLastColumn="0"/>
            <w:tcW w:w="3997" w:type="dxa"/>
            <w:shd w:val="clear" w:color="auto" w:fill="auto"/>
          </w:tcPr>
          <w:p w14:paraId="466B835A" w14:textId="741BD05C" w:rsidR="00AB1C54" w:rsidRPr="000A466E" w:rsidRDefault="00AB1C54" w:rsidP="00F80453">
            <w:pPr>
              <w:jc w:val="left"/>
              <w:rPr>
                <w:sz w:val="18"/>
                <w:szCs w:val="18"/>
              </w:rPr>
            </w:pPr>
            <w:r w:rsidRPr="000A466E">
              <w:rPr>
                <w:sz w:val="18"/>
                <w:szCs w:val="18"/>
              </w:rPr>
              <w:t>Post-employment benefits</w:t>
            </w:r>
          </w:p>
        </w:tc>
        <w:tc>
          <w:tcPr>
            <w:cnfStyle w:val="000001000000" w:firstRow="0" w:lastRow="0" w:firstColumn="0" w:lastColumn="0" w:oddVBand="0" w:evenVBand="1" w:oddHBand="0" w:evenHBand="0" w:firstRowFirstColumn="0" w:firstRowLastColumn="0" w:lastRowFirstColumn="0" w:lastRowLastColumn="0"/>
            <w:tcW w:w="1479" w:type="dxa"/>
            <w:shd w:val="clear" w:color="auto" w:fill="E3EBF4" w:themeFill="accent3" w:themeFillTint="33"/>
          </w:tcPr>
          <w:p w14:paraId="259AF8A0" w14:textId="77777777" w:rsidR="00AB1C54" w:rsidRPr="000A466E" w:rsidRDefault="00AB1C54" w:rsidP="00F80453">
            <w:pPr>
              <w:rPr>
                <w:sz w:val="18"/>
                <w:szCs w:val="18"/>
              </w:rPr>
            </w:pPr>
            <w:r>
              <w:rPr>
                <w:sz w:val="18"/>
                <w:szCs w:val="18"/>
              </w:rPr>
              <w:t>21 375</w:t>
            </w:r>
          </w:p>
        </w:tc>
        <w:tc>
          <w:tcPr>
            <w:cnfStyle w:val="000010000000" w:firstRow="0" w:lastRow="0" w:firstColumn="0" w:lastColumn="0" w:oddVBand="1" w:evenVBand="0" w:oddHBand="0" w:evenHBand="0" w:firstRowFirstColumn="0" w:firstRowLastColumn="0" w:lastRowFirstColumn="0" w:lastRowLastColumn="0"/>
            <w:tcW w:w="3701" w:type="dxa"/>
            <w:shd w:val="clear" w:color="auto" w:fill="auto"/>
            <w:vAlign w:val="center"/>
          </w:tcPr>
          <w:p w14:paraId="4540DF4D" w14:textId="346316F3" w:rsidR="00AB1C54" w:rsidRPr="00936D8E" w:rsidRDefault="00AB1C54" w:rsidP="00F80453">
            <w:pPr>
              <w:spacing w:before="0" w:after="0"/>
              <w:ind w:left="85"/>
              <w:jc w:val="left"/>
              <w:rPr>
                <w:i/>
                <w:sz w:val="18"/>
                <w:szCs w:val="18"/>
              </w:rPr>
            </w:pPr>
            <w:r w:rsidRPr="00936D8E">
              <w:rPr>
                <w:i/>
                <w:sz w:val="18"/>
                <w:szCs w:val="18"/>
              </w:rPr>
              <w:t xml:space="preserve">Representing </w:t>
            </w:r>
            <w:r>
              <w:rPr>
                <w:i/>
                <w:sz w:val="18"/>
                <w:szCs w:val="18"/>
              </w:rPr>
              <w:t xml:space="preserve">the </w:t>
            </w:r>
            <w:r w:rsidRPr="00936D8E">
              <w:rPr>
                <w:i/>
                <w:sz w:val="18"/>
                <w:szCs w:val="18"/>
              </w:rPr>
              <w:t xml:space="preserve">employer superannuation </w:t>
            </w:r>
            <w:r>
              <w:rPr>
                <w:i/>
                <w:sz w:val="18"/>
                <w:szCs w:val="18"/>
              </w:rPr>
              <w:t>contribution</w:t>
            </w:r>
            <w:r w:rsidR="00E532A4">
              <w:rPr>
                <w:i/>
                <w:sz w:val="18"/>
                <w:szCs w:val="18"/>
              </w:rPr>
              <w:t>.</w:t>
            </w:r>
            <w:r>
              <w:rPr>
                <w:i/>
                <w:sz w:val="18"/>
                <w:szCs w:val="18"/>
              </w:rPr>
              <w:t xml:space="preserve"> </w:t>
            </w:r>
            <w:r w:rsidRPr="00936D8E">
              <w:rPr>
                <w:i/>
                <w:sz w:val="18"/>
                <w:szCs w:val="18"/>
              </w:rPr>
              <w:t xml:space="preserve"> </w:t>
            </w:r>
          </w:p>
        </w:tc>
      </w:tr>
      <w:tr w:rsidR="00AB1C54" w:rsidRPr="004D649B" w14:paraId="751FA17B" w14:textId="77777777" w:rsidTr="00F80453">
        <w:trPr>
          <w:trHeight w:val="563"/>
        </w:trPr>
        <w:tc>
          <w:tcPr>
            <w:cnfStyle w:val="000010000000" w:firstRow="0" w:lastRow="0" w:firstColumn="0" w:lastColumn="0" w:oddVBand="1" w:evenVBand="0" w:oddHBand="0" w:evenHBand="0" w:firstRowFirstColumn="0" w:firstRowLastColumn="0" w:lastRowFirstColumn="0" w:lastRowLastColumn="0"/>
            <w:tcW w:w="3997" w:type="dxa"/>
            <w:tcBorders>
              <w:bottom w:val="single" w:sz="4" w:space="0" w:color="auto"/>
            </w:tcBorders>
            <w:shd w:val="clear" w:color="auto" w:fill="auto"/>
          </w:tcPr>
          <w:p w14:paraId="37D04549" w14:textId="77777777" w:rsidR="00AB1C54" w:rsidRPr="000A466E" w:rsidRDefault="00AB1C54" w:rsidP="00F80453">
            <w:pPr>
              <w:jc w:val="left"/>
              <w:rPr>
                <w:sz w:val="18"/>
                <w:szCs w:val="18"/>
              </w:rPr>
            </w:pPr>
            <w:r>
              <w:rPr>
                <w:sz w:val="18"/>
                <w:szCs w:val="18"/>
              </w:rPr>
              <w:t xml:space="preserve">Other long-term benefits </w:t>
            </w:r>
          </w:p>
        </w:tc>
        <w:tc>
          <w:tcPr>
            <w:cnfStyle w:val="000001000000" w:firstRow="0" w:lastRow="0" w:firstColumn="0" w:lastColumn="0" w:oddVBand="0" w:evenVBand="1" w:oddHBand="0" w:evenHBand="0" w:firstRowFirstColumn="0" w:firstRowLastColumn="0" w:lastRowFirstColumn="0" w:lastRowLastColumn="0"/>
            <w:tcW w:w="1479" w:type="dxa"/>
            <w:tcBorders>
              <w:bottom w:val="single" w:sz="4" w:space="0" w:color="auto"/>
            </w:tcBorders>
            <w:shd w:val="clear" w:color="auto" w:fill="E3EBF4" w:themeFill="accent3" w:themeFillTint="33"/>
          </w:tcPr>
          <w:p w14:paraId="4BFEDD28" w14:textId="77777777" w:rsidR="00AB1C54" w:rsidRDefault="00AB1C54" w:rsidP="00F80453">
            <w:pPr>
              <w:rPr>
                <w:noProof/>
                <w:sz w:val="18"/>
                <w:szCs w:val="18"/>
              </w:rPr>
            </w:pPr>
            <w:r>
              <w:rPr>
                <w:noProof/>
                <w:sz w:val="18"/>
                <w:szCs w:val="18"/>
              </w:rPr>
              <w:t>4 375</w:t>
            </w:r>
          </w:p>
        </w:tc>
        <w:tc>
          <w:tcPr>
            <w:cnfStyle w:val="000010000000" w:firstRow="0" w:lastRow="0" w:firstColumn="0" w:lastColumn="0" w:oddVBand="1" w:evenVBand="0" w:oddHBand="0" w:evenHBand="0" w:firstRowFirstColumn="0" w:firstRowLastColumn="0" w:lastRowFirstColumn="0" w:lastRowLastColumn="0"/>
            <w:tcW w:w="3701" w:type="dxa"/>
            <w:shd w:val="clear" w:color="auto" w:fill="auto"/>
            <w:vAlign w:val="center"/>
          </w:tcPr>
          <w:p w14:paraId="0B7726FE" w14:textId="0AB9438B" w:rsidR="00AB1C54" w:rsidRPr="00936D8E" w:rsidRDefault="00AB1C54" w:rsidP="006E3DA7">
            <w:pPr>
              <w:spacing w:before="0" w:after="0"/>
              <w:ind w:left="85"/>
              <w:jc w:val="left"/>
              <w:rPr>
                <w:i/>
                <w:sz w:val="18"/>
                <w:szCs w:val="18"/>
              </w:rPr>
            </w:pPr>
            <w:r w:rsidRPr="00936D8E">
              <w:rPr>
                <w:i/>
                <w:sz w:val="18"/>
                <w:szCs w:val="18"/>
              </w:rPr>
              <w:t xml:space="preserve">Representing Executive </w:t>
            </w:r>
            <w:r w:rsidR="006E3DA7">
              <w:rPr>
                <w:i/>
                <w:sz w:val="18"/>
                <w:szCs w:val="18"/>
              </w:rPr>
              <w:t>B</w:t>
            </w:r>
            <w:r w:rsidRPr="00936D8E">
              <w:rPr>
                <w:i/>
                <w:sz w:val="18"/>
                <w:szCs w:val="18"/>
              </w:rPr>
              <w:t xml:space="preserve">’s </w:t>
            </w:r>
            <w:r>
              <w:rPr>
                <w:i/>
                <w:sz w:val="18"/>
                <w:szCs w:val="18"/>
              </w:rPr>
              <w:t>long service leave entitlement</w:t>
            </w:r>
            <w:r w:rsidR="00D4778E">
              <w:rPr>
                <w:i/>
                <w:sz w:val="18"/>
                <w:szCs w:val="18"/>
              </w:rPr>
              <w:t xml:space="preserve"> accrued during the period</w:t>
            </w:r>
            <w:r w:rsidR="00E532A4">
              <w:rPr>
                <w:i/>
                <w:sz w:val="18"/>
                <w:szCs w:val="18"/>
              </w:rPr>
              <w:t>.</w:t>
            </w:r>
          </w:p>
        </w:tc>
      </w:tr>
      <w:tr w:rsidR="00AB1C54" w14:paraId="7AAF37EF" w14:textId="77777777" w:rsidTr="00F80453">
        <w:trPr>
          <w:cnfStyle w:val="010000000000" w:firstRow="0" w:lastRow="1" w:firstColumn="0" w:lastColumn="0" w:oddVBand="0" w:evenVBand="0" w:oddHBand="0" w:evenHBand="0" w:firstRowFirstColumn="0" w:firstRowLastColumn="0" w:lastRowFirstColumn="0" w:lastRowLastColumn="0"/>
          <w:trHeight w:val="465"/>
        </w:trPr>
        <w:tc>
          <w:tcPr>
            <w:cnfStyle w:val="000010000000" w:firstRow="0" w:lastRow="0" w:firstColumn="0" w:lastColumn="0" w:oddVBand="1" w:evenVBand="0" w:oddHBand="0" w:evenHBand="0" w:firstRowFirstColumn="0" w:firstRowLastColumn="0" w:lastRowFirstColumn="0" w:lastRowLastColumn="0"/>
            <w:tcW w:w="3997" w:type="dxa"/>
            <w:tcBorders>
              <w:top w:val="single" w:sz="4" w:space="0" w:color="auto"/>
              <w:bottom w:val="single" w:sz="4" w:space="0" w:color="auto"/>
            </w:tcBorders>
            <w:shd w:val="clear" w:color="auto" w:fill="auto"/>
          </w:tcPr>
          <w:p w14:paraId="5982E943" w14:textId="77777777" w:rsidR="00AB1C54" w:rsidRPr="00F308C5" w:rsidRDefault="00AB1C54" w:rsidP="00F80453">
            <w:pPr>
              <w:jc w:val="left"/>
              <w:rPr>
                <w:b w:val="0"/>
                <w:sz w:val="18"/>
                <w:szCs w:val="18"/>
                <w:vertAlign w:val="superscript"/>
              </w:rPr>
            </w:pPr>
            <w:r w:rsidRPr="00561135">
              <w:rPr>
                <w:sz w:val="18"/>
                <w:szCs w:val="18"/>
              </w:rPr>
              <w:t>Total remuneration</w:t>
            </w:r>
          </w:p>
        </w:tc>
        <w:tc>
          <w:tcPr>
            <w:cnfStyle w:val="000001000000" w:firstRow="0" w:lastRow="0" w:firstColumn="0" w:lastColumn="0" w:oddVBand="0" w:evenVBand="1" w:oddHBand="0" w:evenHBand="0" w:firstRowFirstColumn="0" w:firstRowLastColumn="0" w:lastRowFirstColumn="0" w:lastRowLastColumn="0"/>
            <w:tcW w:w="1479" w:type="dxa"/>
            <w:tcBorders>
              <w:top w:val="single" w:sz="4" w:space="0" w:color="auto"/>
              <w:bottom w:val="single" w:sz="4" w:space="0" w:color="auto"/>
            </w:tcBorders>
            <w:shd w:val="clear" w:color="auto" w:fill="E3EBF4" w:themeFill="accent3" w:themeFillTint="33"/>
          </w:tcPr>
          <w:p w14:paraId="0E3B99AB" w14:textId="40B78759" w:rsidR="00AB1C54" w:rsidRPr="00425B47" w:rsidRDefault="00626573" w:rsidP="00F80453">
            <w:pPr>
              <w:rPr>
                <w:sz w:val="18"/>
                <w:szCs w:val="18"/>
              </w:rPr>
            </w:pPr>
            <w:r>
              <w:rPr>
                <w:sz w:val="18"/>
                <w:szCs w:val="18"/>
              </w:rPr>
              <w:t>222 645</w:t>
            </w:r>
          </w:p>
        </w:tc>
        <w:tc>
          <w:tcPr>
            <w:cnfStyle w:val="000010000000" w:firstRow="0" w:lastRow="0" w:firstColumn="0" w:lastColumn="0" w:oddVBand="1" w:evenVBand="0" w:oddHBand="0" w:evenHBand="0" w:firstRowFirstColumn="0" w:firstRowLastColumn="0" w:lastRowFirstColumn="0" w:lastRowLastColumn="0"/>
            <w:tcW w:w="3701" w:type="dxa"/>
            <w:tcBorders>
              <w:top w:val="none" w:sz="0" w:space="0" w:color="auto"/>
              <w:bottom w:val="none" w:sz="0" w:space="0" w:color="auto"/>
            </w:tcBorders>
            <w:shd w:val="clear" w:color="auto" w:fill="auto"/>
          </w:tcPr>
          <w:p w14:paraId="1F82DEEF" w14:textId="77777777" w:rsidR="00AB1C54" w:rsidRPr="00425B47" w:rsidRDefault="00AB1C54" w:rsidP="00F80453">
            <w:pPr>
              <w:rPr>
                <w:sz w:val="18"/>
                <w:szCs w:val="18"/>
              </w:rPr>
            </w:pPr>
          </w:p>
        </w:tc>
      </w:tr>
    </w:tbl>
    <w:p w14:paraId="5C6544E5" w14:textId="5F8B73F5" w:rsidR="003C041E" w:rsidRDefault="008B2515" w:rsidP="008B2515">
      <w:pPr>
        <w:pStyle w:val="ListParagraph"/>
        <w:numPr>
          <w:ilvl w:val="0"/>
          <w:numId w:val="46"/>
        </w:numPr>
        <w:ind w:left="284" w:hanging="284"/>
        <w:rPr>
          <w:i/>
          <w:sz w:val="16"/>
          <w:szCs w:val="16"/>
        </w:rPr>
      </w:pPr>
      <w:r w:rsidRPr="00282E34">
        <w:rPr>
          <w:i/>
          <w:sz w:val="16"/>
          <w:szCs w:val="16"/>
        </w:rPr>
        <w:t xml:space="preserve">Where the employee has taken a significant amount of long service leave in the period which results in a material difference in their short-term benefits </w:t>
      </w:r>
      <w:r w:rsidR="006329F4">
        <w:rPr>
          <w:i/>
          <w:sz w:val="16"/>
          <w:szCs w:val="16"/>
        </w:rPr>
        <w:t>from the prior year</w:t>
      </w:r>
      <w:r w:rsidRPr="00282E34">
        <w:rPr>
          <w:i/>
          <w:sz w:val="16"/>
          <w:szCs w:val="16"/>
        </w:rPr>
        <w:t xml:space="preserve">, it is recommended entities include a footnote to demonstrate that the variance is a result of leave taken during the period. </w:t>
      </w:r>
    </w:p>
    <w:p w14:paraId="1D16BCBF" w14:textId="77777777" w:rsidR="00D13C08" w:rsidRDefault="00D13C08" w:rsidP="00D13C08">
      <w:pPr>
        <w:rPr>
          <w:i/>
          <w:sz w:val="16"/>
          <w:szCs w:val="16"/>
        </w:rPr>
      </w:pPr>
    </w:p>
    <w:p w14:paraId="5188A309" w14:textId="4400EFFB" w:rsidR="00C14C01" w:rsidRDefault="00C14C01" w:rsidP="00CF2E0D">
      <w:pPr>
        <w:pStyle w:val="Heading3"/>
        <w:numPr>
          <w:ilvl w:val="0"/>
          <w:numId w:val="43"/>
        </w:numPr>
        <w:ind w:left="426" w:hanging="426"/>
      </w:pPr>
      <w:r>
        <w:lastRenderedPageBreak/>
        <w:t xml:space="preserve">How do we disclose temporary/relieving arrangements (i.e. higher duties)? </w:t>
      </w:r>
    </w:p>
    <w:p w14:paraId="01E3749A" w14:textId="2DD21D8E" w:rsidR="00C14C01" w:rsidRDefault="00E07C71" w:rsidP="00C14C01">
      <w:r w:rsidRPr="002D188E">
        <w:rPr>
          <w:b/>
        </w:rPr>
        <w:t xml:space="preserve">For the purposes of </w:t>
      </w:r>
      <w:r w:rsidR="002D188E">
        <w:rPr>
          <w:b/>
        </w:rPr>
        <w:t xml:space="preserve">reporting remuneration of KMP under </w:t>
      </w:r>
      <w:r w:rsidRPr="002D188E">
        <w:rPr>
          <w:b/>
        </w:rPr>
        <w:t>AASB 124</w:t>
      </w:r>
      <w:r>
        <w:t>, en</w:t>
      </w:r>
      <w:r w:rsidR="00C14C01">
        <w:t>tities will need to apply judgement to determine whether temporary/relieving arrangements of KMPs should be included as part of the remuneration disclosure, based on the specific facts and circumstances of the arrangement. Note that consideration should be made as to how the inclusion of temporary/relieving arrangements will impact on the following year’s comparatives.</w:t>
      </w:r>
    </w:p>
    <w:p w14:paraId="0DFCF3BE" w14:textId="450C3B6E" w:rsidR="00C14C01" w:rsidRDefault="00C14C01" w:rsidP="00C14C01">
      <w:r>
        <w:t xml:space="preserve">As a guide, where the relieving arrangement is temporary, and the substantive KMP remains in their position for the duration of the arrangement (i.e. they are on </w:t>
      </w:r>
      <w:r w:rsidR="0088649B">
        <w:t xml:space="preserve">paid </w:t>
      </w:r>
      <w:r>
        <w:t xml:space="preserve">leave), entities </w:t>
      </w:r>
      <w:r w:rsidR="00085586">
        <w:t xml:space="preserve">should </w:t>
      </w:r>
      <w:r w:rsidR="008750E6">
        <w:t xml:space="preserve">include a footnote to explain that </w:t>
      </w:r>
      <w:r w:rsidR="00085586">
        <w:t>these higher duties expenses have not been included in the remuneration disclosure</w:t>
      </w:r>
      <w:r w:rsidR="008750E6">
        <w:t xml:space="preserve"> as remuneration </w:t>
      </w:r>
      <w:r w:rsidR="000B4377">
        <w:t>of</w:t>
      </w:r>
      <w:r w:rsidR="008750E6">
        <w:t xml:space="preserve"> the substantive KMP has </w:t>
      </w:r>
      <w:r w:rsidR="00085586">
        <w:t xml:space="preserve">already </w:t>
      </w:r>
      <w:r w:rsidR="008750E6">
        <w:t xml:space="preserve">been </w:t>
      </w:r>
      <w:r w:rsidR="00085586">
        <w:t>reported</w:t>
      </w:r>
      <w:r>
        <w:t xml:space="preserve">. </w:t>
      </w:r>
    </w:p>
    <w:p w14:paraId="1D54218A" w14:textId="70C48CFA" w:rsidR="00C14C01" w:rsidRDefault="00C14C01" w:rsidP="00C14C01">
      <w:r>
        <w:t>However, where an employee is acting in a KMP position that is vacant (</w:t>
      </w:r>
      <w:r w:rsidR="002E4F82">
        <w:t xml:space="preserve">i.e. there is no one </w:t>
      </w:r>
      <w:r>
        <w:t xml:space="preserve">appointed in the </w:t>
      </w:r>
      <w:r w:rsidR="002D188E">
        <w:t xml:space="preserve">KMP </w:t>
      </w:r>
      <w:r>
        <w:t>position), entities may assess that the acting employee is undertaking the KMP position substantively, and disclose amounts paid to the acting employee for the term of the arrangement.</w:t>
      </w:r>
      <w:r w:rsidR="0088649B" w:rsidRPr="0088649B">
        <w:t xml:space="preserve"> </w:t>
      </w:r>
      <w:r w:rsidRPr="0088649B">
        <w:t xml:space="preserve">Entities are encouraged to include a footnote to explain any temporary/relieving arrangements that </w:t>
      </w:r>
      <w:r w:rsidR="0088649B">
        <w:t>have been</w:t>
      </w:r>
      <w:r w:rsidR="0088649B" w:rsidRPr="0088649B">
        <w:t xml:space="preserve"> </w:t>
      </w:r>
      <w:r w:rsidRPr="0088649B">
        <w:t>included in the remuneration disclosure.</w:t>
      </w:r>
    </w:p>
    <w:p w14:paraId="14BAEB76" w14:textId="427C2294" w:rsidR="0087530A" w:rsidRDefault="0087530A" w:rsidP="00C14C01">
      <w:r w:rsidRPr="002D188E">
        <w:rPr>
          <w:b/>
        </w:rPr>
        <w:t>For the purposes of reporting remuneration of executive</w:t>
      </w:r>
      <w:r w:rsidR="00282C16" w:rsidRPr="002D188E">
        <w:rPr>
          <w:b/>
        </w:rPr>
        <w:t xml:space="preserve"> officers under </w:t>
      </w:r>
      <w:r w:rsidRPr="002D188E">
        <w:rPr>
          <w:b/>
        </w:rPr>
        <w:t>FRD 21C</w:t>
      </w:r>
      <w:r>
        <w:t xml:space="preserve">, entities should </w:t>
      </w:r>
      <w:r w:rsidR="00282C16">
        <w:t>include</w:t>
      </w:r>
      <w:r>
        <w:t xml:space="preserve"> higher duties paid to an executive office</w:t>
      </w:r>
      <w:r w:rsidR="007C4ACC">
        <w:t>r</w:t>
      </w:r>
      <w:r>
        <w:t xml:space="preserve"> that acts in the position of the accountable officer (as defined in section 5.1 of FRD 21C) during the reporting period. </w:t>
      </w:r>
    </w:p>
    <w:p w14:paraId="61E7C5B0" w14:textId="3145C800" w:rsidR="0087530A" w:rsidRDefault="007C4ACC" w:rsidP="00C14C01">
      <w:r>
        <w:t>Note however, the disclosure of executive officer remuneration should not include any VPS 6 or VPS 7 staff acting on a temporary basis in executive roles, whilst the substantive executive officer is on paid leave or secondment.</w:t>
      </w:r>
    </w:p>
    <w:p w14:paraId="1D48C25C" w14:textId="77777777" w:rsidR="007C4ACC" w:rsidRPr="0088649B" w:rsidRDefault="007C4ACC"/>
    <w:sectPr w:rsidR="007C4ACC" w:rsidRPr="0088649B" w:rsidSect="00F417C3">
      <w:pgSz w:w="11906" w:h="16838" w:code="9"/>
      <w:pgMar w:top="2160" w:right="1440" w:bottom="1350" w:left="1440" w:header="706"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B5880" w14:textId="77777777" w:rsidR="00607F1F" w:rsidRDefault="00607F1F" w:rsidP="002D711A">
      <w:pPr>
        <w:spacing w:after="0" w:line="240" w:lineRule="auto"/>
      </w:pPr>
      <w:r>
        <w:separator/>
      </w:r>
    </w:p>
  </w:endnote>
  <w:endnote w:type="continuationSeparator" w:id="0">
    <w:p w14:paraId="49C54F61" w14:textId="77777777" w:rsidR="00607F1F" w:rsidRDefault="00607F1F"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4FC3F" w14:textId="77777777" w:rsidR="0009082F" w:rsidRDefault="000908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E769A" w14:textId="77777777" w:rsidR="0009082F" w:rsidRDefault="0009082F" w:rsidP="004669E3">
    <w:pPr>
      <w:pStyle w:val="Spacer"/>
    </w:pPr>
  </w:p>
  <w:p w14:paraId="4008A306" w14:textId="4B4B8A03" w:rsidR="0009082F" w:rsidRPr="00C022F9" w:rsidRDefault="0009082F"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EF5466">
      <w:rPr>
        <w:b/>
        <w:color w:val="0063A6" w:themeColor="accent1"/>
      </w:rPr>
      <w:t>Reporting of remuneration in accordance with AASB 124 Related Party Disclosures</w:t>
    </w:r>
    <w:r w:rsidRPr="00C022F9">
      <w:rPr>
        <w:b/>
        <w:color w:val="0063A6" w:themeColor="accent1"/>
      </w:rPr>
      <w:fldChar w:fldCharType="end"/>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EF5466">
      <w:rPr>
        <w:rStyle w:val="PageNumber"/>
      </w:rPr>
      <w:t>7</w:t>
    </w:r>
    <w:r w:rsidRPr="00DE60CC">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C2D55" w14:textId="77777777" w:rsidR="0009082F" w:rsidRDefault="00090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76620" w14:textId="77777777" w:rsidR="00607F1F" w:rsidRDefault="00607F1F" w:rsidP="002D711A">
      <w:pPr>
        <w:spacing w:after="0" w:line="240" w:lineRule="auto"/>
      </w:pPr>
      <w:r>
        <w:separator/>
      </w:r>
    </w:p>
  </w:footnote>
  <w:footnote w:type="continuationSeparator" w:id="0">
    <w:p w14:paraId="704DBD4E" w14:textId="77777777" w:rsidR="00607F1F" w:rsidRDefault="00607F1F"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F058E" w14:textId="77777777" w:rsidR="0009082F" w:rsidRDefault="000908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0E6C9" w14:textId="35D05B33" w:rsidR="0009082F" w:rsidRPr="0041689E" w:rsidRDefault="0009082F">
    <w:pPr>
      <w:pStyle w:val="Header"/>
    </w:pPr>
    <w:r>
      <w:rPr>
        <w:noProof/>
      </w:rPr>
      <w:drawing>
        <wp:anchor distT="0" distB="0" distL="114300" distR="114300" simplePos="0" relativeHeight="251657728" behindDoc="0" locked="0" layoutInCell="1" allowOverlap="1" wp14:anchorId="2ADD5249" wp14:editId="07AA7558">
          <wp:simplePos x="0" y="0"/>
          <wp:positionH relativeFrom="column">
            <wp:posOffset>-319405</wp:posOffset>
          </wp:positionH>
          <wp:positionV relativeFrom="page">
            <wp:posOffset>299085</wp:posOffset>
          </wp:positionV>
          <wp:extent cx="1380490" cy="4114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316454A3" wp14:editId="710FB65F">
          <wp:simplePos x="0" y="0"/>
          <wp:positionH relativeFrom="column">
            <wp:posOffset>-914400</wp:posOffset>
          </wp:positionH>
          <wp:positionV relativeFrom="page">
            <wp:posOffset>125095</wp:posOffset>
          </wp:positionV>
          <wp:extent cx="7589520" cy="740410"/>
          <wp:effectExtent l="0" t="0" r="0" b="2540"/>
          <wp:wrapNone/>
          <wp:docPr id="4"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5F9A2" w14:textId="77777777" w:rsidR="0009082F" w:rsidRDefault="000908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1A1"/>
    <w:multiLevelType w:val="hybridMultilevel"/>
    <w:tmpl w:val="9EEE96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C5C19B0"/>
    <w:multiLevelType w:val="hybridMultilevel"/>
    <w:tmpl w:val="7916D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D13A93"/>
    <w:multiLevelType w:val="hybridMultilevel"/>
    <w:tmpl w:val="A25E7D76"/>
    <w:lvl w:ilvl="0" w:tplc="29F028E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5A0321E"/>
    <w:multiLevelType w:val="hybridMultilevel"/>
    <w:tmpl w:val="F30A8D1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90151C8"/>
    <w:multiLevelType w:val="multilevel"/>
    <w:tmpl w:val="118EF4AC"/>
    <w:lvl w:ilvl="0">
      <w:start w:val="1"/>
      <w:numFmt w:val="decimal"/>
      <w:lvlText w:val="%1."/>
      <w:lvlJc w:val="left"/>
      <w:pPr>
        <w:tabs>
          <w:tab w:val="num" w:pos="646"/>
        </w:tabs>
        <w:ind w:left="646" w:hanging="504"/>
      </w:pPr>
      <w:rPr>
        <w:b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008"/>
        </w:tabs>
        <w:ind w:left="1008" w:hanging="504"/>
      </w:pPr>
      <w:rPr>
        <w:rFonts w:hint="default"/>
      </w:rPr>
    </w:lvl>
    <w:lvl w:ilvl="2">
      <w:start w:val="1"/>
      <w:numFmt w:val="lowerRoman"/>
      <w:lvlText w:val="(%3)"/>
      <w:lvlJc w:val="right"/>
      <w:pPr>
        <w:tabs>
          <w:tab w:val="num" w:pos="1512"/>
        </w:tabs>
        <w:ind w:left="1512" w:hanging="504"/>
      </w:pPr>
      <w:rPr>
        <w:rFonts w:hint="default"/>
      </w:rPr>
    </w:lvl>
    <w:lvl w:ilvl="3">
      <w:start w:val="1"/>
      <w:numFmt w:val="decimal"/>
      <w:lvlText w:val="%4."/>
      <w:lvlJc w:val="left"/>
      <w:pPr>
        <w:tabs>
          <w:tab w:val="num" w:pos="2582"/>
        </w:tabs>
        <w:ind w:left="2016" w:hanging="504"/>
      </w:pPr>
      <w:rPr>
        <w:rFonts w:hint="default"/>
      </w:rPr>
    </w:lvl>
    <w:lvl w:ilvl="4">
      <w:start w:val="1"/>
      <w:numFmt w:val="lowerLetter"/>
      <w:lvlText w:val="%5."/>
      <w:lvlJc w:val="left"/>
      <w:pPr>
        <w:tabs>
          <w:tab w:val="num" w:pos="3086"/>
        </w:tabs>
        <w:ind w:left="2520" w:hanging="504"/>
      </w:pPr>
      <w:rPr>
        <w:rFonts w:hint="default"/>
      </w:rPr>
    </w:lvl>
    <w:lvl w:ilvl="5">
      <w:start w:val="1"/>
      <w:numFmt w:val="lowerRoman"/>
      <w:lvlText w:val="%6."/>
      <w:lvlJc w:val="right"/>
      <w:pPr>
        <w:tabs>
          <w:tab w:val="num" w:pos="3590"/>
        </w:tabs>
        <w:ind w:left="3024" w:hanging="504"/>
      </w:pPr>
      <w:rPr>
        <w:rFonts w:hint="default"/>
      </w:rPr>
    </w:lvl>
    <w:lvl w:ilvl="6">
      <w:start w:val="1"/>
      <w:numFmt w:val="decimal"/>
      <w:lvlText w:val="%7."/>
      <w:lvlJc w:val="left"/>
      <w:pPr>
        <w:tabs>
          <w:tab w:val="num" w:pos="4094"/>
        </w:tabs>
        <w:ind w:left="3528" w:hanging="504"/>
      </w:pPr>
      <w:rPr>
        <w:rFonts w:hint="default"/>
      </w:rPr>
    </w:lvl>
    <w:lvl w:ilvl="7">
      <w:start w:val="1"/>
      <w:numFmt w:val="lowerLetter"/>
      <w:lvlText w:val="%8."/>
      <w:lvlJc w:val="left"/>
      <w:pPr>
        <w:tabs>
          <w:tab w:val="num" w:pos="4598"/>
        </w:tabs>
        <w:ind w:left="4032" w:hanging="504"/>
      </w:pPr>
      <w:rPr>
        <w:rFonts w:hint="default"/>
      </w:rPr>
    </w:lvl>
    <w:lvl w:ilvl="8">
      <w:start w:val="1"/>
      <w:numFmt w:val="lowerRoman"/>
      <w:lvlText w:val="%9."/>
      <w:lvlJc w:val="right"/>
      <w:pPr>
        <w:tabs>
          <w:tab w:val="num" w:pos="5102"/>
        </w:tabs>
        <w:ind w:left="4536" w:hanging="504"/>
      </w:pPr>
      <w:rPr>
        <w:rFonts w:hint="default"/>
      </w:rPr>
    </w:lvl>
  </w:abstractNum>
  <w:abstractNum w:abstractNumId="7">
    <w:nsid w:val="2DD27ACF"/>
    <w:multiLevelType w:val="hybridMultilevel"/>
    <w:tmpl w:val="8AFA2128"/>
    <w:lvl w:ilvl="0" w:tplc="0C090001">
      <w:start w:val="1"/>
      <w:numFmt w:val="bullet"/>
      <w:lvlText w:val=""/>
      <w:lvlJc w:val="left"/>
      <w:pPr>
        <w:ind w:left="720" w:hanging="360"/>
      </w:pPr>
      <w:rPr>
        <w:rFonts w:ascii="Symbol" w:hAnsi="Symbol" w:hint="default"/>
        <w:b w:val="0"/>
      </w:rPr>
    </w:lvl>
    <w:lvl w:ilvl="1" w:tplc="7BDADDE2">
      <w:start w:val="1"/>
      <w:numFmt w:val="lowerRoman"/>
      <w:lvlText w:val="%2."/>
      <w:lvlJc w:val="righ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2C57E3D"/>
    <w:multiLevelType w:val="hybridMultilevel"/>
    <w:tmpl w:val="CE1A6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7FE5001"/>
    <w:multiLevelType w:val="hybridMultilevel"/>
    <w:tmpl w:val="B464DC7A"/>
    <w:lvl w:ilvl="0" w:tplc="675489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C6B0D0D"/>
    <w:multiLevelType w:val="hybridMultilevel"/>
    <w:tmpl w:val="DAB27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E2F63E0"/>
    <w:multiLevelType w:val="hybridMultilevel"/>
    <w:tmpl w:val="9E082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261384E"/>
    <w:multiLevelType w:val="hybridMultilevel"/>
    <w:tmpl w:val="8BF6F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4">
    <w:nsid w:val="4F356C23"/>
    <w:multiLevelType w:val="hybridMultilevel"/>
    <w:tmpl w:val="B7D28FB4"/>
    <w:lvl w:ilvl="0" w:tplc="0C090001">
      <w:start w:val="1"/>
      <w:numFmt w:val="bullet"/>
      <w:lvlText w:val=""/>
      <w:lvlJc w:val="left"/>
      <w:pPr>
        <w:ind w:left="805" w:hanging="360"/>
      </w:pPr>
      <w:rPr>
        <w:rFonts w:ascii="Symbol" w:hAnsi="Symbol" w:hint="default"/>
      </w:rPr>
    </w:lvl>
    <w:lvl w:ilvl="1" w:tplc="0C090003" w:tentative="1">
      <w:start w:val="1"/>
      <w:numFmt w:val="bullet"/>
      <w:lvlText w:val="o"/>
      <w:lvlJc w:val="left"/>
      <w:pPr>
        <w:ind w:left="1525" w:hanging="360"/>
      </w:pPr>
      <w:rPr>
        <w:rFonts w:ascii="Courier New" w:hAnsi="Courier New" w:cs="Courier New" w:hint="default"/>
      </w:rPr>
    </w:lvl>
    <w:lvl w:ilvl="2" w:tplc="0C090005" w:tentative="1">
      <w:start w:val="1"/>
      <w:numFmt w:val="bullet"/>
      <w:lvlText w:val=""/>
      <w:lvlJc w:val="left"/>
      <w:pPr>
        <w:ind w:left="2245" w:hanging="360"/>
      </w:pPr>
      <w:rPr>
        <w:rFonts w:ascii="Wingdings" w:hAnsi="Wingdings" w:hint="default"/>
      </w:rPr>
    </w:lvl>
    <w:lvl w:ilvl="3" w:tplc="0C090001" w:tentative="1">
      <w:start w:val="1"/>
      <w:numFmt w:val="bullet"/>
      <w:lvlText w:val=""/>
      <w:lvlJc w:val="left"/>
      <w:pPr>
        <w:ind w:left="2965" w:hanging="360"/>
      </w:pPr>
      <w:rPr>
        <w:rFonts w:ascii="Symbol" w:hAnsi="Symbol" w:hint="default"/>
      </w:rPr>
    </w:lvl>
    <w:lvl w:ilvl="4" w:tplc="0C090003" w:tentative="1">
      <w:start w:val="1"/>
      <w:numFmt w:val="bullet"/>
      <w:lvlText w:val="o"/>
      <w:lvlJc w:val="left"/>
      <w:pPr>
        <w:ind w:left="3685" w:hanging="360"/>
      </w:pPr>
      <w:rPr>
        <w:rFonts w:ascii="Courier New" w:hAnsi="Courier New" w:cs="Courier New" w:hint="default"/>
      </w:rPr>
    </w:lvl>
    <w:lvl w:ilvl="5" w:tplc="0C090005" w:tentative="1">
      <w:start w:val="1"/>
      <w:numFmt w:val="bullet"/>
      <w:lvlText w:val=""/>
      <w:lvlJc w:val="left"/>
      <w:pPr>
        <w:ind w:left="4405" w:hanging="360"/>
      </w:pPr>
      <w:rPr>
        <w:rFonts w:ascii="Wingdings" w:hAnsi="Wingdings" w:hint="default"/>
      </w:rPr>
    </w:lvl>
    <w:lvl w:ilvl="6" w:tplc="0C090001" w:tentative="1">
      <w:start w:val="1"/>
      <w:numFmt w:val="bullet"/>
      <w:lvlText w:val=""/>
      <w:lvlJc w:val="left"/>
      <w:pPr>
        <w:ind w:left="5125" w:hanging="360"/>
      </w:pPr>
      <w:rPr>
        <w:rFonts w:ascii="Symbol" w:hAnsi="Symbol" w:hint="default"/>
      </w:rPr>
    </w:lvl>
    <w:lvl w:ilvl="7" w:tplc="0C090003" w:tentative="1">
      <w:start w:val="1"/>
      <w:numFmt w:val="bullet"/>
      <w:lvlText w:val="o"/>
      <w:lvlJc w:val="left"/>
      <w:pPr>
        <w:ind w:left="5845" w:hanging="360"/>
      </w:pPr>
      <w:rPr>
        <w:rFonts w:ascii="Courier New" w:hAnsi="Courier New" w:cs="Courier New" w:hint="default"/>
      </w:rPr>
    </w:lvl>
    <w:lvl w:ilvl="8" w:tplc="0C090005" w:tentative="1">
      <w:start w:val="1"/>
      <w:numFmt w:val="bullet"/>
      <w:lvlText w:val=""/>
      <w:lvlJc w:val="left"/>
      <w:pPr>
        <w:ind w:left="6565" w:hanging="360"/>
      </w:pPr>
      <w:rPr>
        <w:rFonts w:ascii="Wingdings" w:hAnsi="Wingdings" w:hint="default"/>
      </w:rPr>
    </w:lvl>
  </w:abstractNum>
  <w:abstractNum w:abstractNumId="15">
    <w:nsid w:val="56FB1A53"/>
    <w:multiLevelType w:val="multilevel"/>
    <w:tmpl w:val="1ACAF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F326DC"/>
    <w:multiLevelType w:val="hybridMultilevel"/>
    <w:tmpl w:val="55B8EF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5FD36FA6"/>
    <w:multiLevelType w:val="hybridMultilevel"/>
    <w:tmpl w:val="AD2E31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3EA605F"/>
    <w:multiLevelType w:val="hybridMultilevel"/>
    <w:tmpl w:val="BD6C4FFA"/>
    <w:lvl w:ilvl="0" w:tplc="49C21DF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69C3142"/>
    <w:multiLevelType w:val="hybridMultilevel"/>
    <w:tmpl w:val="1A963C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D46606F"/>
    <w:multiLevelType w:val="hybridMultilevel"/>
    <w:tmpl w:val="8D8EE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8A769D4"/>
    <w:multiLevelType w:val="hybridMultilevel"/>
    <w:tmpl w:val="6F00B7FA"/>
    <w:lvl w:ilvl="0" w:tplc="0C090001">
      <w:start w:val="1"/>
      <w:numFmt w:val="bullet"/>
      <w:lvlText w:val=""/>
      <w:lvlJc w:val="left"/>
      <w:pPr>
        <w:tabs>
          <w:tab w:val="num" w:pos="873"/>
        </w:tabs>
        <w:ind w:left="873" w:hanging="360"/>
      </w:pPr>
      <w:rPr>
        <w:rFonts w:ascii="Symbol" w:hAnsi="Symbol" w:hint="default"/>
      </w:rPr>
    </w:lvl>
    <w:lvl w:ilvl="1" w:tplc="0C090003" w:tentative="1">
      <w:start w:val="1"/>
      <w:numFmt w:val="bullet"/>
      <w:lvlText w:val="o"/>
      <w:lvlJc w:val="left"/>
      <w:pPr>
        <w:tabs>
          <w:tab w:val="num" w:pos="1593"/>
        </w:tabs>
        <w:ind w:left="1593" w:hanging="360"/>
      </w:pPr>
      <w:rPr>
        <w:rFonts w:ascii="Courier New" w:hAnsi="Courier New" w:cs="Courier New" w:hint="default"/>
      </w:rPr>
    </w:lvl>
    <w:lvl w:ilvl="2" w:tplc="0C090005" w:tentative="1">
      <w:start w:val="1"/>
      <w:numFmt w:val="bullet"/>
      <w:lvlText w:val=""/>
      <w:lvlJc w:val="left"/>
      <w:pPr>
        <w:tabs>
          <w:tab w:val="num" w:pos="2313"/>
        </w:tabs>
        <w:ind w:left="2313" w:hanging="360"/>
      </w:pPr>
      <w:rPr>
        <w:rFonts w:ascii="Wingdings" w:hAnsi="Wingdings" w:hint="default"/>
      </w:rPr>
    </w:lvl>
    <w:lvl w:ilvl="3" w:tplc="0C090001" w:tentative="1">
      <w:start w:val="1"/>
      <w:numFmt w:val="bullet"/>
      <w:lvlText w:val=""/>
      <w:lvlJc w:val="left"/>
      <w:pPr>
        <w:tabs>
          <w:tab w:val="num" w:pos="3033"/>
        </w:tabs>
        <w:ind w:left="3033" w:hanging="360"/>
      </w:pPr>
      <w:rPr>
        <w:rFonts w:ascii="Symbol" w:hAnsi="Symbol" w:hint="default"/>
      </w:rPr>
    </w:lvl>
    <w:lvl w:ilvl="4" w:tplc="0C090003" w:tentative="1">
      <w:start w:val="1"/>
      <w:numFmt w:val="bullet"/>
      <w:lvlText w:val="o"/>
      <w:lvlJc w:val="left"/>
      <w:pPr>
        <w:tabs>
          <w:tab w:val="num" w:pos="3753"/>
        </w:tabs>
        <w:ind w:left="3753" w:hanging="360"/>
      </w:pPr>
      <w:rPr>
        <w:rFonts w:ascii="Courier New" w:hAnsi="Courier New" w:cs="Courier New" w:hint="default"/>
      </w:rPr>
    </w:lvl>
    <w:lvl w:ilvl="5" w:tplc="0C090005" w:tentative="1">
      <w:start w:val="1"/>
      <w:numFmt w:val="bullet"/>
      <w:lvlText w:val=""/>
      <w:lvlJc w:val="left"/>
      <w:pPr>
        <w:tabs>
          <w:tab w:val="num" w:pos="4473"/>
        </w:tabs>
        <w:ind w:left="4473" w:hanging="360"/>
      </w:pPr>
      <w:rPr>
        <w:rFonts w:ascii="Wingdings" w:hAnsi="Wingdings" w:hint="default"/>
      </w:rPr>
    </w:lvl>
    <w:lvl w:ilvl="6" w:tplc="0C090001" w:tentative="1">
      <w:start w:val="1"/>
      <w:numFmt w:val="bullet"/>
      <w:lvlText w:val=""/>
      <w:lvlJc w:val="left"/>
      <w:pPr>
        <w:tabs>
          <w:tab w:val="num" w:pos="5193"/>
        </w:tabs>
        <w:ind w:left="5193" w:hanging="360"/>
      </w:pPr>
      <w:rPr>
        <w:rFonts w:ascii="Symbol" w:hAnsi="Symbol" w:hint="default"/>
      </w:rPr>
    </w:lvl>
    <w:lvl w:ilvl="7" w:tplc="0C090003" w:tentative="1">
      <w:start w:val="1"/>
      <w:numFmt w:val="bullet"/>
      <w:lvlText w:val="o"/>
      <w:lvlJc w:val="left"/>
      <w:pPr>
        <w:tabs>
          <w:tab w:val="num" w:pos="5913"/>
        </w:tabs>
        <w:ind w:left="5913" w:hanging="360"/>
      </w:pPr>
      <w:rPr>
        <w:rFonts w:ascii="Courier New" w:hAnsi="Courier New" w:cs="Courier New" w:hint="default"/>
      </w:rPr>
    </w:lvl>
    <w:lvl w:ilvl="8" w:tplc="0C090005" w:tentative="1">
      <w:start w:val="1"/>
      <w:numFmt w:val="bullet"/>
      <w:lvlText w:val=""/>
      <w:lvlJc w:val="left"/>
      <w:pPr>
        <w:tabs>
          <w:tab w:val="num" w:pos="6633"/>
        </w:tabs>
        <w:ind w:left="6633" w:hanging="360"/>
      </w:pPr>
      <w:rPr>
        <w:rFonts w:ascii="Wingdings" w:hAnsi="Wingdings" w:hint="default"/>
      </w:rPr>
    </w:lvl>
  </w:abstractNum>
  <w:abstractNum w:abstractNumId="22">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13"/>
  </w:num>
  <w:num w:numId="2">
    <w:abstractNumId w:val="13"/>
  </w:num>
  <w:num w:numId="3">
    <w:abstractNumId w:val="13"/>
  </w:num>
  <w:num w:numId="4">
    <w:abstractNumId w:val="24"/>
  </w:num>
  <w:num w:numId="5">
    <w:abstractNumId w:val="13"/>
  </w:num>
  <w:num w:numId="6">
    <w:abstractNumId w:val="13"/>
  </w:num>
  <w:num w:numId="7">
    <w:abstractNumId w:val="13"/>
  </w:num>
  <w:num w:numId="8">
    <w:abstractNumId w:val="13"/>
  </w:num>
  <w:num w:numId="9">
    <w:abstractNumId w:val="24"/>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4"/>
  </w:num>
  <w:num w:numId="17">
    <w:abstractNumId w:val="5"/>
  </w:num>
  <w:num w:numId="18">
    <w:abstractNumId w:val="5"/>
  </w:num>
  <w:num w:numId="19">
    <w:abstractNumId w:val="23"/>
  </w:num>
  <w:num w:numId="20">
    <w:abstractNumId w:val="22"/>
  </w:num>
  <w:num w:numId="21">
    <w:abstractNumId w:val="1"/>
  </w:num>
  <w:num w:numId="22">
    <w:abstractNumId w:val="1"/>
  </w:num>
  <w:num w:numId="23">
    <w:abstractNumId w:val="1"/>
  </w:num>
  <w:num w:numId="24">
    <w:abstractNumId w:val="23"/>
  </w:num>
  <w:num w:numId="25">
    <w:abstractNumId w:val="24"/>
  </w:num>
  <w:num w:numId="26">
    <w:abstractNumId w:val="5"/>
  </w:num>
  <w:num w:numId="27">
    <w:abstractNumId w:val="5"/>
  </w:num>
  <w:num w:numId="28">
    <w:abstractNumId w:val="7"/>
  </w:num>
  <w:num w:numId="29">
    <w:abstractNumId w:val="11"/>
  </w:num>
  <w:num w:numId="30">
    <w:abstractNumId w:val="16"/>
  </w:num>
  <w:num w:numId="31">
    <w:abstractNumId w:val="8"/>
  </w:num>
  <w:num w:numId="32">
    <w:abstractNumId w:val="6"/>
  </w:num>
  <w:num w:numId="33">
    <w:abstractNumId w:val="9"/>
  </w:num>
  <w:num w:numId="34">
    <w:abstractNumId w:val="2"/>
  </w:num>
  <w:num w:numId="35">
    <w:abstractNumId w:val="3"/>
  </w:num>
  <w:num w:numId="36">
    <w:abstractNumId w:val="12"/>
  </w:num>
  <w:num w:numId="37">
    <w:abstractNumId w:val="15"/>
  </w:num>
  <w:num w:numId="38">
    <w:abstractNumId w:val="4"/>
  </w:num>
  <w:num w:numId="39">
    <w:abstractNumId w:val="21"/>
  </w:num>
  <w:num w:numId="40">
    <w:abstractNumId w:val="20"/>
  </w:num>
  <w:num w:numId="41">
    <w:abstractNumId w:val="10"/>
  </w:num>
  <w:num w:numId="42">
    <w:abstractNumId w:val="19"/>
  </w:num>
  <w:num w:numId="43">
    <w:abstractNumId w:val="17"/>
  </w:num>
  <w:num w:numId="44">
    <w:abstractNumId w:val="14"/>
  </w:num>
  <w:num w:numId="45">
    <w:abstractNumId w:val="18"/>
  </w:num>
  <w:num w:numId="4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Martin">
    <w15:presenceInfo w15:providerId="AD" w15:userId="S-1-5-21-515967899-602609370-725345543-17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Formattin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649"/>
    <w:rsid w:val="00000A5B"/>
    <w:rsid w:val="00003370"/>
    <w:rsid w:val="000069B1"/>
    <w:rsid w:val="00006B26"/>
    <w:rsid w:val="0000722B"/>
    <w:rsid w:val="00010225"/>
    <w:rsid w:val="0001276A"/>
    <w:rsid w:val="00012F6F"/>
    <w:rsid w:val="00014213"/>
    <w:rsid w:val="00014B55"/>
    <w:rsid w:val="00015346"/>
    <w:rsid w:val="00016904"/>
    <w:rsid w:val="00017049"/>
    <w:rsid w:val="00017075"/>
    <w:rsid w:val="00017ED2"/>
    <w:rsid w:val="00020E3E"/>
    <w:rsid w:val="00023BF3"/>
    <w:rsid w:val="0002405B"/>
    <w:rsid w:val="00026811"/>
    <w:rsid w:val="00026C23"/>
    <w:rsid w:val="00026C48"/>
    <w:rsid w:val="00030472"/>
    <w:rsid w:val="000306B4"/>
    <w:rsid w:val="00030A2E"/>
    <w:rsid w:val="000323AB"/>
    <w:rsid w:val="00032502"/>
    <w:rsid w:val="00032874"/>
    <w:rsid w:val="00033D30"/>
    <w:rsid w:val="0004096E"/>
    <w:rsid w:val="00041B0B"/>
    <w:rsid w:val="00041D35"/>
    <w:rsid w:val="00043296"/>
    <w:rsid w:val="0004335C"/>
    <w:rsid w:val="0004356D"/>
    <w:rsid w:val="00044630"/>
    <w:rsid w:val="00044B9F"/>
    <w:rsid w:val="00045296"/>
    <w:rsid w:val="000463AF"/>
    <w:rsid w:val="00047B5A"/>
    <w:rsid w:val="00052AC0"/>
    <w:rsid w:val="00052B7A"/>
    <w:rsid w:val="0005343E"/>
    <w:rsid w:val="00055C3A"/>
    <w:rsid w:val="0005621B"/>
    <w:rsid w:val="00056B23"/>
    <w:rsid w:val="00060F8A"/>
    <w:rsid w:val="0006290B"/>
    <w:rsid w:val="00064969"/>
    <w:rsid w:val="00065A99"/>
    <w:rsid w:val="00066134"/>
    <w:rsid w:val="00071EAB"/>
    <w:rsid w:val="0007339B"/>
    <w:rsid w:val="000741CD"/>
    <w:rsid w:val="00074729"/>
    <w:rsid w:val="00075E6C"/>
    <w:rsid w:val="00076953"/>
    <w:rsid w:val="0007709E"/>
    <w:rsid w:val="0008260B"/>
    <w:rsid w:val="000826CB"/>
    <w:rsid w:val="0008275A"/>
    <w:rsid w:val="00085586"/>
    <w:rsid w:val="00085BBD"/>
    <w:rsid w:val="00086493"/>
    <w:rsid w:val="00086ED7"/>
    <w:rsid w:val="0009082F"/>
    <w:rsid w:val="00091A1C"/>
    <w:rsid w:val="00092587"/>
    <w:rsid w:val="00093842"/>
    <w:rsid w:val="000939AE"/>
    <w:rsid w:val="0009476A"/>
    <w:rsid w:val="00095C3E"/>
    <w:rsid w:val="00095C4E"/>
    <w:rsid w:val="00095CCB"/>
    <w:rsid w:val="00097C04"/>
    <w:rsid w:val="000A0216"/>
    <w:rsid w:val="000A03BE"/>
    <w:rsid w:val="000A099B"/>
    <w:rsid w:val="000A1A4F"/>
    <w:rsid w:val="000A279A"/>
    <w:rsid w:val="000A466E"/>
    <w:rsid w:val="000A4D40"/>
    <w:rsid w:val="000A7E5C"/>
    <w:rsid w:val="000B03D0"/>
    <w:rsid w:val="000B1904"/>
    <w:rsid w:val="000B29AD"/>
    <w:rsid w:val="000B4224"/>
    <w:rsid w:val="000B4377"/>
    <w:rsid w:val="000B4803"/>
    <w:rsid w:val="000B61A2"/>
    <w:rsid w:val="000B6723"/>
    <w:rsid w:val="000C35AB"/>
    <w:rsid w:val="000C584B"/>
    <w:rsid w:val="000C6109"/>
    <w:rsid w:val="000C6372"/>
    <w:rsid w:val="000D1293"/>
    <w:rsid w:val="000D3995"/>
    <w:rsid w:val="000D3B5E"/>
    <w:rsid w:val="000D593F"/>
    <w:rsid w:val="000D5A4F"/>
    <w:rsid w:val="000D5B6F"/>
    <w:rsid w:val="000E00FA"/>
    <w:rsid w:val="000E392D"/>
    <w:rsid w:val="000E3EB4"/>
    <w:rsid w:val="000E4F65"/>
    <w:rsid w:val="000E6F93"/>
    <w:rsid w:val="000F1653"/>
    <w:rsid w:val="000F34E3"/>
    <w:rsid w:val="000F36DE"/>
    <w:rsid w:val="000F4288"/>
    <w:rsid w:val="000F6A22"/>
    <w:rsid w:val="000F6BDC"/>
    <w:rsid w:val="000F6E31"/>
    <w:rsid w:val="000F7165"/>
    <w:rsid w:val="000F752F"/>
    <w:rsid w:val="000F7870"/>
    <w:rsid w:val="000F78F9"/>
    <w:rsid w:val="0010017A"/>
    <w:rsid w:val="001002CF"/>
    <w:rsid w:val="001007DD"/>
    <w:rsid w:val="00101FCF"/>
    <w:rsid w:val="00102379"/>
    <w:rsid w:val="00102C61"/>
    <w:rsid w:val="00103EC9"/>
    <w:rsid w:val="00104AD6"/>
    <w:rsid w:val="00105796"/>
    <w:rsid w:val="001065D6"/>
    <w:rsid w:val="00107FE7"/>
    <w:rsid w:val="00110641"/>
    <w:rsid w:val="001107F7"/>
    <w:rsid w:val="00112481"/>
    <w:rsid w:val="00112505"/>
    <w:rsid w:val="00114AF4"/>
    <w:rsid w:val="0011535F"/>
    <w:rsid w:val="00116BB1"/>
    <w:rsid w:val="00120029"/>
    <w:rsid w:val="001201D5"/>
    <w:rsid w:val="00121252"/>
    <w:rsid w:val="00122825"/>
    <w:rsid w:val="00124509"/>
    <w:rsid w:val="00124609"/>
    <w:rsid w:val="001254CE"/>
    <w:rsid w:val="00126AF9"/>
    <w:rsid w:val="00126FEE"/>
    <w:rsid w:val="0013141E"/>
    <w:rsid w:val="00131DCD"/>
    <w:rsid w:val="00134CEA"/>
    <w:rsid w:val="00135916"/>
    <w:rsid w:val="0013714F"/>
    <w:rsid w:val="00140BB3"/>
    <w:rsid w:val="001422CC"/>
    <w:rsid w:val="00146567"/>
    <w:rsid w:val="001478E0"/>
    <w:rsid w:val="00147ECE"/>
    <w:rsid w:val="00147F0A"/>
    <w:rsid w:val="00151693"/>
    <w:rsid w:val="00152DAD"/>
    <w:rsid w:val="00152ECC"/>
    <w:rsid w:val="00154900"/>
    <w:rsid w:val="00157DE4"/>
    <w:rsid w:val="001617B6"/>
    <w:rsid w:val="001640DA"/>
    <w:rsid w:val="00165666"/>
    <w:rsid w:val="00165E66"/>
    <w:rsid w:val="00170258"/>
    <w:rsid w:val="00170EE3"/>
    <w:rsid w:val="001718F9"/>
    <w:rsid w:val="00171D0D"/>
    <w:rsid w:val="00172412"/>
    <w:rsid w:val="00173D44"/>
    <w:rsid w:val="0017570F"/>
    <w:rsid w:val="00175BAC"/>
    <w:rsid w:val="00177594"/>
    <w:rsid w:val="00180DFF"/>
    <w:rsid w:val="001827D9"/>
    <w:rsid w:val="00182F04"/>
    <w:rsid w:val="00183CE1"/>
    <w:rsid w:val="001846BC"/>
    <w:rsid w:val="001862EA"/>
    <w:rsid w:val="00191671"/>
    <w:rsid w:val="001932E2"/>
    <w:rsid w:val="001953BC"/>
    <w:rsid w:val="001959E6"/>
    <w:rsid w:val="00196681"/>
    <w:rsid w:val="00196D99"/>
    <w:rsid w:val="001977C7"/>
    <w:rsid w:val="001A02FA"/>
    <w:rsid w:val="001A1E43"/>
    <w:rsid w:val="001A3DD1"/>
    <w:rsid w:val="001B69EB"/>
    <w:rsid w:val="001B7577"/>
    <w:rsid w:val="001C0A09"/>
    <w:rsid w:val="001C24D7"/>
    <w:rsid w:val="001C301D"/>
    <w:rsid w:val="001C387D"/>
    <w:rsid w:val="001C5447"/>
    <w:rsid w:val="001C60A0"/>
    <w:rsid w:val="001C76B0"/>
    <w:rsid w:val="001C7BAE"/>
    <w:rsid w:val="001C7C86"/>
    <w:rsid w:val="001D194C"/>
    <w:rsid w:val="001D2656"/>
    <w:rsid w:val="001D2FE1"/>
    <w:rsid w:val="001D307F"/>
    <w:rsid w:val="001D717E"/>
    <w:rsid w:val="001E0514"/>
    <w:rsid w:val="001E1B8C"/>
    <w:rsid w:val="001E31FA"/>
    <w:rsid w:val="001E538B"/>
    <w:rsid w:val="001E53B4"/>
    <w:rsid w:val="001E64F6"/>
    <w:rsid w:val="001E6F47"/>
    <w:rsid w:val="001E7229"/>
    <w:rsid w:val="001E7562"/>
    <w:rsid w:val="001F05C7"/>
    <w:rsid w:val="001F23F9"/>
    <w:rsid w:val="001F28E9"/>
    <w:rsid w:val="001F31D2"/>
    <w:rsid w:val="001F334D"/>
    <w:rsid w:val="001F3A84"/>
    <w:rsid w:val="001F4970"/>
    <w:rsid w:val="001F4B6F"/>
    <w:rsid w:val="001F650C"/>
    <w:rsid w:val="001F740C"/>
    <w:rsid w:val="001F7E13"/>
    <w:rsid w:val="00200BB3"/>
    <w:rsid w:val="0020362D"/>
    <w:rsid w:val="00203C15"/>
    <w:rsid w:val="00204E13"/>
    <w:rsid w:val="002061AF"/>
    <w:rsid w:val="0020649F"/>
    <w:rsid w:val="00206C1B"/>
    <w:rsid w:val="00207240"/>
    <w:rsid w:val="0021116C"/>
    <w:rsid w:val="0021187F"/>
    <w:rsid w:val="00213BE3"/>
    <w:rsid w:val="002148E1"/>
    <w:rsid w:val="00214CBC"/>
    <w:rsid w:val="002159B4"/>
    <w:rsid w:val="00215D4C"/>
    <w:rsid w:val="00220076"/>
    <w:rsid w:val="002225BB"/>
    <w:rsid w:val="00222BEB"/>
    <w:rsid w:val="002248CD"/>
    <w:rsid w:val="00225E60"/>
    <w:rsid w:val="00226FC5"/>
    <w:rsid w:val="00227292"/>
    <w:rsid w:val="00227C39"/>
    <w:rsid w:val="0023202C"/>
    <w:rsid w:val="002349AF"/>
    <w:rsid w:val="00235985"/>
    <w:rsid w:val="00236203"/>
    <w:rsid w:val="00236DFD"/>
    <w:rsid w:val="00240201"/>
    <w:rsid w:val="0024364F"/>
    <w:rsid w:val="00244AE1"/>
    <w:rsid w:val="00245043"/>
    <w:rsid w:val="002460FC"/>
    <w:rsid w:val="00247D20"/>
    <w:rsid w:val="0025025C"/>
    <w:rsid w:val="00251B91"/>
    <w:rsid w:val="002536CF"/>
    <w:rsid w:val="002542AD"/>
    <w:rsid w:val="00255796"/>
    <w:rsid w:val="00257760"/>
    <w:rsid w:val="00260C39"/>
    <w:rsid w:val="0026486D"/>
    <w:rsid w:val="00264FF0"/>
    <w:rsid w:val="00265E60"/>
    <w:rsid w:val="002710A5"/>
    <w:rsid w:val="0027541A"/>
    <w:rsid w:val="0027683F"/>
    <w:rsid w:val="0028031C"/>
    <w:rsid w:val="00280571"/>
    <w:rsid w:val="002814FD"/>
    <w:rsid w:val="00281537"/>
    <w:rsid w:val="00282C16"/>
    <w:rsid w:val="00282E34"/>
    <w:rsid w:val="002830D8"/>
    <w:rsid w:val="00285198"/>
    <w:rsid w:val="002858C7"/>
    <w:rsid w:val="00290B8C"/>
    <w:rsid w:val="00290CF5"/>
    <w:rsid w:val="00291E52"/>
    <w:rsid w:val="00292D36"/>
    <w:rsid w:val="00294192"/>
    <w:rsid w:val="00296EF5"/>
    <w:rsid w:val="00297281"/>
    <w:rsid w:val="002A1AAE"/>
    <w:rsid w:val="002A1F00"/>
    <w:rsid w:val="002A397C"/>
    <w:rsid w:val="002A5A66"/>
    <w:rsid w:val="002A5BD9"/>
    <w:rsid w:val="002A5CA8"/>
    <w:rsid w:val="002A64D0"/>
    <w:rsid w:val="002A66FA"/>
    <w:rsid w:val="002A677C"/>
    <w:rsid w:val="002A6C79"/>
    <w:rsid w:val="002A6F7F"/>
    <w:rsid w:val="002A7B1E"/>
    <w:rsid w:val="002B0D77"/>
    <w:rsid w:val="002B22DE"/>
    <w:rsid w:val="002B7635"/>
    <w:rsid w:val="002C1162"/>
    <w:rsid w:val="002C1A1F"/>
    <w:rsid w:val="002C1FA1"/>
    <w:rsid w:val="002C3156"/>
    <w:rsid w:val="002C54E0"/>
    <w:rsid w:val="002C5D6E"/>
    <w:rsid w:val="002D1664"/>
    <w:rsid w:val="002D188E"/>
    <w:rsid w:val="002D569F"/>
    <w:rsid w:val="002D5EF7"/>
    <w:rsid w:val="002D5F02"/>
    <w:rsid w:val="002D711A"/>
    <w:rsid w:val="002D7336"/>
    <w:rsid w:val="002E15A5"/>
    <w:rsid w:val="002E2F1A"/>
    <w:rsid w:val="002E3396"/>
    <w:rsid w:val="002E3557"/>
    <w:rsid w:val="002E4F82"/>
    <w:rsid w:val="002E5F10"/>
    <w:rsid w:val="002E6DEC"/>
    <w:rsid w:val="002E71F0"/>
    <w:rsid w:val="002E730E"/>
    <w:rsid w:val="002F1998"/>
    <w:rsid w:val="002F42AC"/>
    <w:rsid w:val="002F5E44"/>
    <w:rsid w:val="002F6E67"/>
    <w:rsid w:val="002F7215"/>
    <w:rsid w:val="002F7956"/>
    <w:rsid w:val="0030620D"/>
    <w:rsid w:val="00311006"/>
    <w:rsid w:val="0031149C"/>
    <w:rsid w:val="003174A6"/>
    <w:rsid w:val="00321F3D"/>
    <w:rsid w:val="0032362E"/>
    <w:rsid w:val="00323653"/>
    <w:rsid w:val="003237D0"/>
    <w:rsid w:val="0032780B"/>
    <w:rsid w:val="003301F8"/>
    <w:rsid w:val="00330C8D"/>
    <w:rsid w:val="0033142D"/>
    <w:rsid w:val="00335965"/>
    <w:rsid w:val="00335B97"/>
    <w:rsid w:val="00336292"/>
    <w:rsid w:val="003376F4"/>
    <w:rsid w:val="0034031E"/>
    <w:rsid w:val="003444C4"/>
    <w:rsid w:val="0034568F"/>
    <w:rsid w:val="00346715"/>
    <w:rsid w:val="00347E9B"/>
    <w:rsid w:val="00351B50"/>
    <w:rsid w:val="00356178"/>
    <w:rsid w:val="00356FBF"/>
    <w:rsid w:val="003574AF"/>
    <w:rsid w:val="00364AEA"/>
    <w:rsid w:val="0036557E"/>
    <w:rsid w:val="0036672C"/>
    <w:rsid w:val="003705FC"/>
    <w:rsid w:val="00382295"/>
    <w:rsid w:val="00384136"/>
    <w:rsid w:val="00385DED"/>
    <w:rsid w:val="003861C1"/>
    <w:rsid w:val="0038684C"/>
    <w:rsid w:val="0038771C"/>
    <w:rsid w:val="003925DD"/>
    <w:rsid w:val="00392A8F"/>
    <w:rsid w:val="00393394"/>
    <w:rsid w:val="0039362D"/>
    <w:rsid w:val="00393777"/>
    <w:rsid w:val="0039405B"/>
    <w:rsid w:val="00394164"/>
    <w:rsid w:val="0039473F"/>
    <w:rsid w:val="00395052"/>
    <w:rsid w:val="00397BCD"/>
    <w:rsid w:val="00397E99"/>
    <w:rsid w:val="003A0BAD"/>
    <w:rsid w:val="003A0BC9"/>
    <w:rsid w:val="003A1C92"/>
    <w:rsid w:val="003A541A"/>
    <w:rsid w:val="003A569E"/>
    <w:rsid w:val="003A594F"/>
    <w:rsid w:val="003A5BC9"/>
    <w:rsid w:val="003A6923"/>
    <w:rsid w:val="003A7380"/>
    <w:rsid w:val="003B0EED"/>
    <w:rsid w:val="003B3102"/>
    <w:rsid w:val="003C041E"/>
    <w:rsid w:val="003C0B40"/>
    <w:rsid w:val="003C2C67"/>
    <w:rsid w:val="003C2EA2"/>
    <w:rsid w:val="003C5587"/>
    <w:rsid w:val="003C5BA4"/>
    <w:rsid w:val="003C785E"/>
    <w:rsid w:val="003D2A74"/>
    <w:rsid w:val="003D2AAA"/>
    <w:rsid w:val="003D3C75"/>
    <w:rsid w:val="003D3F50"/>
    <w:rsid w:val="003D40D6"/>
    <w:rsid w:val="003D4298"/>
    <w:rsid w:val="003D5C32"/>
    <w:rsid w:val="003D600B"/>
    <w:rsid w:val="003E0EDA"/>
    <w:rsid w:val="003E2596"/>
    <w:rsid w:val="003E370F"/>
    <w:rsid w:val="003E372B"/>
    <w:rsid w:val="003E3C0D"/>
    <w:rsid w:val="003E3E26"/>
    <w:rsid w:val="003E4397"/>
    <w:rsid w:val="003E4F73"/>
    <w:rsid w:val="003E631D"/>
    <w:rsid w:val="003F1295"/>
    <w:rsid w:val="003F22AC"/>
    <w:rsid w:val="003F48FB"/>
    <w:rsid w:val="003F5505"/>
    <w:rsid w:val="003F57F0"/>
    <w:rsid w:val="003F76FC"/>
    <w:rsid w:val="003F7ED8"/>
    <w:rsid w:val="004002EB"/>
    <w:rsid w:val="004006FC"/>
    <w:rsid w:val="00403568"/>
    <w:rsid w:val="004041AC"/>
    <w:rsid w:val="0040445B"/>
    <w:rsid w:val="0040529E"/>
    <w:rsid w:val="00405C57"/>
    <w:rsid w:val="00405E69"/>
    <w:rsid w:val="00407A97"/>
    <w:rsid w:val="004162A3"/>
    <w:rsid w:val="0041689E"/>
    <w:rsid w:val="0042007D"/>
    <w:rsid w:val="00422BB5"/>
    <w:rsid w:val="004236C8"/>
    <w:rsid w:val="0042433F"/>
    <w:rsid w:val="004245E6"/>
    <w:rsid w:val="00425B47"/>
    <w:rsid w:val="00425BB1"/>
    <w:rsid w:val="00427681"/>
    <w:rsid w:val="00432336"/>
    <w:rsid w:val="004323BB"/>
    <w:rsid w:val="0043246D"/>
    <w:rsid w:val="00433DB7"/>
    <w:rsid w:val="00434F9D"/>
    <w:rsid w:val="00443048"/>
    <w:rsid w:val="0044700A"/>
    <w:rsid w:val="0044791A"/>
    <w:rsid w:val="00450002"/>
    <w:rsid w:val="0045037F"/>
    <w:rsid w:val="00451168"/>
    <w:rsid w:val="00453750"/>
    <w:rsid w:val="00453C7C"/>
    <w:rsid w:val="00456941"/>
    <w:rsid w:val="00457ED0"/>
    <w:rsid w:val="00461213"/>
    <w:rsid w:val="00461938"/>
    <w:rsid w:val="0046209F"/>
    <w:rsid w:val="00462753"/>
    <w:rsid w:val="004640DF"/>
    <w:rsid w:val="0046457D"/>
    <w:rsid w:val="00464D3E"/>
    <w:rsid w:val="00465DDB"/>
    <w:rsid w:val="00465EAE"/>
    <w:rsid w:val="004669E3"/>
    <w:rsid w:val="00466C4D"/>
    <w:rsid w:val="004670CF"/>
    <w:rsid w:val="004702EA"/>
    <w:rsid w:val="0047064A"/>
    <w:rsid w:val="0047097D"/>
    <w:rsid w:val="00471519"/>
    <w:rsid w:val="00471582"/>
    <w:rsid w:val="00472DFB"/>
    <w:rsid w:val="004736EE"/>
    <w:rsid w:val="00474768"/>
    <w:rsid w:val="00476156"/>
    <w:rsid w:val="00476A80"/>
    <w:rsid w:val="00476B23"/>
    <w:rsid w:val="00476FE4"/>
    <w:rsid w:val="00480112"/>
    <w:rsid w:val="00481A83"/>
    <w:rsid w:val="004827D6"/>
    <w:rsid w:val="00482D02"/>
    <w:rsid w:val="00484B9F"/>
    <w:rsid w:val="004866DA"/>
    <w:rsid w:val="00487720"/>
    <w:rsid w:val="00490596"/>
    <w:rsid w:val="0049417C"/>
    <w:rsid w:val="00494C89"/>
    <w:rsid w:val="00494E56"/>
    <w:rsid w:val="0049502E"/>
    <w:rsid w:val="00495644"/>
    <w:rsid w:val="004A0ED5"/>
    <w:rsid w:val="004A14E0"/>
    <w:rsid w:val="004A14FF"/>
    <w:rsid w:val="004A2FA2"/>
    <w:rsid w:val="004A3CD2"/>
    <w:rsid w:val="004A3E3D"/>
    <w:rsid w:val="004A415B"/>
    <w:rsid w:val="004A7519"/>
    <w:rsid w:val="004B0656"/>
    <w:rsid w:val="004B1274"/>
    <w:rsid w:val="004B41CA"/>
    <w:rsid w:val="004B4CB4"/>
    <w:rsid w:val="004B5066"/>
    <w:rsid w:val="004B7177"/>
    <w:rsid w:val="004B7533"/>
    <w:rsid w:val="004C09A8"/>
    <w:rsid w:val="004C208B"/>
    <w:rsid w:val="004C3AE4"/>
    <w:rsid w:val="004C42AC"/>
    <w:rsid w:val="004C7AFD"/>
    <w:rsid w:val="004D2966"/>
    <w:rsid w:val="004D3342"/>
    <w:rsid w:val="004D3518"/>
    <w:rsid w:val="004D464D"/>
    <w:rsid w:val="004D54F3"/>
    <w:rsid w:val="004D555A"/>
    <w:rsid w:val="004D62D6"/>
    <w:rsid w:val="004D649B"/>
    <w:rsid w:val="004D6D4B"/>
    <w:rsid w:val="004D7E6F"/>
    <w:rsid w:val="004E0515"/>
    <w:rsid w:val="004E0F36"/>
    <w:rsid w:val="004E1788"/>
    <w:rsid w:val="004E2DDA"/>
    <w:rsid w:val="004E3659"/>
    <w:rsid w:val="004E3DA4"/>
    <w:rsid w:val="004E4B0E"/>
    <w:rsid w:val="004E7101"/>
    <w:rsid w:val="004E7D8D"/>
    <w:rsid w:val="004E7F76"/>
    <w:rsid w:val="004F38A9"/>
    <w:rsid w:val="004F4AF1"/>
    <w:rsid w:val="004F5F73"/>
    <w:rsid w:val="004F7FD3"/>
    <w:rsid w:val="00500F92"/>
    <w:rsid w:val="0050603B"/>
    <w:rsid w:val="00510270"/>
    <w:rsid w:val="00511943"/>
    <w:rsid w:val="00513121"/>
    <w:rsid w:val="005145E0"/>
    <w:rsid w:val="00517E95"/>
    <w:rsid w:val="005208E5"/>
    <w:rsid w:val="00520ACB"/>
    <w:rsid w:val="00525017"/>
    <w:rsid w:val="00526EBF"/>
    <w:rsid w:val="005279D8"/>
    <w:rsid w:val="0053004A"/>
    <w:rsid w:val="0053106C"/>
    <w:rsid w:val="00532D45"/>
    <w:rsid w:val="0053416C"/>
    <w:rsid w:val="0053465D"/>
    <w:rsid w:val="00534FAB"/>
    <w:rsid w:val="0053612E"/>
    <w:rsid w:val="00537630"/>
    <w:rsid w:val="00541C2F"/>
    <w:rsid w:val="005421BD"/>
    <w:rsid w:val="00542616"/>
    <w:rsid w:val="00544A64"/>
    <w:rsid w:val="005462CF"/>
    <w:rsid w:val="00547109"/>
    <w:rsid w:val="005479CC"/>
    <w:rsid w:val="00547FBA"/>
    <w:rsid w:val="00552591"/>
    <w:rsid w:val="00552976"/>
    <w:rsid w:val="005575B6"/>
    <w:rsid w:val="00561135"/>
    <w:rsid w:val="005623E3"/>
    <w:rsid w:val="005632A9"/>
    <w:rsid w:val="00563527"/>
    <w:rsid w:val="005651B1"/>
    <w:rsid w:val="00566212"/>
    <w:rsid w:val="00566A86"/>
    <w:rsid w:val="00567F53"/>
    <w:rsid w:val="00572D74"/>
    <w:rsid w:val="00573D31"/>
    <w:rsid w:val="00574B41"/>
    <w:rsid w:val="00575875"/>
    <w:rsid w:val="00575A6D"/>
    <w:rsid w:val="005801C5"/>
    <w:rsid w:val="00580A59"/>
    <w:rsid w:val="0058124E"/>
    <w:rsid w:val="00584301"/>
    <w:rsid w:val="00584E1B"/>
    <w:rsid w:val="005875A3"/>
    <w:rsid w:val="005915A1"/>
    <w:rsid w:val="00593597"/>
    <w:rsid w:val="00593E20"/>
    <w:rsid w:val="00594FDA"/>
    <w:rsid w:val="00595EC9"/>
    <w:rsid w:val="00596766"/>
    <w:rsid w:val="005968D6"/>
    <w:rsid w:val="005A00DC"/>
    <w:rsid w:val="005A3416"/>
    <w:rsid w:val="005A3985"/>
    <w:rsid w:val="005A556A"/>
    <w:rsid w:val="005A56EF"/>
    <w:rsid w:val="005B1CE1"/>
    <w:rsid w:val="005B27FE"/>
    <w:rsid w:val="005B41B3"/>
    <w:rsid w:val="005B6BC0"/>
    <w:rsid w:val="005B78B8"/>
    <w:rsid w:val="005B7BED"/>
    <w:rsid w:val="005B7F5B"/>
    <w:rsid w:val="005C21D3"/>
    <w:rsid w:val="005C31AD"/>
    <w:rsid w:val="005C3E6D"/>
    <w:rsid w:val="005C40F9"/>
    <w:rsid w:val="005C4F50"/>
    <w:rsid w:val="005C6F44"/>
    <w:rsid w:val="005D0AEE"/>
    <w:rsid w:val="005D1C1C"/>
    <w:rsid w:val="005D2745"/>
    <w:rsid w:val="005D2792"/>
    <w:rsid w:val="005D61CB"/>
    <w:rsid w:val="005D6220"/>
    <w:rsid w:val="005D7208"/>
    <w:rsid w:val="005D757B"/>
    <w:rsid w:val="005E3A60"/>
    <w:rsid w:val="005E416C"/>
    <w:rsid w:val="005E45A1"/>
    <w:rsid w:val="005E4BD9"/>
    <w:rsid w:val="005F0A16"/>
    <w:rsid w:val="005F331D"/>
    <w:rsid w:val="005F52C6"/>
    <w:rsid w:val="005F61DF"/>
    <w:rsid w:val="00600A48"/>
    <w:rsid w:val="00601FDC"/>
    <w:rsid w:val="006023F9"/>
    <w:rsid w:val="00602E6B"/>
    <w:rsid w:val="00603AE8"/>
    <w:rsid w:val="0060561C"/>
    <w:rsid w:val="00605AD3"/>
    <w:rsid w:val="00605F58"/>
    <w:rsid w:val="00607F1F"/>
    <w:rsid w:val="00610559"/>
    <w:rsid w:val="0061141F"/>
    <w:rsid w:val="00611B3D"/>
    <w:rsid w:val="006127E3"/>
    <w:rsid w:val="00614528"/>
    <w:rsid w:val="00616854"/>
    <w:rsid w:val="006170C5"/>
    <w:rsid w:val="00617232"/>
    <w:rsid w:val="00622A4B"/>
    <w:rsid w:val="00623526"/>
    <w:rsid w:val="006237CF"/>
    <w:rsid w:val="00623909"/>
    <w:rsid w:val="00624E79"/>
    <w:rsid w:val="00626573"/>
    <w:rsid w:val="00627C53"/>
    <w:rsid w:val="00632214"/>
    <w:rsid w:val="006329F4"/>
    <w:rsid w:val="006330AD"/>
    <w:rsid w:val="006332F6"/>
    <w:rsid w:val="00633B09"/>
    <w:rsid w:val="00635259"/>
    <w:rsid w:val="006361E7"/>
    <w:rsid w:val="006373C5"/>
    <w:rsid w:val="00641CDE"/>
    <w:rsid w:val="006421D7"/>
    <w:rsid w:val="006464FF"/>
    <w:rsid w:val="0064738D"/>
    <w:rsid w:val="00652625"/>
    <w:rsid w:val="006534B2"/>
    <w:rsid w:val="0065615D"/>
    <w:rsid w:val="006561FD"/>
    <w:rsid w:val="00656396"/>
    <w:rsid w:val="00657011"/>
    <w:rsid w:val="0065787D"/>
    <w:rsid w:val="00660A1F"/>
    <w:rsid w:val="00660C24"/>
    <w:rsid w:val="006650B5"/>
    <w:rsid w:val="006651B1"/>
    <w:rsid w:val="00665778"/>
    <w:rsid w:val="00672BF1"/>
    <w:rsid w:val="006738C4"/>
    <w:rsid w:val="00675B3D"/>
    <w:rsid w:val="00677903"/>
    <w:rsid w:val="00677F65"/>
    <w:rsid w:val="00681028"/>
    <w:rsid w:val="00681528"/>
    <w:rsid w:val="006853DD"/>
    <w:rsid w:val="00685BCD"/>
    <w:rsid w:val="00685E3F"/>
    <w:rsid w:val="00686E90"/>
    <w:rsid w:val="0069086C"/>
    <w:rsid w:val="00691C09"/>
    <w:rsid w:val="0069233A"/>
    <w:rsid w:val="00693756"/>
    <w:rsid w:val="006966B5"/>
    <w:rsid w:val="00697379"/>
    <w:rsid w:val="00697C2E"/>
    <w:rsid w:val="006A044E"/>
    <w:rsid w:val="006A07FC"/>
    <w:rsid w:val="006A0CFE"/>
    <w:rsid w:val="006A1F6C"/>
    <w:rsid w:val="006A5B34"/>
    <w:rsid w:val="006A5F5B"/>
    <w:rsid w:val="006A5FA9"/>
    <w:rsid w:val="006A61AE"/>
    <w:rsid w:val="006A77FB"/>
    <w:rsid w:val="006A7F25"/>
    <w:rsid w:val="006B042C"/>
    <w:rsid w:val="006B06AF"/>
    <w:rsid w:val="006B1831"/>
    <w:rsid w:val="006B37CF"/>
    <w:rsid w:val="006B3F71"/>
    <w:rsid w:val="006B42FD"/>
    <w:rsid w:val="006C5F3A"/>
    <w:rsid w:val="006C6596"/>
    <w:rsid w:val="006C7618"/>
    <w:rsid w:val="006C77A9"/>
    <w:rsid w:val="006D0085"/>
    <w:rsid w:val="006D014C"/>
    <w:rsid w:val="006D066A"/>
    <w:rsid w:val="006D12EE"/>
    <w:rsid w:val="006D260D"/>
    <w:rsid w:val="006D271D"/>
    <w:rsid w:val="006D552B"/>
    <w:rsid w:val="006D55CA"/>
    <w:rsid w:val="006D567D"/>
    <w:rsid w:val="006D5F2F"/>
    <w:rsid w:val="006E23A4"/>
    <w:rsid w:val="006E3DA7"/>
    <w:rsid w:val="006E421A"/>
    <w:rsid w:val="006E67F2"/>
    <w:rsid w:val="006E6D66"/>
    <w:rsid w:val="006E72E6"/>
    <w:rsid w:val="006F05D3"/>
    <w:rsid w:val="006F1937"/>
    <w:rsid w:val="006F2C29"/>
    <w:rsid w:val="006F3288"/>
    <w:rsid w:val="006F4FBC"/>
    <w:rsid w:val="006F586E"/>
    <w:rsid w:val="006F6693"/>
    <w:rsid w:val="006F6EF1"/>
    <w:rsid w:val="006F7EF1"/>
    <w:rsid w:val="00700620"/>
    <w:rsid w:val="00702812"/>
    <w:rsid w:val="00705C77"/>
    <w:rsid w:val="00705D7D"/>
    <w:rsid w:val="00705E3F"/>
    <w:rsid w:val="00706676"/>
    <w:rsid w:val="00707FE8"/>
    <w:rsid w:val="00712DA1"/>
    <w:rsid w:val="00716B80"/>
    <w:rsid w:val="007227FF"/>
    <w:rsid w:val="00723C4D"/>
    <w:rsid w:val="00724962"/>
    <w:rsid w:val="00724A0F"/>
    <w:rsid w:val="00724D3D"/>
    <w:rsid w:val="00725A6D"/>
    <w:rsid w:val="0073072C"/>
    <w:rsid w:val="00731DA7"/>
    <w:rsid w:val="007320B4"/>
    <w:rsid w:val="00732162"/>
    <w:rsid w:val="00735443"/>
    <w:rsid w:val="0073598F"/>
    <w:rsid w:val="007364B1"/>
    <w:rsid w:val="00736732"/>
    <w:rsid w:val="007371A0"/>
    <w:rsid w:val="00737FC3"/>
    <w:rsid w:val="00740F04"/>
    <w:rsid w:val="0074327E"/>
    <w:rsid w:val="00745C4D"/>
    <w:rsid w:val="007469AF"/>
    <w:rsid w:val="00747814"/>
    <w:rsid w:val="0075032F"/>
    <w:rsid w:val="00750CBE"/>
    <w:rsid w:val="0075136A"/>
    <w:rsid w:val="007519CC"/>
    <w:rsid w:val="00753566"/>
    <w:rsid w:val="00754704"/>
    <w:rsid w:val="00754FC8"/>
    <w:rsid w:val="00755BB2"/>
    <w:rsid w:val="0076429F"/>
    <w:rsid w:val="00764FC7"/>
    <w:rsid w:val="00766688"/>
    <w:rsid w:val="00766B5A"/>
    <w:rsid w:val="00770BF5"/>
    <w:rsid w:val="00771977"/>
    <w:rsid w:val="007741AF"/>
    <w:rsid w:val="007742A1"/>
    <w:rsid w:val="007834F2"/>
    <w:rsid w:val="007839CB"/>
    <w:rsid w:val="00783A68"/>
    <w:rsid w:val="007848D4"/>
    <w:rsid w:val="00786C98"/>
    <w:rsid w:val="00787885"/>
    <w:rsid w:val="00791020"/>
    <w:rsid w:val="00793E30"/>
    <w:rsid w:val="00795122"/>
    <w:rsid w:val="007958C6"/>
    <w:rsid w:val="00795EF5"/>
    <w:rsid w:val="007A5608"/>
    <w:rsid w:val="007A5F82"/>
    <w:rsid w:val="007A6888"/>
    <w:rsid w:val="007A700E"/>
    <w:rsid w:val="007B3744"/>
    <w:rsid w:val="007B411F"/>
    <w:rsid w:val="007B75A4"/>
    <w:rsid w:val="007C201B"/>
    <w:rsid w:val="007C3C6A"/>
    <w:rsid w:val="007C415E"/>
    <w:rsid w:val="007C4ACC"/>
    <w:rsid w:val="007C5525"/>
    <w:rsid w:val="007C5B6C"/>
    <w:rsid w:val="007C7FD6"/>
    <w:rsid w:val="007D1F05"/>
    <w:rsid w:val="007D3D3D"/>
    <w:rsid w:val="007D4131"/>
    <w:rsid w:val="007E0383"/>
    <w:rsid w:val="007E06B3"/>
    <w:rsid w:val="007E0F3A"/>
    <w:rsid w:val="007E241C"/>
    <w:rsid w:val="007E2862"/>
    <w:rsid w:val="007E2F01"/>
    <w:rsid w:val="007E473F"/>
    <w:rsid w:val="007E5364"/>
    <w:rsid w:val="007E564D"/>
    <w:rsid w:val="007F1A4C"/>
    <w:rsid w:val="007F1B4D"/>
    <w:rsid w:val="007F25A3"/>
    <w:rsid w:val="007F29B8"/>
    <w:rsid w:val="007F411F"/>
    <w:rsid w:val="00800C29"/>
    <w:rsid w:val="00801623"/>
    <w:rsid w:val="008018A3"/>
    <w:rsid w:val="008022C3"/>
    <w:rsid w:val="008036F6"/>
    <w:rsid w:val="008041E6"/>
    <w:rsid w:val="008065D2"/>
    <w:rsid w:val="00806891"/>
    <w:rsid w:val="00806A4B"/>
    <w:rsid w:val="00810382"/>
    <w:rsid w:val="00812AED"/>
    <w:rsid w:val="00814252"/>
    <w:rsid w:val="008142DF"/>
    <w:rsid w:val="00814B75"/>
    <w:rsid w:val="0081502A"/>
    <w:rsid w:val="008150DF"/>
    <w:rsid w:val="008218F3"/>
    <w:rsid w:val="0082194C"/>
    <w:rsid w:val="008220C4"/>
    <w:rsid w:val="008222FF"/>
    <w:rsid w:val="00822847"/>
    <w:rsid w:val="008228F0"/>
    <w:rsid w:val="008241FF"/>
    <w:rsid w:val="00825092"/>
    <w:rsid w:val="0082517E"/>
    <w:rsid w:val="00825AB7"/>
    <w:rsid w:val="00826393"/>
    <w:rsid w:val="008311BF"/>
    <w:rsid w:val="008367E5"/>
    <w:rsid w:val="0083713A"/>
    <w:rsid w:val="008411E9"/>
    <w:rsid w:val="00841BCD"/>
    <w:rsid w:val="0084200F"/>
    <w:rsid w:val="00843B2C"/>
    <w:rsid w:val="00844FFF"/>
    <w:rsid w:val="00846758"/>
    <w:rsid w:val="008467C9"/>
    <w:rsid w:val="0084711C"/>
    <w:rsid w:val="008471C4"/>
    <w:rsid w:val="0084726F"/>
    <w:rsid w:val="008523BA"/>
    <w:rsid w:val="008529E9"/>
    <w:rsid w:val="00853003"/>
    <w:rsid w:val="0085433C"/>
    <w:rsid w:val="00863F4B"/>
    <w:rsid w:val="00864C39"/>
    <w:rsid w:val="0087099D"/>
    <w:rsid w:val="00871CC8"/>
    <w:rsid w:val="00872A74"/>
    <w:rsid w:val="0087338E"/>
    <w:rsid w:val="008737AB"/>
    <w:rsid w:val="00874835"/>
    <w:rsid w:val="008750E6"/>
    <w:rsid w:val="0087530A"/>
    <w:rsid w:val="00876612"/>
    <w:rsid w:val="00883CA0"/>
    <w:rsid w:val="00883E10"/>
    <w:rsid w:val="008848DA"/>
    <w:rsid w:val="00884CDC"/>
    <w:rsid w:val="00885A6C"/>
    <w:rsid w:val="0088649B"/>
    <w:rsid w:val="00886FA0"/>
    <w:rsid w:val="00886FB8"/>
    <w:rsid w:val="00886FED"/>
    <w:rsid w:val="00887300"/>
    <w:rsid w:val="00891244"/>
    <w:rsid w:val="00891DFC"/>
    <w:rsid w:val="00892DED"/>
    <w:rsid w:val="008934D2"/>
    <w:rsid w:val="00894BC2"/>
    <w:rsid w:val="0089585D"/>
    <w:rsid w:val="008963CA"/>
    <w:rsid w:val="008965C1"/>
    <w:rsid w:val="008A0785"/>
    <w:rsid w:val="008A0867"/>
    <w:rsid w:val="008A0D55"/>
    <w:rsid w:val="008A1D46"/>
    <w:rsid w:val="008A2DAF"/>
    <w:rsid w:val="008A4900"/>
    <w:rsid w:val="008A6BD3"/>
    <w:rsid w:val="008A70AF"/>
    <w:rsid w:val="008A729E"/>
    <w:rsid w:val="008B0F71"/>
    <w:rsid w:val="008B1D17"/>
    <w:rsid w:val="008B1E71"/>
    <w:rsid w:val="008B2515"/>
    <w:rsid w:val="008B311F"/>
    <w:rsid w:val="008B74DE"/>
    <w:rsid w:val="008C08B3"/>
    <w:rsid w:val="008C10E1"/>
    <w:rsid w:val="008C49D5"/>
    <w:rsid w:val="008C5C7D"/>
    <w:rsid w:val="008D0281"/>
    <w:rsid w:val="008D0715"/>
    <w:rsid w:val="008D28A6"/>
    <w:rsid w:val="008D3587"/>
    <w:rsid w:val="008D478A"/>
    <w:rsid w:val="008D7682"/>
    <w:rsid w:val="008D76E9"/>
    <w:rsid w:val="008E18B8"/>
    <w:rsid w:val="008E1B5D"/>
    <w:rsid w:val="008E21C9"/>
    <w:rsid w:val="008E2852"/>
    <w:rsid w:val="008E3C4E"/>
    <w:rsid w:val="008E469C"/>
    <w:rsid w:val="008E4C7F"/>
    <w:rsid w:val="008E5D03"/>
    <w:rsid w:val="008F03B4"/>
    <w:rsid w:val="008F0ABA"/>
    <w:rsid w:val="008F1285"/>
    <w:rsid w:val="008F2615"/>
    <w:rsid w:val="008F2D5D"/>
    <w:rsid w:val="008F5D01"/>
    <w:rsid w:val="008F6870"/>
    <w:rsid w:val="008F6D45"/>
    <w:rsid w:val="008F7E12"/>
    <w:rsid w:val="00900219"/>
    <w:rsid w:val="009019F0"/>
    <w:rsid w:val="00903970"/>
    <w:rsid w:val="00904186"/>
    <w:rsid w:val="00904B31"/>
    <w:rsid w:val="00905039"/>
    <w:rsid w:val="00905323"/>
    <w:rsid w:val="0090635F"/>
    <w:rsid w:val="00910341"/>
    <w:rsid w:val="00910EE7"/>
    <w:rsid w:val="00916D97"/>
    <w:rsid w:val="00917254"/>
    <w:rsid w:val="00917F00"/>
    <w:rsid w:val="00920B9B"/>
    <w:rsid w:val="0092113A"/>
    <w:rsid w:val="009218B8"/>
    <w:rsid w:val="00926D43"/>
    <w:rsid w:val="0093034B"/>
    <w:rsid w:val="009328BB"/>
    <w:rsid w:val="00936D8E"/>
    <w:rsid w:val="00941E0D"/>
    <w:rsid w:val="00941EF4"/>
    <w:rsid w:val="009447DF"/>
    <w:rsid w:val="00946691"/>
    <w:rsid w:val="00950571"/>
    <w:rsid w:val="00951537"/>
    <w:rsid w:val="0095249D"/>
    <w:rsid w:val="0095306F"/>
    <w:rsid w:val="00953626"/>
    <w:rsid w:val="00953B7F"/>
    <w:rsid w:val="009560A2"/>
    <w:rsid w:val="009569A3"/>
    <w:rsid w:val="0095715E"/>
    <w:rsid w:val="00963970"/>
    <w:rsid w:val="00963F9F"/>
    <w:rsid w:val="00964EF8"/>
    <w:rsid w:val="0097081C"/>
    <w:rsid w:val="0097109A"/>
    <w:rsid w:val="00971E0C"/>
    <w:rsid w:val="009739C4"/>
    <w:rsid w:val="00974843"/>
    <w:rsid w:val="00974B6A"/>
    <w:rsid w:val="00975207"/>
    <w:rsid w:val="0097778D"/>
    <w:rsid w:val="00980AEB"/>
    <w:rsid w:val="009834C0"/>
    <w:rsid w:val="00983A96"/>
    <w:rsid w:val="00983BCE"/>
    <w:rsid w:val="00984C95"/>
    <w:rsid w:val="00985848"/>
    <w:rsid w:val="009861B2"/>
    <w:rsid w:val="00986AAC"/>
    <w:rsid w:val="00987A65"/>
    <w:rsid w:val="00991FC7"/>
    <w:rsid w:val="00995B5A"/>
    <w:rsid w:val="0099744C"/>
    <w:rsid w:val="00997905"/>
    <w:rsid w:val="009A0EDC"/>
    <w:rsid w:val="009A1DA2"/>
    <w:rsid w:val="009A1E65"/>
    <w:rsid w:val="009A274E"/>
    <w:rsid w:val="009A33E7"/>
    <w:rsid w:val="009A3704"/>
    <w:rsid w:val="009A3E1C"/>
    <w:rsid w:val="009A429E"/>
    <w:rsid w:val="009A4739"/>
    <w:rsid w:val="009A4A91"/>
    <w:rsid w:val="009A674F"/>
    <w:rsid w:val="009A6D86"/>
    <w:rsid w:val="009B0D3B"/>
    <w:rsid w:val="009B1968"/>
    <w:rsid w:val="009B199C"/>
    <w:rsid w:val="009B54C8"/>
    <w:rsid w:val="009B57A5"/>
    <w:rsid w:val="009B61F1"/>
    <w:rsid w:val="009B62E0"/>
    <w:rsid w:val="009C0350"/>
    <w:rsid w:val="009C2C25"/>
    <w:rsid w:val="009C38A2"/>
    <w:rsid w:val="009C3D88"/>
    <w:rsid w:val="009D2011"/>
    <w:rsid w:val="009D2AC2"/>
    <w:rsid w:val="009D4CD9"/>
    <w:rsid w:val="009D52A7"/>
    <w:rsid w:val="009D55E3"/>
    <w:rsid w:val="009E3858"/>
    <w:rsid w:val="009E3FF4"/>
    <w:rsid w:val="009E70DD"/>
    <w:rsid w:val="009F1D73"/>
    <w:rsid w:val="009F2ED9"/>
    <w:rsid w:val="009F3231"/>
    <w:rsid w:val="009F3E7E"/>
    <w:rsid w:val="009F4AEE"/>
    <w:rsid w:val="009F4E77"/>
    <w:rsid w:val="009F5C58"/>
    <w:rsid w:val="009F6915"/>
    <w:rsid w:val="00A00586"/>
    <w:rsid w:val="00A01446"/>
    <w:rsid w:val="00A023A0"/>
    <w:rsid w:val="00A02F2D"/>
    <w:rsid w:val="00A070B1"/>
    <w:rsid w:val="00A131B1"/>
    <w:rsid w:val="00A13579"/>
    <w:rsid w:val="00A13FDC"/>
    <w:rsid w:val="00A1557A"/>
    <w:rsid w:val="00A1562B"/>
    <w:rsid w:val="00A16748"/>
    <w:rsid w:val="00A16CDD"/>
    <w:rsid w:val="00A16D9E"/>
    <w:rsid w:val="00A170F4"/>
    <w:rsid w:val="00A17DC0"/>
    <w:rsid w:val="00A20CE6"/>
    <w:rsid w:val="00A20F78"/>
    <w:rsid w:val="00A22306"/>
    <w:rsid w:val="00A22635"/>
    <w:rsid w:val="00A2492E"/>
    <w:rsid w:val="00A24E7C"/>
    <w:rsid w:val="00A2559E"/>
    <w:rsid w:val="00A25FD9"/>
    <w:rsid w:val="00A30C52"/>
    <w:rsid w:val="00A323BC"/>
    <w:rsid w:val="00A339DE"/>
    <w:rsid w:val="00A35761"/>
    <w:rsid w:val="00A35E44"/>
    <w:rsid w:val="00A401F0"/>
    <w:rsid w:val="00A42F7E"/>
    <w:rsid w:val="00A45CE7"/>
    <w:rsid w:val="00A45ED0"/>
    <w:rsid w:val="00A466C8"/>
    <w:rsid w:val="00A46BA8"/>
    <w:rsid w:val="00A47634"/>
    <w:rsid w:val="00A516B9"/>
    <w:rsid w:val="00A51C47"/>
    <w:rsid w:val="00A524BA"/>
    <w:rsid w:val="00A526EA"/>
    <w:rsid w:val="00A52FF3"/>
    <w:rsid w:val="00A53C78"/>
    <w:rsid w:val="00A542CF"/>
    <w:rsid w:val="00A54AC8"/>
    <w:rsid w:val="00A556BF"/>
    <w:rsid w:val="00A612FE"/>
    <w:rsid w:val="00A616C3"/>
    <w:rsid w:val="00A62C7C"/>
    <w:rsid w:val="00A672C8"/>
    <w:rsid w:val="00A70213"/>
    <w:rsid w:val="00A70D1F"/>
    <w:rsid w:val="00A7155D"/>
    <w:rsid w:val="00A77332"/>
    <w:rsid w:val="00A804A2"/>
    <w:rsid w:val="00A84408"/>
    <w:rsid w:val="00A86479"/>
    <w:rsid w:val="00A86BD9"/>
    <w:rsid w:val="00A91DE1"/>
    <w:rsid w:val="00A92AB0"/>
    <w:rsid w:val="00A93556"/>
    <w:rsid w:val="00A94485"/>
    <w:rsid w:val="00A9484C"/>
    <w:rsid w:val="00A955D2"/>
    <w:rsid w:val="00A96299"/>
    <w:rsid w:val="00A96C71"/>
    <w:rsid w:val="00A96EBF"/>
    <w:rsid w:val="00AA1FFD"/>
    <w:rsid w:val="00AA22ED"/>
    <w:rsid w:val="00AA26B8"/>
    <w:rsid w:val="00AA3B25"/>
    <w:rsid w:val="00AA5EC6"/>
    <w:rsid w:val="00AA6FB5"/>
    <w:rsid w:val="00AB1C54"/>
    <w:rsid w:val="00AB316B"/>
    <w:rsid w:val="00AB3FE2"/>
    <w:rsid w:val="00AB59B4"/>
    <w:rsid w:val="00AB5EC7"/>
    <w:rsid w:val="00AB62CC"/>
    <w:rsid w:val="00AC0612"/>
    <w:rsid w:val="00AC429C"/>
    <w:rsid w:val="00AC74D0"/>
    <w:rsid w:val="00AC7CBC"/>
    <w:rsid w:val="00AD00A8"/>
    <w:rsid w:val="00AD0417"/>
    <w:rsid w:val="00AD11DA"/>
    <w:rsid w:val="00AD13B6"/>
    <w:rsid w:val="00AD259A"/>
    <w:rsid w:val="00AD3322"/>
    <w:rsid w:val="00AD3B8A"/>
    <w:rsid w:val="00AD4D4B"/>
    <w:rsid w:val="00AD50B1"/>
    <w:rsid w:val="00AD72B3"/>
    <w:rsid w:val="00AD773C"/>
    <w:rsid w:val="00AD7E4E"/>
    <w:rsid w:val="00AE2206"/>
    <w:rsid w:val="00AE38A7"/>
    <w:rsid w:val="00AE432F"/>
    <w:rsid w:val="00AE43BB"/>
    <w:rsid w:val="00AF34DE"/>
    <w:rsid w:val="00AF35E6"/>
    <w:rsid w:val="00AF3A7F"/>
    <w:rsid w:val="00AF4086"/>
    <w:rsid w:val="00AF4D58"/>
    <w:rsid w:val="00AF530C"/>
    <w:rsid w:val="00AF656E"/>
    <w:rsid w:val="00AF6666"/>
    <w:rsid w:val="00AF78A6"/>
    <w:rsid w:val="00B00FEB"/>
    <w:rsid w:val="00B020E2"/>
    <w:rsid w:val="00B04B6C"/>
    <w:rsid w:val="00B04F6D"/>
    <w:rsid w:val="00B053F2"/>
    <w:rsid w:val="00B0554C"/>
    <w:rsid w:val="00B077A0"/>
    <w:rsid w:val="00B10154"/>
    <w:rsid w:val="00B133B9"/>
    <w:rsid w:val="00B14C73"/>
    <w:rsid w:val="00B155DB"/>
    <w:rsid w:val="00B16368"/>
    <w:rsid w:val="00B16749"/>
    <w:rsid w:val="00B16BF5"/>
    <w:rsid w:val="00B17273"/>
    <w:rsid w:val="00B174E8"/>
    <w:rsid w:val="00B20745"/>
    <w:rsid w:val="00B21096"/>
    <w:rsid w:val="00B2178D"/>
    <w:rsid w:val="00B22289"/>
    <w:rsid w:val="00B2377A"/>
    <w:rsid w:val="00B23851"/>
    <w:rsid w:val="00B24E74"/>
    <w:rsid w:val="00B256BF"/>
    <w:rsid w:val="00B25748"/>
    <w:rsid w:val="00B25825"/>
    <w:rsid w:val="00B302A8"/>
    <w:rsid w:val="00B31329"/>
    <w:rsid w:val="00B31F1C"/>
    <w:rsid w:val="00B31FF1"/>
    <w:rsid w:val="00B42142"/>
    <w:rsid w:val="00B42404"/>
    <w:rsid w:val="00B42D4C"/>
    <w:rsid w:val="00B44252"/>
    <w:rsid w:val="00B44733"/>
    <w:rsid w:val="00B44A0B"/>
    <w:rsid w:val="00B455D0"/>
    <w:rsid w:val="00B50826"/>
    <w:rsid w:val="00B51587"/>
    <w:rsid w:val="00B53BEA"/>
    <w:rsid w:val="00B54515"/>
    <w:rsid w:val="00B54530"/>
    <w:rsid w:val="00B55335"/>
    <w:rsid w:val="00B565A1"/>
    <w:rsid w:val="00B568D5"/>
    <w:rsid w:val="00B5795A"/>
    <w:rsid w:val="00B61718"/>
    <w:rsid w:val="00B61CAE"/>
    <w:rsid w:val="00B6252C"/>
    <w:rsid w:val="00B62FB1"/>
    <w:rsid w:val="00B645F6"/>
    <w:rsid w:val="00B64E43"/>
    <w:rsid w:val="00B652DF"/>
    <w:rsid w:val="00B65462"/>
    <w:rsid w:val="00B65841"/>
    <w:rsid w:val="00B66536"/>
    <w:rsid w:val="00B670EF"/>
    <w:rsid w:val="00B7353B"/>
    <w:rsid w:val="00B73A0E"/>
    <w:rsid w:val="00B75562"/>
    <w:rsid w:val="00B7607A"/>
    <w:rsid w:val="00B76A1B"/>
    <w:rsid w:val="00B81866"/>
    <w:rsid w:val="00B81B44"/>
    <w:rsid w:val="00B8297D"/>
    <w:rsid w:val="00B8441A"/>
    <w:rsid w:val="00B8542E"/>
    <w:rsid w:val="00B8657F"/>
    <w:rsid w:val="00B9053B"/>
    <w:rsid w:val="00B91904"/>
    <w:rsid w:val="00B92486"/>
    <w:rsid w:val="00B935B8"/>
    <w:rsid w:val="00B95C1B"/>
    <w:rsid w:val="00B96761"/>
    <w:rsid w:val="00B97E93"/>
    <w:rsid w:val="00BA0ABC"/>
    <w:rsid w:val="00BA1357"/>
    <w:rsid w:val="00BA3506"/>
    <w:rsid w:val="00BA3A9F"/>
    <w:rsid w:val="00BA4743"/>
    <w:rsid w:val="00BA4C79"/>
    <w:rsid w:val="00BA5418"/>
    <w:rsid w:val="00BA6ED6"/>
    <w:rsid w:val="00BB1577"/>
    <w:rsid w:val="00BB204B"/>
    <w:rsid w:val="00BB22DC"/>
    <w:rsid w:val="00BB3DD3"/>
    <w:rsid w:val="00BB5A9A"/>
    <w:rsid w:val="00BC0025"/>
    <w:rsid w:val="00BC14B2"/>
    <w:rsid w:val="00BC16FA"/>
    <w:rsid w:val="00BC2085"/>
    <w:rsid w:val="00BC3422"/>
    <w:rsid w:val="00BC3F34"/>
    <w:rsid w:val="00BC64F2"/>
    <w:rsid w:val="00BC74A1"/>
    <w:rsid w:val="00BD011C"/>
    <w:rsid w:val="00BD46B9"/>
    <w:rsid w:val="00BD4E85"/>
    <w:rsid w:val="00BD5134"/>
    <w:rsid w:val="00BD6E02"/>
    <w:rsid w:val="00BE0313"/>
    <w:rsid w:val="00BE03CC"/>
    <w:rsid w:val="00BE1E54"/>
    <w:rsid w:val="00BE1F34"/>
    <w:rsid w:val="00BE52BB"/>
    <w:rsid w:val="00BE604F"/>
    <w:rsid w:val="00BF05F5"/>
    <w:rsid w:val="00BF0DF5"/>
    <w:rsid w:val="00BF2536"/>
    <w:rsid w:val="00BF2929"/>
    <w:rsid w:val="00BF5F63"/>
    <w:rsid w:val="00C00288"/>
    <w:rsid w:val="00C00B92"/>
    <w:rsid w:val="00C015B9"/>
    <w:rsid w:val="00C018A1"/>
    <w:rsid w:val="00C01E03"/>
    <w:rsid w:val="00C022F9"/>
    <w:rsid w:val="00C032EA"/>
    <w:rsid w:val="00C054D0"/>
    <w:rsid w:val="00C06153"/>
    <w:rsid w:val="00C06CE0"/>
    <w:rsid w:val="00C06EB5"/>
    <w:rsid w:val="00C075C6"/>
    <w:rsid w:val="00C1145F"/>
    <w:rsid w:val="00C123DA"/>
    <w:rsid w:val="00C1287D"/>
    <w:rsid w:val="00C14C01"/>
    <w:rsid w:val="00C161FE"/>
    <w:rsid w:val="00C22C4A"/>
    <w:rsid w:val="00C231E6"/>
    <w:rsid w:val="00C23BEA"/>
    <w:rsid w:val="00C273AB"/>
    <w:rsid w:val="00C277B2"/>
    <w:rsid w:val="00C27824"/>
    <w:rsid w:val="00C307CC"/>
    <w:rsid w:val="00C32304"/>
    <w:rsid w:val="00C32859"/>
    <w:rsid w:val="00C33493"/>
    <w:rsid w:val="00C335DB"/>
    <w:rsid w:val="00C34305"/>
    <w:rsid w:val="00C34F34"/>
    <w:rsid w:val="00C36704"/>
    <w:rsid w:val="00C36FBD"/>
    <w:rsid w:val="00C374DC"/>
    <w:rsid w:val="00C4055E"/>
    <w:rsid w:val="00C43608"/>
    <w:rsid w:val="00C44097"/>
    <w:rsid w:val="00C442A3"/>
    <w:rsid w:val="00C44A47"/>
    <w:rsid w:val="00C469A7"/>
    <w:rsid w:val="00C511F1"/>
    <w:rsid w:val="00C52920"/>
    <w:rsid w:val="00C52FC4"/>
    <w:rsid w:val="00C553EE"/>
    <w:rsid w:val="00C554E3"/>
    <w:rsid w:val="00C57FB6"/>
    <w:rsid w:val="00C60C50"/>
    <w:rsid w:val="00C610E2"/>
    <w:rsid w:val="00C61146"/>
    <w:rsid w:val="00C637E1"/>
    <w:rsid w:val="00C64844"/>
    <w:rsid w:val="00C65C36"/>
    <w:rsid w:val="00C66094"/>
    <w:rsid w:val="00C66546"/>
    <w:rsid w:val="00C707DD"/>
    <w:rsid w:val="00C70D50"/>
    <w:rsid w:val="00C71DC3"/>
    <w:rsid w:val="00C72DF4"/>
    <w:rsid w:val="00C76317"/>
    <w:rsid w:val="00C764DA"/>
    <w:rsid w:val="00C7692C"/>
    <w:rsid w:val="00C8243E"/>
    <w:rsid w:val="00C84D25"/>
    <w:rsid w:val="00C85C2C"/>
    <w:rsid w:val="00C86F37"/>
    <w:rsid w:val="00C907D7"/>
    <w:rsid w:val="00C910EA"/>
    <w:rsid w:val="00C92338"/>
    <w:rsid w:val="00C9372B"/>
    <w:rsid w:val="00C959F1"/>
    <w:rsid w:val="00CA32A7"/>
    <w:rsid w:val="00CA4866"/>
    <w:rsid w:val="00CA64A9"/>
    <w:rsid w:val="00CA724C"/>
    <w:rsid w:val="00CA735C"/>
    <w:rsid w:val="00CA7C3A"/>
    <w:rsid w:val="00CB0BF9"/>
    <w:rsid w:val="00CB1A9E"/>
    <w:rsid w:val="00CB24D7"/>
    <w:rsid w:val="00CB255D"/>
    <w:rsid w:val="00CB42D7"/>
    <w:rsid w:val="00CB4C9E"/>
    <w:rsid w:val="00CB4D6A"/>
    <w:rsid w:val="00CB760D"/>
    <w:rsid w:val="00CC07B5"/>
    <w:rsid w:val="00CC11A0"/>
    <w:rsid w:val="00CC2480"/>
    <w:rsid w:val="00CC2DB2"/>
    <w:rsid w:val="00CC38EE"/>
    <w:rsid w:val="00CC3EDE"/>
    <w:rsid w:val="00CC4AA4"/>
    <w:rsid w:val="00CC4AD4"/>
    <w:rsid w:val="00CD0307"/>
    <w:rsid w:val="00CD0384"/>
    <w:rsid w:val="00CD1102"/>
    <w:rsid w:val="00CD3D1B"/>
    <w:rsid w:val="00CD4058"/>
    <w:rsid w:val="00CD46BF"/>
    <w:rsid w:val="00CD46D1"/>
    <w:rsid w:val="00CD601F"/>
    <w:rsid w:val="00CD6E03"/>
    <w:rsid w:val="00CD7331"/>
    <w:rsid w:val="00CE175A"/>
    <w:rsid w:val="00CE22DE"/>
    <w:rsid w:val="00CE2DE8"/>
    <w:rsid w:val="00CE4DC1"/>
    <w:rsid w:val="00CE5176"/>
    <w:rsid w:val="00CE62B3"/>
    <w:rsid w:val="00CE7EB3"/>
    <w:rsid w:val="00CF042E"/>
    <w:rsid w:val="00CF119C"/>
    <w:rsid w:val="00CF2198"/>
    <w:rsid w:val="00CF2E0D"/>
    <w:rsid w:val="00CF3559"/>
    <w:rsid w:val="00CF3695"/>
    <w:rsid w:val="00CF58E1"/>
    <w:rsid w:val="00CF6BDA"/>
    <w:rsid w:val="00CF7DCA"/>
    <w:rsid w:val="00D034C7"/>
    <w:rsid w:val="00D03ABD"/>
    <w:rsid w:val="00D03C6E"/>
    <w:rsid w:val="00D03F1C"/>
    <w:rsid w:val="00D04CF4"/>
    <w:rsid w:val="00D05DD1"/>
    <w:rsid w:val="00D05FE8"/>
    <w:rsid w:val="00D07045"/>
    <w:rsid w:val="00D07060"/>
    <w:rsid w:val="00D07CBE"/>
    <w:rsid w:val="00D11F88"/>
    <w:rsid w:val="00D13952"/>
    <w:rsid w:val="00D13C08"/>
    <w:rsid w:val="00D142EC"/>
    <w:rsid w:val="00D14E19"/>
    <w:rsid w:val="00D15667"/>
    <w:rsid w:val="00D159D0"/>
    <w:rsid w:val="00D16FBF"/>
    <w:rsid w:val="00D211E9"/>
    <w:rsid w:val="00D2312F"/>
    <w:rsid w:val="00D24789"/>
    <w:rsid w:val="00D24C62"/>
    <w:rsid w:val="00D267EA"/>
    <w:rsid w:val="00D269C1"/>
    <w:rsid w:val="00D312CB"/>
    <w:rsid w:val="00D31B5F"/>
    <w:rsid w:val="00D33023"/>
    <w:rsid w:val="00D35159"/>
    <w:rsid w:val="00D35EA5"/>
    <w:rsid w:val="00D361EC"/>
    <w:rsid w:val="00D36569"/>
    <w:rsid w:val="00D40404"/>
    <w:rsid w:val="00D40D0D"/>
    <w:rsid w:val="00D40F6E"/>
    <w:rsid w:val="00D4164A"/>
    <w:rsid w:val="00D43D67"/>
    <w:rsid w:val="00D44953"/>
    <w:rsid w:val="00D4621F"/>
    <w:rsid w:val="00D4778E"/>
    <w:rsid w:val="00D52863"/>
    <w:rsid w:val="00D52B43"/>
    <w:rsid w:val="00D542F3"/>
    <w:rsid w:val="00D543E5"/>
    <w:rsid w:val="00D54649"/>
    <w:rsid w:val="00D54B01"/>
    <w:rsid w:val="00D54C4B"/>
    <w:rsid w:val="00D55AE3"/>
    <w:rsid w:val="00D55B42"/>
    <w:rsid w:val="00D5628F"/>
    <w:rsid w:val="00D56397"/>
    <w:rsid w:val="00D5644B"/>
    <w:rsid w:val="00D56E25"/>
    <w:rsid w:val="00D56E74"/>
    <w:rsid w:val="00D60068"/>
    <w:rsid w:val="00D60296"/>
    <w:rsid w:val="00D60601"/>
    <w:rsid w:val="00D63C28"/>
    <w:rsid w:val="00D64334"/>
    <w:rsid w:val="00D64999"/>
    <w:rsid w:val="00D6673D"/>
    <w:rsid w:val="00D717CB"/>
    <w:rsid w:val="00D71896"/>
    <w:rsid w:val="00D718D7"/>
    <w:rsid w:val="00D71C50"/>
    <w:rsid w:val="00D73212"/>
    <w:rsid w:val="00D73C95"/>
    <w:rsid w:val="00D74DE2"/>
    <w:rsid w:val="00D7674C"/>
    <w:rsid w:val="00D801D0"/>
    <w:rsid w:val="00D80EEC"/>
    <w:rsid w:val="00D814B7"/>
    <w:rsid w:val="00D83E87"/>
    <w:rsid w:val="00D840B6"/>
    <w:rsid w:val="00D84AEB"/>
    <w:rsid w:val="00D86E81"/>
    <w:rsid w:val="00D904EC"/>
    <w:rsid w:val="00D90688"/>
    <w:rsid w:val="00D9729F"/>
    <w:rsid w:val="00D97DF0"/>
    <w:rsid w:val="00DA3AAD"/>
    <w:rsid w:val="00DA3D15"/>
    <w:rsid w:val="00DA3DA1"/>
    <w:rsid w:val="00DA4C60"/>
    <w:rsid w:val="00DA50E8"/>
    <w:rsid w:val="00DB1F57"/>
    <w:rsid w:val="00DB312B"/>
    <w:rsid w:val="00DB366B"/>
    <w:rsid w:val="00DB3792"/>
    <w:rsid w:val="00DB38AF"/>
    <w:rsid w:val="00DB4B62"/>
    <w:rsid w:val="00DB583A"/>
    <w:rsid w:val="00DB6559"/>
    <w:rsid w:val="00DC113D"/>
    <w:rsid w:val="00DC25D7"/>
    <w:rsid w:val="00DC30BB"/>
    <w:rsid w:val="00DC3B5A"/>
    <w:rsid w:val="00DC42B4"/>
    <w:rsid w:val="00DC4867"/>
    <w:rsid w:val="00DC5654"/>
    <w:rsid w:val="00DC658F"/>
    <w:rsid w:val="00DC6CDB"/>
    <w:rsid w:val="00DC7032"/>
    <w:rsid w:val="00DD1AE1"/>
    <w:rsid w:val="00DD2F84"/>
    <w:rsid w:val="00DD479F"/>
    <w:rsid w:val="00DD5C03"/>
    <w:rsid w:val="00DD74DA"/>
    <w:rsid w:val="00DE0534"/>
    <w:rsid w:val="00DE240A"/>
    <w:rsid w:val="00DE2590"/>
    <w:rsid w:val="00DE4D2C"/>
    <w:rsid w:val="00DE521C"/>
    <w:rsid w:val="00DE60CC"/>
    <w:rsid w:val="00DE72C5"/>
    <w:rsid w:val="00DF1E6B"/>
    <w:rsid w:val="00DF46A5"/>
    <w:rsid w:val="00DF6212"/>
    <w:rsid w:val="00DF676B"/>
    <w:rsid w:val="00DF75E8"/>
    <w:rsid w:val="00E0077E"/>
    <w:rsid w:val="00E0147B"/>
    <w:rsid w:val="00E02CF7"/>
    <w:rsid w:val="00E03B3B"/>
    <w:rsid w:val="00E058FE"/>
    <w:rsid w:val="00E0647C"/>
    <w:rsid w:val="00E06D2A"/>
    <w:rsid w:val="00E07C71"/>
    <w:rsid w:val="00E07E31"/>
    <w:rsid w:val="00E11B96"/>
    <w:rsid w:val="00E141B1"/>
    <w:rsid w:val="00E14D93"/>
    <w:rsid w:val="00E1646A"/>
    <w:rsid w:val="00E21400"/>
    <w:rsid w:val="00E219DB"/>
    <w:rsid w:val="00E26AA4"/>
    <w:rsid w:val="00E26B32"/>
    <w:rsid w:val="00E277C4"/>
    <w:rsid w:val="00E307F5"/>
    <w:rsid w:val="00E31444"/>
    <w:rsid w:val="00E315F8"/>
    <w:rsid w:val="00E32F59"/>
    <w:rsid w:val="00E33E1F"/>
    <w:rsid w:val="00E36CBF"/>
    <w:rsid w:val="00E36F21"/>
    <w:rsid w:val="00E407B6"/>
    <w:rsid w:val="00E41140"/>
    <w:rsid w:val="00E41932"/>
    <w:rsid w:val="00E41B46"/>
    <w:rsid w:val="00E41EF1"/>
    <w:rsid w:val="00E42942"/>
    <w:rsid w:val="00E4303A"/>
    <w:rsid w:val="00E4507F"/>
    <w:rsid w:val="00E45852"/>
    <w:rsid w:val="00E45C0D"/>
    <w:rsid w:val="00E468A6"/>
    <w:rsid w:val="00E4699B"/>
    <w:rsid w:val="00E46FAA"/>
    <w:rsid w:val="00E470E8"/>
    <w:rsid w:val="00E47CC8"/>
    <w:rsid w:val="00E50AF1"/>
    <w:rsid w:val="00E532A4"/>
    <w:rsid w:val="00E5544D"/>
    <w:rsid w:val="00E566E5"/>
    <w:rsid w:val="00E56BCD"/>
    <w:rsid w:val="00E65DB0"/>
    <w:rsid w:val="00E66800"/>
    <w:rsid w:val="00E67175"/>
    <w:rsid w:val="00E71BDF"/>
    <w:rsid w:val="00E7351F"/>
    <w:rsid w:val="00E74052"/>
    <w:rsid w:val="00E76AE9"/>
    <w:rsid w:val="00E777A2"/>
    <w:rsid w:val="00E779B6"/>
    <w:rsid w:val="00E80337"/>
    <w:rsid w:val="00E816B9"/>
    <w:rsid w:val="00E827E9"/>
    <w:rsid w:val="00E82E9E"/>
    <w:rsid w:val="00E8359A"/>
    <w:rsid w:val="00E83CA7"/>
    <w:rsid w:val="00E84DA8"/>
    <w:rsid w:val="00E903B9"/>
    <w:rsid w:val="00E90830"/>
    <w:rsid w:val="00E91C6A"/>
    <w:rsid w:val="00E91D0C"/>
    <w:rsid w:val="00E9320A"/>
    <w:rsid w:val="00EA0E17"/>
    <w:rsid w:val="00EA2B61"/>
    <w:rsid w:val="00EA3256"/>
    <w:rsid w:val="00EA3AD6"/>
    <w:rsid w:val="00EA5BF4"/>
    <w:rsid w:val="00EA778F"/>
    <w:rsid w:val="00EA7FF3"/>
    <w:rsid w:val="00EB1242"/>
    <w:rsid w:val="00EB24B1"/>
    <w:rsid w:val="00EB2E6F"/>
    <w:rsid w:val="00EB64CF"/>
    <w:rsid w:val="00EC0167"/>
    <w:rsid w:val="00EC16BB"/>
    <w:rsid w:val="00EC171D"/>
    <w:rsid w:val="00ED1AEF"/>
    <w:rsid w:val="00ED1D77"/>
    <w:rsid w:val="00ED4181"/>
    <w:rsid w:val="00ED4628"/>
    <w:rsid w:val="00ED487E"/>
    <w:rsid w:val="00ED7F1B"/>
    <w:rsid w:val="00EE175E"/>
    <w:rsid w:val="00EE1882"/>
    <w:rsid w:val="00EE3099"/>
    <w:rsid w:val="00EE7A0D"/>
    <w:rsid w:val="00EF0D21"/>
    <w:rsid w:val="00EF5466"/>
    <w:rsid w:val="00EF69B8"/>
    <w:rsid w:val="00EF72FF"/>
    <w:rsid w:val="00F02163"/>
    <w:rsid w:val="00F022B7"/>
    <w:rsid w:val="00F031E6"/>
    <w:rsid w:val="00F0507D"/>
    <w:rsid w:val="00F05245"/>
    <w:rsid w:val="00F05AB3"/>
    <w:rsid w:val="00F05FE4"/>
    <w:rsid w:val="00F0651A"/>
    <w:rsid w:val="00F108DE"/>
    <w:rsid w:val="00F123A2"/>
    <w:rsid w:val="00F1459C"/>
    <w:rsid w:val="00F15AD4"/>
    <w:rsid w:val="00F17596"/>
    <w:rsid w:val="00F17CE1"/>
    <w:rsid w:val="00F202E0"/>
    <w:rsid w:val="00F21019"/>
    <w:rsid w:val="00F2115C"/>
    <w:rsid w:val="00F21A2E"/>
    <w:rsid w:val="00F22ABA"/>
    <w:rsid w:val="00F24C2C"/>
    <w:rsid w:val="00F253AE"/>
    <w:rsid w:val="00F255DB"/>
    <w:rsid w:val="00F2579B"/>
    <w:rsid w:val="00F261F2"/>
    <w:rsid w:val="00F26623"/>
    <w:rsid w:val="00F26F9B"/>
    <w:rsid w:val="00F308C5"/>
    <w:rsid w:val="00F3192B"/>
    <w:rsid w:val="00F3392B"/>
    <w:rsid w:val="00F36878"/>
    <w:rsid w:val="00F36B12"/>
    <w:rsid w:val="00F36CE2"/>
    <w:rsid w:val="00F40A40"/>
    <w:rsid w:val="00F417C3"/>
    <w:rsid w:val="00F43D6D"/>
    <w:rsid w:val="00F45D1D"/>
    <w:rsid w:val="00F46110"/>
    <w:rsid w:val="00F46EC2"/>
    <w:rsid w:val="00F500AB"/>
    <w:rsid w:val="00F5418C"/>
    <w:rsid w:val="00F555BF"/>
    <w:rsid w:val="00F55F8E"/>
    <w:rsid w:val="00F56020"/>
    <w:rsid w:val="00F573D0"/>
    <w:rsid w:val="00F57529"/>
    <w:rsid w:val="00F57E2A"/>
    <w:rsid w:val="00F60F9F"/>
    <w:rsid w:val="00F62F40"/>
    <w:rsid w:val="00F63A94"/>
    <w:rsid w:val="00F64F08"/>
    <w:rsid w:val="00F65C61"/>
    <w:rsid w:val="00F67CEE"/>
    <w:rsid w:val="00F734F5"/>
    <w:rsid w:val="00F7493D"/>
    <w:rsid w:val="00F75230"/>
    <w:rsid w:val="00F77196"/>
    <w:rsid w:val="00F7777A"/>
    <w:rsid w:val="00F777B4"/>
    <w:rsid w:val="00F7799D"/>
    <w:rsid w:val="00F82623"/>
    <w:rsid w:val="00F827E5"/>
    <w:rsid w:val="00F84C5F"/>
    <w:rsid w:val="00F8695D"/>
    <w:rsid w:val="00F9183F"/>
    <w:rsid w:val="00F942A0"/>
    <w:rsid w:val="00F95F7A"/>
    <w:rsid w:val="00F966B1"/>
    <w:rsid w:val="00F9757B"/>
    <w:rsid w:val="00F97D48"/>
    <w:rsid w:val="00FA0311"/>
    <w:rsid w:val="00FA0A29"/>
    <w:rsid w:val="00FA1ABD"/>
    <w:rsid w:val="00FA63B2"/>
    <w:rsid w:val="00FA73F3"/>
    <w:rsid w:val="00FA74E1"/>
    <w:rsid w:val="00FA7C47"/>
    <w:rsid w:val="00FB1080"/>
    <w:rsid w:val="00FB3FB4"/>
    <w:rsid w:val="00FC2A9F"/>
    <w:rsid w:val="00FC2F57"/>
    <w:rsid w:val="00FC42E5"/>
    <w:rsid w:val="00FC441E"/>
    <w:rsid w:val="00FC47AB"/>
    <w:rsid w:val="00FC6919"/>
    <w:rsid w:val="00FC72ED"/>
    <w:rsid w:val="00FC791E"/>
    <w:rsid w:val="00FD3A9B"/>
    <w:rsid w:val="00FD43CD"/>
    <w:rsid w:val="00FD4811"/>
    <w:rsid w:val="00FD4F3C"/>
    <w:rsid w:val="00FD550F"/>
    <w:rsid w:val="00FD631D"/>
    <w:rsid w:val="00FD640F"/>
    <w:rsid w:val="00FD6B4C"/>
    <w:rsid w:val="00FD6BE9"/>
    <w:rsid w:val="00FE04BE"/>
    <w:rsid w:val="00FE06A6"/>
    <w:rsid w:val="00FE0769"/>
    <w:rsid w:val="00FE2448"/>
    <w:rsid w:val="00FE3DC1"/>
    <w:rsid w:val="00FE7580"/>
    <w:rsid w:val="00FE7BD4"/>
    <w:rsid w:val="00FF1175"/>
    <w:rsid w:val="00FF121D"/>
    <w:rsid w:val="00FF13D6"/>
    <w:rsid w:val="00FF1878"/>
    <w:rsid w:val="00FF1A54"/>
    <w:rsid w:val="00FF1BA4"/>
    <w:rsid w:val="00FF4E99"/>
    <w:rsid w:val="00FF572A"/>
    <w:rsid w:val="00FF5848"/>
    <w:rsid w:val="00FF5849"/>
    <w:rsid w:val="00FF62F5"/>
    <w:rsid w:val="00FF79B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D0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List Number" w:unhideWhenUsed="0"/>
    <w:lsdException w:name="List 4" w:unhideWhenUsed="0"/>
    <w:lsdException w:name="List 5" w:unhideWhenUsed="0"/>
    <w:lsdException w:name="Title" w:semiHidden="0" w:unhideWhenUsed="0"/>
    <w:lsdException w:name="Default Paragraph Font" w:uiPriority="1"/>
    <w:lsdException w:name="Body Text" w:uiPriority="49"/>
    <w:lsdException w:name="Subtitle" w:semiHidden="0" w:unhideWhenUsed="0"/>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777A2"/>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691C09"/>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691C09"/>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table" w:styleId="LightList">
    <w:name w:val="Light List"/>
    <w:basedOn w:val="TableNormal"/>
    <w:uiPriority w:val="61"/>
    <w:rsid w:val="000F6A22"/>
    <w:pPr>
      <w:spacing w:after="0" w:line="240" w:lineRule="auto"/>
    </w:pPr>
    <w:rPr>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E777A2"/>
    <w:pPr>
      <w:spacing w:after="0" w:line="240" w:lineRule="auto"/>
    </w:pPr>
    <w:rPr>
      <w:color w:val="004A7C" w:themeColor="accent1" w:themeShade="BF"/>
    </w:rPr>
    <w:tblPr>
      <w:tblStyleRowBandSize w:val="1"/>
      <w:tblStyleColBandSize w:val="1"/>
      <w:tblBorders>
        <w:top w:val="single" w:sz="8" w:space="0" w:color="0063A6" w:themeColor="accent1"/>
        <w:bottom w:val="single" w:sz="8" w:space="0" w:color="0063A6" w:themeColor="accent1"/>
      </w:tblBorders>
    </w:tblPr>
    <w:tblStylePr w:type="fir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left w:val="nil"/>
          <w:right w:val="nil"/>
          <w:insideH w:val="nil"/>
          <w:insideV w:val="nil"/>
        </w:tcBorders>
        <w:shd w:val="clear" w:color="auto" w:fill="AADCFF" w:themeFill="accent1" w:themeFillTint="3F"/>
      </w:tcPr>
    </w:tblStylePr>
  </w:style>
  <w:style w:type="table" w:styleId="LightList-Accent2">
    <w:name w:val="Light List Accent 2"/>
    <w:basedOn w:val="TableNormal"/>
    <w:uiPriority w:val="61"/>
    <w:rsid w:val="00E777A2"/>
    <w:pPr>
      <w:spacing w:after="0" w:line="240" w:lineRule="auto"/>
    </w:pPr>
    <w:tblPr>
      <w:tblStyleRowBandSize w:val="1"/>
      <w:tblStyleColBandSize w:val="1"/>
      <w:tblBorders>
        <w:top w:val="single" w:sz="8" w:space="0" w:color="0F0248" w:themeColor="accent2"/>
        <w:left w:val="single" w:sz="8" w:space="0" w:color="0F0248" w:themeColor="accent2"/>
        <w:bottom w:val="single" w:sz="8" w:space="0" w:color="0F0248" w:themeColor="accent2"/>
        <w:right w:val="single" w:sz="8" w:space="0" w:color="0F0248" w:themeColor="accent2"/>
      </w:tblBorders>
    </w:tblPr>
    <w:tblStylePr w:type="firstRow">
      <w:pPr>
        <w:spacing w:before="0" w:after="0" w:line="240" w:lineRule="auto"/>
      </w:pPr>
      <w:rPr>
        <w:b/>
        <w:bCs/>
        <w:color w:val="FFFFFF" w:themeColor="background1"/>
      </w:rPr>
      <w:tblPr/>
      <w:tcPr>
        <w:shd w:val="clear" w:color="auto" w:fill="0F0248" w:themeFill="accent2"/>
      </w:tcPr>
    </w:tblStylePr>
    <w:tblStylePr w:type="lastRow">
      <w:pPr>
        <w:spacing w:before="0" w:after="0" w:line="240" w:lineRule="auto"/>
      </w:pPr>
      <w:rPr>
        <w:b/>
        <w:bCs/>
      </w:rPr>
      <w:tblPr/>
      <w:tcPr>
        <w:tcBorders>
          <w:top w:val="double" w:sz="6" w:space="0" w:color="0F0248" w:themeColor="accent2"/>
          <w:left w:val="single" w:sz="8" w:space="0" w:color="0F0248" w:themeColor="accent2"/>
          <w:bottom w:val="single" w:sz="8" w:space="0" w:color="0F0248" w:themeColor="accent2"/>
          <w:right w:val="single" w:sz="8" w:space="0" w:color="0F0248" w:themeColor="accent2"/>
        </w:tcBorders>
      </w:tcPr>
    </w:tblStylePr>
    <w:tblStylePr w:type="firstCol">
      <w:rPr>
        <w:b/>
        <w:bCs/>
      </w:rPr>
    </w:tblStylePr>
    <w:tblStylePr w:type="lastCol">
      <w:rPr>
        <w:b/>
        <w:bCs/>
      </w:rPr>
    </w:tblStylePr>
    <w:tblStylePr w:type="band1Vert">
      <w:tblPr/>
      <w:tcPr>
        <w:tcBorders>
          <w:top w:val="single" w:sz="8" w:space="0" w:color="0F0248" w:themeColor="accent2"/>
          <w:left w:val="single" w:sz="8" w:space="0" w:color="0F0248" w:themeColor="accent2"/>
          <w:bottom w:val="single" w:sz="8" w:space="0" w:color="0F0248" w:themeColor="accent2"/>
          <w:right w:val="single" w:sz="8" w:space="0" w:color="0F0248" w:themeColor="accent2"/>
        </w:tcBorders>
      </w:tcPr>
    </w:tblStylePr>
    <w:tblStylePr w:type="band1Horz">
      <w:tblPr/>
      <w:tcPr>
        <w:tcBorders>
          <w:top w:val="single" w:sz="8" w:space="0" w:color="0F0248" w:themeColor="accent2"/>
          <w:left w:val="single" w:sz="8" w:space="0" w:color="0F0248" w:themeColor="accent2"/>
          <w:bottom w:val="single" w:sz="8" w:space="0" w:color="0F0248" w:themeColor="accent2"/>
          <w:right w:val="single" w:sz="8" w:space="0" w:color="0F0248" w:themeColor="accent2"/>
        </w:tcBorders>
      </w:tcPr>
    </w:tblStylePr>
  </w:style>
  <w:style w:type="paragraph" w:customStyle="1" w:styleId="Listnum3">
    <w:name w:val="List num 3"/>
    <w:basedOn w:val="Normal"/>
    <w:rsid w:val="005C6F44"/>
    <w:pPr>
      <w:tabs>
        <w:tab w:val="num" w:pos="1512"/>
      </w:tabs>
      <w:spacing w:before="0" w:after="0" w:line="240" w:lineRule="auto"/>
      <w:ind w:left="1512" w:hanging="504"/>
    </w:pPr>
    <w:rPr>
      <w:rFonts w:eastAsia="Times New Roman" w:cs="Times New Roman"/>
      <w:color w:val="000000" w:themeColor="text1"/>
      <w:lang w:eastAsia="en-US"/>
    </w:rPr>
  </w:style>
  <w:style w:type="paragraph" w:customStyle="1" w:styleId="Default">
    <w:name w:val="Default"/>
    <w:rsid w:val="002E35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3">
    <w:name w:val="Bullet 3"/>
    <w:basedOn w:val="Bullet2"/>
    <w:uiPriority w:val="11"/>
    <w:rsid w:val="00F24C2C"/>
    <w:pPr>
      <w:numPr>
        <w:ilvl w:val="0"/>
        <w:numId w:val="0"/>
      </w:numPr>
      <w:tabs>
        <w:tab w:val="num" w:pos="1644"/>
      </w:tabs>
      <w:spacing w:before="0" w:after="0" w:line="240" w:lineRule="atLeast"/>
      <w:ind w:left="1644" w:hanging="283"/>
      <w:contextualSpacing w:val="0"/>
    </w:pPr>
    <w:rPr>
      <w:rFonts w:ascii="Calibri" w:hAnsi="Calibri"/>
      <w:spacing w:val="0"/>
      <w:szCs w:val="22"/>
    </w:rPr>
  </w:style>
  <w:style w:type="paragraph" w:customStyle="1" w:styleId="CharCharCharChar">
    <w:name w:val="Char Char Char Char"/>
    <w:basedOn w:val="Normal"/>
    <w:rsid w:val="00F24C2C"/>
    <w:pPr>
      <w:spacing w:before="0" w:after="160" w:line="240" w:lineRule="exact"/>
    </w:pPr>
    <w:rPr>
      <w:rFonts w:ascii="Tahoma" w:eastAsia="Times New Roman" w:hAnsi="Tahoma" w:cs="Times New Roman"/>
      <w:spacing w:val="0"/>
      <w:lang w:val="en-US" w:eastAsia="en-US"/>
    </w:rPr>
  </w:style>
  <w:style w:type="character" w:customStyle="1" w:styleId="BodytextChar0">
    <w:name w:val="Body text Char"/>
    <w:link w:val="BodyText1"/>
    <w:locked/>
    <w:rsid w:val="00F24C2C"/>
    <w:rPr>
      <w:rFonts w:ascii="Arial" w:hAnsi="Arial" w:cs="Arial"/>
      <w:color w:val="000000"/>
      <w:kern w:val="28"/>
      <w:sz w:val="22"/>
      <w:szCs w:val="22"/>
      <w:lang w:val="en-US" w:eastAsia="en-US"/>
    </w:rPr>
  </w:style>
  <w:style w:type="paragraph" w:customStyle="1" w:styleId="BodyText1">
    <w:name w:val="Body Text1"/>
    <w:basedOn w:val="Normal"/>
    <w:link w:val="BodytextChar0"/>
    <w:rsid w:val="00F24C2C"/>
    <w:pPr>
      <w:spacing w:before="0" w:after="240" w:line="240" w:lineRule="auto"/>
    </w:pPr>
    <w:rPr>
      <w:rFonts w:ascii="Arial" w:hAnsi="Arial" w:cs="Arial"/>
      <w:color w:val="000000"/>
      <w:spacing w:val="0"/>
      <w:kern w:val="28"/>
      <w:sz w:val="22"/>
      <w:szCs w:val="22"/>
      <w:lang w:val="en-US" w:eastAsia="en-US"/>
    </w:rPr>
  </w:style>
  <w:style w:type="character" w:styleId="CommentReference">
    <w:name w:val="annotation reference"/>
    <w:basedOn w:val="DefaultParagraphFont"/>
    <w:uiPriority w:val="99"/>
    <w:semiHidden/>
    <w:unhideWhenUsed/>
    <w:rsid w:val="00B455D0"/>
    <w:rPr>
      <w:sz w:val="16"/>
      <w:szCs w:val="16"/>
    </w:rPr>
  </w:style>
  <w:style w:type="paragraph" w:styleId="CommentText">
    <w:name w:val="annotation text"/>
    <w:basedOn w:val="Normal"/>
    <w:link w:val="CommentTextChar"/>
    <w:uiPriority w:val="99"/>
    <w:semiHidden/>
    <w:unhideWhenUsed/>
    <w:rsid w:val="00B455D0"/>
    <w:pPr>
      <w:spacing w:line="240" w:lineRule="auto"/>
    </w:pPr>
  </w:style>
  <w:style w:type="character" w:customStyle="1" w:styleId="CommentTextChar">
    <w:name w:val="Comment Text Char"/>
    <w:basedOn w:val="DefaultParagraphFont"/>
    <w:link w:val="CommentText"/>
    <w:uiPriority w:val="99"/>
    <w:semiHidden/>
    <w:rsid w:val="00B455D0"/>
    <w:rPr>
      <w:spacing w:val="2"/>
    </w:rPr>
  </w:style>
  <w:style w:type="paragraph" w:styleId="CommentSubject">
    <w:name w:val="annotation subject"/>
    <w:basedOn w:val="CommentText"/>
    <w:next w:val="CommentText"/>
    <w:link w:val="CommentSubjectChar"/>
    <w:uiPriority w:val="99"/>
    <w:semiHidden/>
    <w:unhideWhenUsed/>
    <w:rsid w:val="00B455D0"/>
    <w:rPr>
      <w:b/>
      <w:bCs/>
    </w:rPr>
  </w:style>
  <w:style w:type="character" w:customStyle="1" w:styleId="CommentSubjectChar">
    <w:name w:val="Comment Subject Char"/>
    <w:basedOn w:val="CommentTextChar"/>
    <w:link w:val="CommentSubject"/>
    <w:uiPriority w:val="99"/>
    <w:semiHidden/>
    <w:rsid w:val="00B455D0"/>
    <w:rPr>
      <w:b/>
      <w:bCs/>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List Number" w:unhideWhenUsed="0"/>
    <w:lsdException w:name="List 4" w:unhideWhenUsed="0"/>
    <w:lsdException w:name="List 5" w:unhideWhenUsed="0"/>
    <w:lsdException w:name="Title" w:semiHidden="0" w:unhideWhenUsed="0"/>
    <w:lsdException w:name="Default Paragraph Font" w:uiPriority="1"/>
    <w:lsdException w:name="Body Text" w:uiPriority="49"/>
    <w:lsdException w:name="Subtitle" w:semiHidden="0" w:unhideWhenUsed="0"/>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777A2"/>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691C09"/>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691C09"/>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table" w:styleId="LightList">
    <w:name w:val="Light List"/>
    <w:basedOn w:val="TableNormal"/>
    <w:uiPriority w:val="61"/>
    <w:rsid w:val="000F6A22"/>
    <w:pPr>
      <w:spacing w:after="0" w:line="240" w:lineRule="auto"/>
    </w:pPr>
    <w:rPr>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E777A2"/>
    <w:pPr>
      <w:spacing w:after="0" w:line="240" w:lineRule="auto"/>
    </w:pPr>
    <w:rPr>
      <w:color w:val="004A7C" w:themeColor="accent1" w:themeShade="BF"/>
    </w:rPr>
    <w:tblPr>
      <w:tblStyleRowBandSize w:val="1"/>
      <w:tblStyleColBandSize w:val="1"/>
      <w:tblBorders>
        <w:top w:val="single" w:sz="8" w:space="0" w:color="0063A6" w:themeColor="accent1"/>
        <w:bottom w:val="single" w:sz="8" w:space="0" w:color="0063A6" w:themeColor="accent1"/>
      </w:tblBorders>
    </w:tblPr>
    <w:tblStylePr w:type="fir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left w:val="nil"/>
          <w:right w:val="nil"/>
          <w:insideH w:val="nil"/>
          <w:insideV w:val="nil"/>
        </w:tcBorders>
        <w:shd w:val="clear" w:color="auto" w:fill="AADCFF" w:themeFill="accent1" w:themeFillTint="3F"/>
      </w:tcPr>
    </w:tblStylePr>
  </w:style>
  <w:style w:type="table" w:styleId="LightList-Accent2">
    <w:name w:val="Light List Accent 2"/>
    <w:basedOn w:val="TableNormal"/>
    <w:uiPriority w:val="61"/>
    <w:rsid w:val="00E777A2"/>
    <w:pPr>
      <w:spacing w:after="0" w:line="240" w:lineRule="auto"/>
    </w:pPr>
    <w:tblPr>
      <w:tblStyleRowBandSize w:val="1"/>
      <w:tblStyleColBandSize w:val="1"/>
      <w:tblBorders>
        <w:top w:val="single" w:sz="8" w:space="0" w:color="0F0248" w:themeColor="accent2"/>
        <w:left w:val="single" w:sz="8" w:space="0" w:color="0F0248" w:themeColor="accent2"/>
        <w:bottom w:val="single" w:sz="8" w:space="0" w:color="0F0248" w:themeColor="accent2"/>
        <w:right w:val="single" w:sz="8" w:space="0" w:color="0F0248" w:themeColor="accent2"/>
      </w:tblBorders>
    </w:tblPr>
    <w:tblStylePr w:type="firstRow">
      <w:pPr>
        <w:spacing w:before="0" w:after="0" w:line="240" w:lineRule="auto"/>
      </w:pPr>
      <w:rPr>
        <w:b/>
        <w:bCs/>
        <w:color w:val="FFFFFF" w:themeColor="background1"/>
      </w:rPr>
      <w:tblPr/>
      <w:tcPr>
        <w:shd w:val="clear" w:color="auto" w:fill="0F0248" w:themeFill="accent2"/>
      </w:tcPr>
    </w:tblStylePr>
    <w:tblStylePr w:type="lastRow">
      <w:pPr>
        <w:spacing w:before="0" w:after="0" w:line="240" w:lineRule="auto"/>
      </w:pPr>
      <w:rPr>
        <w:b/>
        <w:bCs/>
      </w:rPr>
      <w:tblPr/>
      <w:tcPr>
        <w:tcBorders>
          <w:top w:val="double" w:sz="6" w:space="0" w:color="0F0248" w:themeColor="accent2"/>
          <w:left w:val="single" w:sz="8" w:space="0" w:color="0F0248" w:themeColor="accent2"/>
          <w:bottom w:val="single" w:sz="8" w:space="0" w:color="0F0248" w:themeColor="accent2"/>
          <w:right w:val="single" w:sz="8" w:space="0" w:color="0F0248" w:themeColor="accent2"/>
        </w:tcBorders>
      </w:tcPr>
    </w:tblStylePr>
    <w:tblStylePr w:type="firstCol">
      <w:rPr>
        <w:b/>
        <w:bCs/>
      </w:rPr>
    </w:tblStylePr>
    <w:tblStylePr w:type="lastCol">
      <w:rPr>
        <w:b/>
        <w:bCs/>
      </w:rPr>
    </w:tblStylePr>
    <w:tblStylePr w:type="band1Vert">
      <w:tblPr/>
      <w:tcPr>
        <w:tcBorders>
          <w:top w:val="single" w:sz="8" w:space="0" w:color="0F0248" w:themeColor="accent2"/>
          <w:left w:val="single" w:sz="8" w:space="0" w:color="0F0248" w:themeColor="accent2"/>
          <w:bottom w:val="single" w:sz="8" w:space="0" w:color="0F0248" w:themeColor="accent2"/>
          <w:right w:val="single" w:sz="8" w:space="0" w:color="0F0248" w:themeColor="accent2"/>
        </w:tcBorders>
      </w:tcPr>
    </w:tblStylePr>
    <w:tblStylePr w:type="band1Horz">
      <w:tblPr/>
      <w:tcPr>
        <w:tcBorders>
          <w:top w:val="single" w:sz="8" w:space="0" w:color="0F0248" w:themeColor="accent2"/>
          <w:left w:val="single" w:sz="8" w:space="0" w:color="0F0248" w:themeColor="accent2"/>
          <w:bottom w:val="single" w:sz="8" w:space="0" w:color="0F0248" w:themeColor="accent2"/>
          <w:right w:val="single" w:sz="8" w:space="0" w:color="0F0248" w:themeColor="accent2"/>
        </w:tcBorders>
      </w:tcPr>
    </w:tblStylePr>
  </w:style>
  <w:style w:type="paragraph" w:customStyle="1" w:styleId="Listnum3">
    <w:name w:val="List num 3"/>
    <w:basedOn w:val="Normal"/>
    <w:rsid w:val="005C6F44"/>
    <w:pPr>
      <w:tabs>
        <w:tab w:val="num" w:pos="1512"/>
      </w:tabs>
      <w:spacing w:before="0" w:after="0" w:line="240" w:lineRule="auto"/>
      <w:ind w:left="1512" w:hanging="504"/>
    </w:pPr>
    <w:rPr>
      <w:rFonts w:eastAsia="Times New Roman" w:cs="Times New Roman"/>
      <w:color w:val="000000" w:themeColor="text1"/>
      <w:lang w:eastAsia="en-US"/>
    </w:rPr>
  </w:style>
  <w:style w:type="paragraph" w:customStyle="1" w:styleId="Default">
    <w:name w:val="Default"/>
    <w:rsid w:val="002E35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3">
    <w:name w:val="Bullet 3"/>
    <w:basedOn w:val="Bullet2"/>
    <w:uiPriority w:val="11"/>
    <w:rsid w:val="00F24C2C"/>
    <w:pPr>
      <w:numPr>
        <w:ilvl w:val="0"/>
        <w:numId w:val="0"/>
      </w:numPr>
      <w:tabs>
        <w:tab w:val="num" w:pos="1644"/>
      </w:tabs>
      <w:spacing w:before="0" w:after="0" w:line="240" w:lineRule="atLeast"/>
      <w:ind w:left="1644" w:hanging="283"/>
      <w:contextualSpacing w:val="0"/>
    </w:pPr>
    <w:rPr>
      <w:rFonts w:ascii="Calibri" w:hAnsi="Calibri"/>
      <w:spacing w:val="0"/>
      <w:szCs w:val="22"/>
    </w:rPr>
  </w:style>
  <w:style w:type="paragraph" w:customStyle="1" w:styleId="CharCharCharChar">
    <w:name w:val="Char Char Char Char"/>
    <w:basedOn w:val="Normal"/>
    <w:rsid w:val="00F24C2C"/>
    <w:pPr>
      <w:spacing w:before="0" w:after="160" w:line="240" w:lineRule="exact"/>
    </w:pPr>
    <w:rPr>
      <w:rFonts w:ascii="Tahoma" w:eastAsia="Times New Roman" w:hAnsi="Tahoma" w:cs="Times New Roman"/>
      <w:spacing w:val="0"/>
      <w:lang w:val="en-US" w:eastAsia="en-US"/>
    </w:rPr>
  </w:style>
  <w:style w:type="character" w:customStyle="1" w:styleId="BodytextChar0">
    <w:name w:val="Body text Char"/>
    <w:link w:val="BodyText1"/>
    <w:locked/>
    <w:rsid w:val="00F24C2C"/>
    <w:rPr>
      <w:rFonts w:ascii="Arial" w:hAnsi="Arial" w:cs="Arial"/>
      <w:color w:val="000000"/>
      <w:kern w:val="28"/>
      <w:sz w:val="22"/>
      <w:szCs w:val="22"/>
      <w:lang w:val="en-US" w:eastAsia="en-US"/>
    </w:rPr>
  </w:style>
  <w:style w:type="paragraph" w:customStyle="1" w:styleId="BodyText1">
    <w:name w:val="Body Text1"/>
    <w:basedOn w:val="Normal"/>
    <w:link w:val="BodytextChar0"/>
    <w:rsid w:val="00F24C2C"/>
    <w:pPr>
      <w:spacing w:before="0" w:after="240" w:line="240" w:lineRule="auto"/>
    </w:pPr>
    <w:rPr>
      <w:rFonts w:ascii="Arial" w:hAnsi="Arial" w:cs="Arial"/>
      <w:color w:val="000000"/>
      <w:spacing w:val="0"/>
      <w:kern w:val="28"/>
      <w:sz w:val="22"/>
      <w:szCs w:val="22"/>
      <w:lang w:val="en-US" w:eastAsia="en-US"/>
    </w:rPr>
  </w:style>
  <w:style w:type="character" w:styleId="CommentReference">
    <w:name w:val="annotation reference"/>
    <w:basedOn w:val="DefaultParagraphFont"/>
    <w:uiPriority w:val="99"/>
    <w:semiHidden/>
    <w:unhideWhenUsed/>
    <w:rsid w:val="00B455D0"/>
    <w:rPr>
      <w:sz w:val="16"/>
      <w:szCs w:val="16"/>
    </w:rPr>
  </w:style>
  <w:style w:type="paragraph" w:styleId="CommentText">
    <w:name w:val="annotation text"/>
    <w:basedOn w:val="Normal"/>
    <w:link w:val="CommentTextChar"/>
    <w:uiPriority w:val="99"/>
    <w:semiHidden/>
    <w:unhideWhenUsed/>
    <w:rsid w:val="00B455D0"/>
    <w:pPr>
      <w:spacing w:line="240" w:lineRule="auto"/>
    </w:pPr>
  </w:style>
  <w:style w:type="character" w:customStyle="1" w:styleId="CommentTextChar">
    <w:name w:val="Comment Text Char"/>
    <w:basedOn w:val="DefaultParagraphFont"/>
    <w:link w:val="CommentText"/>
    <w:uiPriority w:val="99"/>
    <w:semiHidden/>
    <w:rsid w:val="00B455D0"/>
    <w:rPr>
      <w:spacing w:val="2"/>
    </w:rPr>
  </w:style>
  <w:style w:type="paragraph" w:styleId="CommentSubject">
    <w:name w:val="annotation subject"/>
    <w:basedOn w:val="CommentText"/>
    <w:next w:val="CommentText"/>
    <w:link w:val="CommentSubjectChar"/>
    <w:uiPriority w:val="99"/>
    <w:semiHidden/>
    <w:unhideWhenUsed/>
    <w:rsid w:val="00B455D0"/>
    <w:rPr>
      <w:b/>
      <w:bCs/>
    </w:rPr>
  </w:style>
  <w:style w:type="character" w:customStyle="1" w:styleId="CommentSubjectChar">
    <w:name w:val="Comment Subject Char"/>
    <w:basedOn w:val="CommentTextChar"/>
    <w:link w:val="CommentSubject"/>
    <w:uiPriority w:val="99"/>
    <w:semiHidden/>
    <w:rsid w:val="00B455D0"/>
    <w:rPr>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7239">
      <w:bodyDiv w:val="1"/>
      <w:marLeft w:val="0"/>
      <w:marRight w:val="0"/>
      <w:marTop w:val="0"/>
      <w:marBottom w:val="0"/>
      <w:divBdr>
        <w:top w:val="none" w:sz="0" w:space="0" w:color="auto"/>
        <w:left w:val="none" w:sz="0" w:space="0" w:color="auto"/>
        <w:bottom w:val="none" w:sz="0" w:space="0" w:color="auto"/>
        <w:right w:val="none" w:sz="0" w:space="0" w:color="auto"/>
      </w:divBdr>
      <w:divsChild>
        <w:div w:id="1447583924">
          <w:marLeft w:val="0"/>
          <w:marRight w:val="0"/>
          <w:marTop w:val="0"/>
          <w:marBottom w:val="0"/>
          <w:divBdr>
            <w:top w:val="none" w:sz="0" w:space="0" w:color="auto"/>
            <w:left w:val="none" w:sz="0" w:space="0" w:color="auto"/>
            <w:bottom w:val="none" w:sz="0" w:space="0" w:color="auto"/>
            <w:right w:val="none" w:sz="0" w:space="0" w:color="auto"/>
          </w:divBdr>
          <w:divsChild>
            <w:div w:id="677194774">
              <w:marLeft w:val="0"/>
              <w:marRight w:val="0"/>
              <w:marTop w:val="0"/>
              <w:marBottom w:val="0"/>
              <w:divBdr>
                <w:top w:val="none" w:sz="0" w:space="0" w:color="auto"/>
                <w:left w:val="none" w:sz="0" w:space="0" w:color="auto"/>
                <w:bottom w:val="none" w:sz="0" w:space="0" w:color="auto"/>
                <w:right w:val="none" w:sz="0" w:space="0" w:color="auto"/>
              </w:divBdr>
              <w:divsChild>
                <w:div w:id="1547791182">
                  <w:marLeft w:val="0"/>
                  <w:marRight w:val="0"/>
                  <w:marTop w:val="0"/>
                  <w:marBottom w:val="0"/>
                  <w:divBdr>
                    <w:top w:val="none" w:sz="0" w:space="0" w:color="auto"/>
                    <w:left w:val="none" w:sz="0" w:space="0" w:color="auto"/>
                    <w:bottom w:val="none" w:sz="0" w:space="0" w:color="auto"/>
                    <w:right w:val="none" w:sz="0" w:space="0" w:color="auto"/>
                  </w:divBdr>
                  <w:divsChild>
                    <w:div w:id="1248230601">
                      <w:marLeft w:val="0"/>
                      <w:marRight w:val="0"/>
                      <w:marTop w:val="0"/>
                      <w:marBottom w:val="0"/>
                      <w:divBdr>
                        <w:top w:val="none" w:sz="0" w:space="0" w:color="auto"/>
                        <w:left w:val="none" w:sz="0" w:space="0" w:color="auto"/>
                        <w:bottom w:val="none" w:sz="0" w:space="0" w:color="auto"/>
                        <w:right w:val="none" w:sz="0" w:space="0" w:color="auto"/>
                      </w:divBdr>
                      <w:divsChild>
                        <w:div w:id="695161410">
                          <w:marLeft w:val="0"/>
                          <w:marRight w:val="0"/>
                          <w:marTop w:val="45"/>
                          <w:marBottom w:val="0"/>
                          <w:divBdr>
                            <w:top w:val="none" w:sz="0" w:space="0" w:color="auto"/>
                            <w:left w:val="none" w:sz="0" w:space="0" w:color="auto"/>
                            <w:bottom w:val="none" w:sz="0" w:space="0" w:color="auto"/>
                            <w:right w:val="none" w:sz="0" w:space="0" w:color="auto"/>
                          </w:divBdr>
                          <w:divsChild>
                            <w:div w:id="1230649165">
                              <w:marLeft w:val="0"/>
                              <w:marRight w:val="0"/>
                              <w:marTop w:val="0"/>
                              <w:marBottom w:val="0"/>
                              <w:divBdr>
                                <w:top w:val="none" w:sz="0" w:space="0" w:color="auto"/>
                                <w:left w:val="none" w:sz="0" w:space="0" w:color="auto"/>
                                <w:bottom w:val="none" w:sz="0" w:space="0" w:color="auto"/>
                                <w:right w:val="none" w:sz="0" w:space="0" w:color="auto"/>
                              </w:divBdr>
                              <w:divsChild>
                                <w:div w:id="215630744">
                                  <w:marLeft w:val="2070"/>
                                  <w:marRight w:val="3810"/>
                                  <w:marTop w:val="0"/>
                                  <w:marBottom w:val="0"/>
                                  <w:divBdr>
                                    <w:top w:val="none" w:sz="0" w:space="0" w:color="auto"/>
                                    <w:left w:val="none" w:sz="0" w:space="0" w:color="auto"/>
                                    <w:bottom w:val="none" w:sz="0" w:space="0" w:color="auto"/>
                                    <w:right w:val="none" w:sz="0" w:space="0" w:color="auto"/>
                                  </w:divBdr>
                                  <w:divsChild>
                                    <w:div w:id="1847748245">
                                      <w:marLeft w:val="0"/>
                                      <w:marRight w:val="0"/>
                                      <w:marTop w:val="0"/>
                                      <w:marBottom w:val="0"/>
                                      <w:divBdr>
                                        <w:top w:val="none" w:sz="0" w:space="0" w:color="auto"/>
                                        <w:left w:val="none" w:sz="0" w:space="0" w:color="auto"/>
                                        <w:bottom w:val="none" w:sz="0" w:space="0" w:color="auto"/>
                                        <w:right w:val="none" w:sz="0" w:space="0" w:color="auto"/>
                                      </w:divBdr>
                                      <w:divsChild>
                                        <w:div w:id="1366522081">
                                          <w:marLeft w:val="0"/>
                                          <w:marRight w:val="0"/>
                                          <w:marTop w:val="0"/>
                                          <w:marBottom w:val="0"/>
                                          <w:divBdr>
                                            <w:top w:val="none" w:sz="0" w:space="0" w:color="auto"/>
                                            <w:left w:val="none" w:sz="0" w:space="0" w:color="auto"/>
                                            <w:bottom w:val="none" w:sz="0" w:space="0" w:color="auto"/>
                                            <w:right w:val="none" w:sz="0" w:space="0" w:color="auto"/>
                                          </w:divBdr>
                                          <w:divsChild>
                                            <w:div w:id="872763360">
                                              <w:marLeft w:val="0"/>
                                              <w:marRight w:val="0"/>
                                              <w:marTop w:val="0"/>
                                              <w:marBottom w:val="0"/>
                                              <w:divBdr>
                                                <w:top w:val="none" w:sz="0" w:space="0" w:color="auto"/>
                                                <w:left w:val="none" w:sz="0" w:space="0" w:color="auto"/>
                                                <w:bottom w:val="none" w:sz="0" w:space="0" w:color="auto"/>
                                                <w:right w:val="none" w:sz="0" w:space="0" w:color="auto"/>
                                              </w:divBdr>
                                              <w:divsChild>
                                                <w:div w:id="1238174395">
                                                  <w:marLeft w:val="0"/>
                                                  <w:marRight w:val="0"/>
                                                  <w:marTop w:val="90"/>
                                                  <w:marBottom w:val="0"/>
                                                  <w:divBdr>
                                                    <w:top w:val="none" w:sz="0" w:space="0" w:color="auto"/>
                                                    <w:left w:val="none" w:sz="0" w:space="0" w:color="auto"/>
                                                    <w:bottom w:val="none" w:sz="0" w:space="0" w:color="auto"/>
                                                    <w:right w:val="none" w:sz="0" w:space="0" w:color="auto"/>
                                                  </w:divBdr>
                                                  <w:divsChild>
                                                    <w:div w:id="1671978603">
                                                      <w:marLeft w:val="0"/>
                                                      <w:marRight w:val="0"/>
                                                      <w:marTop w:val="0"/>
                                                      <w:marBottom w:val="0"/>
                                                      <w:divBdr>
                                                        <w:top w:val="none" w:sz="0" w:space="0" w:color="auto"/>
                                                        <w:left w:val="none" w:sz="0" w:space="0" w:color="auto"/>
                                                        <w:bottom w:val="none" w:sz="0" w:space="0" w:color="auto"/>
                                                        <w:right w:val="none" w:sz="0" w:space="0" w:color="auto"/>
                                                      </w:divBdr>
                                                      <w:divsChild>
                                                        <w:div w:id="1994404820">
                                                          <w:marLeft w:val="0"/>
                                                          <w:marRight w:val="0"/>
                                                          <w:marTop w:val="0"/>
                                                          <w:marBottom w:val="0"/>
                                                          <w:divBdr>
                                                            <w:top w:val="none" w:sz="0" w:space="0" w:color="auto"/>
                                                            <w:left w:val="none" w:sz="0" w:space="0" w:color="auto"/>
                                                            <w:bottom w:val="none" w:sz="0" w:space="0" w:color="auto"/>
                                                            <w:right w:val="none" w:sz="0" w:space="0" w:color="auto"/>
                                                          </w:divBdr>
                                                          <w:divsChild>
                                                            <w:div w:id="657614725">
                                                              <w:marLeft w:val="0"/>
                                                              <w:marRight w:val="0"/>
                                                              <w:marTop w:val="0"/>
                                                              <w:marBottom w:val="390"/>
                                                              <w:divBdr>
                                                                <w:top w:val="none" w:sz="0" w:space="0" w:color="auto"/>
                                                                <w:left w:val="none" w:sz="0" w:space="0" w:color="auto"/>
                                                                <w:bottom w:val="none" w:sz="0" w:space="0" w:color="auto"/>
                                                                <w:right w:val="none" w:sz="0" w:space="0" w:color="auto"/>
                                                              </w:divBdr>
                                                              <w:divsChild>
                                                                <w:div w:id="513492424">
                                                                  <w:marLeft w:val="0"/>
                                                                  <w:marRight w:val="0"/>
                                                                  <w:marTop w:val="0"/>
                                                                  <w:marBottom w:val="0"/>
                                                                  <w:divBdr>
                                                                    <w:top w:val="none" w:sz="0" w:space="0" w:color="auto"/>
                                                                    <w:left w:val="none" w:sz="0" w:space="0" w:color="auto"/>
                                                                    <w:bottom w:val="none" w:sz="0" w:space="0" w:color="auto"/>
                                                                    <w:right w:val="none" w:sz="0" w:space="0" w:color="auto"/>
                                                                  </w:divBdr>
                                                                  <w:divsChild>
                                                                    <w:div w:id="2008244505">
                                                                      <w:marLeft w:val="0"/>
                                                                      <w:marRight w:val="0"/>
                                                                      <w:marTop w:val="0"/>
                                                                      <w:marBottom w:val="0"/>
                                                                      <w:divBdr>
                                                                        <w:top w:val="none" w:sz="0" w:space="0" w:color="auto"/>
                                                                        <w:left w:val="none" w:sz="0" w:space="0" w:color="auto"/>
                                                                        <w:bottom w:val="none" w:sz="0" w:space="0" w:color="auto"/>
                                                                        <w:right w:val="none" w:sz="0" w:space="0" w:color="auto"/>
                                                                      </w:divBdr>
                                                                      <w:divsChild>
                                                                        <w:div w:id="808058930">
                                                                          <w:marLeft w:val="0"/>
                                                                          <w:marRight w:val="0"/>
                                                                          <w:marTop w:val="0"/>
                                                                          <w:marBottom w:val="0"/>
                                                                          <w:divBdr>
                                                                            <w:top w:val="none" w:sz="0" w:space="0" w:color="auto"/>
                                                                            <w:left w:val="none" w:sz="0" w:space="0" w:color="auto"/>
                                                                            <w:bottom w:val="none" w:sz="0" w:space="0" w:color="auto"/>
                                                                            <w:right w:val="none" w:sz="0" w:space="0" w:color="auto"/>
                                                                          </w:divBdr>
                                                                          <w:divsChild>
                                                                            <w:div w:id="209908">
                                                                              <w:marLeft w:val="0"/>
                                                                              <w:marRight w:val="0"/>
                                                                              <w:marTop w:val="0"/>
                                                                              <w:marBottom w:val="0"/>
                                                                              <w:divBdr>
                                                                                <w:top w:val="none" w:sz="0" w:space="0" w:color="auto"/>
                                                                                <w:left w:val="none" w:sz="0" w:space="0" w:color="auto"/>
                                                                                <w:bottom w:val="none" w:sz="0" w:space="0" w:color="auto"/>
                                                                                <w:right w:val="none" w:sz="0" w:space="0" w:color="auto"/>
                                                                              </w:divBdr>
                                                                              <w:divsChild>
                                                                                <w:div w:id="684137517">
                                                                                  <w:marLeft w:val="0"/>
                                                                                  <w:marRight w:val="0"/>
                                                                                  <w:marTop w:val="0"/>
                                                                                  <w:marBottom w:val="0"/>
                                                                                  <w:divBdr>
                                                                                    <w:top w:val="none" w:sz="0" w:space="0" w:color="auto"/>
                                                                                    <w:left w:val="none" w:sz="0" w:space="0" w:color="auto"/>
                                                                                    <w:bottom w:val="none" w:sz="0" w:space="0" w:color="auto"/>
                                                                                    <w:right w:val="none" w:sz="0" w:space="0" w:color="auto"/>
                                                                                  </w:divBdr>
                                                                                  <w:divsChild>
                                                                                    <w:div w:id="1626741483">
                                                                                      <w:marLeft w:val="0"/>
                                                                                      <w:marRight w:val="0"/>
                                                                                      <w:marTop w:val="0"/>
                                                                                      <w:marBottom w:val="0"/>
                                                                                      <w:divBdr>
                                                                                        <w:top w:val="none" w:sz="0" w:space="0" w:color="auto"/>
                                                                                        <w:left w:val="none" w:sz="0" w:space="0" w:color="auto"/>
                                                                                        <w:bottom w:val="none" w:sz="0" w:space="0" w:color="auto"/>
                                                                                        <w:right w:val="none" w:sz="0" w:space="0" w:color="auto"/>
                                                                                      </w:divBdr>
                                                                                      <w:divsChild>
                                                                                        <w:div w:id="154536229">
                                                                                          <w:marLeft w:val="0"/>
                                                                                          <w:marRight w:val="0"/>
                                                                                          <w:marTop w:val="0"/>
                                                                                          <w:marBottom w:val="0"/>
                                                                                          <w:divBdr>
                                                                                            <w:top w:val="none" w:sz="0" w:space="0" w:color="auto"/>
                                                                                            <w:left w:val="none" w:sz="0" w:space="0" w:color="auto"/>
                                                                                            <w:bottom w:val="none" w:sz="0" w:space="0" w:color="auto"/>
                                                                                            <w:right w:val="none" w:sz="0" w:space="0" w:color="auto"/>
                                                                                          </w:divBdr>
                                                                                          <w:divsChild>
                                                                                            <w:div w:id="1520436475">
                                                                                              <w:marLeft w:val="0"/>
                                                                                              <w:marRight w:val="0"/>
                                                                                              <w:marTop w:val="0"/>
                                                                                              <w:marBottom w:val="0"/>
                                                                                              <w:divBdr>
                                                                                                <w:top w:val="none" w:sz="0" w:space="0" w:color="auto"/>
                                                                                                <w:left w:val="none" w:sz="0" w:space="0" w:color="auto"/>
                                                                                                <w:bottom w:val="none" w:sz="0" w:space="0" w:color="auto"/>
                                                                                                <w:right w:val="none" w:sz="0" w:space="0" w:color="auto"/>
                                                                                              </w:divBdr>
                                                                                              <w:divsChild>
                                                                                                <w:div w:id="464978433">
                                                                                                  <w:marLeft w:val="0"/>
                                                                                                  <w:marRight w:val="0"/>
                                                                                                  <w:marTop w:val="0"/>
                                                                                                  <w:marBottom w:val="0"/>
                                                                                                  <w:divBdr>
                                                                                                    <w:top w:val="none" w:sz="0" w:space="0" w:color="auto"/>
                                                                                                    <w:left w:val="none" w:sz="0" w:space="0" w:color="auto"/>
                                                                                                    <w:bottom w:val="none" w:sz="0" w:space="0" w:color="auto"/>
                                                                                                    <w:right w:val="none" w:sz="0" w:space="0" w:color="auto"/>
                                                                                                  </w:divBdr>
                                                                                                  <w:divsChild>
                                                                                                    <w:div w:id="230315378">
                                                                                                      <w:marLeft w:val="0"/>
                                                                                                      <w:marRight w:val="0"/>
                                                                                                      <w:marTop w:val="0"/>
                                                                                                      <w:marBottom w:val="0"/>
                                                                                                      <w:divBdr>
                                                                                                        <w:top w:val="none" w:sz="0" w:space="0" w:color="auto"/>
                                                                                                        <w:left w:val="none" w:sz="0" w:space="0" w:color="auto"/>
                                                                                                        <w:bottom w:val="none" w:sz="0" w:space="0" w:color="auto"/>
                                                                                                        <w:right w:val="none" w:sz="0" w:space="0" w:color="auto"/>
                                                                                                      </w:divBdr>
                                                                                                      <w:divsChild>
                                                                                                        <w:div w:id="1811242868">
                                                                                                          <w:marLeft w:val="0"/>
                                                                                                          <w:marRight w:val="0"/>
                                                                                                          <w:marTop w:val="0"/>
                                                                                                          <w:marBottom w:val="0"/>
                                                                                                          <w:divBdr>
                                                                                                            <w:top w:val="none" w:sz="0" w:space="0" w:color="auto"/>
                                                                                                            <w:left w:val="none" w:sz="0" w:space="0" w:color="auto"/>
                                                                                                            <w:bottom w:val="none" w:sz="0" w:space="0" w:color="auto"/>
                                                                                                            <w:right w:val="none" w:sz="0" w:space="0" w:color="auto"/>
                                                                                                          </w:divBdr>
                                                                                                          <w:divsChild>
                                                                                                            <w:div w:id="1566139595">
                                                                                                              <w:marLeft w:val="0"/>
                                                                                                              <w:marRight w:val="0"/>
                                                                                                              <w:marTop w:val="0"/>
                                                                                                              <w:marBottom w:val="0"/>
                                                                                                              <w:divBdr>
                                                                                                                <w:top w:val="none" w:sz="0" w:space="0" w:color="auto"/>
                                                                                                                <w:left w:val="none" w:sz="0" w:space="0" w:color="auto"/>
                                                                                                                <w:bottom w:val="none" w:sz="0" w:space="0" w:color="auto"/>
                                                                                                                <w:right w:val="none" w:sz="0" w:space="0" w:color="auto"/>
                                                                                                              </w:divBdr>
                                                                                                              <w:divsChild>
                                                                                                                <w:div w:id="931623710">
                                                                                                                  <w:marLeft w:val="300"/>
                                                                                                                  <w:marRight w:val="0"/>
                                                                                                                  <w:marTop w:val="0"/>
                                                                                                                  <w:marBottom w:val="0"/>
                                                                                                                  <w:divBdr>
                                                                                                                    <w:top w:val="none" w:sz="0" w:space="0" w:color="auto"/>
                                                                                                                    <w:left w:val="none" w:sz="0" w:space="0" w:color="auto"/>
                                                                                                                    <w:bottom w:val="none" w:sz="0" w:space="0" w:color="auto"/>
                                                                                                                    <w:right w:val="none" w:sz="0" w:space="0" w:color="auto"/>
                                                                                                                  </w:divBdr>
                                                                                                                  <w:divsChild>
                                                                                                                    <w:div w:id="366490065">
                                                                                                                      <w:marLeft w:val="-300"/>
                                                                                                                      <w:marRight w:val="0"/>
                                                                                                                      <w:marTop w:val="0"/>
                                                                                                                      <w:marBottom w:val="0"/>
                                                                                                                      <w:divBdr>
                                                                                                                        <w:top w:val="none" w:sz="0" w:space="0" w:color="auto"/>
                                                                                                                        <w:left w:val="none" w:sz="0" w:space="0" w:color="auto"/>
                                                                                                                        <w:bottom w:val="none" w:sz="0" w:space="0" w:color="auto"/>
                                                                                                                        <w:right w:val="none" w:sz="0" w:space="0" w:color="auto"/>
                                                                                                                      </w:divBdr>
                                                                                                                      <w:divsChild>
                                                                                                                        <w:div w:id="14312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34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1652A-7279-42E8-A688-2E27B01FE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3182</Words>
  <Characters>18143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21283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Shareen Singh</dc:creator>
  <cp:lastModifiedBy>Stephanie Mizzi</cp:lastModifiedBy>
  <cp:revision>58</cp:revision>
  <cp:lastPrinted>2017-07-24T02:09:00Z</cp:lastPrinted>
  <dcterms:created xsi:type="dcterms:W3CDTF">2017-07-24T01:08:00Z</dcterms:created>
  <dcterms:modified xsi:type="dcterms:W3CDTF">2017-07-25T06:34:00Z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2a7c9214-a981-45fa-b7b1-852e6b0c885d</vt:lpwstr>
  </property>
  <property fmtid="{D5CDD505-2E9C-101B-9397-08002B2CF9AE}" pid="3" name="PSPFClassification">
    <vt:lpwstr>Do Not Mark</vt:lpwstr>
  </property>
</Properties>
</file>