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17493C" w:rsidRDefault="008137F7" w:rsidP="00854A48">
      <w:pPr>
        <w:pStyle w:val="Title"/>
      </w:pPr>
      <w:bookmarkStart w:id="0" w:name="_Toc442780672"/>
      <w:bookmarkStart w:id="1" w:name="_GoBack"/>
      <w:bookmarkEnd w:id="1"/>
      <w:r>
        <w:t>Updated</w:t>
      </w:r>
      <w:r w:rsidR="00D7288C">
        <w:t xml:space="preserve"> </w:t>
      </w:r>
      <w:r w:rsidR="00C560EF">
        <w:t>Performance Management</w:t>
      </w:r>
      <w:r w:rsidR="00D7288C">
        <w:t xml:space="preserve"> Framework </w:t>
      </w:r>
      <w:r w:rsidR="00AD1A83">
        <w:t>–</w:t>
      </w:r>
      <w:r w:rsidR="009F3731">
        <w:t xml:space="preserve"> </w:t>
      </w:r>
      <w:r w:rsidR="00ED71A4">
        <w:t xml:space="preserve">June </w:t>
      </w:r>
      <w:r w:rsidR="00064B81">
        <w:t>201</w:t>
      </w:r>
      <w:r w:rsidR="00AD1A83">
        <w:t>7</w:t>
      </w:r>
    </w:p>
    <w:p w:rsidR="00600E54" w:rsidRDefault="00600E54" w:rsidP="00600E54">
      <w:bookmarkStart w:id="2" w:name="_Toc442780674"/>
      <w:r w:rsidRPr="00600E54">
        <w:t xml:space="preserve">DTF </w:t>
      </w:r>
      <w:r>
        <w:t xml:space="preserve">is </w:t>
      </w:r>
      <w:r w:rsidR="00AD1A83">
        <w:t xml:space="preserve">pleased to </w:t>
      </w:r>
      <w:r w:rsidR="00B40D69">
        <w:t>release</w:t>
      </w:r>
      <w:r w:rsidR="008137F7">
        <w:t xml:space="preserve"> an</w:t>
      </w:r>
      <w:r w:rsidR="00AD1A83">
        <w:t xml:space="preserve"> </w:t>
      </w:r>
      <w:r w:rsidR="008137F7">
        <w:t>updated</w:t>
      </w:r>
      <w:r w:rsidR="00AD1A83">
        <w:t xml:space="preserve"> </w:t>
      </w:r>
      <w:r w:rsidR="00C560EF">
        <w:t>Performance Management</w:t>
      </w:r>
      <w:r w:rsidR="00AD1A83">
        <w:t xml:space="preserve"> Framework (</w:t>
      </w:r>
      <w:r w:rsidR="00C560EF">
        <w:t>PM</w:t>
      </w:r>
      <w:r w:rsidR="00850335">
        <w:t>F), incorporating changes to the planning requirements.</w:t>
      </w:r>
    </w:p>
    <w:bookmarkEnd w:id="2"/>
    <w:p w:rsidR="004B2ADA" w:rsidRDefault="004B2ADA" w:rsidP="00A30D9F">
      <w:pPr>
        <w:pStyle w:val="Heading2"/>
      </w:pPr>
      <w:r>
        <w:t>What are the key changes</w:t>
      </w:r>
      <w:r w:rsidR="00A22A47">
        <w:t xml:space="preserve"> </w:t>
      </w:r>
      <w:r w:rsidR="00EE1702">
        <w:t xml:space="preserve">from the </w:t>
      </w:r>
      <w:r w:rsidR="00AD1A83">
        <w:t>previous</w:t>
      </w:r>
      <w:r w:rsidR="00EE1702">
        <w:t xml:space="preserve"> version of the </w:t>
      </w:r>
      <w:r w:rsidR="00C560EF">
        <w:t>PMF</w:t>
      </w:r>
      <w:r>
        <w:t>?</w:t>
      </w:r>
    </w:p>
    <w:p w:rsidR="00EE1702" w:rsidRDefault="00C560EF" w:rsidP="00EE1702">
      <w:r>
        <w:t>The planning section of the PMF has been updated</w:t>
      </w:r>
      <w:r w:rsidR="00BB164C">
        <w:t xml:space="preserve"> to</w:t>
      </w:r>
      <w:r w:rsidR="00EE1702">
        <w:t>:</w:t>
      </w:r>
    </w:p>
    <w:p w:rsidR="00782698" w:rsidRPr="00C560EF" w:rsidRDefault="00782698" w:rsidP="00782698">
      <w:pPr>
        <w:pStyle w:val="ListParagraph"/>
        <w:numPr>
          <w:ilvl w:val="0"/>
          <w:numId w:val="26"/>
        </w:numPr>
        <w:rPr>
          <w:rFonts w:eastAsia="Times New Roman" w:cs="Calibri"/>
        </w:rPr>
      </w:pPr>
      <w:r>
        <w:rPr>
          <w:rFonts w:eastAsia="Times New Roman" w:cs="Calibri"/>
        </w:rPr>
        <w:t>Re</w:t>
      </w:r>
      <w:r w:rsidR="006C2159">
        <w:rPr>
          <w:rFonts w:eastAsia="Times New Roman" w:cs="Calibri"/>
        </w:rPr>
        <w:t>q</w:t>
      </w:r>
      <w:r>
        <w:rPr>
          <w:rFonts w:eastAsia="Times New Roman" w:cs="Calibri"/>
        </w:rPr>
        <w:t xml:space="preserve">uire departments to publish their corporate/strategic plan </w:t>
      </w:r>
      <w:r w:rsidR="00CA5506">
        <w:rPr>
          <w:rFonts w:eastAsia="Times New Roman" w:cs="Calibri"/>
        </w:rPr>
        <w:t xml:space="preserve">online </w:t>
      </w:r>
      <w:r>
        <w:rPr>
          <w:rFonts w:eastAsia="Times New Roman" w:cs="Calibri"/>
        </w:rPr>
        <w:t>(revised requirement)</w:t>
      </w:r>
      <w:r w:rsidRPr="00C560EF">
        <w:rPr>
          <w:rFonts w:eastAsia="Times New Roman" w:cs="Calibri"/>
        </w:rPr>
        <w:t>;</w:t>
      </w:r>
    </w:p>
    <w:p w:rsidR="00782698" w:rsidRDefault="00C560EF" w:rsidP="00C560EF">
      <w:pPr>
        <w:pStyle w:val="ListParagraph"/>
        <w:numPr>
          <w:ilvl w:val="0"/>
          <w:numId w:val="26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Require </w:t>
      </w:r>
      <w:r w:rsidR="00782698">
        <w:rPr>
          <w:rFonts w:eastAsia="Times New Roman" w:cs="Calibri"/>
        </w:rPr>
        <w:t xml:space="preserve">departments to </w:t>
      </w:r>
      <w:r>
        <w:rPr>
          <w:rFonts w:eastAsia="Times New Roman" w:cs="Calibri"/>
        </w:rPr>
        <w:t>inclu</w:t>
      </w:r>
      <w:r w:rsidR="00782698">
        <w:rPr>
          <w:rFonts w:eastAsia="Times New Roman" w:cs="Calibri"/>
        </w:rPr>
        <w:t>de</w:t>
      </w:r>
      <w:r>
        <w:rPr>
          <w:rFonts w:eastAsia="Times New Roman" w:cs="Calibri"/>
        </w:rPr>
        <w:t xml:space="preserve"> </w:t>
      </w:r>
      <w:r w:rsidR="00BB164C">
        <w:rPr>
          <w:rFonts w:eastAsia="Times New Roman" w:cs="Calibri"/>
        </w:rPr>
        <w:t xml:space="preserve">key </w:t>
      </w:r>
      <w:r>
        <w:rPr>
          <w:rFonts w:eastAsia="Times New Roman" w:cs="Calibri"/>
        </w:rPr>
        <w:t>initiative</w:t>
      </w:r>
      <w:r w:rsidR="00B11C05">
        <w:rPr>
          <w:rFonts w:eastAsia="Times New Roman" w:cs="Calibri"/>
        </w:rPr>
        <w:t>s</w:t>
      </w:r>
      <w:r>
        <w:rPr>
          <w:rFonts w:eastAsia="Times New Roman" w:cs="Calibri"/>
        </w:rPr>
        <w:t xml:space="preserve"> </w:t>
      </w:r>
      <w:r w:rsidR="00782698">
        <w:rPr>
          <w:rFonts w:eastAsia="Times New Roman" w:cs="Calibri"/>
        </w:rPr>
        <w:t xml:space="preserve">in </w:t>
      </w:r>
      <w:r w:rsidR="006C2159">
        <w:rPr>
          <w:rFonts w:eastAsia="Times New Roman" w:cs="Calibri"/>
        </w:rPr>
        <w:t>the corporate/strategic plan</w:t>
      </w:r>
      <w:r w:rsidR="004D5D51">
        <w:rPr>
          <w:rFonts w:eastAsia="Times New Roman" w:cs="Calibri"/>
        </w:rPr>
        <w:t>;</w:t>
      </w:r>
    </w:p>
    <w:p w:rsidR="00C560EF" w:rsidRPr="00C560EF" w:rsidRDefault="00C560EF" w:rsidP="00C560EF">
      <w:pPr>
        <w:pStyle w:val="ListParagraph"/>
        <w:numPr>
          <w:ilvl w:val="0"/>
          <w:numId w:val="26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Discontinue the </w:t>
      </w:r>
      <w:r w:rsidR="00782698">
        <w:rPr>
          <w:rFonts w:eastAsia="Times New Roman" w:cs="Calibri"/>
        </w:rPr>
        <w:t xml:space="preserve">(internal to government) </w:t>
      </w:r>
      <w:r w:rsidRPr="00C560EF">
        <w:rPr>
          <w:rFonts w:eastAsia="Times New Roman" w:cs="Calibri"/>
        </w:rPr>
        <w:t xml:space="preserve">strategic planning requirements; and </w:t>
      </w:r>
    </w:p>
    <w:p w:rsidR="00C560EF" w:rsidRPr="00C560EF" w:rsidRDefault="00C560EF" w:rsidP="00C560EF">
      <w:pPr>
        <w:pStyle w:val="ListParagraph"/>
        <w:numPr>
          <w:ilvl w:val="0"/>
          <w:numId w:val="26"/>
        </w:numPr>
      </w:pPr>
      <w:r>
        <w:rPr>
          <w:rFonts w:eastAsia="Times New Roman" w:cs="Calibri"/>
        </w:rPr>
        <w:t xml:space="preserve">Require departments to </w:t>
      </w:r>
      <w:r w:rsidRPr="00C560EF">
        <w:rPr>
          <w:rFonts w:eastAsia="Times New Roman" w:cs="Calibri"/>
        </w:rPr>
        <w:t>undertake long-term planning</w:t>
      </w:r>
      <w:r w:rsidR="00850335">
        <w:rPr>
          <w:rFonts w:eastAsia="Times New Roman" w:cs="Calibri"/>
        </w:rPr>
        <w:t xml:space="preserve"> (new</w:t>
      </w:r>
      <w:r w:rsidR="00782698">
        <w:rPr>
          <w:rFonts w:eastAsia="Times New Roman" w:cs="Calibri"/>
        </w:rPr>
        <w:t xml:space="preserve"> requirement</w:t>
      </w:r>
      <w:r w:rsidR="00850335">
        <w:rPr>
          <w:rFonts w:eastAsia="Times New Roman" w:cs="Calibri"/>
        </w:rPr>
        <w:t>)</w:t>
      </w:r>
      <w:r>
        <w:rPr>
          <w:rFonts w:eastAsia="Times New Roman" w:cs="Calibri"/>
        </w:rPr>
        <w:t>.</w:t>
      </w:r>
    </w:p>
    <w:p w:rsidR="00EE1702" w:rsidRDefault="0029571E" w:rsidP="00C560EF">
      <w:r>
        <w:t>A table track</w:t>
      </w:r>
      <w:r w:rsidR="00782698">
        <w:t>ing</w:t>
      </w:r>
      <w:r>
        <w:t xml:space="preserve"> the changes by </w:t>
      </w:r>
      <w:r w:rsidR="006C2159">
        <w:t xml:space="preserve">PMF </w:t>
      </w:r>
      <w:r>
        <w:t xml:space="preserve">section and chapter </w:t>
      </w:r>
      <w:r w:rsidR="00A75FC2">
        <w:t>is set out i</w:t>
      </w:r>
      <w:r w:rsidR="007F67FD">
        <w:t xml:space="preserve">n the </w:t>
      </w:r>
      <w:r w:rsidR="009F3731">
        <w:t xml:space="preserve">next </w:t>
      </w:r>
      <w:r w:rsidR="00A75FC2">
        <w:t xml:space="preserve">few </w:t>
      </w:r>
      <w:r w:rsidR="009F3731">
        <w:t>page</w:t>
      </w:r>
      <w:r w:rsidR="00A75FC2">
        <w:t>s</w:t>
      </w:r>
      <w:r>
        <w:t>.</w:t>
      </w:r>
    </w:p>
    <w:p w:rsidR="00B40D69" w:rsidRDefault="00B40D69" w:rsidP="00B40D69">
      <w:pPr>
        <w:pStyle w:val="Heading2"/>
      </w:pPr>
      <w:r>
        <w:t xml:space="preserve">When does the </w:t>
      </w:r>
      <w:r w:rsidR="008137F7">
        <w:t xml:space="preserve">updated </w:t>
      </w:r>
      <w:r w:rsidR="00C560EF">
        <w:t>PMF</w:t>
      </w:r>
      <w:r>
        <w:t xml:space="preserve"> apply?</w:t>
      </w:r>
    </w:p>
    <w:p w:rsidR="00B40D69" w:rsidRDefault="00A54D77" w:rsidP="00215CEE">
      <w:r>
        <w:t xml:space="preserve">The </w:t>
      </w:r>
      <w:r w:rsidR="008137F7">
        <w:t>updated</w:t>
      </w:r>
      <w:r>
        <w:t xml:space="preserve"> </w:t>
      </w:r>
      <w:r w:rsidR="00C560EF">
        <w:t>PM</w:t>
      </w:r>
      <w:r>
        <w:t xml:space="preserve">F </w:t>
      </w:r>
      <w:r w:rsidR="00A75FC2">
        <w:t xml:space="preserve">is effective </w:t>
      </w:r>
      <w:r w:rsidR="006B4475">
        <w:t>from 1 July 2017</w:t>
      </w:r>
      <w:r w:rsidR="001801A7">
        <w:t xml:space="preserve">. The PMF </w:t>
      </w:r>
      <w:r w:rsidR="005A6E79">
        <w:t>should be read in conjunction with the DTF information request addendum</w:t>
      </w:r>
      <w:r w:rsidR="00782698">
        <w:t>.</w:t>
      </w:r>
      <w:r w:rsidR="005A6E79">
        <w:rPr>
          <w:rStyle w:val="FootnoteReference"/>
        </w:rPr>
        <w:footnoteReference w:id="1"/>
      </w:r>
      <w:r w:rsidR="001E3E33">
        <w:t xml:space="preserve"> </w:t>
      </w:r>
    </w:p>
    <w:bookmarkEnd w:id="0"/>
    <w:p w:rsidR="00A946C6" w:rsidRDefault="00A946C6" w:rsidP="00A946C6">
      <w:pPr>
        <w:pStyle w:val="Heading2"/>
      </w:pPr>
      <w:r>
        <w:t xml:space="preserve">What </w:t>
      </w:r>
      <w:r w:rsidR="006C2159">
        <w:t xml:space="preserve">should departments call the </w:t>
      </w:r>
      <w:r>
        <w:t>medium-term plan?</w:t>
      </w:r>
    </w:p>
    <w:p w:rsidR="00A946C6" w:rsidRDefault="00A946C6" w:rsidP="00A946C6">
      <w:r>
        <w:t xml:space="preserve">The PMF states that the terms ‘corporate plan’ and ‘strategic plan’ are interchangeable. Departments are able to use whichever term best suits their circumstances and </w:t>
      </w:r>
      <w:r w:rsidR="001322EE">
        <w:t>preferences</w:t>
      </w:r>
      <w:r>
        <w:t>.</w:t>
      </w:r>
    </w:p>
    <w:p w:rsidR="00DF5181" w:rsidRDefault="00DF5181" w:rsidP="00DF5181">
      <w:pPr>
        <w:pStyle w:val="Heading2"/>
      </w:pPr>
      <w:r>
        <w:t xml:space="preserve">Is there any guidance on defining an initiative for the purposes of the </w:t>
      </w:r>
      <w:r w:rsidR="006C2159">
        <w:t xml:space="preserve">corporate/strategic </w:t>
      </w:r>
      <w:r>
        <w:t>plan?</w:t>
      </w:r>
    </w:p>
    <w:p w:rsidR="00DF5181" w:rsidRPr="00DF5181" w:rsidRDefault="00DF5181" w:rsidP="00DF5181">
      <w:r>
        <w:t xml:space="preserve">Section 2.2 of the PMF provides guidance departments can use to determine which </w:t>
      </w:r>
      <w:r w:rsidR="00782698">
        <w:t xml:space="preserve">key </w:t>
      </w:r>
      <w:r>
        <w:t xml:space="preserve">initiatives to include in the </w:t>
      </w:r>
      <w:r w:rsidR="006C2159">
        <w:t xml:space="preserve">corporate/strategic </w:t>
      </w:r>
      <w:r>
        <w:t>plan.</w:t>
      </w:r>
    </w:p>
    <w:p w:rsidR="00B11C05" w:rsidRDefault="00B11C05" w:rsidP="002B46FD">
      <w:pPr>
        <w:pStyle w:val="Heading2"/>
        <w:spacing w:before="240"/>
      </w:pPr>
      <w:r>
        <w:t xml:space="preserve">How will </w:t>
      </w:r>
      <w:r w:rsidR="006C2159">
        <w:t xml:space="preserve">key </w:t>
      </w:r>
      <w:r>
        <w:t>initiative information be reported?</w:t>
      </w:r>
    </w:p>
    <w:p w:rsidR="00B11C05" w:rsidRDefault="00B11C05" w:rsidP="00B11C05">
      <w:r>
        <w:t xml:space="preserve">Departments </w:t>
      </w:r>
      <w:r w:rsidR="006C2159">
        <w:t xml:space="preserve">are required </w:t>
      </w:r>
      <w:r>
        <w:t xml:space="preserve">to report on </w:t>
      </w:r>
      <w:r w:rsidR="006C2159">
        <w:t xml:space="preserve">key </w:t>
      </w:r>
      <w:r>
        <w:t>initiatives in their annual report. The 2018 Model Report for Victorian Government Departments (to be released in 2018) will outline the minimum disclosure requirements.</w:t>
      </w:r>
    </w:p>
    <w:p w:rsidR="00B11C05" w:rsidRDefault="00E7737F" w:rsidP="00587693">
      <w:pPr>
        <w:pStyle w:val="Heading2"/>
        <w:spacing w:before="240" w:after="200"/>
      </w:pPr>
      <w:r>
        <w:lastRenderedPageBreak/>
        <w:t>How</w:t>
      </w:r>
      <w:r w:rsidR="00B11C05">
        <w:t xml:space="preserve"> will </w:t>
      </w:r>
      <w:r w:rsidR="006C2159">
        <w:t xml:space="preserve">corporate/strategic </w:t>
      </w:r>
      <w:r w:rsidR="00B11C05">
        <w:t>plans be published?</w:t>
      </w:r>
    </w:p>
    <w:p w:rsidR="004D5D51" w:rsidRDefault="004D5D51" w:rsidP="004D5D51">
      <w:r>
        <w:t>The c</w:t>
      </w:r>
      <w:r w:rsidR="006C2159">
        <w:t xml:space="preserve">orporate/strategic </w:t>
      </w:r>
      <w:r w:rsidR="00B11C05">
        <w:t>plan must be published on the department’s website</w:t>
      </w:r>
      <w:r>
        <w:t xml:space="preserve"> by 31 July 2017 (See PMF 2.2).</w:t>
      </w:r>
    </w:p>
    <w:p w:rsidR="00834E27" w:rsidRDefault="00834E27" w:rsidP="00834E27">
      <w:pPr>
        <w:pStyle w:val="Heading2"/>
        <w:spacing w:before="240" w:after="200"/>
      </w:pPr>
      <w:r>
        <w:t>Can departments determine the structure of their medium-term plan?</w:t>
      </w:r>
    </w:p>
    <w:p w:rsidR="00834E27" w:rsidRDefault="00834E27" w:rsidP="00834E27">
      <w:r>
        <w:t xml:space="preserve">Yes, </w:t>
      </w:r>
      <w:r w:rsidR="004D5D51">
        <w:t xml:space="preserve">departments may </w:t>
      </w:r>
      <w:r w:rsidR="004D5D51" w:rsidRPr="00215E75">
        <w:t>determine the structure of their medium-term plan</w:t>
      </w:r>
      <w:r w:rsidR="004D5D51">
        <w:t xml:space="preserve"> </w:t>
      </w:r>
      <w:r w:rsidR="00BF3C28">
        <w:t xml:space="preserve">so long as the minimum information content </w:t>
      </w:r>
      <w:r w:rsidR="004D5D51">
        <w:t xml:space="preserve">requirements are </w:t>
      </w:r>
      <w:r w:rsidR="00BF3C28">
        <w:t>met</w:t>
      </w:r>
      <w:r w:rsidRPr="00215E75">
        <w:t>.</w:t>
      </w:r>
    </w:p>
    <w:p w:rsidR="00B11C05" w:rsidRDefault="00B11C05" w:rsidP="00215E75">
      <w:pPr>
        <w:pStyle w:val="Heading2"/>
        <w:spacing w:before="240" w:after="200"/>
      </w:pPr>
      <w:r>
        <w:t xml:space="preserve">Who approves the </w:t>
      </w:r>
      <w:r w:rsidR="006C2159">
        <w:t xml:space="preserve">corporate/strategic </w:t>
      </w:r>
      <w:r>
        <w:t>plan?</w:t>
      </w:r>
    </w:p>
    <w:p w:rsidR="00B11C05" w:rsidRDefault="004D5D51" w:rsidP="00B11C05">
      <w:r>
        <w:t>The c</w:t>
      </w:r>
      <w:r w:rsidR="006C2159">
        <w:t xml:space="preserve">orporate/strategic </w:t>
      </w:r>
      <w:r w:rsidR="00B11C05">
        <w:t xml:space="preserve">plan must be approved by the departmental Secretary. </w:t>
      </w:r>
      <w:r w:rsidR="00BF3C28">
        <w:t>Departments may engage Ministers in approving plans as required.</w:t>
      </w:r>
    </w:p>
    <w:p w:rsidR="00B11C05" w:rsidRPr="00B11C05" w:rsidRDefault="00B11C05" w:rsidP="00B11C05">
      <w:r>
        <w:t xml:space="preserve">The long-term planning requirements </w:t>
      </w:r>
      <w:r w:rsidR="00BF3C28">
        <w:t>only require departments to undertake long-term planning. The PMF does not require the production of a long-term plan</w:t>
      </w:r>
      <w:r>
        <w:t xml:space="preserve">. </w:t>
      </w:r>
    </w:p>
    <w:p w:rsidR="006B4475" w:rsidRDefault="006B4475" w:rsidP="006B4475">
      <w:pPr>
        <w:pStyle w:val="Heading2"/>
        <w:spacing w:before="240" w:after="200"/>
      </w:pPr>
      <w:r>
        <w:t>Do corporate/strategic plans need to be submitted to DTF?</w:t>
      </w:r>
    </w:p>
    <w:p w:rsidR="006B4475" w:rsidRDefault="006B4475" w:rsidP="006B4475">
      <w:r>
        <w:t xml:space="preserve">No, </w:t>
      </w:r>
      <w:r w:rsidR="004D5D51">
        <w:t xml:space="preserve">the </w:t>
      </w:r>
      <w:r>
        <w:t>corporate/strategic plan do</w:t>
      </w:r>
      <w:r w:rsidR="004D5D51">
        <w:t>es</w:t>
      </w:r>
      <w:r>
        <w:t xml:space="preserve"> not need to be submitted to DTF.</w:t>
      </w:r>
    </w:p>
    <w:p w:rsidR="00A946C6" w:rsidRDefault="00A946C6" w:rsidP="00215E75">
      <w:pPr>
        <w:pStyle w:val="Heading2"/>
        <w:spacing w:before="240" w:after="200"/>
      </w:pPr>
      <w:r>
        <w:t xml:space="preserve">How do the long-term planning requirements interact with the new </w:t>
      </w:r>
      <w:r w:rsidR="006C2159">
        <w:t xml:space="preserve">corporate/strategic plan </w:t>
      </w:r>
      <w:r>
        <w:t>requirements?</w:t>
      </w:r>
    </w:p>
    <w:p w:rsidR="00A946C6" w:rsidRDefault="00A946C6" w:rsidP="00A946C6">
      <w:r>
        <w:t xml:space="preserve">The PMF establishes a requirement for each department to undertake long-term planning over a minimum five year time horizon. </w:t>
      </w:r>
      <w:r w:rsidR="001322EE">
        <w:t xml:space="preserve">Long-term </w:t>
      </w:r>
      <w:r w:rsidR="00BF3C28">
        <w:t xml:space="preserve">planning </w:t>
      </w:r>
      <w:r w:rsidR="006C2159">
        <w:t xml:space="preserve">must </w:t>
      </w:r>
      <w:r w:rsidR="001322EE">
        <w:t>be supported by appropriate modelling and scenario analysis.</w:t>
      </w:r>
    </w:p>
    <w:p w:rsidR="001322EE" w:rsidRDefault="00A946C6" w:rsidP="00A946C6">
      <w:r>
        <w:t xml:space="preserve">The PMF does not prescribe the </w:t>
      </w:r>
      <w:r w:rsidR="00587693">
        <w:t xml:space="preserve">timing or </w:t>
      </w:r>
      <w:r w:rsidR="00BF3C28">
        <w:t xml:space="preserve">scope </w:t>
      </w:r>
      <w:r>
        <w:t>of long-term plan</w:t>
      </w:r>
      <w:r w:rsidR="00BF3C28">
        <w:t>ning</w:t>
      </w:r>
      <w:r>
        <w:t xml:space="preserve">. Rather, each department </w:t>
      </w:r>
      <w:r w:rsidR="006C2159">
        <w:t xml:space="preserve">may </w:t>
      </w:r>
      <w:r>
        <w:t>determine how best to apply the requirements to suit its individual circumstances and current practices.</w:t>
      </w:r>
      <w:r w:rsidR="001322EE">
        <w:t xml:space="preserve"> </w:t>
      </w:r>
    </w:p>
    <w:p w:rsidR="00A946C6" w:rsidRDefault="00BF3C28" w:rsidP="00A946C6">
      <w:r>
        <w:t>L</w:t>
      </w:r>
      <w:r w:rsidR="001322EE">
        <w:t>ong-term plan</w:t>
      </w:r>
      <w:r>
        <w:t xml:space="preserve">ning </w:t>
      </w:r>
      <w:r w:rsidR="004D5D51">
        <w:t xml:space="preserve">activities, processes and products </w:t>
      </w:r>
      <w:r>
        <w:t>should be reviewed and updated as required</w:t>
      </w:r>
      <w:r w:rsidR="001322EE">
        <w:t>.</w:t>
      </w:r>
    </w:p>
    <w:p w:rsidR="00834E27" w:rsidRDefault="00834E27" w:rsidP="00834E27">
      <w:pPr>
        <w:pStyle w:val="Heading2"/>
        <w:spacing w:before="240" w:after="200"/>
      </w:pPr>
      <w:r>
        <w:t xml:space="preserve">My department already </w:t>
      </w:r>
      <w:r w:rsidR="00BF3C28">
        <w:t>undertakes</w:t>
      </w:r>
      <w:r>
        <w:t xml:space="preserve"> long-term plan</w:t>
      </w:r>
      <w:r w:rsidR="00BF3C28">
        <w:t>ning</w:t>
      </w:r>
      <w:r>
        <w:t xml:space="preserve">. </w:t>
      </w:r>
      <w:r w:rsidR="004D5D51">
        <w:t>D</w:t>
      </w:r>
      <w:r w:rsidR="00EB4D6F">
        <w:t>oes this</w:t>
      </w:r>
      <w:r>
        <w:t xml:space="preserve"> meet the PMF requirements?</w:t>
      </w:r>
    </w:p>
    <w:p w:rsidR="00834E27" w:rsidRDefault="00834E27" w:rsidP="00834E27">
      <w:r w:rsidRPr="00215E75">
        <w:t>In most cases, departments with existing long-term plan</w:t>
      </w:r>
      <w:r w:rsidR="00EB4D6F">
        <w:t xml:space="preserve">ning processes </w:t>
      </w:r>
      <w:r w:rsidR="004D5D51">
        <w:t xml:space="preserve">and products </w:t>
      </w:r>
      <w:r w:rsidRPr="00215E75">
        <w:t xml:space="preserve">will already meet the </w:t>
      </w:r>
      <w:r w:rsidR="00EB4D6F">
        <w:t>PMF</w:t>
      </w:r>
      <w:r w:rsidRPr="00215E75">
        <w:t xml:space="preserve"> requirements outlined </w:t>
      </w:r>
      <w:r>
        <w:t xml:space="preserve">in </w:t>
      </w:r>
      <w:r w:rsidRPr="00215E75">
        <w:t xml:space="preserve">Section 2.3. </w:t>
      </w:r>
      <w:r w:rsidR="004D5D51">
        <w:t>T</w:t>
      </w:r>
      <w:r w:rsidRPr="00215E75">
        <w:t xml:space="preserve">hese </w:t>
      </w:r>
      <w:r w:rsidR="004D5D51" w:rsidRPr="00215E75">
        <w:t>departments may</w:t>
      </w:r>
      <w:r w:rsidR="004D5D51">
        <w:t xml:space="preserve"> not need to </w:t>
      </w:r>
      <w:r w:rsidR="00EB4D6F">
        <w:t>undertake additional</w:t>
      </w:r>
      <w:r w:rsidRPr="00215E75">
        <w:t xml:space="preserve"> plan</w:t>
      </w:r>
      <w:r w:rsidR="00EB4D6F">
        <w:t>ning activities</w:t>
      </w:r>
      <w:r w:rsidRPr="00215E75">
        <w:t xml:space="preserve"> to meet </w:t>
      </w:r>
      <w:r w:rsidR="004D5D51">
        <w:t xml:space="preserve">the requirements of </w:t>
      </w:r>
      <w:r w:rsidRPr="00215E75">
        <w:t>Section 2.3.</w:t>
      </w:r>
    </w:p>
    <w:p w:rsidR="00DF5181" w:rsidRDefault="00EB4D6F" w:rsidP="00A946C6">
      <w:r>
        <w:t>Departments are only required to undertake long-term planning. There is no PMF requirement to produce a long-term plan.</w:t>
      </w:r>
    </w:p>
    <w:p w:rsidR="002F5814" w:rsidRDefault="002F5814" w:rsidP="00215E75">
      <w:pPr>
        <w:pStyle w:val="Heading2"/>
        <w:spacing w:before="240" w:after="200"/>
      </w:pPr>
      <w:r>
        <w:lastRenderedPageBreak/>
        <w:t>Link to the Standing Directions</w:t>
      </w:r>
    </w:p>
    <w:p w:rsidR="002F5814" w:rsidRDefault="006C2159" w:rsidP="002F5814">
      <w:r>
        <w:t>T</w:t>
      </w:r>
      <w:r w:rsidR="002F5814">
        <w:t xml:space="preserve">he </w:t>
      </w:r>
      <w:hyperlink r:id="rId9" w:history="1">
        <w:r w:rsidR="002F5814" w:rsidRPr="00D46F72">
          <w:rPr>
            <w:rStyle w:val="Hyperlink"/>
          </w:rPr>
          <w:t>2016 Standing Directions of the Minister for Finance</w:t>
        </w:r>
      </w:hyperlink>
      <w:r>
        <w:rPr>
          <w:rStyle w:val="Hyperlink"/>
        </w:rPr>
        <w:t xml:space="preserve"> </w:t>
      </w:r>
      <w:r w:rsidRPr="009A1E08">
        <w:t>require</w:t>
      </w:r>
      <w:r>
        <w:rPr>
          <w:rStyle w:val="Hyperlink"/>
        </w:rPr>
        <w:t xml:space="preserve"> </w:t>
      </w:r>
      <w:r w:rsidR="002F5814">
        <w:t>departments to apply the PMF (Direction 4.1.2).</w:t>
      </w:r>
    </w:p>
    <w:p w:rsidR="002F5814" w:rsidRDefault="002F5814" w:rsidP="002F5814">
      <w:r>
        <w:t xml:space="preserve">Departments are subject to the </w:t>
      </w:r>
      <w:r w:rsidR="006C2159">
        <w:t xml:space="preserve">attestation </w:t>
      </w:r>
      <w:r>
        <w:t xml:space="preserve">requirements </w:t>
      </w:r>
      <w:r w:rsidR="006C2159">
        <w:t xml:space="preserve">of </w:t>
      </w:r>
      <w:r>
        <w:t xml:space="preserve">the 2016 Directions </w:t>
      </w:r>
      <w:r w:rsidR="006C2159">
        <w:t xml:space="preserve">regarding </w:t>
      </w:r>
      <w:r>
        <w:t xml:space="preserve">the </w:t>
      </w:r>
      <w:r w:rsidR="006C2159">
        <w:t>PMF</w:t>
      </w:r>
      <w:r>
        <w:t>. This includes public attestation of compliance in annual reports from 2017-18. See the 2016 Directions for more information, and particularly Direction 5.1</w:t>
      </w:r>
      <w:r w:rsidR="009F681A">
        <w:t xml:space="preserve"> and Instruction 5.1</w:t>
      </w:r>
      <w:r>
        <w:t>.</w:t>
      </w:r>
    </w:p>
    <w:p w:rsidR="001E3E33" w:rsidRDefault="001E3E33" w:rsidP="002F5814">
      <w:r>
        <w:t xml:space="preserve">For the 2016-17 trial attestation, departments are not required to attest against the previous planning requirements. Rather, the new PMF </w:t>
      </w:r>
      <w:r w:rsidR="009F681A">
        <w:t xml:space="preserve">planning </w:t>
      </w:r>
      <w:r>
        <w:t>requirements should be applied.</w:t>
      </w:r>
    </w:p>
    <w:p w:rsidR="00EB4D6F" w:rsidRDefault="00EB4D6F" w:rsidP="002F5814">
      <w:r>
        <w:t>Departments should consult with their departmental compliance managers for further information.</w:t>
      </w:r>
    </w:p>
    <w:p w:rsidR="00CC194D" w:rsidRDefault="00B40D69" w:rsidP="00215E75">
      <w:pPr>
        <w:pStyle w:val="Heading2"/>
        <w:spacing w:before="240" w:after="200"/>
      </w:pPr>
      <w:r>
        <w:t>Feedback and suggestions</w:t>
      </w:r>
    </w:p>
    <w:p w:rsidR="00B40D69" w:rsidRDefault="00B40D69" w:rsidP="00A30D9F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Departments can ask questions or provide feedback on the </w:t>
      </w:r>
      <w:r w:rsidR="008137F7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updated </w:t>
      </w:r>
      <w:r w:rsidR="00C560EF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PM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F</w:t>
      </w: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 by contacting </w:t>
      </w:r>
      <w:hyperlink r:id="rId10" w:history="1">
        <w:r w:rsidRPr="00452164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financial.frameworks@dtf.vic.gov.au</w:t>
        </w:r>
      </w:hyperlink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.</w:t>
      </w:r>
    </w:p>
    <w:p w:rsidR="00215CEE" w:rsidRDefault="00215CEE" w:rsidP="00CC194D"/>
    <w:p w:rsidR="00854A48" w:rsidRDefault="00854A48" w:rsidP="00F417C3">
      <w:pPr>
        <w:sectPr w:rsidR="00854A48" w:rsidSect="00F417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60" w:right="1440" w:bottom="1980" w:left="1440" w:header="706" w:footer="461" w:gutter="0"/>
          <w:cols w:space="708"/>
          <w:docGrid w:linePitch="360"/>
        </w:sectPr>
      </w:pPr>
    </w:p>
    <w:p w:rsidR="00854A48" w:rsidRDefault="00854A48" w:rsidP="00854A48">
      <w:pPr>
        <w:pStyle w:val="Heading2"/>
      </w:pPr>
      <w:r>
        <w:lastRenderedPageBreak/>
        <w:t xml:space="preserve">Summary table of the major changes in the </w:t>
      </w:r>
      <w:r w:rsidR="008137F7">
        <w:t>updated</w:t>
      </w:r>
      <w:r>
        <w:t xml:space="preserve"> </w:t>
      </w:r>
      <w:r w:rsidR="00C560EF">
        <w:t>PM</w:t>
      </w:r>
      <w:r>
        <w:t xml:space="preserve">F </w:t>
      </w:r>
    </w:p>
    <w:tbl>
      <w:tblPr>
        <w:tblStyle w:val="DTFtexttable"/>
        <w:tblW w:w="5000" w:type="pct"/>
        <w:tblLook w:val="06A0" w:firstRow="1" w:lastRow="0" w:firstColumn="1" w:lastColumn="0" w:noHBand="1" w:noVBand="1"/>
      </w:tblPr>
      <w:tblGrid>
        <w:gridCol w:w="3926"/>
        <w:gridCol w:w="1227"/>
        <w:gridCol w:w="1424"/>
        <w:gridCol w:w="7495"/>
      </w:tblGrid>
      <w:tr w:rsidR="00215CEE" w:rsidTr="0081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" w:type="pct"/>
          </w:tcPr>
          <w:p w:rsidR="00854A48" w:rsidRPr="0066370B" w:rsidRDefault="00854A48" w:rsidP="00215CEE">
            <w:pPr>
              <w:pStyle w:val="Tableheader"/>
              <w:rPr>
                <w:b w:val="0"/>
              </w:rPr>
            </w:pPr>
            <w:r w:rsidRPr="0066370B">
              <w:t>Topic:</w:t>
            </w:r>
          </w:p>
        </w:tc>
        <w:tc>
          <w:tcPr>
            <w:tcW w:w="436" w:type="pct"/>
          </w:tcPr>
          <w:p w:rsidR="00854A48" w:rsidRPr="0066370B" w:rsidRDefault="00854A48" w:rsidP="00C560EF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Old </w:t>
            </w:r>
            <w:r w:rsidR="00C560EF">
              <w:t>PMF</w:t>
            </w:r>
            <w:r>
              <w:t xml:space="preserve"> Section no.</w:t>
            </w:r>
          </w:p>
        </w:tc>
        <w:tc>
          <w:tcPr>
            <w:tcW w:w="506" w:type="pct"/>
          </w:tcPr>
          <w:p w:rsidR="00854A48" w:rsidRPr="0066370B" w:rsidRDefault="008137F7" w:rsidP="00C560EF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  <w:r w:rsidR="00854A48">
              <w:t xml:space="preserve"> </w:t>
            </w:r>
            <w:r w:rsidR="00C560EF">
              <w:t>PM</w:t>
            </w:r>
            <w:r w:rsidR="00854A48">
              <w:t>F Section no.</w:t>
            </w:r>
          </w:p>
        </w:tc>
        <w:tc>
          <w:tcPr>
            <w:tcW w:w="2663" w:type="pct"/>
          </w:tcPr>
          <w:p w:rsidR="00854A48" w:rsidRDefault="00854A48" w:rsidP="00215CE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Comments</w:t>
            </w:r>
          </w:p>
        </w:tc>
      </w:tr>
      <w:tr w:rsidR="00215CEE" w:rsidTr="008137F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bottom w:val="single" w:sz="6" w:space="0" w:color="0063A6" w:themeColor="accent1"/>
            </w:tcBorders>
          </w:tcPr>
          <w:p w:rsidR="00854A48" w:rsidRPr="0066370B" w:rsidRDefault="00C560EF" w:rsidP="00215CEE">
            <w:pPr>
              <w:pStyle w:val="Tabletextbold"/>
              <w:spacing w:before="60" w:after="60"/>
            </w:pPr>
            <w:r>
              <w:t>2. Planning for results</w:t>
            </w:r>
          </w:p>
        </w:tc>
        <w:tc>
          <w:tcPr>
            <w:tcW w:w="436" w:type="pct"/>
            <w:tcBorders>
              <w:bottom w:val="single" w:sz="6" w:space="0" w:color="0063A6" w:themeColor="accent1"/>
            </w:tcBorders>
          </w:tcPr>
          <w:p w:rsidR="00854A48" w:rsidRPr="00B105F5" w:rsidRDefault="00C560EF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506" w:type="pct"/>
            <w:tcBorders>
              <w:bottom w:val="single" w:sz="6" w:space="0" w:color="0063A6" w:themeColor="accent1"/>
            </w:tcBorders>
          </w:tcPr>
          <w:p w:rsidR="00854A48" w:rsidRPr="005A6E79" w:rsidRDefault="00C560EF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2.</w:t>
            </w:r>
          </w:p>
        </w:tc>
        <w:tc>
          <w:tcPr>
            <w:tcW w:w="2663" w:type="pct"/>
            <w:tcBorders>
              <w:bottom w:val="single" w:sz="6" w:space="0" w:color="0063A6" w:themeColor="accent1"/>
            </w:tcBorders>
          </w:tcPr>
          <w:p w:rsidR="00854A48" w:rsidRPr="005A6E79" w:rsidRDefault="00C560EF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The table outlining the components of a ‘comprehensive planning framework’ has been revised to reflect the replacement of the strategic planning requirements with minimum long term planning requirements.</w:t>
            </w:r>
            <w:r w:rsidR="001311B0" w:rsidRPr="005A6E79">
              <w:t xml:space="preserve"> </w:t>
            </w:r>
          </w:p>
          <w:p w:rsidR="001311B0" w:rsidRPr="005A6E79" w:rsidRDefault="001311B0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A new footnote has been added clarifying that the terms corporate plan and strategic plan are interchangeable.</w:t>
            </w:r>
          </w:p>
        </w:tc>
      </w:tr>
      <w:tr w:rsidR="00215CEE" w:rsidRPr="00B105F5" w:rsidTr="008137F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1311B0" w:rsidP="00215CEE">
            <w:pPr>
              <w:pStyle w:val="Tabletextbold"/>
              <w:spacing w:before="60" w:after="60"/>
            </w:pPr>
            <w:r>
              <w:t>2.1 Short-term planning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1311B0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1311B0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2.1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1311B0" w:rsidP="005A6E7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N</w:t>
            </w:r>
            <w:r w:rsidR="005A6E79">
              <w:t>o change</w:t>
            </w:r>
            <w:r w:rsidRPr="005A6E79">
              <w:t>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1311B0" w:rsidP="00215CEE">
            <w:pPr>
              <w:pStyle w:val="Tabletextbold"/>
              <w:spacing w:before="60" w:after="60"/>
            </w:pPr>
            <w:r>
              <w:t>2.2 Medium-term planning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1311B0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1311B0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2.2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1311B0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Strategic planning requirements have been removed (formally listed under 2.2.1 and 2.2.4)</w:t>
            </w:r>
            <w:r w:rsidR="005A6E79" w:rsidRPr="005A6E79">
              <w:t>.</w:t>
            </w:r>
          </w:p>
          <w:p w:rsidR="001311B0" w:rsidRPr="005A6E79" w:rsidRDefault="005A6E79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Medium-term plan now requires the inclusion on key initiatives (</w:t>
            </w:r>
            <w:r w:rsidR="004B3F48">
              <w:t xml:space="preserve">new, listed in </w:t>
            </w:r>
            <w:r w:rsidRPr="005A6E79">
              <w:t xml:space="preserve">2.2) and </w:t>
            </w:r>
            <w:r w:rsidR="004B3F48">
              <w:t xml:space="preserve">the </w:t>
            </w:r>
            <w:r w:rsidRPr="005A6E79">
              <w:t>publication on the department’s website (</w:t>
            </w:r>
            <w:r w:rsidR="004B3F48">
              <w:t xml:space="preserve">new requirement in </w:t>
            </w:r>
            <w:r w:rsidRPr="005A6E79">
              <w:t>2.2.3).</w:t>
            </w:r>
          </w:p>
          <w:p w:rsidR="005A6E79" w:rsidRPr="005A6E79" w:rsidRDefault="005A6E79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Definition of ‘key initiatives’ has been included in the Guidance.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5A6E79" w:rsidP="00215CEE">
            <w:pPr>
              <w:pStyle w:val="Tabletextbold"/>
              <w:spacing w:before="60" w:after="60"/>
            </w:pPr>
            <w:r>
              <w:t>2.3 Long-term planning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5A6E79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5A6E79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2.3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5A6E79" w:rsidRDefault="005A6E79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New minimum mandatory requirements.</w:t>
            </w:r>
          </w:p>
          <w:p w:rsidR="005A6E79" w:rsidRPr="005A6E79" w:rsidRDefault="005A6E79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6E79">
              <w:t>Guidance has been updated to reflect mandatory requirements.</w:t>
            </w:r>
          </w:p>
        </w:tc>
      </w:tr>
    </w:tbl>
    <w:p w:rsidR="00854A48" w:rsidRPr="009F3731" w:rsidRDefault="004B3F48" w:rsidP="00854A48">
      <w:r>
        <w:t>All other sections of the PMF remain unchanged.</w:t>
      </w:r>
    </w:p>
    <w:sectPr w:rsidR="00854A48" w:rsidRPr="009F3731" w:rsidSect="00215C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40" w:right="1440" w:bottom="135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B29" w:rsidRDefault="00D04B29" w:rsidP="002D711A">
      <w:pPr>
        <w:spacing w:after="0" w:line="240" w:lineRule="auto"/>
      </w:pPr>
      <w:r>
        <w:separator/>
      </w:r>
    </w:p>
  </w:endnote>
  <w:endnote w:type="continuationSeparator" w:id="0">
    <w:p w:rsidR="00D04B29" w:rsidRDefault="00D04B29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Pr="001E31FA" w:rsidRDefault="00854A48" w:rsidP="001E31FA">
    <w:pPr>
      <w:pStyle w:val="Spacer"/>
    </w:pPr>
  </w:p>
  <w:p w:rsidR="00854A48" w:rsidRPr="00297281" w:rsidRDefault="00854A48" w:rsidP="00C022F9">
    <w:pPr>
      <w:pStyle w:val="Footer"/>
    </w:pPr>
    <w:r w:rsidRPr="00D542F3">
      <w:t xml:space="preserve">Page </w:t>
    </w:r>
    <w:r w:rsidRPr="00D542F3">
      <w:rPr>
        <w:rStyle w:val="PageNumber"/>
      </w:rPr>
      <w:fldChar w:fldCharType="begin"/>
    </w:r>
    <w:r w:rsidRPr="00D542F3">
      <w:rPr>
        <w:rStyle w:val="PageNumber"/>
      </w:rPr>
      <w:instrText xml:space="preserve"> Page </w:instrText>
    </w:r>
    <w:r w:rsidRPr="00D542F3">
      <w:rPr>
        <w:rStyle w:val="PageNumber"/>
      </w:rPr>
      <w:fldChar w:fldCharType="separate"/>
    </w:r>
    <w:r>
      <w:rPr>
        <w:rStyle w:val="PageNumber"/>
      </w:rPr>
      <w:t>2</w:t>
    </w:r>
    <w:r w:rsidRPr="00D542F3">
      <w:rPr>
        <w:rStyle w:val="PageNumber"/>
      </w:rPr>
      <w:fldChar w:fldCharType="end"/>
    </w:r>
    <w:r>
      <w:rPr>
        <w:rStyle w:val="PageNumber"/>
      </w:rPr>
      <w:tab/>
    </w:r>
    <w:r w:rsidRPr="00C92338">
      <w:rPr>
        <w:b/>
        <w:noProof w:val="0"/>
        <w:color w:val="0063A6" w:themeColor="accent1"/>
        <w:sz w:val="20"/>
      </w:rPr>
      <w:fldChar w:fldCharType="begin"/>
    </w:r>
    <w:r w:rsidRPr="00C92338">
      <w:rPr>
        <w:b/>
        <w:color w:val="0063A6" w:themeColor="accent1"/>
        <w:sz w:val="20"/>
      </w:rPr>
      <w:instrText xml:space="preserve"> StyleRef “Title” </w:instrText>
    </w:r>
    <w:r w:rsidRPr="00C92338">
      <w:rPr>
        <w:b/>
        <w:noProof w:val="0"/>
        <w:color w:val="0063A6" w:themeColor="accent1"/>
        <w:sz w:val="20"/>
      </w:rPr>
      <w:fldChar w:fldCharType="separate"/>
    </w:r>
    <w:r w:rsidR="0032138A">
      <w:rPr>
        <w:b/>
        <w:color w:val="0063A6" w:themeColor="accent1"/>
        <w:sz w:val="20"/>
      </w:rPr>
      <w:t>Updated Performance Management Framework – June 2017</w:t>
    </w:r>
    <w:r w:rsidRPr="00C92338">
      <w:rPr>
        <w:b/>
        <w:color w:val="0063A6" w:themeColor="accent1"/>
        <w:sz w:val="20"/>
      </w:rPr>
      <w:fldChar w:fldCharType="end"/>
    </w:r>
    <w:r>
      <w:rPr>
        <w:b/>
        <w:color w:val="0063A6" w:themeColor="accent1"/>
      </w:rPr>
      <w:t xml:space="preserve"> – </w:t>
    </w:r>
    <w:r>
      <w:rPr>
        <w:noProof w:val="0"/>
      </w:rPr>
      <w:fldChar w:fldCharType="begin"/>
    </w:r>
    <w:r>
      <w:instrText xml:space="preserve"> StyleRef “Subtitle” </w:instrText>
    </w:r>
    <w:r>
      <w:rPr>
        <w:noProof w:val="0"/>
      </w:rPr>
      <w:fldChar w:fldCharType="separate"/>
    </w:r>
    <w:r w:rsidR="0032138A">
      <w:rPr>
        <w:b/>
        <w:bCs/>
        <w:lang w:val="en-US"/>
      </w:rPr>
      <w:t>Error! No text of specified style in document.</w:t>
    </w:r>
    <w:r>
      <w:fldChar w:fldCharType="end"/>
    </w:r>
    <w:r w:rsidRPr="0018749C">
      <w:t xml:space="preserve">, </w:t>
    </w:r>
    <w:r>
      <w:rPr>
        <w:noProof w:val="0"/>
      </w:rPr>
      <w:fldChar w:fldCharType="begin"/>
    </w:r>
    <w:r>
      <w:instrText xml:space="preserve"> StyleRef “Tertiary Title” </w:instrText>
    </w:r>
    <w:r>
      <w:rPr>
        <w:noProof w:val="0"/>
      </w:rPr>
      <w:fldChar w:fldCharType="separate"/>
    </w:r>
    <w:r w:rsidR="0032138A">
      <w:rPr>
        <w:b/>
        <w:bCs/>
        <w:lang w:val="en-US"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 w:rsidP="00165E66">
    <w:pPr>
      <w:pStyle w:val="Spacer"/>
    </w:pPr>
  </w:p>
  <w:p w:rsidR="00854A48" w:rsidRPr="00C022F9" w:rsidRDefault="00854A48" w:rsidP="00165E66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5328C0">
      <w:rPr>
        <w:b/>
        <w:color w:val="0063A6" w:themeColor="accent1"/>
      </w:rPr>
      <w:t>Updated Performance Management Framework – June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5328C0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3" w:rsidRDefault="001E3E3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35449AF9" wp14:editId="23FA1867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Default="00215CEE" w:rsidP="00165E66">
    <w:pPr>
      <w:pStyle w:val="Spacer"/>
    </w:pPr>
  </w:p>
  <w:p w:rsidR="00215CEE" w:rsidRPr="00C022F9" w:rsidRDefault="00215CEE" w:rsidP="00215CEE">
    <w:pPr>
      <w:pStyle w:val="Footer"/>
      <w:tabs>
        <w:tab w:val="clear" w:pos="9026"/>
        <w:tab w:val="right" w:pos="13950"/>
      </w:tabs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5328C0">
      <w:rPr>
        <w:b/>
        <w:color w:val="0063A6" w:themeColor="accent1"/>
      </w:rPr>
      <w:t>Updated Performance Management Framework – June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5328C0">
      <w:rPr>
        <w:rStyle w:val="PageNumber"/>
      </w:rPr>
      <w:t>4</w:t>
    </w:r>
    <w:r w:rsidRPr="00DE60CC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B29" w:rsidRDefault="00D04B29" w:rsidP="002D711A">
      <w:pPr>
        <w:spacing w:after="0" w:line="240" w:lineRule="auto"/>
      </w:pPr>
      <w:r>
        <w:separator/>
      </w:r>
    </w:p>
  </w:footnote>
  <w:footnote w:type="continuationSeparator" w:id="0">
    <w:p w:rsidR="00D04B29" w:rsidRDefault="00D04B29" w:rsidP="002D711A">
      <w:pPr>
        <w:spacing w:after="0" w:line="240" w:lineRule="auto"/>
      </w:pPr>
      <w:r>
        <w:continuationSeparator/>
      </w:r>
    </w:p>
  </w:footnote>
  <w:footnote w:id="1">
    <w:p w:rsidR="005A6E79" w:rsidRDefault="005A6E7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6E79">
        <w:t>http://www.dtf.vic.gov.au/Government-Financial-Management/Budgeting/DTF-information-requests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3" w:rsidRDefault="001E3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>
    <w:pPr>
      <w:pStyle w:val="Header"/>
    </w:pPr>
    <w:r w:rsidRPr="00227C39">
      <w:rPr>
        <w:noProof/>
      </w:rPr>
      <w:drawing>
        <wp:anchor distT="0" distB="0" distL="114300" distR="114300" simplePos="0" relativeHeight="251676672" behindDoc="0" locked="0" layoutInCell="1" allowOverlap="1" wp14:anchorId="45EF461D" wp14:editId="0761B309">
          <wp:simplePos x="0" y="0"/>
          <wp:positionH relativeFrom="column">
            <wp:posOffset>-325755</wp:posOffset>
          </wp:positionH>
          <wp:positionV relativeFrom="page">
            <wp:posOffset>297815</wp:posOffset>
          </wp:positionV>
          <wp:extent cx="1380490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9">
      <w:rPr>
        <w:noProof/>
      </w:rPr>
      <w:drawing>
        <wp:anchor distT="0" distB="0" distL="114300" distR="114300" simplePos="0" relativeHeight="251675648" behindDoc="0" locked="0" layoutInCell="1" allowOverlap="1" wp14:anchorId="4A1E1458" wp14:editId="7EFF5705">
          <wp:simplePos x="0" y="0"/>
          <wp:positionH relativeFrom="column">
            <wp:posOffset>-914400</wp:posOffset>
          </wp:positionH>
          <wp:positionV relativeFrom="page">
            <wp:posOffset>124147</wp:posOffset>
          </wp:positionV>
          <wp:extent cx="7592124" cy="740664"/>
          <wp:effectExtent l="0" t="0" r="0" b="2540"/>
          <wp:wrapNone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2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33" w:rsidRDefault="001E3E3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Pr="0041689E" w:rsidRDefault="00215CEE" w:rsidP="00215CE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3B61BFE" wp14:editId="4C5C9359">
          <wp:simplePos x="0" y="0"/>
          <wp:positionH relativeFrom="column">
            <wp:posOffset>-237379</wp:posOffset>
          </wp:positionH>
          <wp:positionV relativeFrom="page">
            <wp:posOffset>229870</wp:posOffset>
          </wp:positionV>
          <wp:extent cx="1183640" cy="352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8DA064" wp14:editId="524ED4C0">
          <wp:simplePos x="0" y="0"/>
          <wp:positionH relativeFrom="column">
            <wp:posOffset>-2218994</wp:posOffset>
          </wp:positionH>
          <wp:positionV relativeFrom="page">
            <wp:posOffset>115570</wp:posOffset>
          </wp:positionV>
          <wp:extent cx="13157835" cy="548640"/>
          <wp:effectExtent l="0" t="0" r="571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163"/>
    <w:multiLevelType w:val="hybridMultilevel"/>
    <w:tmpl w:val="44AE1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70DCB"/>
    <w:multiLevelType w:val="hybridMultilevel"/>
    <w:tmpl w:val="AD9CB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51A73A9E"/>
    <w:multiLevelType w:val="hybridMultilevel"/>
    <w:tmpl w:val="DCF8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C2F93"/>
    <w:multiLevelType w:val="hybridMultilevel"/>
    <w:tmpl w:val="B21A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9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3"/>
  </w:num>
  <w:num w:numId="19">
    <w:abstractNumId w:val="8"/>
  </w:num>
  <w:num w:numId="20">
    <w:abstractNumId w:val="9"/>
  </w:num>
  <w:num w:numId="21">
    <w:abstractNumId w:val="6"/>
  </w:num>
  <w:num w:numId="22">
    <w:abstractNumId w:val="5"/>
  </w:num>
  <w:num w:numId="23">
    <w:abstractNumId w:val="0"/>
  </w:num>
  <w:num w:numId="24">
    <w:abstractNumId w:val="7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5"/>
    <w:rsid w:val="0000146A"/>
    <w:rsid w:val="00012F6F"/>
    <w:rsid w:val="00014213"/>
    <w:rsid w:val="00014B55"/>
    <w:rsid w:val="00020E3E"/>
    <w:rsid w:val="000228B8"/>
    <w:rsid w:val="00023BF3"/>
    <w:rsid w:val="00026811"/>
    <w:rsid w:val="00037601"/>
    <w:rsid w:val="0004356D"/>
    <w:rsid w:val="00045296"/>
    <w:rsid w:val="00064B81"/>
    <w:rsid w:val="00075E6C"/>
    <w:rsid w:val="0007757C"/>
    <w:rsid w:val="000B1254"/>
    <w:rsid w:val="000B29AD"/>
    <w:rsid w:val="000C6372"/>
    <w:rsid w:val="000D7CE0"/>
    <w:rsid w:val="000D7E09"/>
    <w:rsid w:val="000E392D"/>
    <w:rsid w:val="000F3180"/>
    <w:rsid w:val="000F4288"/>
    <w:rsid w:val="000F7165"/>
    <w:rsid w:val="00102379"/>
    <w:rsid w:val="001065D6"/>
    <w:rsid w:val="00121252"/>
    <w:rsid w:val="00124609"/>
    <w:rsid w:val="001254CE"/>
    <w:rsid w:val="001311B0"/>
    <w:rsid w:val="001322EE"/>
    <w:rsid w:val="00134CEA"/>
    <w:rsid w:val="001422CC"/>
    <w:rsid w:val="001617B6"/>
    <w:rsid w:val="00165E66"/>
    <w:rsid w:val="0017493C"/>
    <w:rsid w:val="001801A7"/>
    <w:rsid w:val="00196BEA"/>
    <w:rsid w:val="001C7BAE"/>
    <w:rsid w:val="001D3732"/>
    <w:rsid w:val="001E31FA"/>
    <w:rsid w:val="001E3E33"/>
    <w:rsid w:val="001E64F6"/>
    <w:rsid w:val="002122DA"/>
    <w:rsid w:val="00215CEE"/>
    <w:rsid w:val="00215E75"/>
    <w:rsid w:val="00222BEB"/>
    <w:rsid w:val="00225E60"/>
    <w:rsid w:val="0023202C"/>
    <w:rsid w:val="00236203"/>
    <w:rsid w:val="002401EB"/>
    <w:rsid w:val="00245043"/>
    <w:rsid w:val="00257760"/>
    <w:rsid w:val="0028009E"/>
    <w:rsid w:val="00292D36"/>
    <w:rsid w:val="0029571E"/>
    <w:rsid w:val="00297281"/>
    <w:rsid w:val="002B07FF"/>
    <w:rsid w:val="002B0BC3"/>
    <w:rsid w:val="002B46FD"/>
    <w:rsid w:val="002C54E0"/>
    <w:rsid w:val="002D711A"/>
    <w:rsid w:val="002D7336"/>
    <w:rsid w:val="002E3396"/>
    <w:rsid w:val="002F5814"/>
    <w:rsid w:val="00303CCF"/>
    <w:rsid w:val="0031149C"/>
    <w:rsid w:val="0032138A"/>
    <w:rsid w:val="003327DC"/>
    <w:rsid w:val="00386EB2"/>
    <w:rsid w:val="0038771C"/>
    <w:rsid w:val="0039405B"/>
    <w:rsid w:val="003A1C92"/>
    <w:rsid w:val="003A541A"/>
    <w:rsid w:val="003A6923"/>
    <w:rsid w:val="003B44CB"/>
    <w:rsid w:val="003C2C23"/>
    <w:rsid w:val="003C2C67"/>
    <w:rsid w:val="003C5BA4"/>
    <w:rsid w:val="003E3E26"/>
    <w:rsid w:val="003F1295"/>
    <w:rsid w:val="003F76FC"/>
    <w:rsid w:val="004002EB"/>
    <w:rsid w:val="00414A3C"/>
    <w:rsid w:val="0041689E"/>
    <w:rsid w:val="004236C8"/>
    <w:rsid w:val="00427681"/>
    <w:rsid w:val="00430DB9"/>
    <w:rsid w:val="00431DE9"/>
    <w:rsid w:val="00433DB7"/>
    <w:rsid w:val="00453750"/>
    <w:rsid w:val="00456941"/>
    <w:rsid w:val="004669E3"/>
    <w:rsid w:val="004702EA"/>
    <w:rsid w:val="00482D02"/>
    <w:rsid w:val="004A7519"/>
    <w:rsid w:val="004B2ADA"/>
    <w:rsid w:val="004B3F48"/>
    <w:rsid w:val="004B5AED"/>
    <w:rsid w:val="004D3518"/>
    <w:rsid w:val="004D5D51"/>
    <w:rsid w:val="004D62D6"/>
    <w:rsid w:val="005328C0"/>
    <w:rsid w:val="0053416C"/>
    <w:rsid w:val="00541C2F"/>
    <w:rsid w:val="00563527"/>
    <w:rsid w:val="0058124E"/>
    <w:rsid w:val="00584301"/>
    <w:rsid w:val="005875A3"/>
    <w:rsid w:val="00587693"/>
    <w:rsid w:val="005955DF"/>
    <w:rsid w:val="005A3416"/>
    <w:rsid w:val="005A6E79"/>
    <w:rsid w:val="005B0F38"/>
    <w:rsid w:val="005B27FE"/>
    <w:rsid w:val="005C3E6D"/>
    <w:rsid w:val="005E1F9C"/>
    <w:rsid w:val="005F61DF"/>
    <w:rsid w:val="00600E54"/>
    <w:rsid w:val="006023F9"/>
    <w:rsid w:val="00610559"/>
    <w:rsid w:val="0063098A"/>
    <w:rsid w:val="006332F6"/>
    <w:rsid w:val="00634A1C"/>
    <w:rsid w:val="00634D1B"/>
    <w:rsid w:val="006361E7"/>
    <w:rsid w:val="00652625"/>
    <w:rsid w:val="006534B2"/>
    <w:rsid w:val="0065615D"/>
    <w:rsid w:val="00657011"/>
    <w:rsid w:val="006650B5"/>
    <w:rsid w:val="006651B1"/>
    <w:rsid w:val="00665778"/>
    <w:rsid w:val="006A44D8"/>
    <w:rsid w:val="006A5B34"/>
    <w:rsid w:val="006A5F5B"/>
    <w:rsid w:val="006B4475"/>
    <w:rsid w:val="006C2159"/>
    <w:rsid w:val="006C77A9"/>
    <w:rsid w:val="006E528B"/>
    <w:rsid w:val="006F6693"/>
    <w:rsid w:val="00707FE8"/>
    <w:rsid w:val="00722DCC"/>
    <w:rsid w:val="00724962"/>
    <w:rsid w:val="00724A0F"/>
    <w:rsid w:val="007320B4"/>
    <w:rsid w:val="00732162"/>
    <w:rsid w:val="00736732"/>
    <w:rsid w:val="00750CBE"/>
    <w:rsid w:val="007541AA"/>
    <w:rsid w:val="00766B5A"/>
    <w:rsid w:val="00782698"/>
    <w:rsid w:val="007834F2"/>
    <w:rsid w:val="00791020"/>
    <w:rsid w:val="007A5F82"/>
    <w:rsid w:val="007C0963"/>
    <w:rsid w:val="007C4A7D"/>
    <w:rsid w:val="007D798E"/>
    <w:rsid w:val="007F1A4C"/>
    <w:rsid w:val="007F67FD"/>
    <w:rsid w:val="008022C3"/>
    <w:rsid w:val="008041E6"/>
    <w:rsid w:val="008065D2"/>
    <w:rsid w:val="008137F7"/>
    <w:rsid w:val="0082194C"/>
    <w:rsid w:val="008220C4"/>
    <w:rsid w:val="008222FF"/>
    <w:rsid w:val="008241FF"/>
    <w:rsid w:val="00834E27"/>
    <w:rsid w:val="0083618B"/>
    <w:rsid w:val="008411E9"/>
    <w:rsid w:val="0084200F"/>
    <w:rsid w:val="00843B2C"/>
    <w:rsid w:val="00850335"/>
    <w:rsid w:val="00854A48"/>
    <w:rsid w:val="008A0751"/>
    <w:rsid w:val="008A4900"/>
    <w:rsid w:val="008B7F11"/>
    <w:rsid w:val="008D0281"/>
    <w:rsid w:val="008E3C4E"/>
    <w:rsid w:val="008F6D45"/>
    <w:rsid w:val="00931FA1"/>
    <w:rsid w:val="00963E0B"/>
    <w:rsid w:val="00974197"/>
    <w:rsid w:val="0097518C"/>
    <w:rsid w:val="00980DBF"/>
    <w:rsid w:val="009828DA"/>
    <w:rsid w:val="009834C0"/>
    <w:rsid w:val="00986AAC"/>
    <w:rsid w:val="009A1DA2"/>
    <w:rsid w:val="009A1E08"/>
    <w:rsid w:val="009A3704"/>
    <w:rsid w:val="009A4739"/>
    <w:rsid w:val="009A674F"/>
    <w:rsid w:val="009B1985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3731"/>
    <w:rsid w:val="009F5C58"/>
    <w:rsid w:val="009F681A"/>
    <w:rsid w:val="00A023A0"/>
    <w:rsid w:val="00A05AB9"/>
    <w:rsid w:val="00A1562B"/>
    <w:rsid w:val="00A170F4"/>
    <w:rsid w:val="00A17376"/>
    <w:rsid w:val="00A22A47"/>
    <w:rsid w:val="00A2559E"/>
    <w:rsid w:val="00A25FD9"/>
    <w:rsid w:val="00A30D9F"/>
    <w:rsid w:val="00A46BA8"/>
    <w:rsid w:val="00A47634"/>
    <w:rsid w:val="00A54D77"/>
    <w:rsid w:val="00A612FE"/>
    <w:rsid w:val="00A71611"/>
    <w:rsid w:val="00A75FC2"/>
    <w:rsid w:val="00A906D8"/>
    <w:rsid w:val="00A946C6"/>
    <w:rsid w:val="00AA26B8"/>
    <w:rsid w:val="00AB3FE2"/>
    <w:rsid w:val="00AD1A83"/>
    <w:rsid w:val="00AD1B6C"/>
    <w:rsid w:val="00AD3322"/>
    <w:rsid w:val="00AD7E4E"/>
    <w:rsid w:val="00AE41D9"/>
    <w:rsid w:val="00AF4D58"/>
    <w:rsid w:val="00AF6666"/>
    <w:rsid w:val="00B057BA"/>
    <w:rsid w:val="00B10154"/>
    <w:rsid w:val="00B11C05"/>
    <w:rsid w:val="00B40D69"/>
    <w:rsid w:val="00B420DF"/>
    <w:rsid w:val="00B81B44"/>
    <w:rsid w:val="00B9053B"/>
    <w:rsid w:val="00BB164C"/>
    <w:rsid w:val="00BC3422"/>
    <w:rsid w:val="00BE5B54"/>
    <w:rsid w:val="00BF3C28"/>
    <w:rsid w:val="00C015B9"/>
    <w:rsid w:val="00C022F9"/>
    <w:rsid w:val="00C032EA"/>
    <w:rsid w:val="00C06EB5"/>
    <w:rsid w:val="00C1145F"/>
    <w:rsid w:val="00C560EF"/>
    <w:rsid w:val="00C637E1"/>
    <w:rsid w:val="00C66DB5"/>
    <w:rsid w:val="00C67638"/>
    <w:rsid w:val="00C70D50"/>
    <w:rsid w:val="00C907D7"/>
    <w:rsid w:val="00C92338"/>
    <w:rsid w:val="00CA5506"/>
    <w:rsid w:val="00CA7C3A"/>
    <w:rsid w:val="00CB1C43"/>
    <w:rsid w:val="00CC194D"/>
    <w:rsid w:val="00CC2663"/>
    <w:rsid w:val="00CC2DB2"/>
    <w:rsid w:val="00CD0307"/>
    <w:rsid w:val="00CD3D1B"/>
    <w:rsid w:val="00CF1C63"/>
    <w:rsid w:val="00CF6AB1"/>
    <w:rsid w:val="00CF7DCA"/>
    <w:rsid w:val="00D04B29"/>
    <w:rsid w:val="00D211E9"/>
    <w:rsid w:val="00D2312F"/>
    <w:rsid w:val="00D269C1"/>
    <w:rsid w:val="00D44953"/>
    <w:rsid w:val="00D46F72"/>
    <w:rsid w:val="00D542F3"/>
    <w:rsid w:val="00D5644B"/>
    <w:rsid w:val="00D56E25"/>
    <w:rsid w:val="00D718D7"/>
    <w:rsid w:val="00D7288C"/>
    <w:rsid w:val="00D814B7"/>
    <w:rsid w:val="00D90688"/>
    <w:rsid w:val="00D94140"/>
    <w:rsid w:val="00DA3AAD"/>
    <w:rsid w:val="00DB312B"/>
    <w:rsid w:val="00DC5654"/>
    <w:rsid w:val="00DC658F"/>
    <w:rsid w:val="00DE60CC"/>
    <w:rsid w:val="00DF5181"/>
    <w:rsid w:val="00DF5B9D"/>
    <w:rsid w:val="00E16EDF"/>
    <w:rsid w:val="00E26B32"/>
    <w:rsid w:val="00E407B6"/>
    <w:rsid w:val="00E41EF1"/>
    <w:rsid w:val="00E42942"/>
    <w:rsid w:val="00E46545"/>
    <w:rsid w:val="00E468A6"/>
    <w:rsid w:val="00E553F9"/>
    <w:rsid w:val="00E6645A"/>
    <w:rsid w:val="00E71BDF"/>
    <w:rsid w:val="00E7737F"/>
    <w:rsid w:val="00E83CA7"/>
    <w:rsid w:val="00E85403"/>
    <w:rsid w:val="00EB4D6F"/>
    <w:rsid w:val="00EC171D"/>
    <w:rsid w:val="00ED487E"/>
    <w:rsid w:val="00ED66CF"/>
    <w:rsid w:val="00ED71A4"/>
    <w:rsid w:val="00EE0393"/>
    <w:rsid w:val="00EE1702"/>
    <w:rsid w:val="00EE7A0D"/>
    <w:rsid w:val="00F01B40"/>
    <w:rsid w:val="00F17CE1"/>
    <w:rsid w:val="00F2115C"/>
    <w:rsid w:val="00F22ABA"/>
    <w:rsid w:val="00F23C8C"/>
    <w:rsid w:val="00F36B12"/>
    <w:rsid w:val="00F60F9F"/>
    <w:rsid w:val="00F64F08"/>
    <w:rsid w:val="00F67F37"/>
    <w:rsid w:val="00F734F5"/>
    <w:rsid w:val="00F76DDA"/>
    <w:rsid w:val="00F966B1"/>
    <w:rsid w:val="00F97D48"/>
    <w:rsid w:val="00FA0311"/>
    <w:rsid w:val="00FA7CC1"/>
    <w:rsid w:val="00FC42E5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financial.frameworks@dtf.vic.gov.a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dtf.vic.gov.au/Publications/Government-Financial-Management-publications/Standing-Directions-of-the-Minister-for-Finance-2016/Standing-Directions-2016-publication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3A2E5-5239-4FCB-A344-386AA288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ENG</dc:creator>
  <cp:lastModifiedBy>Paul Bowerman</cp:lastModifiedBy>
  <cp:revision>2</cp:revision>
  <cp:lastPrinted>2017-06-08T02:34:00Z</cp:lastPrinted>
  <dcterms:created xsi:type="dcterms:W3CDTF">2017-06-13T05:42:00Z</dcterms:created>
  <dcterms:modified xsi:type="dcterms:W3CDTF">2017-06-13T05:42:00Z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