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Pr="0017493C" w:rsidRDefault="008137F7" w:rsidP="00854A48">
      <w:pPr>
        <w:pStyle w:val="Title"/>
      </w:pPr>
      <w:bookmarkStart w:id="0" w:name="_Toc442780672"/>
      <w:r>
        <w:t>Updated</w:t>
      </w:r>
      <w:r w:rsidR="00D7288C">
        <w:t xml:space="preserve"> </w:t>
      </w:r>
      <w:r w:rsidR="00BA72AA">
        <w:t>Financial Reporting</w:t>
      </w:r>
      <w:r w:rsidR="00D7288C">
        <w:t xml:space="preserve"> Operations Framework </w:t>
      </w:r>
      <w:r w:rsidR="00AD1A83">
        <w:t>–</w:t>
      </w:r>
      <w:r w:rsidR="009F3731">
        <w:t xml:space="preserve"> </w:t>
      </w:r>
      <w:r w:rsidR="00EB73DC">
        <w:t>effective from 1 July</w:t>
      </w:r>
      <w:r w:rsidR="00AD1A83">
        <w:t xml:space="preserve"> </w:t>
      </w:r>
      <w:r w:rsidR="00064B81">
        <w:t>201</w:t>
      </w:r>
      <w:r w:rsidR="00AD1A83">
        <w:t>7</w:t>
      </w:r>
    </w:p>
    <w:p w:rsidR="00600E54" w:rsidRDefault="00600E54" w:rsidP="00600E54">
      <w:bookmarkStart w:id="1" w:name="_Toc442780674"/>
      <w:r w:rsidRPr="00600E54">
        <w:t xml:space="preserve">DTF </w:t>
      </w:r>
      <w:r>
        <w:t xml:space="preserve">is </w:t>
      </w:r>
      <w:r w:rsidR="00AD1A83">
        <w:t xml:space="preserve">pleased to announce the </w:t>
      </w:r>
      <w:r w:rsidR="00B40D69">
        <w:t>release</w:t>
      </w:r>
      <w:r w:rsidR="008137F7">
        <w:t xml:space="preserve"> of an</w:t>
      </w:r>
      <w:r w:rsidR="00AD1A83">
        <w:t xml:space="preserve"> </w:t>
      </w:r>
      <w:r w:rsidR="008137F7">
        <w:t>updated</w:t>
      </w:r>
      <w:r w:rsidR="00AD1A83">
        <w:t xml:space="preserve"> </w:t>
      </w:r>
      <w:r w:rsidR="00BA72AA">
        <w:t>Financial Reporting</w:t>
      </w:r>
      <w:r w:rsidR="00EB73DC">
        <w:t xml:space="preserve"> Operations Framework (FR</w:t>
      </w:r>
      <w:r w:rsidR="00AD1A83">
        <w:t xml:space="preserve">OF). The </w:t>
      </w:r>
      <w:r w:rsidR="008137F7">
        <w:t>updated</w:t>
      </w:r>
      <w:r w:rsidR="00AD1A83">
        <w:t xml:space="preserve"> </w:t>
      </w:r>
      <w:r w:rsidR="00EB73DC">
        <w:t>FR</w:t>
      </w:r>
      <w:r w:rsidR="00AD1A83">
        <w:t>OF is the result of a</w:t>
      </w:r>
      <w:r w:rsidR="00EB73DC">
        <w:t xml:space="preserve">n update of the </w:t>
      </w:r>
      <w:r w:rsidRPr="00600E54">
        <w:t xml:space="preserve">policy content </w:t>
      </w:r>
      <w:r w:rsidR="00AD1A83">
        <w:t>and consultation with departments.</w:t>
      </w:r>
    </w:p>
    <w:bookmarkEnd w:id="1"/>
    <w:p w:rsidR="004B2ADA" w:rsidRDefault="004B2ADA" w:rsidP="00A30D9F">
      <w:pPr>
        <w:pStyle w:val="Heading2"/>
      </w:pPr>
      <w:r>
        <w:t>What are the key changes</w:t>
      </w:r>
      <w:r w:rsidR="00A22A47">
        <w:t xml:space="preserve"> </w:t>
      </w:r>
      <w:r w:rsidR="00EE1702">
        <w:t xml:space="preserve">from the </w:t>
      </w:r>
      <w:r w:rsidR="00AD1A83">
        <w:t>previous</w:t>
      </w:r>
      <w:r w:rsidR="00EE1702">
        <w:t xml:space="preserve"> version of the </w:t>
      </w:r>
      <w:r w:rsidR="00EB73DC">
        <w:t>FR</w:t>
      </w:r>
      <w:r w:rsidR="00EE1702">
        <w:t>OF</w:t>
      </w:r>
      <w:r>
        <w:t>?</w:t>
      </w:r>
    </w:p>
    <w:p w:rsidR="00EE1702" w:rsidRDefault="00EE1702" w:rsidP="00EE1702">
      <w:r>
        <w:t xml:space="preserve">Primarily the changes in this </w:t>
      </w:r>
      <w:r w:rsidR="008137F7">
        <w:t>updated</w:t>
      </w:r>
      <w:r w:rsidR="00AD1A83">
        <w:t xml:space="preserve"> </w:t>
      </w:r>
      <w:r w:rsidR="00EB73DC">
        <w:t>FR</w:t>
      </w:r>
      <w:r w:rsidR="00AD1A83">
        <w:t>OF</w:t>
      </w:r>
      <w:r>
        <w:t xml:space="preserve"> are:</w:t>
      </w:r>
    </w:p>
    <w:p w:rsidR="0029571E" w:rsidRDefault="0029571E" w:rsidP="00215CEE">
      <w:pPr>
        <w:pStyle w:val="Bullet1"/>
      </w:pPr>
      <w:r>
        <w:t xml:space="preserve">the </w:t>
      </w:r>
      <w:r w:rsidR="00355998">
        <w:t>minor update of some of the existing sections</w:t>
      </w:r>
      <w:r>
        <w:t>;</w:t>
      </w:r>
    </w:p>
    <w:p w:rsidR="00355998" w:rsidRDefault="00EE1702" w:rsidP="00355998">
      <w:pPr>
        <w:pStyle w:val="Bullet1"/>
      </w:pPr>
      <w:r>
        <w:t xml:space="preserve">the </w:t>
      </w:r>
      <w:r w:rsidR="00355998">
        <w:t xml:space="preserve">addition of new sections for </w:t>
      </w:r>
      <w:r w:rsidR="007147D5">
        <w:t>infor</w:t>
      </w:r>
      <w:r w:rsidR="00355998">
        <w:t>mation and context purposes;</w:t>
      </w:r>
    </w:p>
    <w:p w:rsidR="00EE1702" w:rsidRDefault="00355998" w:rsidP="00355998">
      <w:pPr>
        <w:pStyle w:val="Bullet1"/>
      </w:pPr>
      <w:r>
        <w:t xml:space="preserve">the addition of sections moved from the old Budget Operations Framework; </w:t>
      </w:r>
      <w:r w:rsidR="00EE1702">
        <w:t>and</w:t>
      </w:r>
    </w:p>
    <w:p w:rsidR="00EE1702" w:rsidRDefault="00EE1702" w:rsidP="00215CEE">
      <w:pPr>
        <w:pStyle w:val="Bullet1"/>
      </w:pPr>
      <w:r>
        <w:t xml:space="preserve">the </w:t>
      </w:r>
      <w:r w:rsidR="00355998">
        <w:t>modification of a few of the mandatory requirements</w:t>
      </w:r>
      <w:r w:rsidR="0029571E">
        <w:t>.</w:t>
      </w:r>
    </w:p>
    <w:p w:rsidR="00EE1702" w:rsidRDefault="00EE1702" w:rsidP="00EE1702">
      <w:r>
        <w:t>The content largely reflects existing practices and policies.</w:t>
      </w:r>
      <w:r w:rsidR="0029571E">
        <w:t xml:space="preserve"> A table which tracks the changes by section and chapter </w:t>
      </w:r>
      <w:r w:rsidR="00A75FC2">
        <w:t>is set out i</w:t>
      </w:r>
      <w:r w:rsidR="007F67FD">
        <w:t xml:space="preserve">n the </w:t>
      </w:r>
      <w:r w:rsidR="009F3731">
        <w:t xml:space="preserve">next </w:t>
      </w:r>
      <w:r w:rsidR="003C5D84">
        <w:t>two</w:t>
      </w:r>
      <w:r w:rsidR="00A75FC2">
        <w:t xml:space="preserve"> </w:t>
      </w:r>
      <w:r w:rsidR="009F3731">
        <w:t>page</w:t>
      </w:r>
      <w:r w:rsidR="00A75FC2">
        <w:t>s</w:t>
      </w:r>
      <w:r w:rsidR="0029571E">
        <w:t>.</w:t>
      </w:r>
    </w:p>
    <w:p w:rsidR="00B40D69" w:rsidRDefault="00B40D69" w:rsidP="00B40D69">
      <w:pPr>
        <w:pStyle w:val="Heading2"/>
      </w:pPr>
      <w:r>
        <w:t xml:space="preserve">When does the </w:t>
      </w:r>
      <w:r w:rsidR="008137F7">
        <w:t xml:space="preserve">updated </w:t>
      </w:r>
      <w:r w:rsidR="00EB73DC">
        <w:t>FR</w:t>
      </w:r>
      <w:r>
        <w:t>OF apply?</w:t>
      </w:r>
    </w:p>
    <w:p w:rsidR="00B40D69" w:rsidRDefault="00A54D77" w:rsidP="00215CEE">
      <w:r>
        <w:t xml:space="preserve">The </w:t>
      </w:r>
      <w:r w:rsidR="008137F7">
        <w:t>updated</w:t>
      </w:r>
      <w:r>
        <w:t xml:space="preserve"> </w:t>
      </w:r>
      <w:r w:rsidR="00EB73DC">
        <w:t>FR</w:t>
      </w:r>
      <w:r>
        <w:t xml:space="preserve">OF </w:t>
      </w:r>
      <w:r w:rsidR="00A75FC2">
        <w:t xml:space="preserve">is effective </w:t>
      </w:r>
      <w:r w:rsidR="00EB73DC">
        <w:t xml:space="preserve">from </w:t>
      </w:r>
      <w:r w:rsidR="00EB73DC" w:rsidRPr="00A5121F">
        <w:rPr>
          <w:b/>
        </w:rPr>
        <w:t>1 July 2017</w:t>
      </w:r>
      <w:r w:rsidR="00EB73DC">
        <w:t>. The current FROF continues to be applicable until 30 June 2017</w:t>
      </w:r>
      <w:r>
        <w:t>.</w:t>
      </w:r>
    </w:p>
    <w:bookmarkEnd w:id="0"/>
    <w:p w:rsidR="00B40D69" w:rsidRDefault="00B40D69" w:rsidP="00B40D69">
      <w:pPr>
        <w:pStyle w:val="Heading2"/>
      </w:pPr>
      <w:r>
        <w:t>Link to the Standing Directions</w:t>
      </w:r>
    </w:p>
    <w:p w:rsidR="00B40D69" w:rsidRDefault="00B40D69" w:rsidP="00B40D69">
      <w:r>
        <w:t xml:space="preserve">Under the </w:t>
      </w:r>
      <w:hyperlink r:id="rId9" w:history="1">
        <w:r w:rsidRPr="00D46F72">
          <w:rPr>
            <w:rStyle w:val="Hyperlink"/>
          </w:rPr>
          <w:t>2016 Standing Directions of the Minister for Finance</w:t>
        </w:r>
      </w:hyperlink>
      <w:r>
        <w:t xml:space="preserve">, departments are required to apply the </w:t>
      </w:r>
      <w:r w:rsidR="00EB73DC">
        <w:t>FR</w:t>
      </w:r>
      <w:r>
        <w:t>OF (Direction 4.</w:t>
      </w:r>
      <w:r w:rsidR="00EB73DC">
        <w:t>4</w:t>
      </w:r>
      <w:r>
        <w:t>).</w:t>
      </w:r>
    </w:p>
    <w:p w:rsidR="00B40D69" w:rsidRPr="00B40D69" w:rsidRDefault="00B40D69" w:rsidP="00B40D69">
      <w:r>
        <w:t>Departments are subject to the compliance requirements set out in the 2016 Directions in relation to the frameworks. This includes public attestation of compliance in annual reports from 2017-18. See the 2016 Directions for more information, and particularly Direction 5.1.</w:t>
      </w:r>
    </w:p>
    <w:p w:rsidR="00CC194D" w:rsidRDefault="00B40D69" w:rsidP="00A30D9F">
      <w:pPr>
        <w:pStyle w:val="Heading2"/>
      </w:pPr>
      <w:r>
        <w:t>Feedback and suggestions</w:t>
      </w:r>
    </w:p>
    <w:p w:rsidR="00B40D69" w:rsidRDefault="00B40D69" w:rsidP="00A30D9F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</w:pPr>
      <w:r w:rsidRPr="00B40D69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 xml:space="preserve">Departments can ask questions or provide feedback on the </w:t>
      </w:r>
      <w:r w:rsidR="008137F7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 xml:space="preserve">updated </w:t>
      </w:r>
      <w:r w:rsidR="00EB73DC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>FR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>OF</w:t>
      </w:r>
      <w:r w:rsidRPr="00B40D69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 xml:space="preserve"> by contacting </w:t>
      </w:r>
      <w:hyperlink r:id="rId10" w:history="1">
        <w:r w:rsidRPr="00452164">
          <w:rPr>
            <w:rStyle w:val="Hyperlink"/>
            <w:rFonts w:asciiTheme="minorHAnsi" w:eastAsiaTheme="minorEastAsia" w:hAnsiTheme="minorHAnsi" w:cstheme="minorBidi"/>
            <w:b w:val="0"/>
            <w:bCs w:val="0"/>
            <w:sz w:val="20"/>
            <w:szCs w:val="20"/>
          </w:rPr>
          <w:t>financial.frameworks@dtf.vic.gov.au</w:t>
        </w:r>
      </w:hyperlink>
      <w:r w:rsidRPr="00B40D69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>.</w:t>
      </w:r>
    </w:p>
    <w:p w:rsidR="00CC194D" w:rsidRDefault="00CC194D" w:rsidP="00CC194D"/>
    <w:p w:rsidR="00215CEE" w:rsidRDefault="00215CEE" w:rsidP="00CC194D"/>
    <w:p w:rsidR="00854A48" w:rsidRDefault="00854A48" w:rsidP="00F417C3">
      <w:pPr>
        <w:sectPr w:rsidR="00854A48" w:rsidSect="00F417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160" w:right="1440" w:bottom="1980" w:left="1440" w:header="706" w:footer="461" w:gutter="0"/>
          <w:cols w:space="708"/>
          <w:docGrid w:linePitch="360"/>
        </w:sectPr>
      </w:pPr>
    </w:p>
    <w:p w:rsidR="00854A48" w:rsidRDefault="00854A48" w:rsidP="00854A48">
      <w:pPr>
        <w:pStyle w:val="Heading2"/>
      </w:pPr>
      <w:r>
        <w:lastRenderedPageBreak/>
        <w:t xml:space="preserve">Summary table of the major changes in the </w:t>
      </w:r>
      <w:r w:rsidR="008137F7">
        <w:t>updated</w:t>
      </w:r>
      <w:r>
        <w:t xml:space="preserve"> </w:t>
      </w:r>
      <w:r w:rsidR="00EB73DC">
        <w:t>FR</w:t>
      </w:r>
      <w:r>
        <w:t xml:space="preserve">OF </w:t>
      </w:r>
    </w:p>
    <w:tbl>
      <w:tblPr>
        <w:tblStyle w:val="DTFtexttable"/>
        <w:tblW w:w="5000" w:type="pct"/>
        <w:tblLayout w:type="fixed"/>
        <w:tblLook w:val="06A0" w:firstRow="1" w:lastRow="0" w:firstColumn="1" w:lastColumn="0" w:noHBand="1" w:noVBand="1"/>
      </w:tblPr>
      <w:tblGrid>
        <w:gridCol w:w="4877"/>
        <w:gridCol w:w="1275"/>
        <w:gridCol w:w="1275"/>
        <w:gridCol w:w="6645"/>
      </w:tblGrid>
      <w:tr w:rsidR="003C5D84" w:rsidTr="003C5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3" w:type="pct"/>
          </w:tcPr>
          <w:p w:rsidR="00854A48" w:rsidRPr="0066370B" w:rsidRDefault="00854A48" w:rsidP="00215CEE">
            <w:pPr>
              <w:pStyle w:val="Tableheader"/>
              <w:rPr>
                <w:b w:val="0"/>
              </w:rPr>
            </w:pPr>
            <w:r w:rsidRPr="0066370B">
              <w:t>Topic:</w:t>
            </w:r>
          </w:p>
        </w:tc>
        <w:tc>
          <w:tcPr>
            <w:tcW w:w="453" w:type="pct"/>
          </w:tcPr>
          <w:p w:rsidR="00854A48" w:rsidRPr="0066370B" w:rsidRDefault="00854A48" w:rsidP="002F56C6">
            <w:pPr>
              <w:pStyle w:val="Table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Old </w:t>
            </w:r>
            <w:r w:rsidR="002F56C6">
              <w:t>FROF</w:t>
            </w:r>
            <w:r>
              <w:t xml:space="preserve"> Section </w:t>
            </w:r>
            <w:r w:rsidR="001623E4">
              <w:t>No</w:t>
            </w:r>
            <w:r>
              <w:t>.</w:t>
            </w:r>
          </w:p>
        </w:tc>
        <w:tc>
          <w:tcPr>
            <w:tcW w:w="453" w:type="pct"/>
          </w:tcPr>
          <w:p w:rsidR="00854A48" w:rsidRPr="0066370B" w:rsidRDefault="008137F7" w:rsidP="002F56C6">
            <w:pPr>
              <w:pStyle w:val="Table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Updated</w:t>
            </w:r>
            <w:r w:rsidR="00854A48">
              <w:t xml:space="preserve"> </w:t>
            </w:r>
            <w:r w:rsidR="002F56C6">
              <w:t>FR</w:t>
            </w:r>
            <w:r w:rsidR="00854A48">
              <w:t xml:space="preserve">OF Section </w:t>
            </w:r>
            <w:bookmarkStart w:id="2" w:name="_GoBack"/>
            <w:bookmarkEnd w:id="2"/>
            <w:r w:rsidR="001623E4">
              <w:t>No</w:t>
            </w:r>
            <w:r w:rsidR="00854A48">
              <w:t>.</w:t>
            </w:r>
          </w:p>
        </w:tc>
        <w:tc>
          <w:tcPr>
            <w:tcW w:w="2361" w:type="pct"/>
          </w:tcPr>
          <w:p w:rsidR="00854A48" w:rsidRDefault="00854A48" w:rsidP="00215CEE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Comments</w:t>
            </w:r>
          </w:p>
        </w:tc>
      </w:tr>
      <w:tr w:rsidR="003C5D84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bottom w:val="nil"/>
            </w:tcBorders>
            <w:vAlign w:val="center"/>
          </w:tcPr>
          <w:p w:rsidR="002F56C6" w:rsidRPr="003C5D84" w:rsidRDefault="002F56C6" w:rsidP="003C5D84">
            <w:pPr>
              <w:pStyle w:val="Tabletextbold"/>
              <w:spacing w:before="60" w:after="60"/>
            </w:pPr>
            <w:r>
              <w:t>Monthly reporting requirements</w:t>
            </w:r>
          </w:p>
        </w:tc>
        <w:tc>
          <w:tcPr>
            <w:tcW w:w="453" w:type="pct"/>
            <w:tcBorders>
              <w:bottom w:val="nil"/>
            </w:tcBorders>
          </w:tcPr>
          <w:p w:rsidR="002F56C6" w:rsidRPr="00672FF8" w:rsidRDefault="002F56C6" w:rsidP="003C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FF8">
              <w:t>1.1</w:t>
            </w:r>
          </w:p>
        </w:tc>
        <w:tc>
          <w:tcPr>
            <w:tcW w:w="453" w:type="pct"/>
            <w:tcBorders>
              <w:bottom w:val="nil"/>
            </w:tcBorders>
          </w:tcPr>
          <w:p w:rsidR="002F56C6" w:rsidRPr="00672FF8" w:rsidRDefault="002F56C6" w:rsidP="003C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FF8">
              <w:t>1.1</w:t>
            </w:r>
          </w:p>
        </w:tc>
        <w:tc>
          <w:tcPr>
            <w:tcW w:w="2361" w:type="pct"/>
            <w:tcBorders>
              <w:bottom w:val="nil"/>
            </w:tcBorders>
          </w:tcPr>
          <w:p w:rsidR="002F56C6" w:rsidRPr="00672FF8" w:rsidRDefault="002F56C6" w:rsidP="003C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FF8">
              <w:t xml:space="preserve">No </w:t>
            </w:r>
            <w:r>
              <w:t xml:space="preserve">content </w:t>
            </w:r>
            <w:r w:rsidRPr="00672FF8">
              <w:t>changes</w:t>
            </w:r>
          </w:p>
        </w:tc>
      </w:tr>
      <w:tr w:rsidR="003C5D84" w:rsidRPr="00B105F5" w:rsidTr="003C5D8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C5D84" w:rsidRDefault="003C5D84" w:rsidP="00AA7C39">
            <w:pPr>
              <w:rPr>
                <w:b/>
              </w:rPr>
            </w:pPr>
            <w:r>
              <w:rPr>
                <w:b/>
              </w:rPr>
              <w:t>Cash management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C5D84" w:rsidRDefault="003C5D84" w:rsidP="003C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D84">
              <w:t>n/a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C5D84" w:rsidRDefault="003C5D84" w:rsidP="003C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C5D84">
              <w:rPr>
                <w:color w:val="FF0000"/>
              </w:rPr>
              <w:t>2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C5D84" w:rsidRDefault="003C5D84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C5D84">
              <w:rPr>
                <w:color w:val="FF0000"/>
              </w:rPr>
              <w:t>New introductory section explaining the State’s cash management process</w:t>
            </w:r>
          </w:p>
        </w:tc>
      </w:tr>
      <w:tr w:rsidR="003C5D84" w:rsidRPr="00B105F5" w:rsidTr="003C5D84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66370B" w:rsidRDefault="003C5D84" w:rsidP="00D049F5">
            <w:pPr>
              <w:rPr>
                <w:b/>
              </w:rPr>
            </w:pPr>
            <w:r>
              <w:rPr>
                <w:b/>
              </w:rPr>
              <w:t>Cash flow forecasting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672FF8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FF8">
              <w:t>1.2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724D9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724D9">
              <w:rPr>
                <w:color w:val="FF0000"/>
              </w:rPr>
              <w:t>2.1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724D9" w:rsidRDefault="003C5D84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724D9">
              <w:rPr>
                <w:color w:val="FF0000"/>
              </w:rPr>
              <w:t>Mandatory requirement amended to require authorisation of cash flow forecasts by the CFO (and not their delegate</w:t>
            </w:r>
            <w:r>
              <w:rPr>
                <w:color w:val="FF0000"/>
              </w:rPr>
              <w:t>)</w:t>
            </w:r>
            <w:r w:rsidRPr="003724D9">
              <w:rPr>
                <w:color w:val="FF0000"/>
              </w:rPr>
              <w:t xml:space="preserve">. Some of the guidance material moved to Section </w:t>
            </w:r>
            <w:r>
              <w:rPr>
                <w:color w:val="FF0000"/>
              </w:rPr>
              <w:t xml:space="preserve">2 </w:t>
            </w:r>
            <w:r w:rsidRPr="003724D9">
              <w:rPr>
                <w:color w:val="FF0000"/>
              </w:rPr>
              <w:t>introduction.</w:t>
            </w:r>
          </w:p>
        </w:tc>
      </w:tr>
      <w:tr w:rsidR="003C5D84" w:rsidRPr="00B105F5" w:rsidTr="003C5D8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66370B" w:rsidRDefault="003C5D84" w:rsidP="00D049F5">
            <w:pPr>
              <w:rPr>
                <w:b/>
              </w:rPr>
            </w:pPr>
            <w:r>
              <w:rPr>
                <w:b/>
              </w:rPr>
              <w:t>Cash management and reconciliation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672FF8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FF8">
              <w:t>1.3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724D9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724D9">
              <w:rPr>
                <w:color w:val="FF0000"/>
              </w:rPr>
              <w:t>2.2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672FF8" w:rsidRDefault="003C5D84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content changes</w:t>
            </w:r>
          </w:p>
        </w:tc>
      </w:tr>
      <w:tr w:rsidR="003C5D84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Default="003C5D84" w:rsidP="00D049F5">
            <w:pPr>
              <w:rPr>
                <w:b/>
              </w:rPr>
            </w:pPr>
            <w:r>
              <w:rPr>
                <w:b/>
              </w:rPr>
              <w:t>The classification and treatment of controlled and administered items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A04D1C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2.1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724D9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724D9">
              <w:rPr>
                <w:color w:val="FF0000"/>
              </w:rPr>
              <w:t>3.1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Default="003C5D84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09F">
              <w:t>No content changes</w:t>
            </w:r>
          </w:p>
        </w:tc>
      </w:tr>
      <w:tr w:rsidR="003C5D84" w:rsidTr="003C5D84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Default="003C5D84" w:rsidP="00D049F5">
            <w:pPr>
              <w:rPr>
                <w:b/>
              </w:rPr>
            </w:pPr>
            <w:r>
              <w:rPr>
                <w:b/>
              </w:rPr>
              <w:t>Materiality and other thresholds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A04D1C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2.2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724D9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724D9">
              <w:rPr>
                <w:color w:val="FF0000"/>
              </w:rPr>
              <w:t>3.2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Default="003C5D84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09F">
              <w:t>No content changes</w:t>
            </w:r>
          </w:p>
        </w:tc>
      </w:tr>
      <w:tr w:rsidR="003C5D84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Default="003C5D84" w:rsidP="00D049F5">
            <w:pPr>
              <w:rPr>
                <w:b/>
              </w:rPr>
            </w:pPr>
            <w:r>
              <w:rPr>
                <w:b/>
              </w:rPr>
              <w:t>Contributed capital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A04D1C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2.3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724D9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724D9">
              <w:rPr>
                <w:color w:val="FF0000"/>
              </w:rPr>
              <w:t>3.3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Default="003C5D84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09F">
              <w:t>No content changes</w:t>
            </w:r>
          </w:p>
        </w:tc>
      </w:tr>
      <w:tr w:rsidR="003C5D84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66370B" w:rsidRDefault="003C5D84" w:rsidP="00D049F5">
            <w:pPr>
              <w:rPr>
                <w:b/>
              </w:rPr>
            </w:pPr>
            <w:r>
              <w:rPr>
                <w:b/>
              </w:rPr>
              <w:t>Accounting for motor vehicle leasing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A04D1C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2.4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55998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998">
              <w:t>3.4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A04D1C" w:rsidRDefault="003C5D84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Minor e</w:t>
            </w:r>
            <w:r w:rsidRPr="00D859D9">
              <w:rPr>
                <w:color w:val="FF0000"/>
              </w:rPr>
              <w:t>ditorial changes to update the guidance provided</w:t>
            </w:r>
          </w:p>
        </w:tc>
      </w:tr>
      <w:tr w:rsidR="003C5D84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66370B" w:rsidRDefault="003C5D84" w:rsidP="008E5E5B">
            <w:pPr>
              <w:rPr>
                <w:b/>
              </w:rPr>
            </w:pPr>
            <w:r>
              <w:rPr>
                <w:b/>
              </w:rPr>
              <w:t xml:space="preserve">Accounting for the sale </w:t>
            </w:r>
            <w:r w:rsidR="008E5E5B">
              <w:rPr>
                <w:b/>
              </w:rPr>
              <w:t>o</w:t>
            </w:r>
            <w:r w:rsidR="00791F74">
              <w:rPr>
                <w:b/>
              </w:rPr>
              <w:t>f D</w:t>
            </w:r>
            <w:r w:rsidR="008E5E5B">
              <w:rPr>
                <w:b/>
              </w:rPr>
              <w:t>epartmental</w:t>
            </w:r>
            <w:r>
              <w:rPr>
                <w:b/>
              </w:rPr>
              <w:t xml:space="preserve"> assets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A04D1C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2.5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3724D9" w:rsidRDefault="003C5D84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724D9">
              <w:rPr>
                <w:color w:val="FF0000"/>
              </w:rPr>
              <w:t>3.5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C5D84" w:rsidRPr="00A04D1C" w:rsidRDefault="003C5D84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09F">
              <w:t>No content changes</w:t>
            </w:r>
          </w:p>
        </w:tc>
      </w:tr>
      <w:tr w:rsidR="00355998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Default="00355998" w:rsidP="00D049F5">
            <w:pPr>
              <w:rPr>
                <w:b/>
              </w:rPr>
            </w:pPr>
            <w:r w:rsidRPr="0066370B">
              <w:rPr>
                <w:b/>
              </w:rPr>
              <w:t>Redundancy payments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998">
              <w:t>n/a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355998" w:rsidRDefault="00355998" w:rsidP="002A4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5998">
              <w:rPr>
                <w:color w:val="FF0000"/>
              </w:rPr>
              <w:t>3.6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355998" w:rsidRDefault="00355998" w:rsidP="002A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5998">
              <w:rPr>
                <w:color w:val="FF0000"/>
              </w:rPr>
              <w:t>Moved from the old Budget Operations Framework</w:t>
            </w:r>
          </w:p>
        </w:tc>
      </w:tr>
      <w:tr w:rsidR="00355998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6370B" w:rsidRDefault="00355998" w:rsidP="00D049F5">
            <w:pPr>
              <w:rPr>
                <w:b/>
              </w:rPr>
            </w:pPr>
            <w:r w:rsidRPr="0066370B">
              <w:rPr>
                <w:b/>
              </w:rPr>
              <w:t>Superannuation expenses and liabilities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6370B" w:rsidRDefault="00355998" w:rsidP="00221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355998" w:rsidRDefault="00355998" w:rsidP="00221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5998">
              <w:rPr>
                <w:color w:val="FF0000"/>
              </w:rPr>
              <w:t>3.7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355998" w:rsidRDefault="00355998" w:rsidP="00221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5998">
              <w:rPr>
                <w:color w:val="FF0000"/>
              </w:rPr>
              <w:t>Moved from the old Budget Operations Framework</w:t>
            </w:r>
          </w:p>
        </w:tc>
      </w:tr>
      <w:tr w:rsidR="00355998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6370B" w:rsidRDefault="00355998" w:rsidP="00B1274B">
            <w:pPr>
              <w:rPr>
                <w:b/>
              </w:rPr>
            </w:pPr>
            <w:r w:rsidRPr="0066370B">
              <w:rPr>
                <w:b/>
              </w:rPr>
              <w:t>Annual leave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6370B" w:rsidRDefault="00355998" w:rsidP="00B1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3724D9" w:rsidRDefault="00355998" w:rsidP="00B1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724D9">
              <w:rPr>
                <w:color w:val="FF0000"/>
              </w:rPr>
              <w:t>3.8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3724D9" w:rsidRDefault="00355998" w:rsidP="00B12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724D9">
              <w:rPr>
                <w:color w:val="FF0000"/>
              </w:rPr>
              <w:t>Moved from the old B</w:t>
            </w:r>
            <w:r>
              <w:rPr>
                <w:color w:val="FF0000"/>
              </w:rPr>
              <w:t xml:space="preserve">udget </w:t>
            </w:r>
            <w:r w:rsidRPr="003724D9">
              <w:rPr>
                <w:color w:val="FF0000"/>
              </w:rPr>
              <w:t>O</w:t>
            </w:r>
            <w:r>
              <w:rPr>
                <w:color w:val="FF0000"/>
              </w:rPr>
              <w:t xml:space="preserve">perations </w:t>
            </w:r>
            <w:r w:rsidRPr="003724D9">
              <w:rPr>
                <w:color w:val="FF0000"/>
              </w:rPr>
              <w:t>F</w:t>
            </w:r>
            <w:r>
              <w:rPr>
                <w:color w:val="FF0000"/>
              </w:rPr>
              <w:t>ramework. Mandatory requirement updated in relation to transfer of balances in the event of a MOG change</w:t>
            </w:r>
          </w:p>
        </w:tc>
      </w:tr>
      <w:tr w:rsidR="00355998" w:rsidRPr="00B105F5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Default="00355998" w:rsidP="00355998">
            <w:pPr>
              <w:rPr>
                <w:b/>
              </w:rPr>
            </w:pPr>
            <w:r>
              <w:rPr>
                <w:b/>
              </w:rPr>
              <w:t>The Victorian Government chart of accounts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E56039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56039">
              <w:rPr>
                <w:color w:val="FF0000"/>
              </w:rPr>
              <w:t>4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E56039" w:rsidRDefault="00355998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New section</w:t>
            </w:r>
          </w:p>
        </w:tc>
      </w:tr>
      <w:tr w:rsidR="00355998" w:rsidRPr="00686D58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6370B" w:rsidRDefault="008E5E5B" w:rsidP="008E5E5B">
            <w:pPr>
              <w:rPr>
                <w:b/>
              </w:rPr>
            </w:pPr>
            <w:r>
              <w:rPr>
                <w:b/>
              </w:rPr>
              <w:lastRenderedPageBreak/>
              <w:t>Machinery of government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D3205C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3724D9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71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Guidance removed and r</w:t>
            </w:r>
            <w:r w:rsidRPr="003724D9">
              <w:rPr>
                <w:color w:val="FF0000"/>
              </w:rPr>
              <w:t xml:space="preserve">eplaced with </w:t>
            </w:r>
            <w:r w:rsidR="007147D5">
              <w:rPr>
                <w:color w:val="FF0000"/>
              </w:rPr>
              <w:t xml:space="preserve">a </w:t>
            </w:r>
            <w:r>
              <w:rPr>
                <w:color w:val="FF0000"/>
              </w:rPr>
              <w:t xml:space="preserve">reference to </w:t>
            </w:r>
            <w:r w:rsidR="007147D5">
              <w:rPr>
                <w:color w:val="FF0000"/>
              </w:rPr>
              <w:t xml:space="preserve">the </w:t>
            </w:r>
            <w:r>
              <w:rPr>
                <w:color w:val="FF0000"/>
              </w:rPr>
              <w:t xml:space="preserve">new </w:t>
            </w:r>
            <w:r w:rsidR="007147D5" w:rsidRPr="007147D5">
              <w:rPr>
                <w:i/>
                <w:color w:val="FF0000"/>
              </w:rPr>
              <w:t>Victorian public sector operating manual on machinery of government changes</w:t>
            </w:r>
          </w:p>
        </w:tc>
      </w:tr>
      <w:tr w:rsidR="00355998" w:rsidRPr="00917A57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6370B" w:rsidRDefault="00355998" w:rsidP="00D049F5">
            <w:pPr>
              <w:rPr>
                <w:b/>
              </w:rPr>
            </w:pPr>
            <w:r>
              <w:rPr>
                <w:b/>
              </w:rPr>
              <w:t>Template for cash and actuals reconciliation in SRIMS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Attachment 1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Attachment 1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09F">
              <w:t>No content changes</w:t>
            </w:r>
          </w:p>
        </w:tc>
      </w:tr>
      <w:tr w:rsidR="00355998" w:rsidRPr="00B105F5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6370B" w:rsidRDefault="00355998" w:rsidP="00D049F5">
            <w:pPr>
              <w:rPr>
                <w:b/>
              </w:rPr>
            </w:pPr>
            <w:r>
              <w:rPr>
                <w:b/>
              </w:rPr>
              <w:t xml:space="preserve">Vicfleet </w:t>
            </w:r>
            <w:r w:rsidR="008E5E5B">
              <w:rPr>
                <w:b/>
              </w:rPr>
              <w:t xml:space="preserve">lease </w:t>
            </w:r>
            <w:r>
              <w:rPr>
                <w:b/>
              </w:rPr>
              <w:t>accounting transactions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Attachment 2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Attachment 2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D9">
              <w:rPr>
                <w:color w:val="FF0000"/>
              </w:rPr>
              <w:t>Minor editorial changes to update journal entries guidance</w:t>
            </w:r>
          </w:p>
        </w:tc>
      </w:tr>
      <w:tr w:rsidR="00355998" w:rsidRPr="00B105F5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Default="00355998" w:rsidP="00D049F5">
            <w:pPr>
              <w:rPr>
                <w:b/>
              </w:rPr>
            </w:pPr>
            <w:r>
              <w:rPr>
                <w:b/>
              </w:rPr>
              <w:t>Indicative depreciation rates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Attachment 3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7FB">
              <w:rPr>
                <w:color w:val="FF0000"/>
              </w:rPr>
              <w:t>n/a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CE5" w:rsidP="00355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Removed, being considered for inclusion in the Model Report. A copy is available upon request.</w:t>
            </w:r>
          </w:p>
        </w:tc>
      </w:tr>
      <w:tr w:rsidR="00355998" w:rsidRPr="00B105F5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6370B" w:rsidRDefault="00355998" w:rsidP="00D049F5">
            <w:pPr>
              <w:rPr>
                <w:b/>
              </w:rPr>
            </w:pPr>
            <w:r>
              <w:rPr>
                <w:b/>
              </w:rPr>
              <w:t>Contributed capital scenarios and examples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Attachment 4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337FB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337FB">
              <w:rPr>
                <w:color w:val="FF0000"/>
              </w:rPr>
              <w:t>Attachment 3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72FF8" w:rsidRDefault="00355998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Sample j</w:t>
            </w:r>
            <w:r w:rsidRPr="00D859D9">
              <w:rPr>
                <w:color w:val="FF0000"/>
              </w:rPr>
              <w:t>ournal entries converted from the embedded spreadsheet into the document for easier access</w:t>
            </w:r>
          </w:p>
        </w:tc>
      </w:tr>
      <w:tr w:rsidR="00355998" w:rsidRPr="00B105F5" w:rsidTr="003C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6370B" w:rsidRDefault="00355998" w:rsidP="00791F74">
            <w:pPr>
              <w:rPr>
                <w:b/>
              </w:rPr>
            </w:pPr>
            <w:r>
              <w:rPr>
                <w:b/>
              </w:rPr>
              <w:t xml:space="preserve">Sample journal entries for the sale of </w:t>
            </w:r>
            <w:r w:rsidR="00791F74">
              <w:rPr>
                <w:b/>
              </w:rPr>
              <w:t>D</w:t>
            </w:r>
            <w:r w:rsidR="008E5E5B">
              <w:rPr>
                <w:b/>
              </w:rPr>
              <w:t>epartmental</w:t>
            </w:r>
            <w:r>
              <w:rPr>
                <w:b/>
              </w:rPr>
              <w:t xml:space="preserve"> assets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A04D1C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1C">
              <w:t>Attachment 5</w:t>
            </w:r>
          </w:p>
        </w:tc>
        <w:tc>
          <w:tcPr>
            <w:tcW w:w="4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6337FB" w:rsidRDefault="00355998" w:rsidP="00D04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337FB">
              <w:rPr>
                <w:color w:val="FF0000"/>
              </w:rPr>
              <w:t>Attachment 4</w:t>
            </w:r>
          </w:p>
        </w:tc>
        <w:tc>
          <w:tcPr>
            <w:tcW w:w="2361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355998" w:rsidRPr="00431E01" w:rsidRDefault="00355998" w:rsidP="00D0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Insertion of sample journal entries for assets given and received free of charge</w:t>
            </w:r>
          </w:p>
        </w:tc>
      </w:tr>
    </w:tbl>
    <w:p w:rsidR="00854A48" w:rsidRPr="009F3731" w:rsidRDefault="00854A48" w:rsidP="00854A48"/>
    <w:sectPr w:rsidR="00854A48" w:rsidRPr="009F3731" w:rsidSect="00215C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6838" w:h="11906" w:orient="landscape" w:code="9"/>
      <w:pgMar w:top="1440" w:right="1440" w:bottom="1354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85" w:rsidRDefault="009B1985" w:rsidP="002D711A">
      <w:pPr>
        <w:spacing w:after="0" w:line="240" w:lineRule="auto"/>
      </w:pPr>
      <w:r>
        <w:separator/>
      </w:r>
    </w:p>
  </w:endnote>
  <w:endnote w:type="continuationSeparator" w:id="0">
    <w:p w:rsidR="009B1985" w:rsidRDefault="009B1985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48" w:rsidRPr="001E31FA" w:rsidRDefault="00854A48" w:rsidP="001E31FA">
    <w:pPr>
      <w:pStyle w:val="Spacer"/>
    </w:pPr>
  </w:p>
  <w:p w:rsidR="00854A48" w:rsidRPr="00297281" w:rsidRDefault="00854A48" w:rsidP="00C022F9">
    <w:pPr>
      <w:pStyle w:val="Footer"/>
    </w:pPr>
    <w:r w:rsidRPr="00D542F3">
      <w:t xml:space="preserve">Page </w:t>
    </w:r>
    <w:r w:rsidRPr="00D542F3">
      <w:rPr>
        <w:rStyle w:val="PageNumber"/>
      </w:rPr>
      <w:fldChar w:fldCharType="begin"/>
    </w:r>
    <w:r w:rsidRPr="00D542F3">
      <w:rPr>
        <w:rStyle w:val="PageNumber"/>
      </w:rPr>
      <w:instrText xml:space="preserve"> Page </w:instrText>
    </w:r>
    <w:r w:rsidRPr="00D542F3">
      <w:rPr>
        <w:rStyle w:val="PageNumber"/>
      </w:rPr>
      <w:fldChar w:fldCharType="separate"/>
    </w:r>
    <w:r>
      <w:rPr>
        <w:rStyle w:val="PageNumber"/>
      </w:rPr>
      <w:t>2</w:t>
    </w:r>
    <w:r w:rsidRPr="00D542F3">
      <w:rPr>
        <w:rStyle w:val="PageNumber"/>
      </w:rPr>
      <w:fldChar w:fldCharType="end"/>
    </w:r>
    <w:r>
      <w:rPr>
        <w:rStyle w:val="PageNumber"/>
      </w:rPr>
      <w:tab/>
    </w:r>
    <w:r w:rsidRPr="00C92338">
      <w:rPr>
        <w:b/>
        <w:noProof w:val="0"/>
        <w:color w:val="0063A6" w:themeColor="accent1"/>
        <w:sz w:val="20"/>
      </w:rPr>
      <w:fldChar w:fldCharType="begin"/>
    </w:r>
    <w:r w:rsidRPr="00C92338">
      <w:rPr>
        <w:b/>
        <w:color w:val="0063A6" w:themeColor="accent1"/>
        <w:sz w:val="20"/>
      </w:rPr>
      <w:instrText xml:space="preserve"> StyleRef “Title” </w:instrText>
    </w:r>
    <w:r w:rsidRPr="00C92338">
      <w:rPr>
        <w:b/>
        <w:noProof w:val="0"/>
        <w:color w:val="0063A6" w:themeColor="accent1"/>
        <w:sz w:val="20"/>
      </w:rPr>
      <w:fldChar w:fldCharType="separate"/>
    </w:r>
    <w:r w:rsidR="005A4621">
      <w:rPr>
        <w:b/>
        <w:color w:val="0063A6" w:themeColor="accent1"/>
        <w:sz w:val="20"/>
      </w:rPr>
      <w:t>Updated Financial Reporting Operations Framework – effective from 1 July 2017</w:t>
    </w:r>
    <w:r w:rsidRPr="00C92338">
      <w:rPr>
        <w:b/>
        <w:color w:val="0063A6" w:themeColor="accent1"/>
        <w:sz w:val="20"/>
      </w:rPr>
      <w:fldChar w:fldCharType="end"/>
    </w:r>
    <w:r>
      <w:rPr>
        <w:b/>
        <w:color w:val="0063A6" w:themeColor="accent1"/>
      </w:rPr>
      <w:t xml:space="preserve"> – </w:t>
    </w:r>
    <w:r>
      <w:rPr>
        <w:noProof w:val="0"/>
      </w:rPr>
      <w:fldChar w:fldCharType="begin"/>
    </w:r>
    <w:r>
      <w:instrText xml:space="preserve"> StyleRef “Subtitle” </w:instrText>
    </w:r>
    <w:r>
      <w:rPr>
        <w:noProof w:val="0"/>
      </w:rPr>
      <w:fldChar w:fldCharType="separate"/>
    </w:r>
    <w:r w:rsidR="005A4621">
      <w:rPr>
        <w:b/>
        <w:bCs/>
        <w:lang w:val="en-US"/>
      </w:rPr>
      <w:t>Error! No text of specified style in document.</w:t>
    </w:r>
    <w:r>
      <w:fldChar w:fldCharType="end"/>
    </w:r>
    <w:r w:rsidRPr="0018749C">
      <w:t xml:space="preserve">, </w:t>
    </w:r>
    <w:r>
      <w:rPr>
        <w:noProof w:val="0"/>
      </w:rPr>
      <w:fldChar w:fldCharType="begin"/>
    </w:r>
    <w:r>
      <w:instrText xml:space="preserve"> StyleRef “Tertiary Title” </w:instrText>
    </w:r>
    <w:r>
      <w:rPr>
        <w:noProof w:val="0"/>
      </w:rPr>
      <w:fldChar w:fldCharType="separate"/>
    </w:r>
    <w:r w:rsidR="005A4621">
      <w:rPr>
        <w:b/>
        <w:bCs/>
        <w:lang w:val="en-US"/>
      </w:rPr>
      <w:t>Error! No text of specified style in document.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48" w:rsidRDefault="00854A48" w:rsidP="00165E66">
    <w:pPr>
      <w:pStyle w:val="Spacer"/>
    </w:pPr>
  </w:p>
  <w:p w:rsidR="00854A48" w:rsidRPr="00C022F9" w:rsidRDefault="00854A48" w:rsidP="00165E66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1623E4">
      <w:rPr>
        <w:b/>
        <w:color w:val="0063A6" w:themeColor="accent1"/>
      </w:rPr>
      <w:t>Updated Financial Reporting Operations Framework – effective from 1 July 2017</w:t>
    </w:r>
    <w:r w:rsidRPr="00C022F9">
      <w:rPr>
        <w:b/>
        <w:color w:val="0063A6" w:themeColor="accent1"/>
      </w:rPr>
      <w:fldChar w:fldCharType="end"/>
    </w: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1623E4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7" w:rsidRDefault="008137F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13" w:rsidRPr="00014213" w:rsidRDefault="00014213" w:rsidP="00C022F9">
    <w:pPr>
      <w:pStyle w:val="Footer"/>
    </w:pPr>
    <w:r>
      <w:drawing>
        <wp:anchor distT="0" distB="0" distL="114300" distR="114300" simplePos="0" relativeHeight="251667456" behindDoc="0" locked="0" layoutInCell="1" allowOverlap="1" wp14:anchorId="35449AF9" wp14:editId="23FA1867">
          <wp:simplePos x="0" y="0"/>
          <wp:positionH relativeFrom="column">
            <wp:posOffset>4240861</wp:posOffset>
          </wp:positionH>
          <wp:positionV relativeFrom="page">
            <wp:posOffset>9493250</wp:posOffset>
          </wp:positionV>
          <wp:extent cx="1956435" cy="582930"/>
          <wp:effectExtent l="0" t="0" r="5715" b="7620"/>
          <wp:wrapNone/>
          <wp:docPr id="2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EE" w:rsidRDefault="00215CEE" w:rsidP="00165E66">
    <w:pPr>
      <w:pStyle w:val="Spacer"/>
    </w:pPr>
  </w:p>
  <w:p w:rsidR="00215CEE" w:rsidRPr="00C022F9" w:rsidRDefault="00215CEE" w:rsidP="00215CEE">
    <w:pPr>
      <w:pStyle w:val="Footer"/>
      <w:tabs>
        <w:tab w:val="clear" w:pos="9026"/>
        <w:tab w:val="right" w:pos="13950"/>
      </w:tabs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E55DA3">
      <w:rPr>
        <w:b/>
        <w:color w:val="0063A6" w:themeColor="accent1"/>
      </w:rPr>
      <w:t>Updated Financial Reporting Operations Framework – effective from 1 July 2017</w:t>
    </w:r>
    <w:r w:rsidRPr="00C022F9">
      <w:rPr>
        <w:b/>
        <w:color w:val="0063A6" w:themeColor="accent1"/>
      </w:rPr>
      <w:fldChar w:fldCharType="end"/>
    </w: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E55DA3">
      <w:rPr>
        <w:rStyle w:val="PageNumber"/>
      </w:rPr>
      <w:t>2</w:t>
    </w:r>
    <w:r w:rsidRPr="00DE60CC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9" w:rsidRDefault="00B40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85" w:rsidRDefault="009B1985" w:rsidP="002D711A">
      <w:pPr>
        <w:spacing w:after="0" w:line="240" w:lineRule="auto"/>
      </w:pPr>
      <w:r>
        <w:separator/>
      </w:r>
    </w:p>
  </w:footnote>
  <w:footnote w:type="continuationSeparator" w:id="0">
    <w:p w:rsidR="009B1985" w:rsidRDefault="009B1985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7" w:rsidRDefault="00813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48" w:rsidRDefault="00854A48">
    <w:pPr>
      <w:pStyle w:val="Header"/>
    </w:pPr>
    <w:r w:rsidRPr="00227C39">
      <w:rPr>
        <w:noProof/>
      </w:rPr>
      <w:drawing>
        <wp:anchor distT="0" distB="0" distL="114300" distR="114300" simplePos="0" relativeHeight="251676672" behindDoc="0" locked="0" layoutInCell="1" allowOverlap="1" wp14:anchorId="45EF461D" wp14:editId="0761B309">
          <wp:simplePos x="0" y="0"/>
          <wp:positionH relativeFrom="column">
            <wp:posOffset>-325755</wp:posOffset>
          </wp:positionH>
          <wp:positionV relativeFrom="page">
            <wp:posOffset>297815</wp:posOffset>
          </wp:positionV>
          <wp:extent cx="1380490" cy="411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C39">
      <w:rPr>
        <w:noProof/>
      </w:rPr>
      <w:drawing>
        <wp:anchor distT="0" distB="0" distL="114300" distR="114300" simplePos="0" relativeHeight="251675648" behindDoc="0" locked="0" layoutInCell="1" allowOverlap="1" wp14:anchorId="4A1E1458" wp14:editId="7EFF5705">
          <wp:simplePos x="0" y="0"/>
          <wp:positionH relativeFrom="column">
            <wp:posOffset>-914400</wp:posOffset>
          </wp:positionH>
          <wp:positionV relativeFrom="page">
            <wp:posOffset>124147</wp:posOffset>
          </wp:positionV>
          <wp:extent cx="7592124" cy="740664"/>
          <wp:effectExtent l="0" t="0" r="0" b="2540"/>
          <wp:wrapNone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12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7" w:rsidRDefault="008137F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9" w:rsidRDefault="00B40D6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EE" w:rsidRPr="0041689E" w:rsidRDefault="00215CEE" w:rsidP="00215CEE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13B61BFE" wp14:editId="4C5C9359">
          <wp:simplePos x="0" y="0"/>
          <wp:positionH relativeFrom="column">
            <wp:posOffset>-237379</wp:posOffset>
          </wp:positionH>
          <wp:positionV relativeFrom="page">
            <wp:posOffset>229870</wp:posOffset>
          </wp:positionV>
          <wp:extent cx="1183640" cy="3524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8DA064" wp14:editId="524ED4C0">
          <wp:simplePos x="0" y="0"/>
          <wp:positionH relativeFrom="column">
            <wp:posOffset>-2218994</wp:posOffset>
          </wp:positionH>
          <wp:positionV relativeFrom="page">
            <wp:posOffset>115570</wp:posOffset>
          </wp:positionV>
          <wp:extent cx="13157835" cy="548640"/>
          <wp:effectExtent l="0" t="0" r="571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HEADER_9545 DTF Covers A4 Final_Blue6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50"/>
                  <a:stretch/>
                </pic:blipFill>
                <pic:spPr bwMode="auto">
                  <a:xfrm>
                    <a:off x="0" y="0"/>
                    <a:ext cx="1315783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9" w:rsidRDefault="00B40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163"/>
    <w:multiLevelType w:val="hybridMultilevel"/>
    <w:tmpl w:val="44AE1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4">
    <w:nsid w:val="51A73A9E"/>
    <w:multiLevelType w:val="hybridMultilevel"/>
    <w:tmpl w:val="DCF8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C2F93"/>
    <w:multiLevelType w:val="hybridMultilevel"/>
    <w:tmpl w:val="B21A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8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2"/>
  </w:num>
  <w:num w:numId="18">
    <w:abstractNumId w:val="2"/>
  </w:num>
  <w:num w:numId="19">
    <w:abstractNumId w:val="7"/>
  </w:num>
  <w:num w:numId="20">
    <w:abstractNumId w:val="8"/>
  </w:num>
  <w:num w:numId="21">
    <w:abstractNumId w:val="5"/>
  </w:num>
  <w:num w:numId="22">
    <w:abstractNumId w:val="4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85"/>
    <w:rsid w:val="0000146A"/>
    <w:rsid w:val="00012F6F"/>
    <w:rsid w:val="00014213"/>
    <w:rsid w:val="00014B55"/>
    <w:rsid w:val="00020E3E"/>
    <w:rsid w:val="000228B8"/>
    <w:rsid w:val="00023BF3"/>
    <w:rsid w:val="00026811"/>
    <w:rsid w:val="0004356D"/>
    <w:rsid w:val="00045296"/>
    <w:rsid w:val="00064B81"/>
    <w:rsid w:val="00075E6C"/>
    <w:rsid w:val="0007757C"/>
    <w:rsid w:val="000B29AD"/>
    <w:rsid w:val="000C6372"/>
    <w:rsid w:val="000D7E09"/>
    <w:rsid w:val="000E392D"/>
    <w:rsid w:val="000F3180"/>
    <w:rsid w:val="000F4288"/>
    <w:rsid w:val="000F7165"/>
    <w:rsid w:val="00102379"/>
    <w:rsid w:val="001065D6"/>
    <w:rsid w:val="00121252"/>
    <w:rsid w:val="00124609"/>
    <w:rsid w:val="001254CE"/>
    <w:rsid w:val="00134CEA"/>
    <w:rsid w:val="001422CC"/>
    <w:rsid w:val="001617B6"/>
    <w:rsid w:val="001623E4"/>
    <w:rsid w:val="00165E66"/>
    <w:rsid w:val="0017493C"/>
    <w:rsid w:val="00196BEA"/>
    <w:rsid w:val="001C7BAE"/>
    <w:rsid w:val="001D3732"/>
    <w:rsid w:val="001E31FA"/>
    <w:rsid w:val="001E64F6"/>
    <w:rsid w:val="002122DA"/>
    <w:rsid w:val="00215CEE"/>
    <w:rsid w:val="00222BEB"/>
    <w:rsid w:val="00225E60"/>
    <w:rsid w:val="0023202C"/>
    <w:rsid w:val="00236203"/>
    <w:rsid w:val="00245043"/>
    <w:rsid w:val="00257760"/>
    <w:rsid w:val="0028009E"/>
    <w:rsid w:val="00292D36"/>
    <w:rsid w:val="0029571E"/>
    <w:rsid w:val="00297281"/>
    <w:rsid w:val="002B07FF"/>
    <w:rsid w:val="002B0BC3"/>
    <w:rsid w:val="002C54E0"/>
    <w:rsid w:val="002D711A"/>
    <w:rsid w:val="002D7336"/>
    <w:rsid w:val="002E3396"/>
    <w:rsid w:val="002F2F89"/>
    <w:rsid w:val="002F56C6"/>
    <w:rsid w:val="00303CCF"/>
    <w:rsid w:val="0031149C"/>
    <w:rsid w:val="003169AF"/>
    <w:rsid w:val="003327DC"/>
    <w:rsid w:val="00355998"/>
    <w:rsid w:val="00355CE5"/>
    <w:rsid w:val="00386EB2"/>
    <w:rsid w:val="0038771C"/>
    <w:rsid w:val="0039405B"/>
    <w:rsid w:val="003A1C92"/>
    <w:rsid w:val="003A541A"/>
    <w:rsid w:val="003A6923"/>
    <w:rsid w:val="003C2C23"/>
    <w:rsid w:val="003C2C67"/>
    <w:rsid w:val="003C5BA4"/>
    <w:rsid w:val="003C5D84"/>
    <w:rsid w:val="003E3E26"/>
    <w:rsid w:val="003F1295"/>
    <w:rsid w:val="003F76FC"/>
    <w:rsid w:val="004002EB"/>
    <w:rsid w:val="0041689E"/>
    <w:rsid w:val="004236C8"/>
    <w:rsid w:val="00427681"/>
    <w:rsid w:val="00430DB9"/>
    <w:rsid w:val="00431DE9"/>
    <w:rsid w:val="00433DB7"/>
    <w:rsid w:val="00453750"/>
    <w:rsid w:val="00456941"/>
    <w:rsid w:val="004669E3"/>
    <w:rsid w:val="004702EA"/>
    <w:rsid w:val="00482D02"/>
    <w:rsid w:val="004A7519"/>
    <w:rsid w:val="004B2AD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A4621"/>
    <w:rsid w:val="005B0F38"/>
    <w:rsid w:val="005B27FE"/>
    <w:rsid w:val="005C3E6D"/>
    <w:rsid w:val="005E1F9C"/>
    <w:rsid w:val="005F61DF"/>
    <w:rsid w:val="00600E54"/>
    <w:rsid w:val="006023F9"/>
    <w:rsid w:val="00610559"/>
    <w:rsid w:val="0063098A"/>
    <w:rsid w:val="006332F6"/>
    <w:rsid w:val="00634A1C"/>
    <w:rsid w:val="00634D1B"/>
    <w:rsid w:val="006361E7"/>
    <w:rsid w:val="00652625"/>
    <w:rsid w:val="006534B2"/>
    <w:rsid w:val="0065615D"/>
    <w:rsid w:val="00657011"/>
    <w:rsid w:val="006650B5"/>
    <w:rsid w:val="006651B1"/>
    <w:rsid w:val="00665778"/>
    <w:rsid w:val="006A44D8"/>
    <w:rsid w:val="006A5B34"/>
    <w:rsid w:val="006A5F5B"/>
    <w:rsid w:val="006C77A9"/>
    <w:rsid w:val="006E528B"/>
    <w:rsid w:val="006F6693"/>
    <w:rsid w:val="00707FE8"/>
    <w:rsid w:val="007147D5"/>
    <w:rsid w:val="00722DCC"/>
    <w:rsid w:val="00724962"/>
    <w:rsid w:val="00724A0F"/>
    <w:rsid w:val="007320B4"/>
    <w:rsid w:val="00732162"/>
    <w:rsid w:val="00736732"/>
    <w:rsid w:val="00750CBE"/>
    <w:rsid w:val="00766B5A"/>
    <w:rsid w:val="007834F2"/>
    <w:rsid w:val="00791020"/>
    <w:rsid w:val="00791F74"/>
    <w:rsid w:val="007A5F82"/>
    <w:rsid w:val="007C0963"/>
    <w:rsid w:val="007C4A7D"/>
    <w:rsid w:val="007D798E"/>
    <w:rsid w:val="007F1A4C"/>
    <w:rsid w:val="007F67FD"/>
    <w:rsid w:val="008022C3"/>
    <w:rsid w:val="008041E6"/>
    <w:rsid w:val="008065D2"/>
    <w:rsid w:val="008137F7"/>
    <w:rsid w:val="0082194C"/>
    <w:rsid w:val="008220C4"/>
    <w:rsid w:val="008222FF"/>
    <w:rsid w:val="008241FF"/>
    <w:rsid w:val="0083618B"/>
    <w:rsid w:val="008411E9"/>
    <w:rsid w:val="0084200F"/>
    <w:rsid w:val="00843B2C"/>
    <w:rsid w:val="00854A48"/>
    <w:rsid w:val="008A0751"/>
    <w:rsid w:val="008A4900"/>
    <w:rsid w:val="008B7F11"/>
    <w:rsid w:val="008D0281"/>
    <w:rsid w:val="008E3C4E"/>
    <w:rsid w:val="008E5E5B"/>
    <w:rsid w:val="008F6D45"/>
    <w:rsid w:val="00963E0B"/>
    <w:rsid w:val="0097518C"/>
    <w:rsid w:val="00980DBF"/>
    <w:rsid w:val="009828DA"/>
    <w:rsid w:val="009834C0"/>
    <w:rsid w:val="00986AAC"/>
    <w:rsid w:val="009A1DA2"/>
    <w:rsid w:val="009A3704"/>
    <w:rsid w:val="009A4739"/>
    <w:rsid w:val="009A674F"/>
    <w:rsid w:val="009B1985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3731"/>
    <w:rsid w:val="009F5C58"/>
    <w:rsid w:val="00A023A0"/>
    <w:rsid w:val="00A1562B"/>
    <w:rsid w:val="00A170F4"/>
    <w:rsid w:val="00A17376"/>
    <w:rsid w:val="00A22A47"/>
    <w:rsid w:val="00A2559E"/>
    <w:rsid w:val="00A25FD9"/>
    <w:rsid w:val="00A30D9F"/>
    <w:rsid w:val="00A46BA8"/>
    <w:rsid w:val="00A47634"/>
    <w:rsid w:val="00A5121F"/>
    <w:rsid w:val="00A54D77"/>
    <w:rsid w:val="00A612FE"/>
    <w:rsid w:val="00A71611"/>
    <w:rsid w:val="00A75FC2"/>
    <w:rsid w:val="00A906D8"/>
    <w:rsid w:val="00AA26B8"/>
    <w:rsid w:val="00AB3FE2"/>
    <w:rsid w:val="00AD1A83"/>
    <w:rsid w:val="00AD1B6C"/>
    <w:rsid w:val="00AD3322"/>
    <w:rsid w:val="00AD7E4E"/>
    <w:rsid w:val="00AE41D9"/>
    <w:rsid w:val="00AF4D58"/>
    <w:rsid w:val="00AF6666"/>
    <w:rsid w:val="00B057BA"/>
    <w:rsid w:val="00B10154"/>
    <w:rsid w:val="00B40D69"/>
    <w:rsid w:val="00B81B44"/>
    <w:rsid w:val="00B9053B"/>
    <w:rsid w:val="00BA72AA"/>
    <w:rsid w:val="00BC3422"/>
    <w:rsid w:val="00BE5B54"/>
    <w:rsid w:val="00C015B9"/>
    <w:rsid w:val="00C022F9"/>
    <w:rsid w:val="00C032EA"/>
    <w:rsid w:val="00C06EB5"/>
    <w:rsid w:val="00C1145F"/>
    <w:rsid w:val="00C637E1"/>
    <w:rsid w:val="00C67638"/>
    <w:rsid w:val="00C70D50"/>
    <w:rsid w:val="00C907D7"/>
    <w:rsid w:val="00C92338"/>
    <w:rsid w:val="00CA7C3A"/>
    <w:rsid w:val="00CB1C43"/>
    <w:rsid w:val="00CC194D"/>
    <w:rsid w:val="00CC2663"/>
    <w:rsid w:val="00CC2DB2"/>
    <w:rsid w:val="00CD0307"/>
    <w:rsid w:val="00CD3D1B"/>
    <w:rsid w:val="00CF6AB1"/>
    <w:rsid w:val="00CF7DCA"/>
    <w:rsid w:val="00D211E9"/>
    <w:rsid w:val="00D2312F"/>
    <w:rsid w:val="00D269C1"/>
    <w:rsid w:val="00D3205C"/>
    <w:rsid w:val="00D44953"/>
    <w:rsid w:val="00D46F72"/>
    <w:rsid w:val="00D542F3"/>
    <w:rsid w:val="00D5644B"/>
    <w:rsid w:val="00D56E25"/>
    <w:rsid w:val="00D718D7"/>
    <w:rsid w:val="00D7288C"/>
    <w:rsid w:val="00D77729"/>
    <w:rsid w:val="00D814B7"/>
    <w:rsid w:val="00D90688"/>
    <w:rsid w:val="00D94140"/>
    <w:rsid w:val="00DA3AAD"/>
    <w:rsid w:val="00DB312B"/>
    <w:rsid w:val="00DC5654"/>
    <w:rsid w:val="00DC658F"/>
    <w:rsid w:val="00DE60CC"/>
    <w:rsid w:val="00E26B32"/>
    <w:rsid w:val="00E407B6"/>
    <w:rsid w:val="00E41EF1"/>
    <w:rsid w:val="00E42942"/>
    <w:rsid w:val="00E46545"/>
    <w:rsid w:val="00E468A6"/>
    <w:rsid w:val="00E553F9"/>
    <w:rsid w:val="00E55DA3"/>
    <w:rsid w:val="00E6645A"/>
    <w:rsid w:val="00E71BDF"/>
    <w:rsid w:val="00E83CA7"/>
    <w:rsid w:val="00E85403"/>
    <w:rsid w:val="00EB73DC"/>
    <w:rsid w:val="00EC171D"/>
    <w:rsid w:val="00ED487E"/>
    <w:rsid w:val="00ED66CF"/>
    <w:rsid w:val="00EE0393"/>
    <w:rsid w:val="00EE1702"/>
    <w:rsid w:val="00EE7A0D"/>
    <w:rsid w:val="00F01B40"/>
    <w:rsid w:val="00F17CE1"/>
    <w:rsid w:val="00F2115C"/>
    <w:rsid w:val="00F22ABA"/>
    <w:rsid w:val="00F23C8C"/>
    <w:rsid w:val="00F36B12"/>
    <w:rsid w:val="00F60F9F"/>
    <w:rsid w:val="00F64F08"/>
    <w:rsid w:val="00F67F37"/>
    <w:rsid w:val="00F734F5"/>
    <w:rsid w:val="00F966B1"/>
    <w:rsid w:val="00F97D48"/>
    <w:rsid w:val="00FA0311"/>
    <w:rsid w:val="00FA7CC1"/>
    <w:rsid w:val="00FC42E5"/>
    <w:rsid w:val="00FD640F"/>
    <w:rsid w:val="00FD6B4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215CEE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15CEE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215CEE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215CE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15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15C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15CEE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15CEE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215CEE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215CEE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215CEE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215CEE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215CEE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15CEE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215CEE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215CEE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215CE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215CEE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215CEE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215CEE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215CEE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215CE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215CEE"/>
    <w:pPr>
      <w:spacing w:line="252" w:lineRule="auto"/>
      <w:ind w:left="792"/>
    </w:pPr>
  </w:style>
  <w:style w:type="paragraph" w:customStyle="1" w:styleId="NoteNormal">
    <w:name w:val="Note Normal"/>
    <w:basedOn w:val="Normal"/>
    <w:rsid w:val="00215CEE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215CEE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215CEE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15CEE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215CEE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1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EE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215CEE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215CEE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21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CEE"/>
    <w:rPr>
      <w:spacing w:val="2"/>
    </w:rPr>
  </w:style>
  <w:style w:type="paragraph" w:styleId="Footer">
    <w:name w:val="footer"/>
    <w:basedOn w:val="Normal"/>
    <w:link w:val="FooterChar"/>
    <w:uiPriority w:val="24"/>
    <w:rsid w:val="00215CEE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215CEE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215CEE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215CEE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215CEE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215CEE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215CEE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215CEE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215CEE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215CEE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215CEE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215CEE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215CEE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215CEE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215CEE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215CEE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215CEE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215CEE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215CEE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215CEE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215CEE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215CEE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215CEE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215CEE"/>
    <w:pPr>
      <w:ind w:left="288"/>
    </w:pPr>
  </w:style>
  <w:style w:type="paragraph" w:customStyle="1" w:styleId="Numpara">
    <w:name w:val="Num para"/>
    <w:basedOn w:val="ListParagraph"/>
    <w:uiPriority w:val="2"/>
    <w:qFormat/>
    <w:rsid w:val="00215CEE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215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A0751"/>
    <w:rPr>
      <w:color w:val="8A2A2B" w:themeColor="followedHyperlink"/>
      <w:u w:val="single"/>
    </w:rPr>
  </w:style>
  <w:style w:type="paragraph" w:customStyle="1" w:styleId="Tablechartdiagramheading">
    <w:name w:val="Table/chart/diagram heading"/>
    <w:uiPriority w:val="4"/>
    <w:qFormat/>
    <w:rsid w:val="00215CEE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15CEE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CEE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215CEE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215CEE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215CEE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215CEE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215CEE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215CEE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215CEE"/>
    <w:pPr>
      <w:ind w:left="792"/>
    </w:pPr>
  </w:style>
  <w:style w:type="paragraph" w:styleId="Caption">
    <w:name w:val="caption"/>
    <w:basedOn w:val="Normal"/>
    <w:next w:val="Normal"/>
    <w:uiPriority w:val="35"/>
    <w:rsid w:val="00215CEE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textbold">
    <w:name w:val="Table text bold"/>
    <w:basedOn w:val="Normal"/>
    <w:qFormat/>
    <w:rsid w:val="00215CEE"/>
    <w:pPr>
      <w:spacing w:line="264" w:lineRule="auto"/>
    </w:pPr>
    <w:rPr>
      <w:rFonts w:eastAsiaTheme="minorHAnsi"/>
      <w:b/>
      <w:sz w:val="17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215CEE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15CEE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215CEE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215CE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15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15C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15CEE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15CEE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215CEE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215CEE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215CEE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215CEE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215CEE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15CEE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215CEE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215CEE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215CE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215CEE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215CEE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215CEE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215CEE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215CE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215CEE"/>
    <w:pPr>
      <w:spacing w:line="252" w:lineRule="auto"/>
      <w:ind w:left="792"/>
    </w:pPr>
  </w:style>
  <w:style w:type="paragraph" w:customStyle="1" w:styleId="NoteNormal">
    <w:name w:val="Note Normal"/>
    <w:basedOn w:val="Normal"/>
    <w:rsid w:val="00215CEE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215CEE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215CEE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15CEE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215CEE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1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EE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215CEE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215CEE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21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CEE"/>
    <w:rPr>
      <w:spacing w:val="2"/>
    </w:rPr>
  </w:style>
  <w:style w:type="paragraph" w:styleId="Footer">
    <w:name w:val="footer"/>
    <w:basedOn w:val="Normal"/>
    <w:link w:val="FooterChar"/>
    <w:uiPriority w:val="24"/>
    <w:rsid w:val="00215CEE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215CEE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215CEE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215CEE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215CEE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215CEE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215CEE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215CEE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215CEE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215CEE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215CEE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215CEE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215CEE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215CEE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215CEE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215CEE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215CEE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215CEE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215CEE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215CEE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215CEE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215CEE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215CEE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215CEE"/>
    <w:pPr>
      <w:ind w:left="288"/>
    </w:pPr>
  </w:style>
  <w:style w:type="paragraph" w:customStyle="1" w:styleId="Numpara">
    <w:name w:val="Num para"/>
    <w:basedOn w:val="ListParagraph"/>
    <w:uiPriority w:val="2"/>
    <w:qFormat/>
    <w:rsid w:val="00215CEE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215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A0751"/>
    <w:rPr>
      <w:color w:val="8A2A2B" w:themeColor="followedHyperlink"/>
      <w:u w:val="single"/>
    </w:rPr>
  </w:style>
  <w:style w:type="paragraph" w:customStyle="1" w:styleId="Tablechartdiagramheading">
    <w:name w:val="Table/chart/diagram heading"/>
    <w:uiPriority w:val="4"/>
    <w:qFormat/>
    <w:rsid w:val="00215CEE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15CEE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CEE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215CEE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215CEE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215CEE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215CEE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215CEE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215CEE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215CEE"/>
    <w:pPr>
      <w:ind w:left="792"/>
    </w:pPr>
  </w:style>
  <w:style w:type="paragraph" w:styleId="Caption">
    <w:name w:val="caption"/>
    <w:basedOn w:val="Normal"/>
    <w:next w:val="Normal"/>
    <w:uiPriority w:val="35"/>
    <w:rsid w:val="00215CEE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textbold">
    <w:name w:val="Table text bold"/>
    <w:basedOn w:val="Normal"/>
    <w:qFormat/>
    <w:rsid w:val="00215CEE"/>
    <w:pPr>
      <w:spacing w:line="264" w:lineRule="auto"/>
    </w:pPr>
    <w:rPr>
      <w:rFonts w:eastAsiaTheme="minorHAnsi"/>
      <w:b/>
      <w:sz w:val="17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financial.frameworks@dtf.vic.gov.au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dtf.vic.gov.au/Publications/Government-Financial-Management-publications/Standing-Directions-of-the-Minister-for-Finance-2016/Standing-Directions-2016-publications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D238-AEB0-4CEF-9CE2-00CD47AB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ENG</dc:creator>
  <cp:lastModifiedBy>Deidre Steain</cp:lastModifiedBy>
  <cp:revision>2</cp:revision>
  <cp:lastPrinted>2017-03-10T02:38:00Z</cp:lastPrinted>
  <dcterms:created xsi:type="dcterms:W3CDTF">2017-03-10T04:28:00Z</dcterms:created>
  <dcterms:modified xsi:type="dcterms:W3CDTF">2017-03-10T04:28:00Z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2573df26-25aa-47ca-9912-2801c80645bf</vt:lpwstr>
  </property>
  <property fmtid="{D5CDD505-2E9C-101B-9397-08002B2CF9AE}" pid="3" name="PSPFClassification">
    <vt:lpwstr>Do Not Mark</vt:lpwstr>
  </property>
</Properties>
</file>