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96" w:rsidRPr="0017493C" w:rsidRDefault="008137F7" w:rsidP="00854A48">
      <w:pPr>
        <w:pStyle w:val="Title"/>
      </w:pPr>
      <w:bookmarkStart w:id="0" w:name="_Toc442780672"/>
      <w:bookmarkStart w:id="1" w:name="_GoBack"/>
      <w:bookmarkEnd w:id="1"/>
      <w:r>
        <w:t>Updated</w:t>
      </w:r>
      <w:r w:rsidR="00D7288C">
        <w:t xml:space="preserve"> Budget Operations Framework </w:t>
      </w:r>
      <w:r w:rsidR="00AD1A83">
        <w:t>–</w:t>
      </w:r>
      <w:r w:rsidR="009F3731">
        <w:t xml:space="preserve"> </w:t>
      </w:r>
      <w:r w:rsidR="00AD1A83">
        <w:t xml:space="preserve">February </w:t>
      </w:r>
      <w:r w:rsidR="00064B81">
        <w:t>201</w:t>
      </w:r>
      <w:r w:rsidR="00AD1A83">
        <w:t>7</w:t>
      </w:r>
    </w:p>
    <w:p w:rsidR="00600E54" w:rsidRDefault="00600E54" w:rsidP="00600E54">
      <w:bookmarkStart w:id="2" w:name="_Toc442780674"/>
      <w:r w:rsidRPr="00600E54">
        <w:t xml:space="preserve">DTF </w:t>
      </w:r>
      <w:r>
        <w:t xml:space="preserve">is </w:t>
      </w:r>
      <w:r w:rsidR="00AD1A83">
        <w:t xml:space="preserve">pleased to announce the </w:t>
      </w:r>
      <w:r w:rsidR="00B40D69">
        <w:t>release</w:t>
      </w:r>
      <w:r w:rsidR="008137F7">
        <w:t xml:space="preserve"> of an</w:t>
      </w:r>
      <w:r w:rsidR="00AD1A83">
        <w:t xml:space="preserve"> </w:t>
      </w:r>
      <w:r w:rsidR="008137F7">
        <w:t>updated</w:t>
      </w:r>
      <w:r w:rsidR="00AD1A83">
        <w:t xml:space="preserve"> Budget Operations Framework (BOF). The </w:t>
      </w:r>
      <w:r w:rsidR="008137F7">
        <w:t>updated</w:t>
      </w:r>
      <w:r w:rsidR="00AD1A83">
        <w:t xml:space="preserve"> BOF is the result of a </w:t>
      </w:r>
      <w:r w:rsidRPr="00600E54">
        <w:t xml:space="preserve">detailed review </w:t>
      </w:r>
      <w:r>
        <w:t xml:space="preserve">of </w:t>
      </w:r>
      <w:r w:rsidRPr="00600E54">
        <w:t xml:space="preserve">the policy content </w:t>
      </w:r>
      <w:r w:rsidR="00AD1A83">
        <w:t>and consultation with departments.</w:t>
      </w:r>
    </w:p>
    <w:bookmarkEnd w:id="2"/>
    <w:p w:rsidR="004B2ADA" w:rsidRDefault="004B2ADA" w:rsidP="00A30D9F">
      <w:pPr>
        <w:pStyle w:val="Heading2"/>
      </w:pPr>
      <w:r>
        <w:t>What are the key changes</w:t>
      </w:r>
      <w:r w:rsidR="00A22A47">
        <w:t xml:space="preserve"> </w:t>
      </w:r>
      <w:r w:rsidR="00EE1702">
        <w:t xml:space="preserve">from the </w:t>
      </w:r>
      <w:r w:rsidR="00AD1A83">
        <w:t>previous</w:t>
      </w:r>
      <w:r w:rsidR="00EE1702">
        <w:t xml:space="preserve"> version of the BOF</w:t>
      </w:r>
      <w:r>
        <w:t>?</w:t>
      </w:r>
    </w:p>
    <w:p w:rsidR="00EE1702" w:rsidRDefault="00EE1702" w:rsidP="00EE1702">
      <w:r>
        <w:t xml:space="preserve">Primarily the changes in this </w:t>
      </w:r>
      <w:r w:rsidR="008137F7">
        <w:t>updated</w:t>
      </w:r>
      <w:r w:rsidR="00AD1A83">
        <w:t xml:space="preserve"> BOF</w:t>
      </w:r>
      <w:r>
        <w:t xml:space="preserve"> are:</w:t>
      </w:r>
    </w:p>
    <w:p w:rsidR="0029571E" w:rsidRDefault="0029571E" w:rsidP="00215CEE">
      <w:pPr>
        <w:pStyle w:val="Bullet1"/>
      </w:pPr>
      <w:r>
        <w:t>the revision of some of the mandatory requirements;</w:t>
      </w:r>
    </w:p>
    <w:p w:rsidR="00EE1702" w:rsidRDefault="00EE1702" w:rsidP="00215CEE">
      <w:pPr>
        <w:pStyle w:val="Bullet1"/>
      </w:pPr>
      <w:r>
        <w:t xml:space="preserve">the re-write and edit of existing </w:t>
      </w:r>
      <w:r w:rsidR="0029571E">
        <w:t>guidance</w:t>
      </w:r>
      <w:r>
        <w:t xml:space="preserve"> to improve clarity and readability, and removal of any redundant material; and</w:t>
      </w:r>
    </w:p>
    <w:p w:rsidR="00EE1702" w:rsidRDefault="00EE1702" w:rsidP="00215CEE">
      <w:pPr>
        <w:pStyle w:val="Bullet1"/>
      </w:pPr>
      <w:r>
        <w:t xml:space="preserve">the addition </w:t>
      </w:r>
      <w:r w:rsidR="0029571E">
        <w:t xml:space="preserve">and expansion </w:t>
      </w:r>
      <w:r>
        <w:t>of material on specific topics (such a</w:t>
      </w:r>
      <w:r w:rsidR="0029571E">
        <w:t>s budget supplementation options</w:t>
      </w:r>
      <w:r w:rsidR="008137F7">
        <w:t>, hypothecation and central contingencies</w:t>
      </w:r>
      <w:r w:rsidR="0029571E">
        <w:t>).</w:t>
      </w:r>
    </w:p>
    <w:p w:rsidR="00EE1702" w:rsidRDefault="00EE1702" w:rsidP="00EE1702">
      <w:r>
        <w:t>The content largely reflects existing practices and policies.</w:t>
      </w:r>
      <w:r w:rsidR="0029571E">
        <w:t xml:space="preserve"> A table which tracks the changes by section and chapter </w:t>
      </w:r>
      <w:r w:rsidR="00A75FC2">
        <w:t>is set out i</w:t>
      </w:r>
      <w:r w:rsidR="007F67FD">
        <w:t xml:space="preserve">n the </w:t>
      </w:r>
      <w:r w:rsidR="009F3731">
        <w:t xml:space="preserve">next </w:t>
      </w:r>
      <w:r w:rsidR="00A75FC2">
        <w:t xml:space="preserve">few </w:t>
      </w:r>
      <w:r w:rsidR="009F3731">
        <w:t>page</w:t>
      </w:r>
      <w:r w:rsidR="00A75FC2">
        <w:t>s</w:t>
      </w:r>
      <w:r w:rsidR="0029571E">
        <w:t>.</w:t>
      </w:r>
    </w:p>
    <w:p w:rsidR="00B40D69" w:rsidRDefault="00B40D69" w:rsidP="00B40D69">
      <w:pPr>
        <w:pStyle w:val="Heading2"/>
      </w:pPr>
      <w:r>
        <w:t xml:space="preserve">When does the </w:t>
      </w:r>
      <w:r w:rsidR="008137F7">
        <w:t xml:space="preserve">updated </w:t>
      </w:r>
      <w:r>
        <w:t>BOF apply?</w:t>
      </w:r>
    </w:p>
    <w:p w:rsidR="00B40D69" w:rsidRDefault="00A54D77" w:rsidP="00215CEE">
      <w:r>
        <w:t xml:space="preserve">The </w:t>
      </w:r>
      <w:r w:rsidR="008137F7">
        <w:t>updated</w:t>
      </w:r>
      <w:r>
        <w:t xml:space="preserve"> BOF </w:t>
      </w:r>
      <w:r w:rsidR="00A75FC2">
        <w:t>is effective immediately, as</w:t>
      </w:r>
      <w:r>
        <w:t xml:space="preserve"> it largely reflects existing practices and policies.</w:t>
      </w:r>
    </w:p>
    <w:bookmarkEnd w:id="0"/>
    <w:p w:rsidR="00B40D69" w:rsidRDefault="00B40D69" w:rsidP="00B40D69">
      <w:pPr>
        <w:pStyle w:val="Heading2"/>
      </w:pPr>
      <w:r>
        <w:t>Link to the Standing Directions</w:t>
      </w:r>
    </w:p>
    <w:p w:rsidR="00B40D69" w:rsidRDefault="00B40D69" w:rsidP="00B40D69">
      <w:r>
        <w:t xml:space="preserve">Under the </w:t>
      </w:r>
      <w:hyperlink r:id="rId9" w:history="1">
        <w:r w:rsidRPr="00D46F72">
          <w:rPr>
            <w:rStyle w:val="Hyperlink"/>
          </w:rPr>
          <w:t>2016 Standing Directions of the Minister for Finance</w:t>
        </w:r>
      </w:hyperlink>
      <w:r>
        <w:t>, departments are required to apply the BOF (Direction 4.3).</w:t>
      </w:r>
    </w:p>
    <w:p w:rsidR="00B40D69" w:rsidRPr="00B40D69" w:rsidRDefault="00B40D69" w:rsidP="00B40D69">
      <w:r>
        <w:t>Departments are subject to the compliance requirements set out in the 2016 Directions in relation to the frameworks. This includes public attestation of compliance in annual reports from 2017-18. See the 2016 Directions for more information, and particularly Direction 5.1.</w:t>
      </w:r>
    </w:p>
    <w:p w:rsidR="00CC194D" w:rsidRDefault="00B40D69" w:rsidP="00A30D9F">
      <w:pPr>
        <w:pStyle w:val="Heading2"/>
      </w:pPr>
      <w:r>
        <w:t>Feedback and suggestions</w:t>
      </w:r>
    </w:p>
    <w:p w:rsidR="00B40D69" w:rsidRDefault="00B40D69" w:rsidP="00A30D9F">
      <w:pPr>
        <w:pStyle w:val="Heading2"/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</w:rPr>
      </w:pPr>
      <w:r w:rsidRPr="00B40D69"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</w:rPr>
        <w:t xml:space="preserve">Departments can ask questions or provide feedback on the </w:t>
      </w:r>
      <w:r w:rsidR="008137F7"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</w:rPr>
        <w:t xml:space="preserve">updated </w:t>
      </w:r>
      <w:r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</w:rPr>
        <w:t>BOF</w:t>
      </w:r>
      <w:r w:rsidRPr="00B40D69"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</w:rPr>
        <w:t xml:space="preserve"> by contacting </w:t>
      </w:r>
      <w:hyperlink r:id="rId10" w:history="1">
        <w:r w:rsidRPr="00452164">
          <w:rPr>
            <w:rStyle w:val="Hyperlink"/>
            <w:rFonts w:asciiTheme="minorHAnsi" w:eastAsiaTheme="minorEastAsia" w:hAnsiTheme="minorHAnsi" w:cstheme="minorBidi"/>
            <w:b w:val="0"/>
            <w:bCs w:val="0"/>
            <w:sz w:val="20"/>
            <w:szCs w:val="20"/>
          </w:rPr>
          <w:t>financial.frameworks@dtf.vic.gov.au</w:t>
        </w:r>
      </w:hyperlink>
      <w:r w:rsidRPr="00B40D69"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</w:rPr>
        <w:t>.</w:t>
      </w:r>
    </w:p>
    <w:p w:rsidR="00CC194D" w:rsidRDefault="00CC194D" w:rsidP="00CC194D"/>
    <w:p w:rsidR="00215CEE" w:rsidRDefault="00215CEE" w:rsidP="00CC194D"/>
    <w:p w:rsidR="00854A48" w:rsidRDefault="00854A48" w:rsidP="00F417C3">
      <w:pPr>
        <w:sectPr w:rsidR="00854A48" w:rsidSect="00F417C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2160" w:right="1440" w:bottom="1980" w:left="1440" w:header="706" w:footer="461" w:gutter="0"/>
          <w:cols w:space="708"/>
          <w:docGrid w:linePitch="360"/>
        </w:sectPr>
      </w:pPr>
    </w:p>
    <w:p w:rsidR="00854A48" w:rsidRDefault="00854A48" w:rsidP="00854A48">
      <w:pPr>
        <w:pStyle w:val="Heading2"/>
      </w:pPr>
      <w:r>
        <w:lastRenderedPageBreak/>
        <w:t xml:space="preserve">Summary table of the major changes in the </w:t>
      </w:r>
      <w:r w:rsidR="008137F7">
        <w:t>updated</w:t>
      </w:r>
      <w:r>
        <w:t xml:space="preserve"> BOF </w:t>
      </w:r>
    </w:p>
    <w:tbl>
      <w:tblPr>
        <w:tblStyle w:val="DTFtexttable"/>
        <w:tblW w:w="5000" w:type="pct"/>
        <w:tblLook w:val="06A0" w:firstRow="1" w:lastRow="0" w:firstColumn="1" w:lastColumn="0" w:noHBand="1" w:noVBand="1"/>
      </w:tblPr>
      <w:tblGrid>
        <w:gridCol w:w="3926"/>
        <w:gridCol w:w="1227"/>
        <w:gridCol w:w="1424"/>
        <w:gridCol w:w="7495"/>
      </w:tblGrid>
      <w:tr w:rsidR="00215CEE" w:rsidTr="00813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5" w:type="pct"/>
          </w:tcPr>
          <w:p w:rsidR="00854A48" w:rsidRPr="0066370B" w:rsidRDefault="00854A48" w:rsidP="00215CEE">
            <w:pPr>
              <w:pStyle w:val="Tableheader"/>
              <w:rPr>
                <w:b w:val="0"/>
              </w:rPr>
            </w:pPr>
            <w:r w:rsidRPr="0066370B">
              <w:t>Topic:</w:t>
            </w:r>
          </w:p>
        </w:tc>
        <w:tc>
          <w:tcPr>
            <w:tcW w:w="436" w:type="pct"/>
          </w:tcPr>
          <w:p w:rsidR="00854A48" w:rsidRPr="0066370B" w:rsidRDefault="00854A48" w:rsidP="00215CEE">
            <w:pPr>
              <w:pStyle w:val="Table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Old BOF Section no.</w:t>
            </w:r>
          </w:p>
        </w:tc>
        <w:tc>
          <w:tcPr>
            <w:tcW w:w="506" w:type="pct"/>
          </w:tcPr>
          <w:p w:rsidR="00854A48" w:rsidRPr="0066370B" w:rsidRDefault="008137F7" w:rsidP="00215CEE">
            <w:pPr>
              <w:pStyle w:val="Tableheader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Updated</w:t>
            </w:r>
            <w:r w:rsidR="00854A48">
              <w:t xml:space="preserve"> BOF Section no.</w:t>
            </w:r>
          </w:p>
        </w:tc>
        <w:tc>
          <w:tcPr>
            <w:tcW w:w="2663" w:type="pct"/>
          </w:tcPr>
          <w:p w:rsidR="00854A48" w:rsidRDefault="00854A48" w:rsidP="00215CEE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Comments</w:t>
            </w:r>
          </w:p>
        </w:tc>
      </w:tr>
      <w:tr w:rsidR="00215CEE" w:rsidTr="00813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bottom w:val="nil"/>
            </w:tcBorders>
          </w:tcPr>
          <w:p w:rsidR="00854A48" w:rsidRPr="0066370B" w:rsidRDefault="00854A48" w:rsidP="00215CEE">
            <w:pPr>
              <w:pStyle w:val="Tabletextbold"/>
              <w:spacing w:before="60" w:after="60"/>
            </w:pPr>
            <w:r w:rsidRPr="0066370B">
              <w:t xml:space="preserve">Legislation </w:t>
            </w:r>
            <w:r>
              <w:t xml:space="preserve">and practices </w:t>
            </w:r>
            <w:r w:rsidRPr="0066370B">
              <w:t xml:space="preserve">supporting the </w:t>
            </w:r>
            <w:r>
              <w:t xml:space="preserve">State’s </w:t>
            </w:r>
            <w:r w:rsidRPr="0066370B">
              <w:t>financial management framework</w:t>
            </w:r>
          </w:p>
        </w:tc>
        <w:tc>
          <w:tcPr>
            <w:tcW w:w="436" w:type="pct"/>
            <w:tcBorders>
              <w:bottom w:val="nil"/>
            </w:tcBorders>
          </w:tcPr>
          <w:p w:rsidR="00854A48" w:rsidRPr="00B105F5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5F5">
              <w:t>1</w:t>
            </w:r>
          </w:p>
        </w:tc>
        <w:tc>
          <w:tcPr>
            <w:tcW w:w="506" w:type="pct"/>
            <w:tcBorders>
              <w:bottom w:val="nil"/>
            </w:tcBorders>
          </w:tcPr>
          <w:p w:rsidR="00854A48" w:rsidRPr="001617B6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  <w:tc>
          <w:tcPr>
            <w:tcW w:w="2663" w:type="pct"/>
            <w:vMerge w:val="restart"/>
            <w:tcBorders>
              <w:bottom w:val="nil"/>
            </w:tcBorders>
          </w:tcPr>
          <w:p w:rsidR="00854A48" w:rsidRPr="001617B6" w:rsidRDefault="00854A48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617B6">
              <w:rPr>
                <w:color w:val="FF0000"/>
              </w:rPr>
              <w:t xml:space="preserve">Revised and replaced by sections: </w:t>
            </w:r>
          </w:p>
          <w:p w:rsidR="00854A48" w:rsidRPr="001617B6" w:rsidRDefault="00854A48" w:rsidP="00215CEE">
            <w:pPr>
              <w:pStyle w:val="ListParagraph"/>
              <w:numPr>
                <w:ilvl w:val="0"/>
                <w:numId w:val="2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617B6">
              <w:rPr>
                <w:color w:val="FF0000"/>
              </w:rPr>
              <w:t>Setting the Context for the State’s Budget</w:t>
            </w:r>
          </w:p>
          <w:p w:rsidR="00854A48" w:rsidRPr="001617B6" w:rsidRDefault="00854A48" w:rsidP="00215CEE">
            <w:pPr>
              <w:pStyle w:val="ListParagraph"/>
              <w:numPr>
                <w:ilvl w:val="0"/>
                <w:numId w:val="2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617B6">
              <w:rPr>
                <w:color w:val="FF0000"/>
              </w:rPr>
              <w:t>The legislation supporting the State’s resource management framework</w:t>
            </w:r>
          </w:p>
          <w:p w:rsidR="00854A48" w:rsidRPr="001617B6" w:rsidRDefault="00854A48" w:rsidP="00215CEE">
            <w:pPr>
              <w:pStyle w:val="ListParagraph"/>
              <w:numPr>
                <w:ilvl w:val="0"/>
                <w:numId w:val="23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617B6">
              <w:rPr>
                <w:color w:val="FF0000"/>
              </w:rPr>
              <w:t>The State’s appropriation framework</w:t>
            </w:r>
          </w:p>
          <w:p w:rsidR="00854A48" w:rsidRDefault="00854A48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Section 1 - </w:t>
            </w:r>
            <w:r w:rsidRPr="001617B6">
              <w:rPr>
                <w:color w:val="FF0000"/>
              </w:rPr>
              <w:t>Mechanisms available to manage departmental funding levels</w:t>
            </w:r>
          </w:p>
        </w:tc>
      </w:tr>
      <w:tr w:rsidR="00215CEE" w:rsidTr="008137F7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bottom w:val="single" w:sz="6" w:space="0" w:color="0063A6" w:themeColor="accent1"/>
            </w:tcBorders>
          </w:tcPr>
          <w:p w:rsidR="00854A48" w:rsidRPr="0066370B" w:rsidRDefault="00854A48" w:rsidP="00215CEE">
            <w:pPr>
              <w:pStyle w:val="Tabletextbold"/>
              <w:spacing w:before="60" w:after="60"/>
            </w:pPr>
            <w:r w:rsidRPr="0066370B">
              <w:t>Appropriations</w:t>
            </w:r>
          </w:p>
        </w:tc>
        <w:tc>
          <w:tcPr>
            <w:tcW w:w="436" w:type="pct"/>
            <w:tcBorders>
              <w:bottom w:val="single" w:sz="6" w:space="0" w:color="0063A6" w:themeColor="accent1"/>
            </w:tcBorders>
          </w:tcPr>
          <w:p w:rsidR="00854A48" w:rsidRPr="00B105F5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5F5">
              <w:t>1.1</w:t>
            </w:r>
          </w:p>
        </w:tc>
        <w:tc>
          <w:tcPr>
            <w:tcW w:w="506" w:type="pct"/>
            <w:tcBorders>
              <w:bottom w:val="single" w:sz="6" w:space="0" w:color="0063A6" w:themeColor="accent1"/>
            </w:tcBorders>
          </w:tcPr>
          <w:p w:rsidR="00854A48" w:rsidRPr="001617B6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  <w:tc>
          <w:tcPr>
            <w:tcW w:w="2663" w:type="pct"/>
            <w:vMerge/>
            <w:tcBorders>
              <w:bottom w:val="single" w:sz="6" w:space="0" w:color="0063A6" w:themeColor="accent1"/>
            </w:tcBorders>
          </w:tcPr>
          <w:p w:rsidR="00854A48" w:rsidRDefault="00854A48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215CEE" w:rsidRPr="00B105F5" w:rsidTr="008137F7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66370B" w:rsidRDefault="00854A48" w:rsidP="00215CEE">
            <w:pPr>
              <w:pStyle w:val="Tabletextbold"/>
              <w:spacing w:before="60" w:after="60"/>
            </w:pPr>
            <w:r w:rsidRPr="001617B6">
              <w:t>Appropriation of certain revenue and asset proceeds – Section 29 of the FMA</w:t>
            </w:r>
          </w:p>
        </w:tc>
        <w:tc>
          <w:tcPr>
            <w:tcW w:w="43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105F5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5F5">
              <w:t>1.2</w:t>
            </w:r>
          </w:p>
        </w:tc>
        <w:tc>
          <w:tcPr>
            <w:tcW w:w="50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105F5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7B6">
              <w:rPr>
                <w:color w:val="FF0000"/>
              </w:rPr>
              <w:t>1.1</w:t>
            </w:r>
          </w:p>
        </w:tc>
        <w:tc>
          <w:tcPr>
            <w:tcW w:w="266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105F5" w:rsidRDefault="00854A48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 xml:space="preserve">This section, including the mandatory requirements, </w:t>
            </w:r>
            <w:r w:rsidRPr="007E4F1A">
              <w:rPr>
                <w:color w:val="FF0000"/>
              </w:rPr>
              <w:t xml:space="preserve">has been rewritten for better clarity. </w:t>
            </w:r>
            <w:r>
              <w:rPr>
                <w:color w:val="FF0000"/>
              </w:rPr>
              <w:t xml:space="preserve">Policy substance essentially </w:t>
            </w:r>
            <w:r w:rsidRPr="007E4F1A">
              <w:rPr>
                <w:color w:val="FF0000"/>
              </w:rPr>
              <w:t>unchanged.</w:t>
            </w:r>
          </w:p>
        </w:tc>
      </w:tr>
      <w:tr w:rsidR="00215CEE" w:rsidRPr="00B105F5" w:rsidTr="00813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66370B" w:rsidRDefault="00854A48" w:rsidP="00215CEE">
            <w:pPr>
              <w:pStyle w:val="Tabletextbold"/>
              <w:spacing w:before="60" w:after="60"/>
            </w:pPr>
            <w:r>
              <w:t>T</w:t>
            </w:r>
            <w:r w:rsidRPr="0066370B">
              <w:t xml:space="preserve">he Trust Fund and </w:t>
            </w:r>
            <w:r>
              <w:t>t</w:t>
            </w:r>
            <w:r w:rsidRPr="0066370B">
              <w:t>rust accounts</w:t>
            </w:r>
          </w:p>
        </w:tc>
        <w:tc>
          <w:tcPr>
            <w:tcW w:w="43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105F5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5F5">
              <w:t>3.1</w:t>
            </w:r>
          </w:p>
        </w:tc>
        <w:tc>
          <w:tcPr>
            <w:tcW w:w="50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CB4DB4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CB4DB4">
              <w:rPr>
                <w:color w:val="FF0000"/>
              </w:rPr>
              <w:t>1.2</w:t>
            </w:r>
          </w:p>
        </w:tc>
        <w:tc>
          <w:tcPr>
            <w:tcW w:w="266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105F5" w:rsidRDefault="00854A48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 xml:space="preserve">This section, including the mandatory requirements, </w:t>
            </w:r>
            <w:r w:rsidRPr="007E4F1A">
              <w:rPr>
                <w:color w:val="FF0000"/>
              </w:rPr>
              <w:t xml:space="preserve">has been rewritten for better clarity. </w:t>
            </w:r>
            <w:r>
              <w:rPr>
                <w:color w:val="FF0000"/>
              </w:rPr>
              <w:t xml:space="preserve">Policy substance essentially </w:t>
            </w:r>
            <w:r w:rsidRPr="007E4F1A">
              <w:rPr>
                <w:color w:val="FF0000"/>
              </w:rPr>
              <w:t>unchanged.</w:t>
            </w:r>
            <w:r>
              <w:rPr>
                <w:color w:val="FF0000"/>
              </w:rPr>
              <w:t xml:space="preserve"> New guidance has been included on ‘Specific requirements in relation to the Treasury Trust Fund’.</w:t>
            </w:r>
          </w:p>
        </w:tc>
      </w:tr>
      <w:tr w:rsidR="00215CEE" w:rsidTr="00813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Default="00854A48" w:rsidP="00215CEE">
            <w:pPr>
              <w:pStyle w:val="Tabletextbold"/>
              <w:spacing w:before="60" w:after="60"/>
            </w:pPr>
            <w:r w:rsidRPr="00182DBE">
              <w:t>Budget supplementation</w:t>
            </w:r>
          </w:p>
        </w:tc>
        <w:tc>
          <w:tcPr>
            <w:tcW w:w="43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105F5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6201D">
              <w:t>1.5</w:t>
            </w:r>
          </w:p>
        </w:tc>
        <w:tc>
          <w:tcPr>
            <w:tcW w:w="50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CB4DB4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  <w:tc>
          <w:tcPr>
            <w:tcW w:w="266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Default="00854A48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82DBE">
              <w:rPr>
                <w:color w:val="FF0000"/>
              </w:rPr>
              <w:t>Removed and replaced by specific topics on supplementation options</w:t>
            </w:r>
            <w:r>
              <w:rPr>
                <w:color w:val="FF0000"/>
              </w:rPr>
              <w:t xml:space="preserve"> (refer sections 1.3 to 1.9 below)</w:t>
            </w:r>
          </w:p>
        </w:tc>
      </w:tr>
      <w:tr w:rsidR="00215CEE" w:rsidTr="008137F7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814CFF" w:rsidRDefault="00854A48" w:rsidP="00215CEE">
            <w:pPr>
              <w:spacing w:before="60" w:after="6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Treasurer’s Advance (for urgent and unforeseen claims)</w:t>
            </w:r>
          </w:p>
        </w:tc>
        <w:tc>
          <w:tcPr>
            <w:tcW w:w="43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814CFF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14CFF">
              <w:rPr>
                <w:color w:val="FF0000"/>
              </w:rPr>
              <w:t>n/a</w:t>
            </w:r>
          </w:p>
        </w:tc>
        <w:tc>
          <w:tcPr>
            <w:tcW w:w="50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F372B1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1.3</w:t>
            </w:r>
          </w:p>
        </w:tc>
        <w:tc>
          <w:tcPr>
            <w:tcW w:w="266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Default="00854A48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490">
              <w:rPr>
                <w:color w:val="FF0000"/>
              </w:rPr>
              <w:t>New section</w:t>
            </w:r>
          </w:p>
        </w:tc>
      </w:tr>
      <w:tr w:rsidR="00215CEE" w:rsidTr="00813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814CFF" w:rsidRDefault="00854A48" w:rsidP="00215CEE">
            <w:pPr>
              <w:spacing w:before="60" w:after="60"/>
              <w:rPr>
                <w:b/>
                <w:color w:val="FF0000"/>
              </w:rPr>
            </w:pPr>
            <w:r w:rsidRPr="00814CFF">
              <w:rPr>
                <w:b/>
                <w:color w:val="FF0000"/>
              </w:rPr>
              <w:t>Supplementation under Section 35 of the FMA</w:t>
            </w:r>
          </w:p>
        </w:tc>
        <w:tc>
          <w:tcPr>
            <w:tcW w:w="43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814CFF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14CFF">
              <w:rPr>
                <w:color w:val="FF0000"/>
              </w:rPr>
              <w:t>n/a</w:t>
            </w:r>
          </w:p>
        </w:tc>
        <w:tc>
          <w:tcPr>
            <w:tcW w:w="50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F372B1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F372B1">
              <w:rPr>
                <w:color w:val="FF0000"/>
              </w:rPr>
              <w:t>1.4</w:t>
            </w:r>
          </w:p>
        </w:tc>
        <w:tc>
          <w:tcPr>
            <w:tcW w:w="266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Default="00854A48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490">
              <w:rPr>
                <w:color w:val="FF0000"/>
              </w:rPr>
              <w:t>New section</w:t>
            </w:r>
          </w:p>
        </w:tc>
      </w:tr>
      <w:tr w:rsidR="00215CEE" w:rsidTr="00813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814CFF" w:rsidRDefault="00854A48" w:rsidP="00215CEE">
            <w:pPr>
              <w:spacing w:before="60" w:after="60"/>
              <w:rPr>
                <w:b/>
                <w:color w:val="FF0000"/>
              </w:rPr>
            </w:pPr>
            <w:r w:rsidRPr="00814CFF">
              <w:rPr>
                <w:b/>
                <w:color w:val="FF0000"/>
              </w:rPr>
              <w:t xml:space="preserve">Borrowing against future appropriations </w:t>
            </w:r>
            <w:r>
              <w:rPr>
                <w:b/>
                <w:color w:val="FF0000"/>
              </w:rPr>
              <w:t xml:space="preserve">- </w:t>
            </w:r>
            <w:r w:rsidRPr="00814CFF">
              <w:rPr>
                <w:b/>
                <w:color w:val="FF0000"/>
              </w:rPr>
              <w:t>Section 28</w:t>
            </w:r>
            <w:r>
              <w:rPr>
                <w:b/>
                <w:color w:val="FF0000"/>
              </w:rPr>
              <w:t xml:space="preserve"> of the FMA</w:t>
            </w:r>
          </w:p>
        </w:tc>
        <w:tc>
          <w:tcPr>
            <w:tcW w:w="43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814CFF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14CFF">
              <w:rPr>
                <w:color w:val="FF0000"/>
              </w:rPr>
              <w:t>n/a</w:t>
            </w:r>
          </w:p>
        </w:tc>
        <w:tc>
          <w:tcPr>
            <w:tcW w:w="50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F372B1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F372B1">
              <w:rPr>
                <w:color w:val="FF0000"/>
              </w:rPr>
              <w:t>1.5</w:t>
            </w:r>
          </w:p>
        </w:tc>
        <w:tc>
          <w:tcPr>
            <w:tcW w:w="266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Default="00854A48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490">
              <w:rPr>
                <w:color w:val="FF0000"/>
              </w:rPr>
              <w:t>New section</w:t>
            </w:r>
          </w:p>
        </w:tc>
      </w:tr>
      <w:tr w:rsidR="00215CEE" w:rsidTr="00813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814CFF" w:rsidRDefault="00854A48" w:rsidP="00215CEE">
            <w:pPr>
              <w:spacing w:before="60" w:after="60"/>
              <w:rPr>
                <w:b/>
                <w:color w:val="FF0000"/>
              </w:rPr>
            </w:pPr>
            <w:r w:rsidRPr="00814CFF">
              <w:rPr>
                <w:b/>
                <w:color w:val="FF0000"/>
              </w:rPr>
              <w:t>Transfers between items of Depar</w:t>
            </w:r>
            <w:r>
              <w:rPr>
                <w:b/>
                <w:color w:val="FF0000"/>
              </w:rPr>
              <w:t>tmental appropriation – Section </w:t>
            </w:r>
            <w:r w:rsidRPr="00814CFF">
              <w:rPr>
                <w:b/>
                <w:color w:val="FF0000"/>
              </w:rPr>
              <w:t>30 of the FMA</w:t>
            </w:r>
          </w:p>
        </w:tc>
        <w:tc>
          <w:tcPr>
            <w:tcW w:w="43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814CFF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14CFF">
              <w:rPr>
                <w:color w:val="FF0000"/>
              </w:rPr>
              <w:t>n/a</w:t>
            </w:r>
          </w:p>
        </w:tc>
        <w:tc>
          <w:tcPr>
            <w:tcW w:w="50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F372B1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F372B1">
              <w:rPr>
                <w:color w:val="FF0000"/>
              </w:rPr>
              <w:t>1.6</w:t>
            </w:r>
          </w:p>
        </w:tc>
        <w:tc>
          <w:tcPr>
            <w:tcW w:w="266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Default="00854A48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490">
              <w:rPr>
                <w:color w:val="FF0000"/>
              </w:rPr>
              <w:t>New section</w:t>
            </w:r>
          </w:p>
        </w:tc>
      </w:tr>
      <w:tr w:rsidR="00215CEE" w:rsidRPr="00B105F5" w:rsidTr="00813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66370B" w:rsidRDefault="00854A48" w:rsidP="00215CEE">
            <w:pPr>
              <w:pStyle w:val="Tabletextbold"/>
              <w:spacing w:before="60" w:after="60"/>
            </w:pPr>
            <w:r w:rsidRPr="00814CFF">
              <w:t>Carryover (of unused appropriation) – Section 32 of the FMA</w:t>
            </w:r>
          </w:p>
        </w:tc>
        <w:tc>
          <w:tcPr>
            <w:tcW w:w="43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105F5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5F5">
              <w:t>1.3</w:t>
            </w:r>
          </w:p>
        </w:tc>
        <w:tc>
          <w:tcPr>
            <w:tcW w:w="50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105F5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4CFF">
              <w:rPr>
                <w:color w:val="FF0000"/>
              </w:rPr>
              <w:t>1.7</w:t>
            </w:r>
          </w:p>
        </w:tc>
        <w:tc>
          <w:tcPr>
            <w:tcW w:w="266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105F5" w:rsidRDefault="00854A48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 xml:space="preserve">This section, including the mandatory requirements, </w:t>
            </w:r>
            <w:r w:rsidRPr="007E4F1A">
              <w:rPr>
                <w:color w:val="FF0000"/>
              </w:rPr>
              <w:t xml:space="preserve">has been rewritten for better clarity. </w:t>
            </w:r>
            <w:r>
              <w:rPr>
                <w:color w:val="FF0000"/>
              </w:rPr>
              <w:t xml:space="preserve">Policy substance essentially </w:t>
            </w:r>
            <w:r w:rsidRPr="007E4F1A">
              <w:rPr>
                <w:color w:val="FF0000"/>
              </w:rPr>
              <w:t>unchanged.</w:t>
            </w:r>
          </w:p>
        </w:tc>
      </w:tr>
      <w:tr w:rsidR="00215CEE" w:rsidRPr="00686D58" w:rsidTr="00813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686D58" w:rsidRDefault="00854A48" w:rsidP="00215CEE">
            <w:pPr>
              <w:spacing w:before="60" w:after="60"/>
              <w:rPr>
                <w:b/>
                <w:color w:val="FF0000"/>
              </w:rPr>
            </w:pPr>
            <w:r w:rsidRPr="00686D58">
              <w:rPr>
                <w:b/>
                <w:color w:val="FF0000"/>
              </w:rPr>
              <w:t>Access to previously appropriated amounts under Section 33 of the FMA</w:t>
            </w:r>
          </w:p>
        </w:tc>
        <w:tc>
          <w:tcPr>
            <w:tcW w:w="43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686D58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686D58">
              <w:rPr>
                <w:color w:val="FF0000"/>
              </w:rPr>
              <w:t>n/a</w:t>
            </w:r>
          </w:p>
        </w:tc>
        <w:tc>
          <w:tcPr>
            <w:tcW w:w="50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686D58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686D58">
              <w:rPr>
                <w:color w:val="FF0000"/>
              </w:rPr>
              <w:t>1.8</w:t>
            </w:r>
          </w:p>
        </w:tc>
        <w:tc>
          <w:tcPr>
            <w:tcW w:w="266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686D58" w:rsidRDefault="00854A48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010490">
              <w:rPr>
                <w:color w:val="FF0000"/>
              </w:rPr>
              <w:t>New section</w:t>
            </w:r>
          </w:p>
        </w:tc>
      </w:tr>
      <w:tr w:rsidR="00215CEE" w:rsidRPr="00917A57" w:rsidTr="00813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917A57" w:rsidRDefault="00854A48" w:rsidP="00215CEE">
            <w:pPr>
              <w:spacing w:before="60" w:after="60"/>
              <w:rPr>
                <w:b/>
                <w:color w:val="FF0000"/>
              </w:rPr>
            </w:pPr>
            <w:r w:rsidRPr="00917A57">
              <w:rPr>
                <w:b/>
                <w:color w:val="FF0000"/>
              </w:rPr>
              <w:t>Public Account Advances s37</w:t>
            </w:r>
          </w:p>
        </w:tc>
        <w:tc>
          <w:tcPr>
            <w:tcW w:w="43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917A57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  <w:r w:rsidRPr="00814CFF">
              <w:rPr>
                <w:color w:val="FF0000"/>
              </w:rPr>
              <w:t>n/a</w:t>
            </w:r>
          </w:p>
        </w:tc>
        <w:tc>
          <w:tcPr>
            <w:tcW w:w="50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917A57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917A57">
              <w:rPr>
                <w:color w:val="FF0000"/>
              </w:rPr>
              <w:t>1.9</w:t>
            </w:r>
          </w:p>
        </w:tc>
        <w:tc>
          <w:tcPr>
            <w:tcW w:w="266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917A57" w:rsidRDefault="00854A48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010490">
              <w:rPr>
                <w:color w:val="FF0000"/>
              </w:rPr>
              <w:t>New section</w:t>
            </w:r>
          </w:p>
        </w:tc>
      </w:tr>
      <w:tr w:rsidR="00215CEE" w:rsidRPr="00B105F5" w:rsidTr="00813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66370B" w:rsidRDefault="00854A48" w:rsidP="00215CEE">
            <w:pPr>
              <w:pStyle w:val="Tabletextbold"/>
              <w:spacing w:before="60" w:after="60"/>
            </w:pPr>
            <w:r>
              <w:t>Departmental surpluses</w:t>
            </w:r>
          </w:p>
        </w:tc>
        <w:tc>
          <w:tcPr>
            <w:tcW w:w="43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105F5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5F5">
              <w:t>1.4</w:t>
            </w:r>
            <w:r>
              <w:t xml:space="preserve"> </w:t>
            </w:r>
          </w:p>
        </w:tc>
        <w:tc>
          <w:tcPr>
            <w:tcW w:w="50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105F5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7A57">
              <w:rPr>
                <w:color w:val="FF0000"/>
              </w:rPr>
              <w:t>2.1</w:t>
            </w:r>
          </w:p>
        </w:tc>
        <w:tc>
          <w:tcPr>
            <w:tcW w:w="266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105F5" w:rsidRDefault="00854A48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 xml:space="preserve">This section, including the mandatory requirements, </w:t>
            </w:r>
            <w:r w:rsidRPr="007E4F1A">
              <w:rPr>
                <w:color w:val="FF0000"/>
              </w:rPr>
              <w:t xml:space="preserve">has been rewritten for better clarity. </w:t>
            </w:r>
            <w:r>
              <w:rPr>
                <w:color w:val="FF0000"/>
              </w:rPr>
              <w:t xml:space="preserve">Policy substance essentially </w:t>
            </w:r>
            <w:r w:rsidRPr="007E4F1A">
              <w:rPr>
                <w:color w:val="FF0000"/>
              </w:rPr>
              <w:t>unchanged.</w:t>
            </w:r>
          </w:p>
        </w:tc>
      </w:tr>
      <w:tr w:rsidR="00215CEE" w:rsidRPr="00B105F5" w:rsidTr="00813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66370B" w:rsidRDefault="00854A48" w:rsidP="00215CEE">
            <w:pPr>
              <w:pStyle w:val="Tabletextbold"/>
              <w:spacing w:before="60" w:after="60"/>
            </w:pPr>
            <w:r w:rsidRPr="0066370B">
              <w:lastRenderedPageBreak/>
              <w:t>Depreciation and depreciation equivalent</w:t>
            </w:r>
          </w:p>
        </w:tc>
        <w:tc>
          <w:tcPr>
            <w:tcW w:w="43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105F5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5F5">
              <w:t>4.2</w:t>
            </w:r>
          </w:p>
        </w:tc>
        <w:tc>
          <w:tcPr>
            <w:tcW w:w="50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105F5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6D58">
              <w:rPr>
                <w:color w:val="FF0000"/>
              </w:rPr>
              <w:t>2.2</w:t>
            </w:r>
          </w:p>
        </w:tc>
        <w:tc>
          <w:tcPr>
            <w:tcW w:w="266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105F5" w:rsidRDefault="00854A48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 xml:space="preserve">This section, including the mandatory requirements, </w:t>
            </w:r>
            <w:r w:rsidRPr="007E4F1A">
              <w:rPr>
                <w:color w:val="FF0000"/>
              </w:rPr>
              <w:t xml:space="preserve">has been rewritten for better clarity. </w:t>
            </w:r>
            <w:r>
              <w:rPr>
                <w:color w:val="FF0000"/>
              </w:rPr>
              <w:t xml:space="preserve">Policy substance essentially </w:t>
            </w:r>
            <w:r w:rsidRPr="007E4F1A">
              <w:rPr>
                <w:color w:val="FF0000"/>
              </w:rPr>
              <w:t>unchanged.</w:t>
            </w:r>
          </w:p>
        </w:tc>
      </w:tr>
      <w:tr w:rsidR="00215CEE" w:rsidRPr="00B105F5" w:rsidTr="00813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66370B" w:rsidRDefault="00854A48" w:rsidP="00215CEE">
            <w:pPr>
              <w:pStyle w:val="Tabletextbold"/>
              <w:spacing w:before="60" w:after="60"/>
            </w:pPr>
            <w:r w:rsidRPr="0066370B">
              <w:t xml:space="preserve">Long Service Leave </w:t>
            </w:r>
            <w:r>
              <w:t>and long service leave equivalent</w:t>
            </w:r>
          </w:p>
        </w:tc>
        <w:tc>
          <w:tcPr>
            <w:tcW w:w="43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105F5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5F5">
              <w:t>4.4</w:t>
            </w:r>
          </w:p>
        </w:tc>
        <w:tc>
          <w:tcPr>
            <w:tcW w:w="50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105F5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11D9">
              <w:rPr>
                <w:color w:val="FF0000"/>
              </w:rPr>
              <w:t>2.3</w:t>
            </w:r>
          </w:p>
        </w:tc>
        <w:tc>
          <w:tcPr>
            <w:tcW w:w="266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105F5" w:rsidRDefault="00854A48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 xml:space="preserve">This section, including the mandatory requirements, </w:t>
            </w:r>
            <w:r w:rsidRPr="007E4F1A">
              <w:rPr>
                <w:color w:val="FF0000"/>
              </w:rPr>
              <w:t xml:space="preserve">has been rewritten for better clarity. </w:t>
            </w:r>
            <w:r>
              <w:rPr>
                <w:color w:val="FF0000"/>
              </w:rPr>
              <w:t xml:space="preserve">Policy substance essentially </w:t>
            </w:r>
            <w:r w:rsidRPr="007E4F1A">
              <w:rPr>
                <w:color w:val="FF0000"/>
              </w:rPr>
              <w:t>unchanged.</w:t>
            </w:r>
            <w:r>
              <w:rPr>
                <w:color w:val="FF0000"/>
              </w:rPr>
              <w:t xml:space="preserve"> Clarification on policy on transfers of LSL balances provided.</w:t>
            </w:r>
          </w:p>
        </w:tc>
      </w:tr>
      <w:tr w:rsidR="00215CEE" w:rsidRPr="00B105F5" w:rsidTr="00813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66370B" w:rsidRDefault="00854A48" w:rsidP="00215CEE">
            <w:pPr>
              <w:pStyle w:val="Tabletextbold"/>
              <w:spacing w:before="60" w:after="60"/>
            </w:pPr>
            <w:r w:rsidRPr="0066370B">
              <w:t>Asset funding</w:t>
            </w:r>
          </w:p>
        </w:tc>
        <w:tc>
          <w:tcPr>
            <w:tcW w:w="43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105F5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5F5">
              <w:t>4.1</w:t>
            </w:r>
          </w:p>
        </w:tc>
        <w:tc>
          <w:tcPr>
            <w:tcW w:w="50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A08B2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A08B2">
              <w:rPr>
                <w:color w:val="FF0000"/>
              </w:rPr>
              <w:t>3.1</w:t>
            </w:r>
          </w:p>
        </w:tc>
        <w:tc>
          <w:tcPr>
            <w:tcW w:w="266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105F5" w:rsidRDefault="00854A48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 xml:space="preserve">This section, including the mandatory requirements, </w:t>
            </w:r>
            <w:r w:rsidRPr="007E4F1A">
              <w:rPr>
                <w:color w:val="FF0000"/>
              </w:rPr>
              <w:t xml:space="preserve">has been rewritten for better clarity. </w:t>
            </w:r>
            <w:r>
              <w:rPr>
                <w:color w:val="FF0000"/>
              </w:rPr>
              <w:t xml:space="preserve">Policy substance essentially </w:t>
            </w:r>
            <w:r w:rsidRPr="007E4F1A">
              <w:rPr>
                <w:color w:val="FF0000"/>
              </w:rPr>
              <w:t>unchanged.</w:t>
            </w:r>
          </w:p>
        </w:tc>
      </w:tr>
      <w:tr w:rsidR="00215CEE" w:rsidRPr="00B105F5" w:rsidTr="00813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66370B" w:rsidRDefault="00854A48" w:rsidP="00215CEE">
            <w:pPr>
              <w:pStyle w:val="Tabletextbold"/>
              <w:spacing w:before="60" w:after="60"/>
            </w:pPr>
            <w:r w:rsidRPr="0066370B">
              <w:t>Capital Assets Charge</w:t>
            </w:r>
          </w:p>
        </w:tc>
        <w:tc>
          <w:tcPr>
            <w:tcW w:w="43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105F5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5F5">
              <w:t>4.3</w:t>
            </w:r>
          </w:p>
        </w:tc>
        <w:tc>
          <w:tcPr>
            <w:tcW w:w="50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A08B2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A08B2">
              <w:rPr>
                <w:color w:val="FF0000"/>
              </w:rPr>
              <w:t>3.2</w:t>
            </w:r>
          </w:p>
        </w:tc>
        <w:tc>
          <w:tcPr>
            <w:tcW w:w="266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A75FC2" w:rsidRDefault="00854A48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This section, including the mandatory requirements, </w:t>
            </w:r>
            <w:r w:rsidRPr="007E4F1A">
              <w:rPr>
                <w:color w:val="FF0000"/>
              </w:rPr>
              <w:t xml:space="preserve">has been rewritten for better clarity. </w:t>
            </w:r>
            <w:r>
              <w:rPr>
                <w:color w:val="FF0000"/>
              </w:rPr>
              <w:t xml:space="preserve">Policy substance essentially </w:t>
            </w:r>
            <w:r w:rsidRPr="007E4F1A">
              <w:rPr>
                <w:color w:val="FF0000"/>
              </w:rPr>
              <w:t>unchanged.</w:t>
            </w:r>
            <w:r>
              <w:rPr>
                <w:color w:val="FF0000"/>
              </w:rPr>
              <w:t xml:space="preserve"> </w:t>
            </w:r>
          </w:p>
        </w:tc>
      </w:tr>
      <w:tr w:rsidR="00215CEE" w:rsidTr="00813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771BBE" w:rsidRDefault="00854A48" w:rsidP="00215CEE">
            <w:pPr>
              <w:spacing w:before="60" w:after="60"/>
              <w:rPr>
                <w:b/>
                <w:color w:val="FF0000"/>
              </w:rPr>
            </w:pPr>
            <w:r w:rsidRPr="00771BBE">
              <w:rPr>
                <w:b/>
                <w:color w:val="FF0000"/>
              </w:rPr>
              <w:t>Hypothecation arrangements</w:t>
            </w:r>
          </w:p>
        </w:tc>
        <w:tc>
          <w:tcPr>
            <w:tcW w:w="43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814CFF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14CFF">
              <w:rPr>
                <w:color w:val="FF0000"/>
              </w:rPr>
              <w:t>n/a</w:t>
            </w:r>
          </w:p>
        </w:tc>
        <w:tc>
          <w:tcPr>
            <w:tcW w:w="50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F372B1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4.1</w:t>
            </w:r>
          </w:p>
        </w:tc>
        <w:tc>
          <w:tcPr>
            <w:tcW w:w="266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Default="00854A48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490">
              <w:rPr>
                <w:color w:val="FF0000"/>
              </w:rPr>
              <w:t>New section</w:t>
            </w:r>
          </w:p>
        </w:tc>
      </w:tr>
      <w:tr w:rsidR="00215CEE" w:rsidTr="00813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771BBE" w:rsidRDefault="00854A48" w:rsidP="00215CEE">
            <w:pPr>
              <w:spacing w:before="60" w:after="60"/>
              <w:rPr>
                <w:b/>
                <w:color w:val="FF0000"/>
              </w:rPr>
            </w:pPr>
            <w:r w:rsidRPr="00771BBE">
              <w:rPr>
                <w:b/>
                <w:color w:val="FF0000"/>
              </w:rPr>
              <w:t>Central contingencies</w:t>
            </w:r>
          </w:p>
        </w:tc>
        <w:tc>
          <w:tcPr>
            <w:tcW w:w="43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814CFF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814CFF">
              <w:rPr>
                <w:color w:val="FF0000"/>
              </w:rPr>
              <w:t>n/a</w:t>
            </w:r>
          </w:p>
        </w:tc>
        <w:tc>
          <w:tcPr>
            <w:tcW w:w="50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F372B1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4.2</w:t>
            </w:r>
          </w:p>
        </w:tc>
        <w:tc>
          <w:tcPr>
            <w:tcW w:w="266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Default="00854A48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0490">
              <w:rPr>
                <w:color w:val="FF0000"/>
              </w:rPr>
              <w:t>New section</w:t>
            </w:r>
          </w:p>
        </w:tc>
      </w:tr>
      <w:tr w:rsidR="00215CEE" w:rsidRPr="00B105F5" w:rsidTr="00813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66370B" w:rsidRDefault="00854A48" w:rsidP="00215CEE">
            <w:pPr>
              <w:pStyle w:val="Tabletextbold"/>
              <w:spacing w:before="60" w:after="60"/>
            </w:pPr>
            <w:r w:rsidRPr="0066370B">
              <w:t xml:space="preserve">The </w:t>
            </w:r>
            <w:r>
              <w:t>State Administration Unit (</w:t>
            </w:r>
            <w:r w:rsidRPr="0066370B">
              <w:t>SAU</w:t>
            </w:r>
            <w:r>
              <w:t>)</w:t>
            </w:r>
          </w:p>
        </w:tc>
        <w:tc>
          <w:tcPr>
            <w:tcW w:w="43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105F5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5F5">
              <w:t>2</w:t>
            </w:r>
          </w:p>
        </w:tc>
        <w:tc>
          <w:tcPr>
            <w:tcW w:w="50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A08B2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A08B2">
              <w:rPr>
                <w:color w:val="FF0000"/>
              </w:rPr>
              <w:t>5.1</w:t>
            </w:r>
          </w:p>
        </w:tc>
        <w:tc>
          <w:tcPr>
            <w:tcW w:w="266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105F5" w:rsidRDefault="00854A48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5F5">
              <w:t>No change</w:t>
            </w:r>
          </w:p>
        </w:tc>
      </w:tr>
      <w:tr w:rsidR="00215CEE" w:rsidRPr="00B105F5" w:rsidTr="00813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66370B" w:rsidRDefault="00854A48" w:rsidP="00215CEE">
            <w:pPr>
              <w:pStyle w:val="Tabletextbold"/>
              <w:spacing w:before="60" w:after="60"/>
            </w:pPr>
            <w:r w:rsidRPr="0066370B">
              <w:t>The SAU dissection</w:t>
            </w:r>
          </w:p>
        </w:tc>
        <w:tc>
          <w:tcPr>
            <w:tcW w:w="43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105F5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5F5">
              <w:t>2.1</w:t>
            </w:r>
          </w:p>
        </w:tc>
        <w:tc>
          <w:tcPr>
            <w:tcW w:w="50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A08B2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A08B2">
              <w:rPr>
                <w:color w:val="FF0000"/>
              </w:rPr>
              <w:t>5.2</w:t>
            </w:r>
          </w:p>
        </w:tc>
        <w:tc>
          <w:tcPr>
            <w:tcW w:w="266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105F5" w:rsidRDefault="00854A48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5F5">
              <w:t>No change</w:t>
            </w:r>
          </w:p>
        </w:tc>
      </w:tr>
      <w:tr w:rsidR="00215CEE" w:rsidTr="00813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771BBE" w:rsidRDefault="00854A48" w:rsidP="00215CEE">
            <w:pPr>
              <w:spacing w:before="60" w:after="60"/>
              <w:rPr>
                <w:b/>
                <w:color w:val="FF0000"/>
              </w:rPr>
            </w:pPr>
            <w:r w:rsidRPr="00771BBE">
              <w:rPr>
                <w:b/>
                <w:color w:val="FF0000"/>
              </w:rPr>
              <w:t>Policy vs. non-policy journal entries</w:t>
            </w:r>
          </w:p>
        </w:tc>
        <w:tc>
          <w:tcPr>
            <w:tcW w:w="43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3E1FF7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E1FF7">
              <w:rPr>
                <w:color w:val="FF0000"/>
              </w:rPr>
              <w:t>n/a</w:t>
            </w:r>
          </w:p>
        </w:tc>
        <w:tc>
          <w:tcPr>
            <w:tcW w:w="50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A08B2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A08B2">
              <w:rPr>
                <w:color w:val="FF0000"/>
              </w:rPr>
              <w:t>6.1</w:t>
            </w:r>
          </w:p>
        </w:tc>
        <w:tc>
          <w:tcPr>
            <w:tcW w:w="266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Default="00854A48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514">
              <w:rPr>
                <w:color w:val="FF0000"/>
              </w:rPr>
              <w:t>New section</w:t>
            </w:r>
          </w:p>
        </w:tc>
      </w:tr>
      <w:tr w:rsidR="00215CEE" w:rsidTr="00813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771BBE" w:rsidRDefault="00854A48" w:rsidP="00215CEE">
            <w:pPr>
              <w:spacing w:before="60" w:after="60"/>
              <w:rPr>
                <w:b/>
                <w:color w:val="FF0000"/>
              </w:rPr>
            </w:pPr>
            <w:r w:rsidRPr="00771BBE">
              <w:rPr>
                <w:b/>
                <w:color w:val="FF0000"/>
              </w:rPr>
              <w:t>Rollover process</w:t>
            </w:r>
          </w:p>
        </w:tc>
        <w:tc>
          <w:tcPr>
            <w:tcW w:w="43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3E1FF7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3E1FF7">
              <w:rPr>
                <w:color w:val="FF0000"/>
              </w:rPr>
              <w:t>n/a</w:t>
            </w:r>
          </w:p>
        </w:tc>
        <w:tc>
          <w:tcPr>
            <w:tcW w:w="50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BA08B2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BA08B2">
              <w:rPr>
                <w:color w:val="FF0000"/>
              </w:rPr>
              <w:t>6.2</w:t>
            </w:r>
          </w:p>
        </w:tc>
        <w:tc>
          <w:tcPr>
            <w:tcW w:w="266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Default="00854A48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4514">
              <w:rPr>
                <w:color w:val="FF0000"/>
              </w:rPr>
              <w:t>New section</w:t>
            </w:r>
          </w:p>
        </w:tc>
      </w:tr>
      <w:tr w:rsidR="00215CEE" w:rsidTr="00813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66370B" w:rsidRDefault="00854A48" w:rsidP="00215CEE">
            <w:pPr>
              <w:pStyle w:val="Tabletextbold"/>
              <w:spacing w:before="60" w:after="60"/>
            </w:pPr>
            <w:r w:rsidRPr="0066370B">
              <w:t>SAU dissection template</w:t>
            </w:r>
          </w:p>
        </w:tc>
        <w:tc>
          <w:tcPr>
            <w:tcW w:w="43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66370B" w:rsidRDefault="00854A48" w:rsidP="00215CEE">
            <w:pPr>
              <w:pStyle w:val="Tabletextbold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370B">
              <w:t>Attachment 1</w:t>
            </w:r>
          </w:p>
        </w:tc>
        <w:tc>
          <w:tcPr>
            <w:tcW w:w="50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66370B" w:rsidRDefault="00854A48" w:rsidP="00215CEE">
            <w:pPr>
              <w:pStyle w:val="Tabletextbold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370B">
              <w:t>Attachment 1</w:t>
            </w:r>
          </w:p>
        </w:tc>
        <w:tc>
          <w:tcPr>
            <w:tcW w:w="266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Default="00854A48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F91">
              <w:t>No change</w:t>
            </w:r>
          </w:p>
        </w:tc>
      </w:tr>
      <w:tr w:rsidR="00215CEE" w:rsidTr="00813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66370B" w:rsidRDefault="00854A48" w:rsidP="00215CEE">
            <w:pPr>
              <w:pStyle w:val="Tabletextbold"/>
              <w:spacing w:before="60" w:after="60"/>
            </w:pPr>
            <w:r w:rsidRPr="0066370B">
              <w:t>The history of the establishment of the SAU</w:t>
            </w:r>
          </w:p>
        </w:tc>
        <w:tc>
          <w:tcPr>
            <w:tcW w:w="43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66370B" w:rsidRDefault="00854A48" w:rsidP="00215CEE">
            <w:pPr>
              <w:pStyle w:val="Tabletextbold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370B">
              <w:t>Attachment 2</w:t>
            </w:r>
          </w:p>
        </w:tc>
        <w:tc>
          <w:tcPr>
            <w:tcW w:w="50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66370B" w:rsidRDefault="00854A48" w:rsidP="00215CEE">
            <w:pPr>
              <w:pStyle w:val="Tabletextbold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370B">
              <w:t>Attachment 2</w:t>
            </w:r>
          </w:p>
        </w:tc>
        <w:tc>
          <w:tcPr>
            <w:tcW w:w="266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Default="00854A48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F91">
              <w:t>No change</w:t>
            </w:r>
          </w:p>
        </w:tc>
      </w:tr>
      <w:tr w:rsidR="00215CEE" w:rsidTr="00813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66370B" w:rsidRDefault="00854A48" w:rsidP="00215CEE">
            <w:pPr>
              <w:pStyle w:val="Tabletextbold"/>
              <w:spacing w:before="60" w:after="60"/>
            </w:pPr>
            <w:r w:rsidRPr="0066370B">
              <w:t xml:space="preserve">Depreciation equivalent </w:t>
            </w:r>
            <w:r>
              <w:t>diagram</w:t>
            </w:r>
          </w:p>
        </w:tc>
        <w:tc>
          <w:tcPr>
            <w:tcW w:w="43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66370B" w:rsidRDefault="00854A48" w:rsidP="00215CEE">
            <w:pPr>
              <w:pStyle w:val="Tabletextbold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370B">
              <w:t>Attachment 3</w:t>
            </w:r>
          </w:p>
        </w:tc>
        <w:tc>
          <w:tcPr>
            <w:tcW w:w="50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66370B" w:rsidRDefault="00854A48" w:rsidP="00215CEE">
            <w:pPr>
              <w:pStyle w:val="Tabletextbold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370B">
              <w:t>Attachment 3</w:t>
            </w:r>
          </w:p>
        </w:tc>
        <w:tc>
          <w:tcPr>
            <w:tcW w:w="266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Default="00854A48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F91">
              <w:t>No change</w:t>
            </w:r>
          </w:p>
        </w:tc>
      </w:tr>
      <w:tr w:rsidR="00215CEE" w:rsidTr="00813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66370B" w:rsidRDefault="00854A48" w:rsidP="00215CEE">
            <w:pPr>
              <w:pStyle w:val="Tabletextbold"/>
              <w:spacing w:before="60" w:after="60"/>
            </w:pPr>
            <w:r w:rsidRPr="0066370B">
              <w:t xml:space="preserve">Pro-forma journal entries for LSL transactions </w:t>
            </w:r>
          </w:p>
        </w:tc>
        <w:tc>
          <w:tcPr>
            <w:tcW w:w="43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66370B" w:rsidRDefault="00854A48" w:rsidP="00215CEE">
            <w:pPr>
              <w:pStyle w:val="Tabletextbold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370B">
              <w:t>Attachment 4</w:t>
            </w:r>
          </w:p>
        </w:tc>
        <w:tc>
          <w:tcPr>
            <w:tcW w:w="50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66370B" w:rsidRDefault="00854A48" w:rsidP="00215CEE">
            <w:pPr>
              <w:pStyle w:val="Tabletextbold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370B">
              <w:t>Attachment 4</w:t>
            </w:r>
          </w:p>
        </w:tc>
        <w:tc>
          <w:tcPr>
            <w:tcW w:w="266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Default="00854A48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F91">
              <w:t>No change</w:t>
            </w:r>
          </w:p>
        </w:tc>
      </w:tr>
      <w:tr w:rsidR="00215CEE" w:rsidTr="00813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66370B" w:rsidRDefault="00854A48" w:rsidP="00215CEE">
            <w:pPr>
              <w:pStyle w:val="Tabletextbold"/>
              <w:spacing w:before="60" w:after="60"/>
            </w:pPr>
            <w:r w:rsidRPr="0066370B">
              <w:t xml:space="preserve">Diagrammatical representation of LSL funding </w:t>
            </w:r>
          </w:p>
        </w:tc>
        <w:tc>
          <w:tcPr>
            <w:tcW w:w="43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66370B" w:rsidRDefault="00854A48" w:rsidP="00215CEE">
            <w:pPr>
              <w:pStyle w:val="Tabletextbold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370B">
              <w:t>Attachment 5</w:t>
            </w:r>
          </w:p>
        </w:tc>
        <w:tc>
          <w:tcPr>
            <w:tcW w:w="50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66370B" w:rsidRDefault="00854A48" w:rsidP="00215CEE">
            <w:pPr>
              <w:pStyle w:val="Tabletextbold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370B">
              <w:t>Attachment 5</w:t>
            </w:r>
          </w:p>
        </w:tc>
        <w:tc>
          <w:tcPr>
            <w:tcW w:w="266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Default="00854A48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62F91">
              <w:t>No change</w:t>
            </w:r>
          </w:p>
        </w:tc>
      </w:tr>
      <w:tr w:rsidR="00215CEE" w:rsidRPr="00FC11D9" w:rsidTr="00813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FC11D9" w:rsidRDefault="00854A48" w:rsidP="00215CEE">
            <w:pPr>
              <w:spacing w:before="60" w:after="60"/>
              <w:rPr>
                <w:b/>
                <w:color w:val="FF0000"/>
              </w:rPr>
            </w:pPr>
            <w:r w:rsidRPr="00FC11D9">
              <w:rPr>
                <w:b/>
                <w:color w:val="FF0000"/>
              </w:rPr>
              <w:t>Redundancy payments</w:t>
            </w:r>
          </w:p>
        </w:tc>
        <w:tc>
          <w:tcPr>
            <w:tcW w:w="43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3E1FF7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F7">
              <w:t>4.5</w:t>
            </w:r>
          </w:p>
        </w:tc>
        <w:tc>
          <w:tcPr>
            <w:tcW w:w="50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762298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62298">
              <w:rPr>
                <w:color w:val="FF0000"/>
              </w:rPr>
              <w:t>n/a</w:t>
            </w:r>
          </w:p>
        </w:tc>
        <w:tc>
          <w:tcPr>
            <w:tcW w:w="266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FC11D9" w:rsidRDefault="00854A48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M</w:t>
            </w:r>
            <w:r w:rsidRPr="00FC11D9">
              <w:rPr>
                <w:color w:val="FF0000"/>
              </w:rPr>
              <w:t xml:space="preserve">oved to the </w:t>
            </w:r>
            <w:r>
              <w:rPr>
                <w:color w:val="FF0000"/>
              </w:rPr>
              <w:t>Financial Reporting Operations Framework (</w:t>
            </w:r>
            <w:r w:rsidRPr="00FC11D9">
              <w:rPr>
                <w:color w:val="FF0000"/>
              </w:rPr>
              <w:t>FROF</w:t>
            </w:r>
            <w:r>
              <w:rPr>
                <w:color w:val="FF0000"/>
              </w:rPr>
              <w:t>)</w:t>
            </w:r>
          </w:p>
        </w:tc>
      </w:tr>
      <w:tr w:rsidR="00215CEE" w:rsidTr="00813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FC11D9" w:rsidRDefault="00854A48" w:rsidP="00215CEE">
            <w:pPr>
              <w:spacing w:before="60" w:after="60"/>
              <w:rPr>
                <w:b/>
                <w:color w:val="FF0000"/>
              </w:rPr>
            </w:pPr>
            <w:r w:rsidRPr="00FC11D9">
              <w:rPr>
                <w:b/>
                <w:color w:val="FF0000"/>
              </w:rPr>
              <w:t>Superannuation expenses and liabilities</w:t>
            </w:r>
          </w:p>
        </w:tc>
        <w:tc>
          <w:tcPr>
            <w:tcW w:w="43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3E1FF7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F7">
              <w:t>4.6</w:t>
            </w:r>
          </w:p>
        </w:tc>
        <w:tc>
          <w:tcPr>
            <w:tcW w:w="506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Pr="00762298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62298">
              <w:rPr>
                <w:color w:val="FF0000"/>
              </w:rPr>
              <w:t>n/a</w:t>
            </w:r>
          </w:p>
        </w:tc>
        <w:tc>
          <w:tcPr>
            <w:tcW w:w="2663" w:type="pct"/>
            <w:tcBorders>
              <w:top w:val="single" w:sz="6" w:space="0" w:color="0063A6" w:themeColor="accent1"/>
              <w:bottom w:val="single" w:sz="6" w:space="0" w:color="0063A6" w:themeColor="accent1"/>
            </w:tcBorders>
          </w:tcPr>
          <w:p w:rsidR="00854A48" w:rsidRDefault="00854A48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17F7">
              <w:rPr>
                <w:color w:val="FF0000"/>
              </w:rPr>
              <w:t>Moved to the Financial Reporting Operations Framework (FROF)</w:t>
            </w:r>
          </w:p>
        </w:tc>
      </w:tr>
      <w:tr w:rsidR="00215CEE" w:rsidTr="008137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pct"/>
            <w:tcBorders>
              <w:top w:val="single" w:sz="6" w:space="0" w:color="0063A6" w:themeColor="accent1"/>
            </w:tcBorders>
          </w:tcPr>
          <w:p w:rsidR="00854A48" w:rsidRPr="00FC11D9" w:rsidRDefault="00854A48" w:rsidP="00215CEE">
            <w:pPr>
              <w:spacing w:before="60" w:after="60"/>
              <w:rPr>
                <w:b/>
                <w:color w:val="FF0000"/>
              </w:rPr>
            </w:pPr>
            <w:r w:rsidRPr="00FC11D9">
              <w:rPr>
                <w:b/>
                <w:color w:val="FF0000"/>
              </w:rPr>
              <w:t>Annual leave</w:t>
            </w:r>
          </w:p>
        </w:tc>
        <w:tc>
          <w:tcPr>
            <w:tcW w:w="436" w:type="pct"/>
            <w:tcBorders>
              <w:top w:val="single" w:sz="6" w:space="0" w:color="0063A6" w:themeColor="accent1"/>
            </w:tcBorders>
          </w:tcPr>
          <w:p w:rsidR="00854A48" w:rsidRPr="003E1FF7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1FF7">
              <w:t>4.7</w:t>
            </w:r>
          </w:p>
        </w:tc>
        <w:tc>
          <w:tcPr>
            <w:tcW w:w="506" w:type="pct"/>
            <w:tcBorders>
              <w:top w:val="single" w:sz="6" w:space="0" w:color="0063A6" w:themeColor="accent1"/>
            </w:tcBorders>
          </w:tcPr>
          <w:p w:rsidR="00854A48" w:rsidRPr="00762298" w:rsidRDefault="00854A48" w:rsidP="00215CEE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762298">
              <w:rPr>
                <w:color w:val="FF0000"/>
              </w:rPr>
              <w:t>n/a</w:t>
            </w:r>
          </w:p>
        </w:tc>
        <w:tc>
          <w:tcPr>
            <w:tcW w:w="2663" w:type="pct"/>
            <w:tcBorders>
              <w:top w:val="single" w:sz="6" w:space="0" w:color="0063A6" w:themeColor="accent1"/>
            </w:tcBorders>
          </w:tcPr>
          <w:p w:rsidR="00854A48" w:rsidRDefault="00854A48" w:rsidP="00215CEE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17F7">
              <w:rPr>
                <w:color w:val="FF0000"/>
              </w:rPr>
              <w:t>Moved to the Financial Reporting Operations Framework (FROF)</w:t>
            </w:r>
          </w:p>
        </w:tc>
      </w:tr>
    </w:tbl>
    <w:p w:rsidR="00854A48" w:rsidRPr="009F3731" w:rsidRDefault="00854A48" w:rsidP="00854A48"/>
    <w:sectPr w:rsidR="00854A48" w:rsidRPr="009F3731" w:rsidSect="00215CE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6838" w:h="11906" w:orient="landscape" w:code="9"/>
      <w:pgMar w:top="1440" w:right="1440" w:bottom="1354" w:left="1440" w:header="706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85" w:rsidRDefault="009B1985" w:rsidP="002D711A">
      <w:pPr>
        <w:spacing w:after="0" w:line="240" w:lineRule="auto"/>
      </w:pPr>
      <w:r>
        <w:separator/>
      </w:r>
    </w:p>
  </w:endnote>
  <w:endnote w:type="continuationSeparator" w:id="0">
    <w:p w:rsidR="009B1985" w:rsidRDefault="009B1985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48" w:rsidRPr="001E31FA" w:rsidRDefault="00854A48" w:rsidP="001E31FA">
    <w:pPr>
      <w:pStyle w:val="Spacer"/>
    </w:pPr>
  </w:p>
  <w:p w:rsidR="00854A48" w:rsidRPr="00297281" w:rsidRDefault="00854A48" w:rsidP="00C022F9">
    <w:pPr>
      <w:pStyle w:val="Footer"/>
    </w:pPr>
    <w:r w:rsidRPr="00D542F3">
      <w:t xml:space="preserve">Page </w:t>
    </w:r>
    <w:r w:rsidRPr="00D542F3">
      <w:rPr>
        <w:rStyle w:val="PageNumber"/>
      </w:rPr>
      <w:fldChar w:fldCharType="begin"/>
    </w:r>
    <w:r w:rsidRPr="00D542F3">
      <w:rPr>
        <w:rStyle w:val="PageNumber"/>
      </w:rPr>
      <w:instrText xml:space="preserve"> Page </w:instrText>
    </w:r>
    <w:r w:rsidRPr="00D542F3">
      <w:rPr>
        <w:rStyle w:val="PageNumber"/>
      </w:rPr>
      <w:fldChar w:fldCharType="separate"/>
    </w:r>
    <w:r>
      <w:rPr>
        <w:rStyle w:val="PageNumber"/>
      </w:rPr>
      <w:t>2</w:t>
    </w:r>
    <w:r w:rsidRPr="00D542F3">
      <w:rPr>
        <w:rStyle w:val="PageNumber"/>
      </w:rPr>
      <w:fldChar w:fldCharType="end"/>
    </w:r>
    <w:r>
      <w:rPr>
        <w:rStyle w:val="PageNumber"/>
      </w:rPr>
      <w:tab/>
    </w:r>
    <w:r w:rsidRPr="00C92338">
      <w:rPr>
        <w:b/>
        <w:noProof w:val="0"/>
        <w:color w:val="0063A6" w:themeColor="accent1"/>
        <w:sz w:val="20"/>
      </w:rPr>
      <w:fldChar w:fldCharType="begin"/>
    </w:r>
    <w:r w:rsidRPr="00C92338">
      <w:rPr>
        <w:b/>
        <w:color w:val="0063A6" w:themeColor="accent1"/>
        <w:sz w:val="20"/>
      </w:rPr>
      <w:instrText xml:space="preserve"> StyleRef “Title” </w:instrText>
    </w:r>
    <w:r w:rsidRPr="00C92338">
      <w:rPr>
        <w:b/>
        <w:noProof w:val="0"/>
        <w:color w:val="0063A6" w:themeColor="accent1"/>
        <w:sz w:val="20"/>
      </w:rPr>
      <w:fldChar w:fldCharType="separate"/>
    </w:r>
    <w:r w:rsidR="00215CEE">
      <w:rPr>
        <w:b/>
        <w:color w:val="0063A6" w:themeColor="accent1"/>
        <w:sz w:val="20"/>
      </w:rPr>
      <w:t>Issue of the new Budget Operations Framework – February 2017</w:t>
    </w:r>
    <w:r w:rsidRPr="00C92338">
      <w:rPr>
        <w:b/>
        <w:color w:val="0063A6" w:themeColor="accent1"/>
        <w:sz w:val="20"/>
      </w:rPr>
      <w:fldChar w:fldCharType="end"/>
    </w:r>
    <w:r>
      <w:rPr>
        <w:b/>
        <w:color w:val="0063A6" w:themeColor="accent1"/>
      </w:rPr>
      <w:t xml:space="preserve"> – </w:t>
    </w:r>
    <w:r>
      <w:rPr>
        <w:noProof w:val="0"/>
      </w:rPr>
      <w:fldChar w:fldCharType="begin"/>
    </w:r>
    <w:r>
      <w:instrText xml:space="preserve"> StyleRef “Subtitle” </w:instrText>
    </w:r>
    <w:r>
      <w:rPr>
        <w:noProof w:val="0"/>
      </w:rPr>
      <w:fldChar w:fldCharType="separate"/>
    </w:r>
    <w:r w:rsidR="00215CEE">
      <w:rPr>
        <w:b/>
        <w:bCs/>
        <w:lang w:val="en-US"/>
      </w:rPr>
      <w:t>Error! No text of specified style in document.</w:t>
    </w:r>
    <w:r>
      <w:fldChar w:fldCharType="end"/>
    </w:r>
    <w:r w:rsidRPr="0018749C">
      <w:t xml:space="preserve">, </w:t>
    </w:r>
    <w:r>
      <w:rPr>
        <w:noProof w:val="0"/>
      </w:rPr>
      <w:fldChar w:fldCharType="begin"/>
    </w:r>
    <w:r>
      <w:instrText xml:space="preserve"> StyleRef “Tertiary Title” </w:instrText>
    </w:r>
    <w:r>
      <w:rPr>
        <w:noProof w:val="0"/>
      </w:rPr>
      <w:fldChar w:fldCharType="separate"/>
    </w:r>
    <w:r w:rsidR="00215CEE">
      <w:rPr>
        <w:b/>
        <w:bCs/>
        <w:lang w:val="en-US"/>
      </w:rPr>
      <w:t>Error! No text of specified style in document.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48" w:rsidRDefault="00854A48" w:rsidP="00165E66">
    <w:pPr>
      <w:pStyle w:val="Spacer"/>
    </w:pPr>
  </w:p>
  <w:p w:rsidR="00854A48" w:rsidRPr="00C022F9" w:rsidRDefault="00854A48" w:rsidP="00165E66">
    <w:pPr>
      <w:pStyle w:val="Footer"/>
    </w:pPr>
    <w:r w:rsidRPr="00C022F9">
      <w:rPr>
        <w:b/>
        <w:noProof w:val="0"/>
        <w:color w:val="0063A6" w:themeColor="accent1"/>
      </w:rPr>
      <w:fldChar w:fldCharType="begin"/>
    </w:r>
    <w:r w:rsidRPr="00C022F9">
      <w:rPr>
        <w:b/>
        <w:color w:val="0063A6" w:themeColor="accent1"/>
      </w:rPr>
      <w:instrText xml:space="preserve"> StyleRef “Title” </w:instrText>
    </w:r>
    <w:r w:rsidRPr="00C022F9">
      <w:rPr>
        <w:b/>
        <w:noProof w:val="0"/>
        <w:color w:val="0063A6" w:themeColor="accent1"/>
      </w:rPr>
      <w:fldChar w:fldCharType="separate"/>
    </w:r>
    <w:r w:rsidR="00A05AB9">
      <w:rPr>
        <w:b/>
        <w:color w:val="0063A6" w:themeColor="accent1"/>
      </w:rPr>
      <w:t>Updated Budget Operations Framework – February 2017</w:t>
    </w:r>
    <w:r w:rsidRPr="00C022F9">
      <w:rPr>
        <w:b/>
        <w:color w:val="0063A6" w:themeColor="accent1"/>
      </w:rPr>
      <w:fldChar w:fldCharType="end"/>
    </w:r>
    <w:r w:rsidRPr="00C022F9">
      <w:tab/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A05AB9">
      <w:rPr>
        <w:rStyle w:val="PageNumber"/>
      </w:rPr>
      <w:t>1</w:t>
    </w:r>
    <w:r w:rsidRPr="00DE60CC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F7" w:rsidRDefault="008137F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13" w:rsidRPr="00014213" w:rsidRDefault="00014213" w:rsidP="00C022F9">
    <w:pPr>
      <w:pStyle w:val="Footer"/>
    </w:pPr>
    <w:r>
      <w:drawing>
        <wp:anchor distT="0" distB="0" distL="114300" distR="114300" simplePos="0" relativeHeight="251667456" behindDoc="0" locked="0" layoutInCell="1" allowOverlap="1" wp14:anchorId="35449AF9" wp14:editId="23FA1867">
          <wp:simplePos x="0" y="0"/>
          <wp:positionH relativeFrom="column">
            <wp:posOffset>4240861</wp:posOffset>
          </wp:positionH>
          <wp:positionV relativeFrom="page">
            <wp:posOffset>9493250</wp:posOffset>
          </wp:positionV>
          <wp:extent cx="1956435" cy="582930"/>
          <wp:effectExtent l="0" t="0" r="5715" b="7620"/>
          <wp:wrapNone/>
          <wp:docPr id="29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43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EE" w:rsidRDefault="00215CEE" w:rsidP="00165E66">
    <w:pPr>
      <w:pStyle w:val="Spacer"/>
    </w:pPr>
  </w:p>
  <w:p w:rsidR="00215CEE" w:rsidRPr="00C022F9" w:rsidRDefault="00215CEE" w:rsidP="00215CEE">
    <w:pPr>
      <w:pStyle w:val="Footer"/>
      <w:tabs>
        <w:tab w:val="clear" w:pos="9026"/>
        <w:tab w:val="right" w:pos="13950"/>
      </w:tabs>
    </w:pPr>
    <w:r w:rsidRPr="00C022F9">
      <w:rPr>
        <w:b/>
        <w:noProof w:val="0"/>
        <w:color w:val="0063A6" w:themeColor="accent1"/>
      </w:rPr>
      <w:fldChar w:fldCharType="begin"/>
    </w:r>
    <w:r w:rsidRPr="00C022F9">
      <w:rPr>
        <w:b/>
        <w:color w:val="0063A6" w:themeColor="accent1"/>
      </w:rPr>
      <w:instrText xml:space="preserve"> StyleRef “Title” </w:instrText>
    </w:r>
    <w:r w:rsidRPr="00C022F9">
      <w:rPr>
        <w:b/>
        <w:noProof w:val="0"/>
        <w:color w:val="0063A6" w:themeColor="accent1"/>
      </w:rPr>
      <w:fldChar w:fldCharType="separate"/>
    </w:r>
    <w:r w:rsidR="00A05AB9">
      <w:rPr>
        <w:b/>
        <w:color w:val="0063A6" w:themeColor="accent1"/>
      </w:rPr>
      <w:t>Updated Budget Operations Framework – February 2017</w:t>
    </w:r>
    <w:r w:rsidRPr="00C022F9">
      <w:rPr>
        <w:b/>
        <w:color w:val="0063A6" w:themeColor="accent1"/>
      </w:rPr>
      <w:fldChar w:fldCharType="end"/>
    </w:r>
    <w:r w:rsidRPr="00C022F9">
      <w:tab/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 w:rsidR="00A05AB9">
      <w:rPr>
        <w:rStyle w:val="PageNumber"/>
      </w:rPr>
      <w:t>3</w:t>
    </w:r>
    <w:r w:rsidRPr="00DE60CC">
      <w:rPr>
        <w:rStyle w:val="PageNumber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69" w:rsidRDefault="00B40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85" w:rsidRDefault="009B1985" w:rsidP="002D711A">
      <w:pPr>
        <w:spacing w:after="0" w:line="240" w:lineRule="auto"/>
      </w:pPr>
      <w:r>
        <w:separator/>
      </w:r>
    </w:p>
  </w:footnote>
  <w:footnote w:type="continuationSeparator" w:id="0">
    <w:p w:rsidR="009B1985" w:rsidRDefault="009B1985" w:rsidP="002D7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F7" w:rsidRDefault="008137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48" w:rsidRDefault="00854A48">
    <w:pPr>
      <w:pStyle w:val="Header"/>
    </w:pPr>
    <w:r w:rsidRPr="00227C39">
      <w:rPr>
        <w:noProof/>
      </w:rPr>
      <w:drawing>
        <wp:anchor distT="0" distB="0" distL="114300" distR="114300" simplePos="0" relativeHeight="251676672" behindDoc="0" locked="0" layoutInCell="1" allowOverlap="1" wp14:anchorId="45EF461D" wp14:editId="0761B309">
          <wp:simplePos x="0" y="0"/>
          <wp:positionH relativeFrom="column">
            <wp:posOffset>-325755</wp:posOffset>
          </wp:positionH>
          <wp:positionV relativeFrom="page">
            <wp:posOffset>297815</wp:posOffset>
          </wp:positionV>
          <wp:extent cx="1380490" cy="4114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49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7C39">
      <w:rPr>
        <w:noProof/>
      </w:rPr>
      <w:drawing>
        <wp:anchor distT="0" distB="0" distL="114300" distR="114300" simplePos="0" relativeHeight="251675648" behindDoc="0" locked="0" layoutInCell="1" allowOverlap="1" wp14:anchorId="4A1E1458" wp14:editId="7EFF5705">
          <wp:simplePos x="0" y="0"/>
          <wp:positionH relativeFrom="column">
            <wp:posOffset>-914400</wp:posOffset>
          </wp:positionH>
          <wp:positionV relativeFrom="page">
            <wp:posOffset>124147</wp:posOffset>
          </wp:positionV>
          <wp:extent cx="7592124" cy="740664"/>
          <wp:effectExtent l="0" t="0" r="0" b="2540"/>
          <wp:wrapNone/>
          <wp:docPr id="1" nam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UM HEADER_9545 DTF Covers A4 Final_Blue5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124" cy="740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7F7" w:rsidRDefault="008137F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69" w:rsidRDefault="00B40D69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EE" w:rsidRPr="0041689E" w:rsidRDefault="00215CEE" w:rsidP="00215CEE">
    <w:pPr>
      <w:pStyle w:val="Header"/>
    </w:pPr>
    <w:r>
      <w:rPr>
        <w:noProof/>
      </w:rPr>
      <w:drawing>
        <wp:anchor distT="0" distB="0" distL="114300" distR="114300" simplePos="0" relativeHeight="251679744" behindDoc="0" locked="0" layoutInCell="1" allowOverlap="1" wp14:anchorId="13B61BFE" wp14:editId="4C5C9359">
          <wp:simplePos x="0" y="0"/>
          <wp:positionH relativeFrom="column">
            <wp:posOffset>-237379</wp:posOffset>
          </wp:positionH>
          <wp:positionV relativeFrom="page">
            <wp:posOffset>229870</wp:posOffset>
          </wp:positionV>
          <wp:extent cx="1183640" cy="3524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64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168DA064" wp14:editId="524ED4C0">
          <wp:simplePos x="0" y="0"/>
          <wp:positionH relativeFrom="column">
            <wp:posOffset>-2218994</wp:posOffset>
          </wp:positionH>
          <wp:positionV relativeFrom="page">
            <wp:posOffset>115570</wp:posOffset>
          </wp:positionV>
          <wp:extent cx="13157835" cy="548640"/>
          <wp:effectExtent l="0" t="0" r="571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 HEADER_9545 DTF Covers A4 Final_Blue6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50"/>
                  <a:stretch/>
                </pic:blipFill>
                <pic:spPr bwMode="auto">
                  <a:xfrm>
                    <a:off x="0" y="0"/>
                    <a:ext cx="13157835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D69" w:rsidRDefault="00B40D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163"/>
    <w:multiLevelType w:val="hybridMultilevel"/>
    <w:tmpl w:val="44AE1A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46D3A6A"/>
    <w:multiLevelType w:val="multilevel"/>
    <w:tmpl w:val="D6E0041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4">
    <w:nsid w:val="51A73A9E"/>
    <w:multiLevelType w:val="hybridMultilevel"/>
    <w:tmpl w:val="DCF8D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C2F93"/>
    <w:multiLevelType w:val="hybridMultilevel"/>
    <w:tmpl w:val="B21A0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44514"/>
    <w:multiLevelType w:val="multilevel"/>
    <w:tmpl w:val="3E300802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8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2"/>
  </w:num>
  <w:num w:numId="18">
    <w:abstractNumId w:val="2"/>
  </w:num>
  <w:num w:numId="19">
    <w:abstractNumId w:val="7"/>
  </w:num>
  <w:num w:numId="20">
    <w:abstractNumId w:val="8"/>
  </w:num>
  <w:num w:numId="21">
    <w:abstractNumId w:val="5"/>
  </w:num>
  <w:num w:numId="22">
    <w:abstractNumId w:val="4"/>
  </w:num>
  <w:num w:numId="23">
    <w:abstractNumId w:val="0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85"/>
    <w:rsid w:val="0000146A"/>
    <w:rsid w:val="00012F6F"/>
    <w:rsid w:val="00014213"/>
    <w:rsid w:val="00014B55"/>
    <w:rsid w:val="00020E3E"/>
    <w:rsid w:val="000228B8"/>
    <w:rsid w:val="00023BF3"/>
    <w:rsid w:val="00026811"/>
    <w:rsid w:val="0004356D"/>
    <w:rsid w:val="00045296"/>
    <w:rsid w:val="00064B81"/>
    <w:rsid w:val="00075E6C"/>
    <w:rsid w:val="0007757C"/>
    <w:rsid w:val="000B29AD"/>
    <w:rsid w:val="000C6372"/>
    <w:rsid w:val="000D7E09"/>
    <w:rsid w:val="000E392D"/>
    <w:rsid w:val="000F3180"/>
    <w:rsid w:val="000F4288"/>
    <w:rsid w:val="000F7165"/>
    <w:rsid w:val="00102379"/>
    <w:rsid w:val="001065D6"/>
    <w:rsid w:val="00121252"/>
    <w:rsid w:val="00124609"/>
    <w:rsid w:val="001254CE"/>
    <w:rsid w:val="00134CEA"/>
    <w:rsid w:val="001422CC"/>
    <w:rsid w:val="001617B6"/>
    <w:rsid w:val="00165E66"/>
    <w:rsid w:val="0017493C"/>
    <w:rsid w:val="00196BEA"/>
    <w:rsid w:val="001C7BAE"/>
    <w:rsid w:val="001D3732"/>
    <w:rsid w:val="001E31FA"/>
    <w:rsid w:val="001E64F6"/>
    <w:rsid w:val="002122DA"/>
    <w:rsid w:val="00215CEE"/>
    <w:rsid w:val="00222BEB"/>
    <w:rsid w:val="00225E60"/>
    <w:rsid w:val="0023202C"/>
    <w:rsid w:val="00236203"/>
    <w:rsid w:val="00245043"/>
    <w:rsid w:val="00257760"/>
    <w:rsid w:val="0028009E"/>
    <w:rsid w:val="00292D36"/>
    <w:rsid w:val="0029571E"/>
    <w:rsid w:val="00297281"/>
    <w:rsid w:val="002B07FF"/>
    <w:rsid w:val="002B0BC3"/>
    <w:rsid w:val="002C54E0"/>
    <w:rsid w:val="002D711A"/>
    <w:rsid w:val="002D7336"/>
    <w:rsid w:val="002E3396"/>
    <w:rsid w:val="00303CCF"/>
    <w:rsid w:val="0031149C"/>
    <w:rsid w:val="003327DC"/>
    <w:rsid w:val="00386EB2"/>
    <w:rsid w:val="0038771C"/>
    <w:rsid w:val="0039405B"/>
    <w:rsid w:val="003A1C92"/>
    <w:rsid w:val="003A541A"/>
    <w:rsid w:val="003A6923"/>
    <w:rsid w:val="003C2C23"/>
    <w:rsid w:val="003C2C67"/>
    <w:rsid w:val="003C5BA4"/>
    <w:rsid w:val="003E3E26"/>
    <w:rsid w:val="003F1295"/>
    <w:rsid w:val="003F76FC"/>
    <w:rsid w:val="004002EB"/>
    <w:rsid w:val="0041689E"/>
    <w:rsid w:val="004236C8"/>
    <w:rsid w:val="00427681"/>
    <w:rsid w:val="00430DB9"/>
    <w:rsid w:val="00431DE9"/>
    <w:rsid w:val="00433DB7"/>
    <w:rsid w:val="00453750"/>
    <w:rsid w:val="00456941"/>
    <w:rsid w:val="004669E3"/>
    <w:rsid w:val="004702EA"/>
    <w:rsid w:val="00482D02"/>
    <w:rsid w:val="004A7519"/>
    <w:rsid w:val="004B2ADA"/>
    <w:rsid w:val="004D3518"/>
    <w:rsid w:val="004D62D6"/>
    <w:rsid w:val="0053416C"/>
    <w:rsid w:val="00541C2F"/>
    <w:rsid w:val="00563527"/>
    <w:rsid w:val="0058124E"/>
    <w:rsid w:val="00584301"/>
    <w:rsid w:val="005875A3"/>
    <w:rsid w:val="005A3416"/>
    <w:rsid w:val="005B0F38"/>
    <w:rsid w:val="005B27FE"/>
    <w:rsid w:val="005C3E6D"/>
    <w:rsid w:val="005E1F9C"/>
    <w:rsid w:val="005F61DF"/>
    <w:rsid w:val="00600E54"/>
    <w:rsid w:val="006023F9"/>
    <w:rsid w:val="00610559"/>
    <w:rsid w:val="0063098A"/>
    <w:rsid w:val="006332F6"/>
    <w:rsid w:val="00634A1C"/>
    <w:rsid w:val="00634D1B"/>
    <w:rsid w:val="006361E7"/>
    <w:rsid w:val="00652625"/>
    <w:rsid w:val="006534B2"/>
    <w:rsid w:val="0065615D"/>
    <w:rsid w:val="00657011"/>
    <w:rsid w:val="006650B5"/>
    <w:rsid w:val="006651B1"/>
    <w:rsid w:val="00665778"/>
    <w:rsid w:val="006A44D8"/>
    <w:rsid w:val="006A5B34"/>
    <w:rsid w:val="006A5F5B"/>
    <w:rsid w:val="006C77A9"/>
    <w:rsid w:val="006E528B"/>
    <w:rsid w:val="006F6693"/>
    <w:rsid w:val="00707FE8"/>
    <w:rsid w:val="00722DCC"/>
    <w:rsid w:val="00724962"/>
    <w:rsid w:val="00724A0F"/>
    <w:rsid w:val="007320B4"/>
    <w:rsid w:val="00732162"/>
    <w:rsid w:val="00736732"/>
    <w:rsid w:val="00750CBE"/>
    <w:rsid w:val="00766B5A"/>
    <w:rsid w:val="007834F2"/>
    <w:rsid w:val="00791020"/>
    <w:rsid w:val="007A5F82"/>
    <w:rsid w:val="007C0963"/>
    <w:rsid w:val="007C4A7D"/>
    <w:rsid w:val="007D798E"/>
    <w:rsid w:val="007F1A4C"/>
    <w:rsid w:val="007F67FD"/>
    <w:rsid w:val="008022C3"/>
    <w:rsid w:val="008041E6"/>
    <w:rsid w:val="008065D2"/>
    <w:rsid w:val="008137F7"/>
    <w:rsid w:val="0082194C"/>
    <w:rsid w:val="008220C4"/>
    <w:rsid w:val="008222FF"/>
    <w:rsid w:val="008241FF"/>
    <w:rsid w:val="0083618B"/>
    <w:rsid w:val="008411E9"/>
    <w:rsid w:val="0084200F"/>
    <w:rsid w:val="00843B2C"/>
    <w:rsid w:val="00854A48"/>
    <w:rsid w:val="008A0751"/>
    <w:rsid w:val="008A4900"/>
    <w:rsid w:val="008B7F11"/>
    <w:rsid w:val="008D0281"/>
    <w:rsid w:val="008E3C4E"/>
    <w:rsid w:val="008F6D45"/>
    <w:rsid w:val="00963E0B"/>
    <w:rsid w:val="0097518C"/>
    <w:rsid w:val="00980DBF"/>
    <w:rsid w:val="009828DA"/>
    <w:rsid w:val="009834C0"/>
    <w:rsid w:val="00986AAC"/>
    <w:rsid w:val="009A1DA2"/>
    <w:rsid w:val="009A3704"/>
    <w:rsid w:val="009A4739"/>
    <w:rsid w:val="009A674F"/>
    <w:rsid w:val="009B1985"/>
    <w:rsid w:val="009B199C"/>
    <w:rsid w:val="009B54C8"/>
    <w:rsid w:val="009B61F1"/>
    <w:rsid w:val="009B62E0"/>
    <w:rsid w:val="009C3D88"/>
    <w:rsid w:val="009E3858"/>
    <w:rsid w:val="009E70DD"/>
    <w:rsid w:val="009F2ED9"/>
    <w:rsid w:val="009F3231"/>
    <w:rsid w:val="009F3731"/>
    <w:rsid w:val="009F5C58"/>
    <w:rsid w:val="00A023A0"/>
    <w:rsid w:val="00A05AB9"/>
    <w:rsid w:val="00A1562B"/>
    <w:rsid w:val="00A170F4"/>
    <w:rsid w:val="00A17376"/>
    <w:rsid w:val="00A22A47"/>
    <w:rsid w:val="00A2559E"/>
    <w:rsid w:val="00A25FD9"/>
    <w:rsid w:val="00A30D9F"/>
    <w:rsid w:val="00A46BA8"/>
    <w:rsid w:val="00A47634"/>
    <w:rsid w:val="00A54D77"/>
    <w:rsid w:val="00A612FE"/>
    <w:rsid w:val="00A71611"/>
    <w:rsid w:val="00A75FC2"/>
    <w:rsid w:val="00A906D8"/>
    <w:rsid w:val="00AA26B8"/>
    <w:rsid w:val="00AB3FE2"/>
    <w:rsid w:val="00AD1A83"/>
    <w:rsid w:val="00AD1B6C"/>
    <w:rsid w:val="00AD3322"/>
    <w:rsid w:val="00AD7E4E"/>
    <w:rsid w:val="00AE41D9"/>
    <w:rsid w:val="00AF4D58"/>
    <w:rsid w:val="00AF6666"/>
    <w:rsid w:val="00B057BA"/>
    <w:rsid w:val="00B10154"/>
    <w:rsid w:val="00B40D69"/>
    <w:rsid w:val="00B81B44"/>
    <w:rsid w:val="00B9053B"/>
    <w:rsid w:val="00BC3422"/>
    <w:rsid w:val="00BE5B54"/>
    <w:rsid w:val="00C015B9"/>
    <w:rsid w:val="00C022F9"/>
    <w:rsid w:val="00C032EA"/>
    <w:rsid w:val="00C06EB5"/>
    <w:rsid w:val="00C1145F"/>
    <w:rsid w:val="00C637E1"/>
    <w:rsid w:val="00C67638"/>
    <w:rsid w:val="00C70D50"/>
    <w:rsid w:val="00C907D7"/>
    <w:rsid w:val="00C92338"/>
    <w:rsid w:val="00CA7C3A"/>
    <w:rsid w:val="00CB1C43"/>
    <w:rsid w:val="00CC194D"/>
    <w:rsid w:val="00CC2663"/>
    <w:rsid w:val="00CC2DB2"/>
    <w:rsid w:val="00CD0307"/>
    <w:rsid w:val="00CD3D1B"/>
    <w:rsid w:val="00CF6AB1"/>
    <w:rsid w:val="00CF7DCA"/>
    <w:rsid w:val="00D211E9"/>
    <w:rsid w:val="00D2312F"/>
    <w:rsid w:val="00D269C1"/>
    <w:rsid w:val="00D44953"/>
    <w:rsid w:val="00D46F72"/>
    <w:rsid w:val="00D542F3"/>
    <w:rsid w:val="00D5644B"/>
    <w:rsid w:val="00D56E25"/>
    <w:rsid w:val="00D718D7"/>
    <w:rsid w:val="00D7288C"/>
    <w:rsid w:val="00D814B7"/>
    <w:rsid w:val="00D90688"/>
    <w:rsid w:val="00D94140"/>
    <w:rsid w:val="00DA3AAD"/>
    <w:rsid w:val="00DB312B"/>
    <w:rsid w:val="00DC5654"/>
    <w:rsid w:val="00DC658F"/>
    <w:rsid w:val="00DE60CC"/>
    <w:rsid w:val="00E26B32"/>
    <w:rsid w:val="00E407B6"/>
    <w:rsid w:val="00E41EF1"/>
    <w:rsid w:val="00E42942"/>
    <w:rsid w:val="00E46545"/>
    <w:rsid w:val="00E468A6"/>
    <w:rsid w:val="00E553F9"/>
    <w:rsid w:val="00E6645A"/>
    <w:rsid w:val="00E71BDF"/>
    <w:rsid w:val="00E83CA7"/>
    <w:rsid w:val="00E85403"/>
    <w:rsid w:val="00EC171D"/>
    <w:rsid w:val="00ED487E"/>
    <w:rsid w:val="00ED66CF"/>
    <w:rsid w:val="00EE0393"/>
    <w:rsid w:val="00EE1702"/>
    <w:rsid w:val="00EE7A0D"/>
    <w:rsid w:val="00F01B40"/>
    <w:rsid w:val="00F17CE1"/>
    <w:rsid w:val="00F2115C"/>
    <w:rsid w:val="00F22ABA"/>
    <w:rsid w:val="00F23C8C"/>
    <w:rsid w:val="00F36B12"/>
    <w:rsid w:val="00F60F9F"/>
    <w:rsid w:val="00F64F08"/>
    <w:rsid w:val="00F67F37"/>
    <w:rsid w:val="00F734F5"/>
    <w:rsid w:val="00F966B1"/>
    <w:rsid w:val="00F97D48"/>
    <w:rsid w:val="00FA0311"/>
    <w:rsid w:val="00FA7CC1"/>
    <w:rsid w:val="00FC42E5"/>
    <w:rsid w:val="00FD640F"/>
    <w:rsid w:val="00FD6B4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8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 w:uiPriority="97"/>
    <w:lsdException w:name="Default Paragraph Font" w:uiPriority="1" w:unhideWhenUsed="1"/>
    <w:lsdException w:name="Body Text" w:uiPriority="49"/>
    <w:lsdException w:name="Subtitle" w:semiHidden="0" w:uiPriority="98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215CEE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15CEE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215CEE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215CEE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215C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15C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215CEE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215CEE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215CEE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215CEE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215CEE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215CEE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215CEE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215CEE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215CEE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215CEE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215CEE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215CEE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215CEE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215CEE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215CEE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215CEE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215CEE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215CEE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215CEE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215CEE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215CEE"/>
    <w:pPr>
      <w:spacing w:line="252" w:lineRule="auto"/>
      <w:ind w:left="792"/>
    </w:pPr>
  </w:style>
  <w:style w:type="paragraph" w:customStyle="1" w:styleId="NoteNormal">
    <w:name w:val="Note Normal"/>
    <w:basedOn w:val="Normal"/>
    <w:rsid w:val="00215CEE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215CEE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215CEE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215CEE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215CEE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215CEE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215CEE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1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EE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215CEE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215CEE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215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CEE"/>
    <w:rPr>
      <w:spacing w:val="2"/>
    </w:rPr>
  </w:style>
  <w:style w:type="paragraph" w:styleId="Footer">
    <w:name w:val="footer"/>
    <w:basedOn w:val="Normal"/>
    <w:link w:val="FooterChar"/>
    <w:uiPriority w:val="24"/>
    <w:rsid w:val="00215CEE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215CEE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215CEE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215CEE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215CEE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215CEE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215CEE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215CEE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215CEE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215CEE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215CEE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215CEE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215CEE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215CEE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215CEE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215CEE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215CEE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215CEE"/>
    <w:pPr>
      <w:numPr>
        <w:numId w:val="4"/>
      </w:numPr>
    </w:pPr>
  </w:style>
  <w:style w:type="paragraph" w:customStyle="1" w:styleId="Listnum2">
    <w:name w:val="List num 2"/>
    <w:basedOn w:val="Normal"/>
    <w:uiPriority w:val="1"/>
    <w:qFormat/>
    <w:rsid w:val="00215CEE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5"/>
    <w:qFormat/>
    <w:rsid w:val="00215CEE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215CEE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215CEE"/>
    <w:pPr>
      <w:numPr>
        <w:numId w:val="17"/>
      </w:numPr>
    </w:pPr>
  </w:style>
  <w:style w:type="paragraph" w:customStyle="1" w:styleId="Tabledash">
    <w:name w:val="Table dash"/>
    <w:basedOn w:val="Tablebullet"/>
    <w:uiPriority w:val="6"/>
    <w:rsid w:val="00215CEE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215CEE"/>
    <w:pPr>
      <w:ind w:left="288"/>
    </w:pPr>
  </w:style>
  <w:style w:type="paragraph" w:customStyle="1" w:styleId="Numpara">
    <w:name w:val="Num para"/>
    <w:basedOn w:val="ListParagraph"/>
    <w:uiPriority w:val="2"/>
    <w:qFormat/>
    <w:rsid w:val="00215CEE"/>
    <w:pPr>
      <w:numPr>
        <w:numId w:val="19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qFormat/>
    <w:rsid w:val="00215C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8A0751"/>
    <w:rPr>
      <w:color w:val="8A2A2B" w:themeColor="followedHyperlink"/>
      <w:u w:val="single"/>
    </w:rPr>
  </w:style>
  <w:style w:type="paragraph" w:customStyle="1" w:styleId="Tablechartdiagramheading">
    <w:name w:val="Table/chart/diagram heading"/>
    <w:uiPriority w:val="4"/>
    <w:qFormat/>
    <w:rsid w:val="00215CEE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215CEE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CEE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215CEE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215CEE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215CEE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215CEE"/>
    <w:pPr>
      <w:numPr>
        <w:ilvl w:val="8"/>
        <w:numId w:val="4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215CEE"/>
    <w:pPr>
      <w:numPr>
        <w:ilvl w:val="2"/>
        <w:numId w:val="1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215CEE"/>
    <w:pPr>
      <w:numPr>
        <w:ilvl w:val="3"/>
        <w:numId w:val="1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215CEE"/>
    <w:pPr>
      <w:ind w:left="792"/>
    </w:pPr>
  </w:style>
  <w:style w:type="paragraph" w:styleId="Caption">
    <w:name w:val="caption"/>
    <w:basedOn w:val="Normal"/>
    <w:next w:val="Normal"/>
    <w:uiPriority w:val="35"/>
    <w:rsid w:val="00215CEE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Tabletextbold">
    <w:name w:val="Table text bold"/>
    <w:basedOn w:val="Normal"/>
    <w:qFormat/>
    <w:rsid w:val="00215CEE"/>
    <w:pPr>
      <w:spacing w:line="264" w:lineRule="auto"/>
    </w:pPr>
    <w:rPr>
      <w:rFonts w:eastAsiaTheme="minorHAnsi"/>
      <w:b/>
      <w:sz w:val="17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8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Title" w:semiHidden="0" w:uiPriority="97"/>
    <w:lsdException w:name="Default Paragraph Font" w:uiPriority="1" w:unhideWhenUsed="1"/>
    <w:lsdException w:name="Body Text" w:uiPriority="49"/>
    <w:lsdException w:name="Subtitle" w:semiHidden="0" w:uiPriority="98"/>
    <w:lsdException w:name="Hyperlink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0" w:uiPriority="39"/>
  </w:latentStyles>
  <w:style w:type="paragraph" w:default="1" w:styleId="Normal">
    <w:name w:val="Normal"/>
    <w:qFormat/>
    <w:rsid w:val="00215CEE"/>
    <w:pPr>
      <w:spacing w:before="160" w:after="100"/>
    </w:pPr>
    <w:rPr>
      <w:spacing w:val="2"/>
    </w:rPr>
  </w:style>
  <w:style w:type="paragraph" w:styleId="Heading1">
    <w:name w:val="heading 1"/>
    <w:next w:val="Normal"/>
    <w:link w:val="Heading1Char"/>
    <w:qFormat/>
    <w:rsid w:val="00215CEE"/>
    <w:pPr>
      <w:keepNext/>
      <w:keepLines/>
      <w:spacing w:before="600" w:after="240"/>
      <w:outlineLvl w:val="0"/>
    </w:pPr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215CEE"/>
    <w:pPr>
      <w:keepNext/>
      <w:keepLines/>
      <w:spacing w:before="280" w:after="240"/>
      <w:outlineLvl w:val="1"/>
    </w:pPr>
    <w:rPr>
      <w:rFonts w:asciiTheme="majorHAnsi" w:eastAsiaTheme="majorEastAsia" w:hAnsiTheme="majorHAnsi" w:cstheme="majorBidi"/>
      <w:b/>
      <w:bCs/>
      <w:color w:val="0063A6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215CEE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215C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15C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215CEE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215CEE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215CEE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215CEE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215CEE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215CEE"/>
    <w:pPr>
      <w:tabs>
        <w:tab w:val="right" w:leader="dot" w:pos="9000"/>
      </w:tabs>
      <w:spacing w:before="0"/>
      <w:ind w:left="108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215CEE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215CEE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215CEE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rsid w:val="00215CEE"/>
    <w:rPr>
      <w:rFonts w:asciiTheme="majorHAnsi" w:eastAsiaTheme="majorEastAsia" w:hAnsiTheme="majorHAnsi" w:cstheme="majorBidi"/>
      <w:b/>
      <w:bCs/>
      <w:color w:val="201547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215CEE"/>
    <w:rPr>
      <w:rFonts w:asciiTheme="majorHAnsi" w:eastAsiaTheme="majorEastAsia" w:hAnsiTheme="majorHAnsi" w:cstheme="majorBidi"/>
      <w:b/>
      <w:bCs/>
      <w:color w:val="0063A6" w:themeColor="accent1"/>
      <w:spacing w:val="2"/>
      <w:sz w:val="28"/>
      <w:szCs w:val="26"/>
    </w:rPr>
  </w:style>
  <w:style w:type="paragraph" w:customStyle="1" w:styleId="Bullet1">
    <w:name w:val="Bullet 1"/>
    <w:uiPriority w:val="1"/>
    <w:qFormat/>
    <w:rsid w:val="00215CEE"/>
    <w:pPr>
      <w:numPr>
        <w:numId w:val="1"/>
      </w:numPr>
      <w:spacing w:before="100" w:after="100" w:line="240" w:lineRule="auto"/>
      <w:contextualSpacing/>
    </w:pPr>
    <w:rPr>
      <w:rFonts w:eastAsia="Times New Roman" w:cs="Calibri"/>
      <w:spacing w:val="2"/>
    </w:rPr>
  </w:style>
  <w:style w:type="paragraph" w:customStyle="1" w:styleId="Bullet2">
    <w:name w:val="Bullet 2"/>
    <w:basedOn w:val="Bullet1"/>
    <w:uiPriority w:val="1"/>
    <w:qFormat/>
    <w:rsid w:val="00215CEE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215CEE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215CEE"/>
    <w:pPr>
      <w:numPr>
        <w:ilvl w:val="2"/>
        <w:numId w:val="4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215CEE"/>
    <w:pPr>
      <w:numPr>
        <w:ilvl w:val="3"/>
        <w:numId w:val="4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215CEE"/>
    <w:pPr>
      <w:numPr>
        <w:ilvl w:val="4"/>
        <w:numId w:val="4"/>
      </w:numPr>
    </w:pPr>
  </w:style>
  <w:style w:type="character" w:customStyle="1" w:styleId="Heading3Char">
    <w:name w:val="Heading 3 Char"/>
    <w:basedOn w:val="DefaultParagraphFont"/>
    <w:link w:val="Heading3"/>
    <w:rsid w:val="00215CEE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8"/>
    <w:qFormat/>
    <w:rsid w:val="00215CEE"/>
    <w:pPr>
      <w:numPr>
        <w:ilvl w:val="5"/>
        <w:numId w:val="4"/>
      </w:numPr>
    </w:pPr>
  </w:style>
  <w:style w:type="character" w:customStyle="1" w:styleId="Heading4Char">
    <w:name w:val="Heading 4 Char"/>
    <w:basedOn w:val="DefaultParagraphFont"/>
    <w:link w:val="Heading4"/>
    <w:rsid w:val="00215CEE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uiPriority w:val="8"/>
    <w:qFormat/>
    <w:rsid w:val="00215CEE"/>
    <w:pPr>
      <w:spacing w:line="252" w:lineRule="auto"/>
      <w:ind w:left="792"/>
    </w:pPr>
  </w:style>
  <w:style w:type="paragraph" w:customStyle="1" w:styleId="NoteNormal">
    <w:name w:val="Note Normal"/>
    <w:basedOn w:val="Normal"/>
    <w:rsid w:val="00215CEE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215CEE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8"/>
    <w:rsid w:val="00215CEE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215CEE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8"/>
    <w:rsid w:val="00215CEE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22"/>
      <w:szCs w:val="40"/>
      <w:lang w:eastAsia="en-US"/>
    </w:rPr>
  </w:style>
  <w:style w:type="paragraph" w:styleId="Title">
    <w:name w:val="Title"/>
    <w:link w:val="TitleChar"/>
    <w:uiPriority w:val="97"/>
    <w:rsid w:val="00215CEE"/>
    <w:pPr>
      <w:spacing w:after="4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7"/>
    <w:rsid w:val="00215CEE"/>
    <w:rPr>
      <w:rFonts w:asciiTheme="majorHAnsi" w:eastAsia="Times New Roman" w:hAnsiTheme="majorHAnsi" w:cstheme="majorHAnsi"/>
      <w:b/>
      <w:color w:val="0063A6" w:themeColor="accent1"/>
      <w:spacing w:val="-2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21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EE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215CEE"/>
    <w:pPr>
      <w:numPr>
        <w:ilvl w:val="3"/>
        <w:numId w:val="1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215CEE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215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CEE"/>
    <w:rPr>
      <w:spacing w:val="2"/>
    </w:rPr>
  </w:style>
  <w:style w:type="paragraph" w:styleId="Footer">
    <w:name w:val="footer"/>
    <w:basedOn w:val="Normal"/>
    <w:link w:val="FooterChar"/>
    <w:uiPriority w:val="24"/>
    <w:rsid w:val="00215CEE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215CEE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215CEE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rsid w:val="00215CEE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215CEE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215CEE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215CEE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215CEE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rsid w:val="00215CEE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rsid w:val="00215CEE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rsid w:val="00215CEE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215CEE"/>
    <w:pPr>
      <w:spacing w:before="30" w:after="30" w:line="264" w:lineRule="auto"/>
      <w:jc w:val="left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215CEE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215CEE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215CEE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215CEE"/>
    <w:pPr>
      <w:numPr>
        <w:ilvl w:val="7"/>
        <w:numId w:val="4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215CEE"/>
    <w:pPr>
      <w:numPr>
        <w:ilvl w:val="6"/>
        <w:numId w:val="4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215CEE"/>
    <w:pPr>
      <w:numPr>
        <w:numId w:val="4"/>
      </w:numPr>
    </w:pPr>
  </w:style>
  <w:style w:type="paragraph" w:customStyle="1" w:styleId="Listnum2">
    <w:name w:val="List num 2"/>
    <w:basedOn w:val="Normal"/>
    <w:uiPriority w:val="1"/>
    <w:qFormat/>
    <w:rsid w:val="00215CEE"/>
    <w:pPr>
      <w:numPr>
        <w:ilvl w:val="1"/>
        <w:numId w:val="4"/>
      </w:numPr>
    </w:pPr>
  </w:style>
  <w:style w:type="paragraph" w:customStyle="1" w:styleId="Tabletextcentred">
    <w:name w:val="Table text centred"/>
    <w:basedOn w:val="Tabletext"/>
    <w:uiPriority w:val="5"/>
    <w:qFormat/>
    <w:rsid w:val="00215CEE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215CEE"/>
    <w:pPr>
      <w:keepNext/>
      <w:keepLines/>
      <w:spacing w:before="120"/>
    </w:pPr>
    <w:rPr>
      <w:rFonts w:eastAsiaTheme="minorHAnsi"/>
      <w:color w:val="FFFFFF" w:themeColor="background1"/>
      <w:sz w:val="20"/>
      <w:szCs w:val="21"/>
      <w:lang w:eastAsia="en-US"/>
    </w:rPr>
  </w:style>
  <w:style w:type="paragraph" w:customStyle="1" w:styleId="Tablebullet">
    <w:name w:val="Table bullet"/>
    <w:basedOn w:val="Tabletext"/>
    <w:uiPriority w:val="6"/>
    <w:rsid w:val="00215CEE"/>
    <w:pPr>
      <w:numPr>
        <w:numId w:val="17"/>
      </w:numPr>
    </w:pPr>
  </w:style>
  <w:style w:type="paragraph" w:customStyle="1" w:styleId="Tabledash">
    <w:name w:val="Table dash"/>
    <w:basedOn w:val="Tablebullet"/>
    <w:uiPriority w:val="6"/>
    <w:rsid w:val="00215CEE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215CEE"/>
    <w:pPr>
      <w:ind w:left="288"/>
    </w:pPr>
  </w:style>
  <w:style w:type="paragraph" w:customStyle="1" w:styleId="Numpara">
    <w:name w:val="Num para"/>
    <w:basedOn w:val="ListParagraph"/>
    <w:uiPriority w:val="2"/>
    <w:qFormat/>
    <w:rsid w:val="00215CEE"/>
    <w:pPr>
      <w:numPr>
        <w:numId w:val="19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qFormat/>
    <w:rsid w:val="00215C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8A0751"/>
    <w:rPr>
      <w:color w:val="8A2A2B" w:themeColor="followedHyperlink"/>
      <w:u w:val="single"/>
    </w:rPr>
  </w:style>
  <w:style w:type="paragraph" w:customStyle="1" w:styleId="Tablechartdiagramheading">
    <w:name w:val="Table/chart/diagram heading"/>
    <w:uiPriority w:val="4"/>
    <w:qFormat/>
    <w:rsid w:val="00215CEE"/>
    <w:pPr>
      <w:tabs>
        <w:tab w:val="left" w:pos="1080"/>
      </w:tabs>
      <w:spacing w:before="160" w:after="100"/>
    </w:pPr>
    <w:rPr>
      <w:b/>
      <w:bCs/>
      <w:color w:val="0063A6" w:themeColor="accent1"/>
      <w:spacing w:val="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215CEE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CEE"/>
    <w:rPr>
      <w:spacing w:val="2"/>
      <w:sz w:val="17"/>
    </w:rPr>
  </w:style>
  <w:style w:type="character" w:styleId="FootnoteReference">
    <w:name w:val="footnote reference"/>
    <w:basedOn w:val="DefaultParagraphFont"/>
    <w:uiPriority w:val="99"/>
    <w:semiHidden/>
    <w:rsid w:val="00215CEE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215CEE"/>
    <w:pPr>
      <w:spacing w:after="0" w:line="240" w:lineRule="auto"/>
    </w:pPr>
    <w:tblPr>
      <w:tblInd w:w="821" w:type="dxa"/>
    </w:tblPr>
    <w:trPr>
      <w:cantSplit w:val="0"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rPr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215CEE"/>
    <w:pPr>
      <w:spacing w:after="0" w:line="240" w:lineRule="auto"/>
    </w:pPr>
    <w:tblPr>
      <w:tblInd w:w="821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2Horz">
      <w:tblPr/>
      <w:tcPr>
        <w:shd w:val="clear" w:color="auto" w:fill="E3EBF4" w:themeFill="accent3" w:themeFillTint="33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215CEE"/>
    <w:pPr>
      <w:numPr>
        <w:ilvl w:val="8"/>
        <w:numId w:val="4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215CEE"/>
    <w:pPr>
      <w:numPr>
        <w:ilvl w:val="2"/>
        <w:numId w:val="17"/>
      </w:numPr>
    </w:pPr>
    <w:rPr>
      <w:sz w:val="17"/>
    </w:rPr>
  </w:style>
  <w:style w:type="paragraph" w:customStyle="1" w:styleId="Tablenum2">
    <w:name w:val="Table num 2"/>
    <w:basedOn w:val="Normal"/>
    <w:uiPriority w:val="6"/>
    <w:rsid w:val="00215CEE"/>
    <w:pPr>
      <w:numPr>
        <w:ilvl w:val="3"/>
        <w:numId w:val="17"/>
      </w:numPr>
    </w:pPr>
    <w:rPr>
      <w:sz w:val="17"/>
    </w:rPr>
  </w:style>
  <w:style w:type="paragraph" w:customStyle="1" w:styleId="NoteNormalindent">
    <w:name w:val="Note Normal indent"/>
    <w:basedOn w:val="NoteNormal"/>
    <w:uiPriority w:val="8"/>
    <w:rsid w:val="00215CEE"/>
    <w:pPr>
      <w:ind w:left="792"/>
    </w:pPr>
  </w:style>
  <w:style w:type="paragraph" w:styleId="Caption">
    <w:name w:val="caption"/>
    <w:basedOn w:val="Normal"/>
    <w:next w:val="Normal"/>
    <w:uiPriority w:val="35"/>
    <w:rsid w:val="00215CEE"/>
    <w:pPr>
      <w:spacing w:before="0" w:after="200" w:line="240" w:lineRule="auto"/>
    </w:pPr>
    <w:rPr>
      <w:b/>
      <w:bCs/>
      <w:color w:val="383834" w:themeColor="background2" w:themeShade="40"/>
      <w:sz w:val="18"/>
      <w:szCs w:val="18"/>
    </w:rPr>
  </w:style>
  <w:style w:type="paragraph" w:customStyle="1" w:styleId="Tabletextbold">
    <w:name w:val="Table text bold"/>
    <w:basedOn w:val="Normal"/>
    <w:qFormat/>
    <w:rsid w:val="00215CEE"/>
    <w:pPr>
      <w:spacing w:line="264" w:lineRule="auto"/>
    </w:pPr>
    <w:rPr>
      <w:rFonts w:eastAsiaTheme="minorHAnsi"/>
      <w:b/>
      <w:sz w:val="17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4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5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mailto:financial.frameworks@dtf.vic.gov.au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://www.dtf.vic.gov.au/Publications/Government-Financial-Management-publications/Standing-Directions-of-the-Minister-for-Finance-2016/Standing-Directions-2016-publications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FDTF001\DTF_APPS01$\DTF\ZEN\Template\Corporate\Portrait.dotx" TargetMode="External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EDEB9-B376-4809-B480-0483B2B3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Portrait.dotx</Template>
  <TotalTime>0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ENG</dc:creator>
  <cp:lastModifiedBy>Deidre Steain</cp:lastModifiedBy>
  <cp:revision>2</cp:revision>
  <cp:lastPrinted>2016-02-09T01:59:00Z</cp:lastPrinted>
  <dcterms:created xsi:type="dcterms:W3CDTF">2017-02-14T05:44:00Z</dcterms:created>
  <dcterms:modified xsi:type="dcterms:W3CDTF">2017-02-14T05:44:00Z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c6d27caa-cc7e-48c8-94fc-835ecd10064c</vt:lpwstr>
  </property>
  <property fmtid="{D5CDD505-2E9C-101B-9397-08002B2CF9AE}" pid="3" name="PSPFClassification">
    <vt:lpwstr>Do Not Mark</vt:lpwstr>
  </property>
</Properties>
</file>