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5CEC" w:rsidRDefault="00324136" w:rsidP="00440C3A">
      <w:pPr>
        <w:pStyle w:val="Subtitle"/>
        <w:rPr>
          <w:rFonts w:asciiTheme="minorHAnsi" w:hAnsiTheme="minorHAnsi" w:cstheme="minorHAnsi"/>
          <w:sz w:val="28"/>
          <w:szCs w:val="28"/>
        </w:rPr>
        <w:sectPr w:rsidR="00D847A0" w:rsidRPr="00BB5CEC" w:rsidSect="004B3EB7">
          <w:headerReference w:type="default" r:id="rId9"/>
          <w:footerReference w:type="default" r:id="rId10"/>
          <w:footerReference w:type="first" r:id="rId11"/>
          <w:type w:val="continuous"/>
          <w:pgSz w:w="11906" w:h="16838" w:code="9"/>
          <w:pgMar w:top="3572" w:right="1134" w:bottom="1134" w:left="1134" w:header="709" w:footer="567" w:gutter="0"/>
          <w:cols w:num="2" w:space="567" w:equalWidth="0">
            <w:col w:w="2858" w:space="567"/>
            <w:col w:w="6213"/>
          </w:cols>
          <w:docGrid w:linePitch="360"/>
        </w:sectPr>
      </w:pPr>
      <w:bookmarkStart w:id="0" w:name="_GoBack"/>
      <w:bookmarkEnd w:id="0"/>
      <w:r>
        <w:rPr>
          <w:rFonts w:asciiTheme="minorHAnsi" w:hAnsiTheme="minorHAnsi" w:cstheme="minorHAnsi"/>
          <w:sz w:val="28"/>
          <w:szCs w:val="28"/>
        </w:rPr>
        <w:t>NOVEMBER</w:t>
      </w:r>
      <w:r w:rsidR="00103711" w:rsidRPr="00BB5CEC">
        <w:rPr>
          <w:rFonts w:asciiTheme="minorHAnsi" w:hAnsiTheme="minorHAnsi" w:cstheme="minorHAnsi"/>
          <w:sz w:val="28"/>
          <w:szCs w:val="28"/>
        </w:rPr>
        <w:t xml:space="preserve"> </w:t>
      </w:r>
      <w:r w:rsidR="00F77CCC" w:rsidRPr="00BB5CEC">
        <w:rPr>
          <w:rFonts w:asciiTheme="minorHAnsi" w:hAnsiTheme="minorHAnsi" w:cstheme="minorHAnsi"/>
          <w:sz w:val="28"/>
          <w:szCs w:val="28"/>
        </w:rPr>
        <w:t>2016</w:t>
      </w:r>
    </w:p>
    <w:tbl>
      <w:tblPr>
        <w:tblW w:w="10456" w:type="dxa"/>
        <w:tblLayout w:type="fixed"/>
        <w:tblLook w:val="04A0" w:firstRow="1" w:lastRow="0" w:firstColumn="1" w:lastColumn="0" w:noHBand="0" w:noVBand="1"/>
      </w:tblPr>
      <w:tblGrid>
        <w:gridCol w:w="2992"/>
        <w:gridCol w:w="7464"/>
      </w:tblGrid>
      <w:tr w:rsidR="00103711" w:rsidTr="00103711">
        <w:trPr>
          <w:trHeight w:val="492"/>
        </w:trPr>
        <w:tc>
          <w:tcPr>
            <w:tcW w:w="2992" w:type="dxa"/>
          </w:tcPr>
          <w:p w:rsidR="00103711" w:rsidRPr="00833E9D" w:rsidRDefault="00103711" w:rsidP="00103711">
            <w:pPr>
              <w:pStyle w:val="Note"/>
              <w:spacing w:after="0"/>
            </w:pPr>
            <w:r w:rsidRPr="00103711">
              <w:rPr>
                <w:b/>
              </w:rPr>
              <w:lastRenderedPageBreak/>
              <w:t>Scope:</w:t>
            </w:r>
            <w:r>
              <w:t xml:space="preserve"> This monthly newsletter outlines economic </w:t>
            </w:r>
            <w:r w:rsidR="003540A1">
              <w:t xml:space="preserve">and financial </w:t>
            </w:r>
            <w:r>
              <w:t>developments in Victoria, nationally and globally.</w:t>
            </w:r>
          </w:p>
        </w:tc>
        <w:tc>
          <w:tcPr>
            <w:tcW w:w="7464" w:type="dxa"/>
          </w:tcPr>
          <w:p w:rsidR="00103711" w:rsidRPr="006469B4" w:rsidRDefault="00840C53" w:rsidP="00840C53">
            <w:pPr>
              <w:pStyle w:val="Note"/>
              <w:spacing w:after="0"/>
              <w:jc w:val="right"/>
              <w:rPr>
                <w:b/>
                <w:color w:val="707068" w:themeColor="background2" w:themeShade="80"/>
              </w:rPr>
            </w:pPr>
            <w:r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7054" w:type="dxa"/>
        <w:shd w:val="clear" w:color="auto" w:fill="99B8DC" w:themeFill="accent5"/>
        <w:tblLook w:val="04A0" w:firstRow="1" w:lastRow="0" w:firstColumn="1" w:lastColumn="0" w:noHBand="0" w:noVBand="1"/>
      </w:tblPr>
      <w:tblGrid>
        <w:gridCol w:w="1101"/>
        <w:gridCol w:w="1701"/>
        <w:gridCol w:w="4252"/>
      </w:tblGrid>
      <w:tr w:rsidR="00BB0BF9" w:rsidRPr="00BB0BF9" w:rsidTr="006135AB">
        <w:trPr>
          <w:gridAfter w:val="1"/>
          <w:wAfter w:w="4252" w:type="dxa"/>
          <w:trHeight w:val="9492"/>
        </w:trPr>
        <w:tc>
          <w:tcPr>
            <w:tcW w:w="2802" w:type="dxa"/>
            <w:gridSpan w:val="2"/>
            <w:shd w:val="clear" w:color="auto" w:fill="CCE3F5" w:themeFill="accent6"/>
          </w:tcPr>
          <w:p w:rsidR="00BB0BF9" w:rsidRPr="00103711" w:rsidRDefault="00261D70" w:rsidP="006469B4">
            <w:pPr>
              <w:spacing w:before="280" w:line="276" w:lineRule="auto"/>
              <w:rPr>
                <w:b/>
                <w:color w:val="201547" w:themeColor="accent1"/>
                <w:sz w:val="32"/>
              </w:rPr>
            </w:pPr>
            <w:r>
              <w:rPr>
                <w:b/>
                <w:color w:val="201547" w:themeColor="accent1"/>
                <w:sz w:val="32"/>
              </w:rPr>
              <w:lastRenderedPageBreak/>
              <w:t xml:space="preserve">   </w:t>
            </w:r>
            <w:r w:rsidR="00BB0BF9" w:rsidRPr="00103711">
              <w:rPr>
                <w:b/>
                <w:color w:val="201547" w:themeColor="accent1"/>
                <w:sz w:val="32"/>
              </w:rPr>
              <w:t>Highlights</w:t>
            </w:r>
          </w:p>
          <w:p w:rsidR="00324136" w:rsidRPr="00C15AC6" w:rsidRDefault="00F64368" w:rsidP="006469B4">
            <w:pPr>
              <w:pStyle w:val="Bullet-highlight"/>
              <w:spacing w:after="280"/>
            </w:pPr>
            <w:r w:rsidRPr="006469B4">
              <w:rPr>
                <w:sz w:val="24"/>
              </w:rPr>
              <w:t>The</w:t>
            </w:r>
            <w:r w:rsidRPr="006469B4">
              <w:rPr>
                <w:b/>
                <w:sz w:val="24"/>
              </w:rPr>
              <w:t xml:space="preserve"> </w:t>
            </w:r>
            <w:r w:rsidR="00324136" w:rsidRPr="006469B4">
              <w:rPr>
                <w:b/>
                <w:sz w:val="24"/>
              </w:rPr>
              <w:t xml:space="preserve">US </w:t>
            </w:r>
            <w:r w:rsidR="006469B4">
              <w:rPr>
                <w:b/>
                <w:sz w:val="24"/>
              </w:rPr>
              <w:t xml:space="preserve">presidential </w:t>
            </w:r>
            <w:r w:rsidR="00324136" w:rsidRPr="006469B4">
              <w:rPr>
                <w:b/>
                <w:sz w:val="24"/>
              </w:rPr>
              <w:t xml:space="preserve">election </w:t>
            </w:r>
            <w:r w:rsidR="00324136" w:rsidRPr="006469B4">
              <w:rPr>
                <w:sz w:val="24"/>
              </w:rPr>
              <w:t>dominated news and markets</w:t>
            </w:r>
            <w:r w:rsidR="00324136" w:rsidRPr="006469B4">
              <w:rPr>
                <w:b/>
                <w:sz w:val="24"/>
              </w:rPr>
              <w:t xml:space="preserve"> </w:t>
            </w:r>
            <w:r w:rsidR="00324136" w:rsidRPr="006469B4">
              <w:rPr>
                <w:sz w:val="24"/>
              </w:rPr>
              <w:t>in November</w:t>
            </w:r>
            <w:r w:rsidR="00DD43FA">
              <w:t>.</w:t>
            </w:r>
          </w:p>
          <w:p w:rsidR="00DD43FA" w:rsidRPr="006469B4" w:rsidRDefault="00324136" w:rsidP="006469B4">
            <w:pPr>
              <w:pStyle w:val="Bullet-highlight"/>
              <w:spacing w:after="280"/>
              <w:rPr>
                <w:sz w:val="24"/>
              </w:rPr>
            </w:pPr>
            <w:r w:rsidRPr="006469B4">
              <w:rPr>
                <w:sz w:val="24"/>
              </w:rPr>
              <w:t xml:space="preserve">In Victoria, </w:t>
            </w:r>
            <w:r w:rsidRPr="006469B4">
              <w:rPr>
                <w:b/>
                <w:sz w:val="24"/>
              </w:rPr>
              <w:t>national accounts</w:t>
            </w:r>
            <w:r w:rsidRPr="006469B4">
              <w:rPr>
                <w:sz w:val="24"/>
              </w:rPr>
              <w:t xml:space="preserve"> data show</w:t>
            </w:r>
            <w:r w:rsidR="001922E1" w:rsidRPr="006469B4">
              <w:rPr>
                <w:sz w:val="24"/>
              </w:rPr>
              <w:t>ed</w:t>
            </w:r>
            <w:r w:rsidRPr="006469B4">
              <w:rPr>
                <w:sz w:val="24"/>
              </w:rPr>
              <w:t xml:space="preserve"> Victoria grew by 3.3</w:t>
            </w:r>
            <w:r w:rsidR="00714AF6" w:rsidRPr="006469B4">
              <w:rPr>
                <w:sz w:val="24"/>
              </w:rPr>
              <w:t> </w:t>
            </w:r>
            <w:r w:rsidRPr="006469B4">
              <w:rPr>
                <w:sz w:val="24"/>
              </w:rPr>
              <w:t>per cent in 2015</w:t>
            </w:r>
            <w:r w:rsidRPr="006469B4">
              <w:rPr>
                <w:sz w:val="24"/>
              </w:rPr>
              <w:noBreakHyphen/>
              <w:t>16.</w:t>
            </w:r>
          </w:p>
          <w:p w:rsidR="00324136" w:rsidRPr="006469B4" w:rsidRDefault="00324136" w:rsidP="006469B4">
            <w:pPr>
              <w:pStyle w:val="Bullet-highlight"/>
              <w:spacing w:after="280"/>
              <w:rPr>
                <w:sz w:val="24"/>
              </w:rPr>
            </w:pPr>
            <w:r w:rsidRPr="006469B4">
              <w:rPr>
                <w:sz w:val="24"/>
              </w:rPr>
              <w:t xml:space="preserve">Growth in </w:t>
            </w:r>
            <w:r w:rsidRPr="006469B4">
              <w:rPr>
                <w:b/>
                <w:sz w:val="24"/>
              </w:rPr>
              <w:t>economic activity</w:t>
            </w:r>
            <w:r w:rsidRPr="006469B4">
              <w:rPr>
                <w:sz w:val="24"/>
              </w:rPr>
              <w:t xml:space="preserve"> in 2015-16 was faster than the pace recorded in 2014</w:t>
            </w:r>
            <w:r w:rsidR="001922E1" w:rsidRPr="006469B4">
              <w:rPr>
                <w:sz w:val="24"/>
              </w:rPr>
              <w:noBreakHyphen/>
            </w:r>
            <w:r w:rsidRPr="006469B4">
              <w:rPr>
                <w:sz w:val="24"/>
              </w:rPr>
              <w:t>15</w:t>
            </w:r>
            <w:r w:rsidR="00DD43FA" w:rsidRPr="006469B4">
              <w:rPr>
                <w:sz w:val="24"/>
              </w:rPr>
              <w:t>.</w:t>
            </w:r>
          </w:p>
          <w:p w:rsidR="00DD43FA" w:rsidRPr="006469B4" w:rsidRDefault="00DD43FA" w:rsidP="006469B4">
            <w:pPr>
              <w:pStyle w:val="Bullet-highlight"/>
              <w:spacing w:after="280"/>
              <w:rPr>
                <w:sz w:val="24"/>
              </w:rPr>
            </w:pPr>
            <w:r w:rsidRPr="006469B4">
              <w:rPr>
                <w:b/>
                <w:sz w:val="24"/>
              </w:rPr>
              <w:t>GSP per capita</w:t>
            </w:r>
            <w:r w:rsidRPr="006469B4">
              <w:rPr>
                <w:sz w:val="24"/>
              </w:rPr>
              <w:t xml:space="preserve"> increased by 1.4</w:t>
            </w:r>
            <w:r w:rsidR="008D5650" w:rsidRPr="006469B4">
              <w:rPr>
                <w:sz w:val="24"/>
              </w:rPr>
              <w:t> p</w:t>
            </w:r>
            <w:r w:rsidRPr="006469B4">
              <w:rPr>
                <w:sz w:val="24"/>
              </w:rPr>
              <w:t>er</w:t>
            </w:r>
            <w:r w:rsidR="008D5650" w:rsidRPr="006469B4">
              <w:rPr>
                <w:sz w:val="24"/>
              </w:rPr>
              <w:t> </w:t>
            </w:r>
            <w:r w:rsidRPr="006469B4">
              <w:rPr>
                <w:sz w:val="24"/>
              </w:rPr>
              <w:t>cent</w:t>
            </w:r>
            <w:r w:rsidR="001D163D" w:rsidRPr="006469B4">
              <w:rPr>
                <w:sz w:val="24"/>
              </w:rPr>
              <w:t xml:space="preserve"> in 2015</w:t>
            </w:r>
            <w:r w:rsidR="001D163D" w:rsidRPr="006469B4">
              <w:rPr>
                <w:sz w:val="24"/>
              </w:rPr>
              <w:noBreakHyphen/>
              <w:t>16</w:t>
            </w:r>
            <w:r w:rsidRPr="006469B4">
              <w:rPr>
                <w:sz w:val="24"/>
              </w:rPr>
              <w:t>.</w:t>
            </w:r>
          </w:p>
          <w:p w:rsidR="006135AB" w:rsidRPr="00BB0BF9" w:rsidRDefault="00324136" w:rsidP="006469B4">
            <w:pPr>
              <w:pStyle w:val="Bullet-highlight"/>
              <w:spacing w:after="280"/>
            </w:pPr>
            <w:r w:rsidRPr="006469B4">
              <w:rPr>
                <w:noProof/>
                <w:sz w:val="24"/>
              </w:rPr>
              <w:t xml:space="preserve">Victoria added 20,500 </w:t>
            </w:r>
            <w:r w:rsidRPr="006469B4">
              <w:rPr>
                <w:b/>
                <w:noProof/>
                <w:sz w:val="24"/>
              </w:rPr>
              <w:t>jobs</w:t>
            </w:r>
            <w:r w:rsidRPr="006469B4">
              <w:rPr>
                <w:noProof/>
                <w:sz w:val="24"/>
              </w:rPr>
              <w:t xml:space="preserve"> in October</w:t>
            </w:r>
            <w:r w:rsidR="006469B4">
              <w:rPr>
                <w:noProof/>
                <w:sz w:val="24"/>
              </w:rPr>
              <w:t>, with the</w:t>
            </w:r>
            <w:r w:rsidRPr="006469B4">
              <w:rPr>
                <w:noProof/>
                <w:sz w:val="24"/>
              </w:rPr>
              <w:t xml:space="preserve"> </w:t>
            </w:r>
            <w:r w:rsidR="006469B4">
              <w:rPr>
                <w:b/>
                <w:noProof/>
                <w:sz w:val="24"/>
              </w:rPr>
              <w:t>u</w:t>
            </w:r>
            <w:r w:rsidRPr="006469B4">
              <w:rPr>
                <w:b/>
                <w:noProof/>
                <w:sz w:val="24"/>
              </w:rPr>
              <w:t>nemployment rate</w:t>
            </w:r>
            <w:r w:rsidRPr="006469B4">
              <w:rPr>
                <w:noProof/>
                <w:sz w:val="24"/>
              </w:rPr>
              <w:t xml:space="preserve"> edg</w:t>
            </w:r>
            <w:r w:rsidR="006469B4">
              <w:rPr>
                <w:noProof/>
                <w:sz w:val="24"/>
              </w:rPr>
              <w:t>ing</w:t>
            </w:r>
            <w:r w:rsidRPr="006469B4">
              <w:rPr>
                <w:noProof/>
                <w:sz w:val="24"/>
              </w:rPr>
              <w:t xml:space="preserve"> down to 5.7</w:t>
            </w:r>
            <w:r w:rsidR="001922E1" w:rsidRPr="006469B4">
              <w:rPr>
                <w:noProof/>
                <w:sz w:val="24"/>
              </w:rPr>
              <w:t> </w:t>
            </w:r>
            <w:r w:rsidRPr="006469B4">
              <w:rPr>
                <w:noProof/>
                <w:sz w:val="24"/>
              </w:rPr>
              <w:t>per</w:t>
            </w:r>
            <w:r w:rsidR="001922E1" w:rsidRPr="006469B4">
              <w:rPr>
                <w:noProof/>
                <w:sz w:val="24"/>
              </w:rPr>
              <w:t> </w:t>
            </w:r>
            <w:r w:rsidRPr="006469B4">
              <w:rPr>
                <w:noProof/>
                <w:sz w:val="24"/>
              </w:rPr>
              <w:t>cent.</w:t>
            </w:r>
          </w:p>
        </w:tc>
      </w:tr>
      <w:tr w:rsidR="00047DD7" w:rsidTr="00047DD7">
        <w:tblPrEx>
          <w:shd w:val="clear" w:color="auto" w:fill="auto"/>
        </w:tblPrEx>
        <w:tc>
          <w:tcPr>
            <w:tcW w:w="1101" w:type="dxa"/>
          </w:tcPr>
          <w:p w:rsidR="00047DD7" w:rsidRDefault="00103711" w:rsidP="00047DD7">
            <w:r>
              <w:rPr>
                <w:noProof/>
                <w:lang w:eastAsia="en-AU"/>
              </w:rPr>
              <w:lastRenderedPageBreak/>
              <w:drawing>
                <wp:inline distT="0" distB="0" distL="0" distR="0" wp14:anchorId="06A81C9E" wp14:editId="7A5E9051">
                  <wp:extent cx="512935"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5953" w:type="dxa"/>
            <w:gridSpan w:val="2"/>
            <w:vAlign w:val="bottom"/>
          </w:tcPr>
          <w:p w:rsidR="00047DD7" w:rsidRDefault="003A0F37" w:rsidP="00047DD7">
            <w:pPr>
              <w:pStyle w:val="Heading1"/>
            </w:pPr>
            <w:r>
              <w:t>Domestic</w:t>
            </w:r>
            <w:r w:rsidR="00047DD7">
              <w:t xml:space="preserve"> developments</w:t>
            </w:r>
          </w:p>
        </w:tc>
      </w:tr>
    </w:tbl>
    <w:p w:rsidR="00840C53" w:rsidRDefault="00840C53" w:rsidP="001B0E91">
      <w:r>
        <w:t>T</w:t>
      </w:r>
      <w:r w:rsidRPr="00FE5301">
        <w:t>he Victorian economy (GSP) grew by a strong 3.3</w:t>
      </w:r>
      <w:r>
        <w:t> </w:t>
      </w:r>
      <w:r w:rsidRPr="00FE5301">
        <w:t>per cent in 2015-16, the highest since 2007-08</w:t>
      </w:r>
      <w:r>
        <w:t xml:space="preserve">, according to the </w:t>
      </w:r>
      <w:r w:rsidRPr="006469B4">
        <w:rPr>
          <w:b/>
        </w:rPr>
        <w:t>2015-16 State Accounts.</w:t>
      </w:r>
      <w:r>
        <w:t xml:space="preserve"> The report showed that Victoria continued to grow faster than the previous financial year and growth remains above trend.</w:t>
      </w:r>
    </w:p>
    <w:p w:rsidR="00F518B6" w:rsidRDefault="00694F39" w:rsidP="001B0E91">
      <w:r>
        <w:t xml:space="preserve">Victoria’s annual growth rate was </w:t>
      </w:r>
      <w:r w:rsidR="00FA3057">
        <w:t xml:space="preserve">second to </w:t>
      </w:r>
      <w:r>
        <w:t>New South Wales</w:t>
      </w:r>
      <w:r w:rsidR="00B702CC">
        <w:t xml:space="preserve"> with growth of 3.5 per cent</w:t>
      </w:r>
      <w:r>
        <w:t>.</w:t>
      </w:r>
    </w:p>
    <w:p w:rsidR="001B0E91" w:rsidRPr="00714AF6" w:rsidRDefault="00840C53" w:rsidP="001B0E91">
      <w:r>
        <w:t>Key influences in d</w:t>
      </w:r>
      <w:r w:rsidR="00FE5301" w:rsidRPr="00FE5301">
        <w:t>riving Victoria’s economic growth were increases in dwelling investment of 11.1 per cent, underlying business investment by 4.0 per cent and household consumption by 3.2 per cent.</w:t>
      </w:r>
      <w:r w:rsidR="00BF141A">
        <w:t xml:space="preserve"> The growth in dwelling investment was driven by </w:t>
      </w:r>
      <w:r w:rsidR="00B702CC">
        <w:t>construction</w:t>
      </w:r>
      <w:r>
        <w:t xml:space="preserve"> </w:t>
      </w:r>
      <w:r w:rsidR="00A54D06">
        <w:t>activity</w:t>
      </w:r>
      <w:r w:rsidR="006469B4">
        <w:t xml:space="preserve"> </w:t>
      </w:r>
      <w:r w:rsidR="00B702CC">
        <w:t xml:space="preserve">in a number of </w:t>
      </w:r>
      <w:r w:rsidR="00BF141A" w:rsidRPr="00BF141A">
        <w:t>large multi-story residential towers.</w:t>
      </w:r>
    </w:p>
    <w:p w:rsidR="001E141A" w:rsidRDefault="00FE5301" w:rsidP="001B0E91">
      <w:r w:rsidRPr="00FE5301">
        <w:rPr>
          <w:b/>
        </w:rPr>
        <w:t xml:space="preserve">Net exports </w:t>
      </w:r>
      <w:r w:rsidRPr="00FE5301">
        <w:t>detracted 0.3 percentage points from Victorian economic growth in 2015-16. While growth in exports was positive, it was outweighed by an even stronger increase in imports. Service exports reached a record high of $16.5 billion in 2015-16</w:t>
      </w:r>
      <w:r w:rsidR="00840C53">
        <w:t>,</w:t>
      </w:r>
      <w:r w:rsidRPr="00FE5301">
        <w:t xml:space="preserve"> driven by international education</w:t>
      </w:r>
      <w:r w:rsidR="00840C53">
        <w:t>,</w:t>
      </w:r>
      <w:r w:rsidRPr="00FE5301">
        <w:t xml:space="preserve"> and tourism.</w:t>
      </w:r>
      <w:r w:rsidR="00EF6761" w:rsidRPr="00F6696B">
        <w:t xml:space="preserve"> </w:t>
      </w:r>
    </w:p>
    <w:p w:rsidR="00BA2604" w:rsidRDefault="00FE5301" w:rsidP="001B0E91">
      <w:r w:rsidRPr="00FE5301">
        <w:t>GSP growth was above estimated population growth in 2015-16,</w:t>
      </w:r>
      <w:r w:rsidR="00840C53">
        <w:t xml:space="preserve"> and</w:t>
      </w:r>
      <w:r w:rsidRPr="00FE5301">
        <w:t xml:space="preserve"> </w:t>
      </w:r>
      <w:r w:rsidRPr="00FE5301">
        <w:rPr>
          <w:b/>
        </w:rPr>
        <w:t>GSP per capita</w:t>
      </w:r>
      <w:r w:rsidRPr="00FE5301">
        <w:t xml:space="preserve"> increased by 1.4 per cent, the highest since 2007-08.</w:t>
      </w:r>
    </w:p>
    <w:p w:rsidR="00FE5301" w:rsidRDefault="00FE5301" w:rsidP="001B0E91">
      <w:r w:rsidRPr="00FE5301">
        <w:t xml:space="preserve">Looking forward, Victorian GSP growth is expected to remain above trend, </w:t>
      </w:r>
      <w:r w:rsidR="00B702CC">
        <w:t>with</w:t>
      </w:r>
      <w:r w:rsidRPr="00FE5301">
        <w:t xml:space="preserve"> the low Australian dollar assist</w:t>
      </w:r>
      <w:r w:rsidR="00B702CC">
        <w:t>ing</w:t>
      </w:r>
      <w:r w:rsidRPr="00FE5301">
        <w:t xml:space="preserve"> the State’s competitive</w:t>
      </w:r>
      <w:r w:rsidR="00B702CC">
        <w:t>ness</w:t>
      </w:r>
      <w:r w:rsidRPr="00FE5301">
        <w:t xml:space="preserve"> and major transport infrastructure projects proceed</w:t>
      </w:r>
      <w:r w:rsidR="00B702CC">
        <w:t>ing</w:t>
      </w:r>
      <w:r w:rsidRPr="00FE5301">
        <w:t>.</w:t>
      </w:r>
    </w:p>
    <w:p w:rsidR="002F5DE2" w:rsidRDefault="002F5DE2" w:rsidP="00BA2604">
      <w:pPr>
        <w:sectPr w:rsidR="002F5DE2" w:rsidSect="002F5DE2">
          <w:type w:val="continuous"/>
          <w:pgSz w:w="11906" w:h="16838" w:code="9"/>
          <w:pgMar w:top="3572" w:right="1134" w:bottom="1134" w:left="1134" w:header="709" w:footer="567" w:gutter="0"/>
          <w:cols w:num="2" w:space="568" w:equalWidth="0">
            <w:col w:w="2835" w:space="568"/>
            <w:col w:w="6235"/>
          </w:cols>
          <w:docGrid w:linePitch="360"/>
        </w:sectPr>
      </w:pPr>
    </w:p>
    <w:p w:rsidR="00F6696B" w:rsidRPr="00FE5301" w:rsidRDefault="00FE5301" w:rsidP="00FE5301">
      <w:r w:rsidRPr="00FE5301">
        <w:lastRenderedPageBreak/>
        <w:t xml:space="preserve">Nationally, </w:t>
      </w:r>
      <w:r w:rsidR="000A17BB">
        <w:t>GDP</w:t>
      </w:r>
      <w:r w:rsidRPr="00FE5301">
        <w:t xml:space="preserve"> grew by 2.8 per cent in 2015-16.</w:t>
      </w:r>
    </w:p>
    <w:p w:rsidR="00EF6761" w:rsidRDefault="00FE5301" w:rsidP="00A933BA">
      <w:r w:rsidRPr="00FE5301">
        <w:t xml:space="preserve">Victoria’s </w:t>
      </w:r>
      <w:r w:rsidRPr="00FE5301">
        <w:rPr>
          <w:b/>
        </w:rPr>
        <w:t>labour market</w:t>
      </w:r>
      <w:r w:rsidRPr="00FE5301">
        <w:t xml:space="preserve"> is continuing to show strength, adding 20,500 jobs in October. The Victorian </w:t>
      </w:r>
      <w:r w:rsidRPr="00FE5301">
        <w:rPr>
          <w:b/>
        </w:rPr>
        <w:t>unemployment rate</w:t>
      </w:r>
      <w:r w:rsidRPr="00FE5301">
        <w:t xml:space="preserve"> edged down to 5.7 per cent</w:t>
      </w:r>
      <w:r w:rsidR="00840C53">
        <w:t>,</w:t>
      </w:r>
      <w:r w:rsidR="00536486">
        <w:t xml:space="preserve"> but remains </w:t>
      </w:r>
      <w:r w:rsidRPr="00FE5301">
        <w:t>above the national rate of 5.6</w:t>
      </w:r>
      <w:r w:rsidR="00536486">
        <w:t> </w:t>
      </w:r>
      <w:r w:rsidRPr="00FE5301">
        <w:t>per</w:t>
      </w:r>
      <w:r w:rsidR="00536486">
        <w:t> </w:t>
      </w:r>
      <w:r w:rsidRPr="00FE5301">
        <w:t>cent.</w:t>
      </w:r>
    </w:p>
    <w:p w:rsidR="009E3C8A" w:rsidRPr="009E3C8A" w:rsidRDefault="00FE5301" w:rsidP="009E3C8A">
      <w:r w:rsidRPr="00FE5301">
        <w:t xml:space="preserve">Over the year, Victorian </w:t>
      </w:r>
      <w:r w:rsidRPr="00FE5301">
        <w:rPr>
          <w:b/>
        </w:rPr>
        <w:t>employment</w:t>
      </w:r>
      <w:r w:rsidRPr="00FE5301">
        <w:t xml:space="preserve"> rose by 107</w:t>
      </w:r>
      <w:r w:rsidR="000A17BB">
        <w:t>,</w:t>
      </w:r>
      <w:r w:rsidRPr="00FE5301">
        <w:t>300 persons. Victoria’s unemployment rate is 0.1 percentage point higher than a year ago. Compared with the other states, Victoria's annual employment result was the highest in both absolute and percentage terms.</w:t>
      </w:r>
    </w:p>
    <w:p w:rsidR="00BE4516" w:rsidRDefault="00FE5301" w:rsidP="005E2185">
      <w:r w:rsidRPr="00FE5301">
        <w:t xml:space="preserve">The increase in jobs was associated with a 1.1 percentage point rise in the </w:t>
      </w:r>
      <w:r w:rsidRPr="00FE5301">
        <w:rPr>
          <w:b/>
        </w:rPr>
        <w:t>participation rate</w:t>
      </w:r>
      <w:r w:rsidRPr="00FE5301">
        <w:t xml:space="preserve"> – the amount of people </w:t>
      </w:r>
      <w:r w:rsidR="00B702CC">
        <w:t xml:space="preserve">in work and </w:t>
      </w:r>
      <w:r w:rsidRPr="00FE5301">
        <w:t>looking for work. This resulted in Victoria’s unemployment rate not falling despite the strong employment growth. The participation rate in all other states declined over the past year</w:t>
      </w:r>
      <w:r w:rsidR="00F40E35">
        <w:t>.</w:t>
      </w:r>
    </w:p>
    <w:p w:rsidR="005F24B4" w:rsidRPr="005F24B4" w:rsidRDefault="005F24B4" w:rsidP="005F24B4">
      <w:r w:rsidRPr="005F24B4">
        <w:rPr>
          <w:bCs/>
        </w:rPr>
        <w:t>Victorian</w:t>
      </w:r>
      <w:r w:rsidRPr="005F24B4">
        <w:rPr>
          <w:b/>
          <w:bCs/>
        </w:rPr>
        <w:t xml:space="preserve"> wages growth</w:t>
      </w:r>
      <w:r>
        <w:rPr>
          <w:b/>
          <w:bCs/>
        </w:rPr>
        <w:t xml:space="preserve"> </w:t>
      </w:r>
      <w:r w:rsidRPr="005F24B4">
        <w:rPr>
          <w:bCs/>
        </w:rPr>
        <w:t xml:space="preserve">continued to be subdued, growing by 0.6 per cent in the September quarter and 2.0 per cent </w:t>
      </w:r>
      <w:r w:rsidR="000A17BB">
        <w:rPr>
          <w:bCs/>
        </w:rPr>
        <w:t>during</w:t>
      </w:r>
      <w:r w:rsidR="000A17BB" w:rsidRPr="005F24B4">
        <w:rPr>
          <w:bCs/>
        </w:rPr>
        <w:t xml:space="preserve"> </w:t>
      </w:r>
      <w:r w:rsidRPr="005F24B4">
        <w:rPr>
          <w:bCs/>
        </w:rPr>
        <w:t>the year.</w:t>
      </w:r>
      <w:r w:rsidRPr="005F24B4">
        <w:rPr>
          <w:b/>
          <w:bCs/>
        </w:rPr>
        <w:t xml:space="preserve"> </w:t>
      </w:r>
      <w:r w:rsidRPr="005F24B4">
        <w:t xml:space="preserve">Annual growth in public sector wages </w:t>
      </w:r>
      <w:r>
        <w:t xml:space="preserve">of </w:t>
      </w:r>
      <w:r w:rsidRPr="005F24B4">
        <w:t xml:space="preserve">1.9 per cent was weaker than growth in private sector wages </w:t>
      </w:r>
      <w:r>
        <w:t xml:space="preserve">of </w:t>
      </w:r>
      <w:r w:rsidRPr="005F24B4">
        <w:t>2.0</w:t>
      </w:r>
      <w:r>
        <w:t> </w:t>
      </w:r>
      <w:r w:rsidRPr="005F24B4">
        <w:t>per</w:t>
      </w:r>
      <w:r>
        <w:t> </w:t>
      </w:r>
      <w:r w:rsidRPr="005F24B4">
        <w:t xml:space="preserve">cent. Among the states, Victoria's annual wage growth was behind South Australia, Tasmania and New South Wales. </w:t>
      </w:r>
    </w:p>
    <w:p w:rsidR="005E2185" w:rsidRDefault="00BE4516" w:rsidP="005E2185">
      <w:r>
        <w:rPr>
          <w:b/>
        </w:rPr>
        <w:t>C</w:t>
      </w:r>
      <w:r w:rsidR="00FE5301" w:rsidRPr="00FE5301">
        <w:rPr>
          <w:b/>
        </w:rPr>
        <w:t>onsumer sentiment</w:t>
      </w:r>
      <w:r w:rsidR="00FE5301" w:rsidRPr="00FE5301">
        <w:t xml:space="preserve"> </w:t>
      </w:r>
      <w:r>
        <w:t>remains in positive territory</w:t>
      </w:r>
      <w:r w:rsidR="00A81A08">
        <w:t xml:space="preserve"> in Victoria</w:t>
      </w:r>
      <w:r>
        <w:t xml:space="preserve"> despite a fall in November.</w:t>
      </w:r>
      <w:r w:rsidR="00FE5301" w:rsidRPr="00FE5301">
        <w:t xml:space="preserve"> Victoria is the third most optimistic state behind New South Wales </w:t>
      </w:r>
      <w:r w:rsidR="00A81A08">
        <w:t xml:space="preserve">and </w:t>
      </w:r>
      <w:r w:rsidR="00F72EA0">
        <w:t>Queensland</w:t>
      </w:r>
      <w:r w:rsidR="00A81A08">
        <w:t>.</w:t>
      </w:r>
    </w:p>
    <w:p w:rsidR="00CC2A78" w:rsidRDefault="00FE5301" w:rsidP="00FE5301">
      <w:r>
        <w:t xml:space="preserve">According to Westpac, consumers </w:t>
      </w:r>
      <w:r w:rsidR="000A17BB">
        <w:t>reacted to</w:t>
      </w:r>
      <w:r>
        <w:t xml:space="preserve"> national developments </w:t>
      </w:r>
      <w:r w:rsidR="000A17BB">
        <w:t xml:space="preserve">during </w:t>
      </w:r>
      <w:r>
        <w:t>the month</w:t>
      </w:r>
      <w:r w:rsidR="000A17BB">
        <w:t>,</w:t>
      </w:r>
      <w:r>
        <w:t xml:space="preserve"> including weakness in the share market as investors </w:t>
      </w:r>
      <w:r w:rsidR="000A17BB">
        <w:t xml:space="preserve">were influenced by </w:t>
      </w:r>
      <w:r>
        <w:t xml:space="preserve">uncertainties around the </w:t>
      </w:r>
      <w:r w:rsidRPr="007133A1">
        <w:rPr>
          <w:b/>
        </w:rPr>
        <w:t>U</w:t>
      </w:r>
      <w:r w:rsidR="007133A1">
        <w:rPr>
          <w:b/>
        </w:rPr>
        <w:t xml:space="preserve">nited </w:t>
      </w:r>
      <w:r w:rsidRPr="007133A1">
        <w:rPr>
          <w:b/>
        </w:rPr>
        <w:t>S</w:t>
      </w:r>
      <w:r w:rsidR="007133A1">
        <w:rPr>
          <w:b/>
        </w:rPr>
        <w:t>tates presidential</w:t>
      </w:r>
      <w:r w:rsidR="007133A1" w:rsidRPr="007133A1">
        <w:rPr>
          <w:b/>
        </w:rPr>
        <w:t xml:space="preserve"> </w:t>
      </w:r>
      <w:r w:rsidRPr="007133A1">
        <w:rPr>
          <w:b/>
        </w:rPr>
        <w:t>election</w:t>
      </w:r>
      <w:r>
        <w:t xml:space="preserve">, a disappointing </w:t>
      </w:r>
    </w:p>
    <w:p w:rsidR="00FE5301" w:rsidRDefault="00CC2A78" w:rsidP="00FE5301">
      <w:r>
        <w:br w:type="column"/>
      </w:r>
      <w:r w:rsidR="00430C43">
        <w:lastRenderedPageBreak/>
        <w:t xml:space="preserve">September jobs </w:t>
      </w:r>
      <w:r w:rsidR="00FE5301">
        <w:t xml:space="preserve">report and an unchanged interest rate decision from the Reserve Bank of </w:t>
      </w:r>
      <w:r w:rsidR="00FE5301" w:rsidRPr="00BF473E">
        <w:t>Australia</w:t>
      </w:r>
      <w:r w:rsidR="00F40E35" w:rsidRPr="00F64368">
        <w:t xml:space="preserve"> </w:t>
      </w:r>
      <w:r w:rsidR="00F40E35" w:rsidRPr="00BF473E">
        <w:t>(RBA)</w:t>
      </w:r>
      <w:r w:rsidR="00FE5301" w:rsidRPr="00BF473E">
        <w:t>.</w:t>
      </w:r>
    </w:p>
    <w:p w:rsidR="009A31AA" w:rsidRPr="009A31AA" w:rsidRDefault="009A31AA" w:rsidP="009A31AA">
      <w:pPr>
        <w:rPr>
          <w:b/>
          <w:bCs/>
        </w:rPr>
      </w:pPr>
      <w:r w:rsidRPr="009A31AA">
        <w:rPr>
          <w:bCs/>
        </w:rPr>
        <w:t>Victoria's</w:t>
      </w:r>
      <w:r w:rsidRPr="009A31AA">
        <w:rPr>
          <w:b/>
          <w:bCs/>
        </w:rPr>
        <w:t xml:space="preserve"> </w:t>
      </w:r>
      <w:r w:rsidRPr="006B450F">
        <w:rPr>
          <w:bCs/>
        </w:rPr>
        <w:t>monthly</w:t>
      </w:r>
      <w:r w:rsidRPr="009A31AA">
        <w:rPr>
          <w:b/>
          <w:bCs/>
        </w:rPr>
        <w:t xml:space="preserve"> retail sales </w:t>
      </w:r>
      <w:r w:rsidRPr="006B450F">
        <w:rPr>
          <w:bCs/>
        </w:rPr>
        <w:t>growth</w:t>
      </w:r>
      <w:r w:rsidRPr="009A31AA">
        <w:rPr>
          <w:b/>
          <w:bCs/>
        </w:rPr>
        <w:t xml:space="preserve"> </w:t>
      </w:r>
      <w:r w:rsidRPr="006B450F">
        <w:rPr>
          <w:bCs/>
        </w:rPr>
        <w:t xml:space="preserve">was </w:t>
      </w:r>
      <w:r w:rsidR="006B450F">
        <w:rPr>
          <w:bCs/>
        </w:rPr>
        <w:t xml:space="preserve">0.6 per cent in September, </w:t>
      </w:r>
      <w:r w:rsidRPr="006B450F">
        <w:rPr>
          <w:bCs/>
        </w:rPr>
        <w:t>the second strongest of all states</w:t>
      </w:r>
      <w:r w:rsidR="000701DA">
        <w:rPr>
          <w:bCs/>
        </w:rPr>
        <w:t xml:space="preserve"> only behind New South Wales </w:t>
      </w:r>
      <w:r w:rsidR="00617C6B">
        <w:rPr>
          <w:bCs/>
        </w:rPr>
        <w:t xml:space="preserve">with growth of </w:t>
      </w:r>
      <w:r w:rsidR="000701DA" w:rsidRPr="009A31AA">
        <w:t>0.8 per cent</w:t>
      </w:r>
      <w:r w:rsidRPr="006B450F">
        <w:rPr>
          <w:bCs/>
        </w:rPr>
        <w:t>. Victoria had monthly turnover gains across all main industry groups with strength in household goods retailing and food retailing</w:t>
      </w:r>
      <w:r w:rsidR="006B450F">
        <w:rPr>
          <w:bCs/>
        </w:rPr>
        <w:t>.</w:t>
      </w:r>
      <w:r w:rsidRPr="009A31AA">
        <w:t xml:space="preserve"> </w:t>
      </w:r>
      <w:r w:rsidR="000701DA" w:rsidRPr="009E3C8A">
        <w:t>Victoria's</w:t>
      </w:r>
      <w:r w:rsidR="000701DA">
        <w:t xml:space="preserve"> annual retail</w:t>
      </w:r>
      <w:r w:rsidR="000701DA" w:rsidRPr="009E3C8A">
        <w:t xml:space="preserve"> sales growth</w:t>
      </w:r>
      <w:r w:rsidR="000701DA">
        <w:t xml:space="preserve"> rate of 2.9</w:t>
      </w:r>
      <w:r w:rsidR="00617C6B">
        <w:t> </w:t>
      </w:r>
      <w:r w:rsidR="000701DA">
        <w:t>per</w:t>
      </w:r>
      <w:r w:rsidR="00617C6B">
        <w:t> </w:t>
      </w:r>
      <w:r w:rsidR="000701DA">
        <w:t>cent is s</w:t>
      </w:r>
      <w:r w:rsidR="000701DA" w:rsidRPr="009E3C8A">
        <w:t xml:space="preserve">lightly </w:t>
      </w:r>
      <w:r w:rsidR="000701DA">
        <w:t xml:space="preserve">below </w:t>
      </w:r>
      <w:r w:rsidR="000701DA" w:rsidRPr="009E3C8A">
        <w:t xml:space="preserve">the national </w:t>
      </w:r>
      <w:r w:rsidR="000701DA">
        <w:t>average</w:t>
      </w:r>
      <w:r w:rsidR="000701DA" w:rsidRPr="009E3C8A">
        <w:t>.</w:t>
      </w:r>
    </w:p>
    <w:p w:rsidR="00D10699" w:rsidRPr="00D10699" w:rsidRDefault="00D10699" w:rsidP="00D10699">
      <w:r w:rsidRPr="00D10699">
        <w:t xml:space="preserve">Following a </w:t>
      </w:r>
      <w:r>
        <w:t xml:space="preserve">rebound </w:t>
      </w:r>
      <w:r w:rsidRPr="00D10699">
        <w:t xml:space="preserve">in </w:t>
      </w:r>
      <w:r>
        <w:t>August</w:t>
      </w:r>
      <w:r w:rsidRPr="00D10699">
        <w:t xml:space="preserve">, the value of Victoria’s </w:t>
      </w:r>
      <w:r w:rsidRPr="00D10699">
        <w:rPr>
          <w:b/>
        </w:rPr>
        <w:t>building approvals</w:t>
      </w:r>
      <w:r>
        <w:rPr>
          <w:b/>
        </w:rPr>
        <w:t xml:space="preserve"> </w:t>
      </w:r>
      <w:r w:rsidRPr="00D10699">
        <w:t>reached record heights</w:t>
      </w:r>
      <w:r>
        <w:rPr>
          <w:b/>
        </w:rPr>
        <w:t xml:space="preserve"> </w:t>
      </w:r>
      <w:r w:rsidRPr="00D10699">
        <w:t xml:space="preserve">in </w:t>
      </w:r>
      <w:r>
        <w:t>September</w:t>
      </w:r>
      <w:r w:rsidRPr="00D10699">
        <w:t>. While monthly results continue to be volatile, Victoria’s annual growth remains the second highest of the states, supported by strong population growth and record</w:t>
      </w:r>
      <w:r w:rsidR="000A17BB">
        <w:t>-</w:t>
      </w:r>
      <w:r w:rsidRPr="00D10699">
        <w:t>low interest rates</w:t>
      </w:r>
      <w:r>
        <w:t>.</w:t>
      </w:r>
      <w:r w:rsidRPr="00D10699">
        <w:rPr>
          <w:rFonts w:ascii="Arial" w:hAnsi="Arial" w:cs="Arial"/>
          <w:b/>
          <w:caps/>
          <w:color w:val="000000"/>
        </w:rPr>
        <w:t xml:space="preserve"> </w:t>
      </w:r>
    </w:p>
    <w:p w:rsidR="00EF6761" w:rsidRDefault="00FE5301" w:rsidP="005E2185">
      <w:r>
        <w:t xml:space="preserve">The October release of the </w:t>
      </w:r>
      <w:r w:rsidRPr="00FE5301">
        <w:rPr>
          <w:b/>
        </w:rPr>
        <w:t>NAB business confidence survey</w:t>
      </w:r>
      <w:r>
        <w:t xml:space="preserve"> show</w:t>
      </w:r>
      <w:r w:rsidR="00714AF6">
        <w:t>ed</w:t>
      </w:r>
      <w:r>
        <w:t xml:space="preserve"> that Victorian and national confidence levels fell slightly</w:t>
      </w:r>
      <w:r w:rsidR="00B702CC">
        <w:t>. H</w:t>
      </w:r>
      <w:r>
        <w:t xml:space="preserve">owever both measures remain in positive territory (with </w:t>
      </w:r>
      <w:r w:rsidR="00A81A08">
        <w:t xml:space="preserve">levels in </w:t>
      </w:r>
      <w:r>
        <w:t>Victoria below the national measure).</w:t>
      </w:r>
    </w:p>
    <w:p w:rsidR="007133A1" w:rsidRPr="007133A1" w:rsidRDefault="007133A1" w:rsidP="007133A1">
      <w:pPr>
        <w:spacing w:line="240" w:lineRule="auto"/>
        <w:rPr>
          <w:sz w:val="12"/>
        </w:rPr>
      </w:pPr>
    </w:p>
    <w:tbl>
      <w:tblPr>
        <w:tblW w:w="0" w:type="auto"/>
        <w:tblLook w:val="04A0" w:firstRow="1" w:lastRow="0" w:firstColumn="1" w:lastColumn="0" w:noHBand="0" w:noVBand="1"/>
      </w:tblPr>
      <w:tblGrid>
        <w:gridCol w:w="988"/>
        <w:gridCol w:w="3763"/>
      </w:tblGrid>
      <w:tr w:rsidR="00047DD7" w:rsidTr="00474854">
        <w:tc>
          <w:tcPr>
            <w:tcW w:w="988" w:type="dxa"/>
          </w:tcPr>
          <w:p w:rsidR="00047DD7" w:rsidRDefault="002868CD" w:rsidP="00EE60CF">
            <w:r>
              <w:br w:type="column"/>
            </w:r>
            <w:r w:rsidR="00047DD7">
              <w:rPr>
                <w:noProof/>
                <w:lang w:eastAsia="en-AU"/>
              </w:rPr>
              <w:drawing>
                <wp:inline distT="0" distB="0" distL="0" distR="0" wp14:anchorId="175C308B" wp14:editId="46BF0A1B">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63" w:type="dxa"/>
            <w:vAlign w:val="bottom"/>
          </w:tcPr>
          <w:p w:rsidR="00047DD7" w:rsidRDefault="00047DD7" w:rsidP="00EE60CF">
            <w:pPr>
              <w:pStyle w:val="Heading1"/>
            </w:pPr>
            <w:r>
              <w:t>Financial markets</w:t>
            </w:r>
          </w:p>
        </w:tc>
      </w:tr>
    </w:tbl>
    <w:p w:rsidR="005318CE" w:rsidRPr="00F72EA0" w:rsidRDefault="005D562A" w:rsidP="00F62672">
      <w:pPr>
        <w:spacing w:before="120"/>
      </w:pPr>
      <w:r w:rsidRPr="005D562A">
        <w:t xml:space="preserve">The biggest item dominating economic news in November was the </w:t>
      </w:r>
      <w:r w:rsidR="007133A1">
        <w:rPr>
          <w:b/>
        </w:rPr>
        <w:t>US</w:t>
      </w:r>
      <w:r w:rsidRPr="005D562A">
        <w:rPr>
          <w:b/>
        </w:rPr>
        <w:t xml:space="preserve"> election</w:t>
      </w:r>
      <w:r w:rsidRPr="005D562A">
        <w:t>. The election result increase</w:t>
      </w:r>
      <w:r w:rsidR="000A17BB">
        <w:t>d</w:t>
      </w:r>
      <w:r w:rsidRPr="005D562A">
        <w:t xml:space="preserve"> </w:t>
      </w:r>
      <w:r w:rsidR="00B702CC">
        <w:t>risks</w:t>
      </w:r>
      <w:r w:rsidRPr="005D562A">
        <w:t xml:space="preserve"> around the economic outlook</w:t>
      </w:r>
      <w:r w:rsidR="000A17BB">
        <w:t>, with</w:t>
      </w:r>
      <w:r w:rsidR="00B702CC">
        <w:t xml:space="preserve"> uncertainty </w:t>
      </w:r>
      <w:r w:rsidR="000A17BB">
        <w:t xml:space="preserve">surrounding </w:t>
      </w:r>
      <w:r w:rsidRPr="005D562A">
        <w:t>parts of the election platform</w:t>
      </w:r>
      <w:r w:rsidR="00A54D06">
        <w:t xml:space="preserve"> of what</w:t>
      </w:r>
      <w:r w:rsidRPr="005D562A">
        <w:t xml:space="preserve"> </w:t>
      </w:r>
      <w:r w:rsidR="00B702CC">
        <w:t xml:space="preserve">will be </w:t>
      </w:r>
      <w:r w:rsidRPr="005D562A">
        <w:t>delivered and when.</w:t>
      </w:r>
      <w:r w:rsidR="002761C2" w:rsidRPr="002761C2">
        <w:rPr>
          <w:rFonts w:ascii="Helvetica" w:hAnsi="Helvetica"/>
          <w:b/>
          <w:bCs/>
          <w:color w:val="404040"/>
          <w:shd w:val="clear" w:color="auto" w:fill="FFFFFF"/>
        </w:rPr>
        <w:t xml:space="preserve"> </w:t>
      </w:r>
      <w:r w:rsidR="002761C2" w:rsidRPr="002761C2">
        <w:rPr>
          <w:bCs/>
        </w:rPr>
        <w:t xml:space="preserve">President-elect </w:t>
      </w:r>
      <w:r w:rsidR="000A17BB">
        <w:rPr>
          <w:bCs/>
        </w:rPr>
        <w:t xml:space="preserve">Donald </w:t>
      </w:r>
      <w:r w:rsidR="002761C2" w:rsidRPr="002761C2">
        <w:rPr>
          <w:bCs/>
        </w:rPr>
        <w:t xml:space="preserve">Trump </w:t>
      </w:r>
      <w:r w:rsidR="002761C2">
        <w:rPr>
          <w:bCs/>
        </w:rPr>
        <w:t xml:space="preserve">has </w:t>
      </w:r>
      <w:r w:rsidR="00BF473E">
        <w:rPr>
          <w:bCs/>
        </w:rPr>
        <w:t xml:space="preserve">said he will issue a notice of intent to withdraw from </w:t>
      </w:r>
      <w:r w:rsidR="002761C2" w:rsidRPr="002761C2">
        <w:rPr>
          <w:bCs/>
        </w:rPr>
        <w:t xml:space="preserve">the Trans-Pacific Partnership trade deal on his first day </w:t>
      </w:r>
      <w:r w:rsidR="002761C2">
        <w:rPr>
          <w:bCs/>
        </w:rPr>
        <w:t>as President</w:t>
      </w:r>
      <w:r w:rsidR="002761C2" w:rsidRPr="002761C2">
        <w:rPr>
          <w:bCs/>
        </w:rPr>
        <w:t>.</w:t>
      </w:r>
    </w:p>
    <w:p w:rsidR="00CC2A78" w:rsidRDefault="007133A1" w:rsidP="00EE619A">
      <w:r>
        <w:t>US</w:t>
      </w:r>
      <w:r w:rsidR="005D562A" w:rsidRPr="005D562A">
        <w:t xml:space="preserve"> bond yields and equity markets increased reflecting proposed company tax cuts and infrastructure investme</w:t>
      </w:r>
      <w:r>
        <w:t xml:space="preserve">nt. </w:t>
      </w:r>
    </w:p>
    <w:p w:rsidR="00CC2A78" w:rsidRDefault="00CC2A78" w:rsidP="00EE619A">
      <w:pPr>
        <w:sectPr w:rsidR="00CC2A78" w:rsidSect="000A0900">
          <w:headerReference w:type="default" r:id="rId14"/>
          <w:footerReference w:type="default" r:id="rId15"/>
          <w:type w:val="continuous"/>
          <w:pgSz w:w="11906" w:h="16838" w:code="9"/>
          <w:pgMar w:top="964" w:right="1134" w:bottom="794" w:left="1134" w:header="709" w:footer="567" w:gutter="0"/>
          <w:cols w:num="2" w:space="567"/>
          <w:titlePg/>
          <w:docGrid w:linePitch="360"/>
        </w:sectPr>
      </w:pPr>
    </w:p>
    <w:p w:rsidR="005318CE" w:rsidRDefault="007133A1" w:rsidP="00CC2A78">
      <w:pPr>
        <w:spacing w:before="360"/>
      </w:pPr>
      <w:r>
        <w:lastRenderedPageBreak/>
        <w:t>The U</w:t>
      </w:r>
      <w:r w:rsidR="005D562A" w:rsidRPr="005D562A">
        <w:t>S dollar has also appreciated against most currencies since</w:t>
      </w:r>
      <w:r>
        <w:t xml:space="preserve"> the election. In fact, the US</w:t>
      </w:r>
      <w:r w:rsidR="005D562A" w:rsidRPr="005D562A">
        <w:t xml:space="preserve"> dollar index</w:t>
      </w:r>
      <w:r w:rsidR="00536486">
        <w:t xml:space="preserve"> (</w:t>
      </w:r>
      <w:r w:rsidR="00536486" w:rsidRPr="00536486">
        <w:t>the value of the </w:t>
      </w:r>
      <w:r>
        <w:rPr>
          <w:bCs/>
        </w:rPr>
        <w:t>US</w:t>
      </w:r>
      <w:r w:rsidR="00536486" w:rsidRPr="00FA3057">
        <w:rPr>
          <w:bCs/>
        </w:rPr>
        <w:t xml:space="preserve"> dollar</w:t>
      </w:r>
      <w:r w:rsidR="00DB1738">
        <w:t> relative to a basket of top 6 </w:t>
      </w:r>
      <w:r w:rsidR="00536486" w:rsidRPr="00536486">
        <w:t>currencies</w:t>
      </w:r>
      <w:r w:rsidR="00536486">
        <w:t>)</w:t>
      </w:r>
      <w:r w:rsidR="005D562A" w:rsidRPr="005D562A">
        <w:t xml:space="preserve"> is at its highest level in more than a decade</w:t>
      </w:r>
      <w:r w:rsidR="005D562A" w:rsidRPr="00714AF6">
        <w:t>.</w:t>
      </w:r>
    </w:p>
    <w:p w:rsidR="00CA6E7D" w:rsidRPr="00714AF6" w:rsidRDefault="00CA6E7D" w:rsidP="00CA6E7D">
      <w:r>
        <w:t>Following the election outcome, g</w:t>
      </w:r>
      <w:r w:rsidRPr="00CA6E7D">
        <w:t xml:space="preserve">lobal bonds </w:t>
      </w:r>
      <w:r>
        <w:t xml:space="preserve">were sold off. </w:t>
      </w:r>
      <w:r w:rsidRPr="00CA6E7D">
        <w:t>The rise in yields since the election reflects the view that the President</w:t>
      </w:r>
      <w:r w:rsidRPr="00CA6E7D">
        <w:rPr>
          <w:rFonts w:ascii="MS Gothic" w:eastAsia="MS Gothic" w:hAnsi="MS Gothic" w:cs="MS Gothic" w:hint="eastAsia"/>
        </w:rPr>
        <w:t>‑</w:t>
      </w:r>
      <w:r w:rsidRPr="00CA6E7D">
        <w:t>elect</w:t>
      </w:r>
      <w:r w:rsidRPr="00CA6E7D">
        <w:rPr>
          <w:rFonts w:ascii="Arial" w:hAnsi="Arial" w:cs="Arial"/>
        </w:rPr>
        <w:t>’</w:t>
      </w:r>
      <w:r w:rsidRPr="00CA6E7D">
        <w:t>s policies are: (</w:t>
      </w:r>
      <w:proofErr w:type="spellStart"/>
      <w:r w:rsidRPr="00CA6E7D">
        <w:t>i</w:t>
      </w:r>
      <w:proofErr w:type="spellEnd"/>
      <w:r w:rsidRPr="00CA6E7D">
        <w:t>)</w:t>
      </w:r>
      <w:r>
        <w:t> </w:t>
      </w:r>
      <w:r w:rsidRPr="00CA6E7D">
        <w:t>inflationary; and (ii) positive for US growth.</w:t>
      </w:r>
    </w:p>
    <w:p w:rsidR="005D562A" w:rsidRDefault="005D562A" w:rsidP="005D562A">
      <w:r>
        <w:t xml:space="preserve">The </w:t>
      </w:r>
      <w:r w:rsidR="007133A1">
        <w:rPr>
          <w:b/>
        </w:rPr>
        <w:t>US</w:t>
      </w:r>
      <w:r w:rsidRPr="005D562A">
        <w:rPr>
          <w:b/>
        </w:rPr>
        <w:t xml:space="preserve"> Federal Reserve</w:t>
      </w:r>
      <w:r>
        <w:t xml:space="preserve"> kept its target for the federal funds rate constant at 0.25 – 0.50 per cent at their November meeting, held before the US</w:t>
      </w:r>
      <w:r w:rsidR="007133A1">
        <w:t xml:space="preserve"> election. The Chair of the US</w:t>
      </w:r>
      <w:r>
        <w:t xml:space="preserve"> Federal Reserve stated the case for an increase in the target range had continued to strengthen. </w:t>
      </w:r>
      <w:r w:rsidR="00B702CC">
        <w:t xml:space="preserve">Furthermore, </w:t>
      </w:r>
      <w:r>
        <w:t xml:space="preserve">there are dangers </w:t>
      </w:r>
      <w:r w:rsidR="00BF473E">
        <w:t xml:space="preserve">in waiting too long  </w:t>
      </w:r>
      <w:r>
        <w:t>to tighten monetary policy.</w:t>
      </w:r>
    </w:p>
    <w:p w:rsidR="00EE619A" w:rsidRDefault="005D562A" w:rsidP="005D562A">
      <w:r w:rsidRPr="005D562A">
        <w:t>The RBA also ke</w:t>
      </w:r>
      <w:r w:rsidR="00B81B90">
        <w:t>pt the cash rate steady at 1.50 </w:t>
      </w:r>
      <w:r w:rsidRPr="005D562A">
        <w:t>per cent in November.</w:t>
      </w:r>
    </w:p>
    <w:p w:rsidR="005F24B4" w:rsidRDefault="00CC2A78" w:rsidP="008D15E5">
      <w:pPr>
        <w:spacing w:before="360" w:after="180"/>
      </w:pPr>
      <w:r>
        <w:rPr>
          <w:b/>
        </w:rPr>
        <w:br w:type="column"/>
      </w:r>
      <w:r w:rsidR="00782DA0" w:rsidRPr="002761C2">
        <w:rPr>
          <w:b/>
        </w:rPr>
        <w:lastRenderedPageBreak/>
        <w:t>UK</w:t>
      </w:r>
      <w:r w:rsidR="00782DA0" w:rsidRPr="00782DA0">
        <w:t xml:space="preserve"> </w:t>
      </w:r>
      <w:r w:rsidR="00782DA0" w:rsidRPr="00782DA0">
        <w:rPr>
          <w:b/>
        </w:rPr>
        <w:t>retail sales</w:t>
      </w:r>
      <w:r w:rsidR="00782DA0" w:rsidRPr="00782DA0">
        <w:t xml:space="preserve"> rose </w:t>
      </w:r>
      <w:r w:rsidR="00782DA0">
        <w:t xml:space="preserve">by 7.4 per cent over the year to October, </w:t>
      </w:r>
      <w:r w:rsidR="00782DA0" w:rsidRPr="00782DA0">
        <w:t xml:space="preserve">the fastest annual rate in </w:t>
      </w:r>
      <w:r w:rsidR="00BF473E">
        <w:t>14</w:t>
      </w:r>
      <w:r w:rsidR="00BF473E" w:rsidRPr="00782DA0">
        <w:t xml:space="preserve"> </w:t>
      </w:r>
      <w:r w:rsidR="00782DA0" w:rsidRPr="00782DA0">
        <w:t>years</w:t>
      </w:r>
      <w:r w:rsidR="00782DA0">
        <w:t>. Growth was</w:t>
      </w:r>
      <w:r w:rsidR="00782DA0" w:rsidRPr="00782DA0">
        <w:t xml:space="preserve"> bolstered by colder weather and Halloween sales at supermarkets.</w:t>
      </w:r>
      <w:r w:rsidR="00782DA0">
        <w:t xml:space="preserve"> This </w:t>
      </w:r>
      <w:r w:rsidR="005070EF">
        <w:t xml:space="preserve">result </w:t>
      </w:r>
      <w:r w:rsidR="00782DA0">
        <w:t>supports the view that consumer confidence remains robust despite uncertainty caused by Brexit.</w:t>
      </w:r>
    </w:p>
    <w:p w:rsidR="002761C2" w:rsidRDefault="005070EF" w:rsidP="008D15E5">
      <w:pPr>
        <w:spacing w:after="180"/>
      </w:pPr>
      <w:r w:rsidRPr="005070EF">
        <w:t xml:space="preserve">Concerns in relation </w:t>
      </w:r>
      <w:r>
        <w:t xml:space="preserve">to </w:t>
      </w:r>
      <w:r w:rsidRPr="005070EF">
        <w:t>the sustainability of China’s growth continue.</w:t>
      </w:r>
      <w:r>
        <w:rPr>
          <w:b/>
        </w:rPr>
        <w:t xml:space="preserve"> </w:t>
      </w:r>
      <w:r w:rsidR="002761C2" w:rsidRPr="005070EF">
        <w:t>China's</w:t>
      </w:r>
      <w:r w:rsidR="002761C2" w:rsidRPr="002761C2">
        <w:t xml:space="preserve"> </w:t>
      </w:r>
      <w:r w:rsidR="002761C2" w:rsidRPr="002761C2">
        <w:rPr>
          <w:b/>
        </w:rPr>
        <w:t>industrial production</w:t>
      </w:r>
      <w:r w:rsidR="002761C2" w:rsidRPr="002761C2">
        <w:t xml:space="preserve"> grew at an annualised pace of 6.1 per cent in October</w:t>
      </w:r>
      <w:r w:rsidR="002761C2">
        <w:t xml:space="preserve">. </w:t>
      </w:r>
      <w:r>
        <w:t>However, r</w:t>
      </w:r>
      <w:r w:rsidR="002761C2" w:rsidRPr="002761C2">
        <w:t>etail sales were s</w:t>
      </w:r>
      <w:r w:rsidR="00CC2A78">
        <w:t>urprisingly weak, growing at 10 </w:t>
      </w:r>
      <w:r w:rsidR="002761C2" w:rsidRPr="002761C2">
        <w:t xml:space="preserve">per cent over the year, </w:t>
      </w:r>
      <w:r>
        <w:t xml:space="preserve">below </w:t>
      </w:r>
      <w:r w:rsidR="00CC2A78">
        <w:t>the 10.7 </w:t>
      </w:r>
      <w:r w:rsidR="002761C2" w:rsidRPr="002761C2">
        <w:t>per cent growth recorded in September.</w:t>
      </w:r>
    </w:p>
    <w:p w:rsidR="000A0900" w:rsidRDefault="002761C2" w:rsidP="001E141A">
      <w:r w:rsidRPr="002761C2">
        <w:rPr>
          <w:b/>
        </w:rPr>
        <w:t>Japan's</w:t>
      </w:r>
      <w:r w:rsidRPr="002761C2">
        <w:t xml:space="preserve"> economy grew at 0.5 per cent in the three months to September</w:t>
      </w:r>
      <w:r w:rsidR="00A81977">
        <w:t xml:space="preserve"> 2016</w:t>
      </w:r>
      <w:r>
        <w:t xml:space="preserve">. </w:t>
      </w:r>
      <w:r w:rsidRPr="002761C2">
        <w:t xml:space="preserve">On an annualised basis, GDP growth </w:t>
      </w:r>
      <w:r>
        <w:t xml:space="preserve">was </w:t>
      </w:r>
      <w:r w:rsidRPr="002761C2">
        <w:t>2.2</w:t>
      </w:r>
      <w:r>
        <w:t> </w:t>
      </w:r>
      <w:r w:rsidRPr="002761C2">
        <w:t xml:space="preserve">per cent, well </w:t>
      </w:r>
      <w:r w:rsidR="00A81977">
        <w:t>above</w:t>
      </w:r>
      <w:r w:rsidRPr="002761C2">
        <w:t xml:space="preserve"> the June quarter's 0.7</w:t>
      </w:r>
      <w:r>
        <w:t> </w:t>
      </w:r>
      <w:r w:rsidRPr="002761C2">
        <w:t>per cent year-on-year growth</w:t>
      </w:r>
      <w:r>
        <w:t>.</w:t>
      </w:r>
      <w:r w:rsidR="00D377FA" w:rsidRPr="00D377FA">
        <w:rPr>
          <w:rFonts w:ascii="Helvetica" w:eastAsia="Times New Roman" w:hAnsi="Helvetica" w:cs="Times New Roman"/>
          <w:b/>
          <w:caps/>
          <w:color w:val="000000"/>
          <w:lang w:eastAsia="en-AU"/>
        </w:rPr>
        <w:t xml:space="preserve"> </w:t>
      </w:r>
      <w:r w:rsidR="00D377FA" w:rsidRPr="00D377FA">
        <w:t xml:space="preserve">It was the third consecutive quarter of growth, boosted by exports, government spending and private residential investment while household consumption </w:t>
      </w:r>
      <w:r w:rsidR="00D377FA">
        <w:t>was subdued</w:t>
      </w:r>
      <w:r w:rsidR="00D377FA" w:rsidRPr="00D377FA">
        <w:t>. </w:t>
      </w:r>
    </w:p>
    <w:p w:rsidR="000A0900" w:rsidRPr="00DB03BA" w:rsidRDefault="000A0900" w:rsidP="001E141A">
      <w:pPr>
        <w:sectPr w:rsidR="000A0900" w:rsidRPr="00DB03BA" w:rsidSect="00CC2A78">
          <w:type w:val="continuous"/>
          <w:pgSz w:w="11906" w:h="16838" w:code="9"/>
          <w:pgMar w:top="964" w:right="1134" w:bottom="794" w:left="1134" w:header="709" w:footer="567" w:gutter="0"/>
          <w:cols w:num="2" w:space="568" w:equalWidth="0">
            <w:col w:w="4535" w:space="427"/>
            <w:col w:w="4676"/>
          </w:cols>
          <w:docGrid w:linePitch="360"/>
        </w:sectPr>
      </w:pPr>
    </w:p>
    <w:p w:rsidR="00CC2A78" w:rsidRDefault="00CC2A78" w:rsidP="00CC2A78">
      <w:pPr>
        <w:spacing w:after="0"/>
        <w:rPr>
          <w:b/>
          <w:color w:val="201547" w:themeColor="accent1"/>
          <w:sz w:val="22"/>
          <w:szCs w:val="22"/>
        </w:rPr>
      </w:pPr>
    </w:p>
    <w:p w:rsidR="00CC2A78" w:rsidRDefault="00CC2A78" w:rsidP="00D33CD7">
      <w:pPr>
        <w:spacing w:after="60"/>
      </w:pPr>
      <w:r w:rsidRPr="000A0900">
        <w:rPr>
          <w:b/>
          <w:color w:val="201547" w:themeColor="accent1"/>
          <w:sz w:val="22"/>
          <w:szCs w:val="22"/>
        </w:rPr>
        <w:t>Movements in financial data in Novembe</w:t>
      </w:r>
      <w:r>
        <w:rPr>
          <w:b/>
          <w:color w:val="201547" w:themeColor="accent1"/>
          <w:sz w:val="22"/>
          <w:szCs w:val="22"/>
        </w:rPr>
        <w:t>r</w:t>
      </w:r>
    </w:p>
    <w:tbl>
      <w:tblPr>
        <w:tblStyle w:val="TableGrid"/>
        <w:tblW w:w="5000" w:type="pct"/>
        <w:tblLook w:val="0420" w:firstRow="1" w:lastRow="0" w:firstColumn="0" w:lastColumn="0" w:noHBand="0" w:noVBand="1"/>
      </w:tblPr>
      <w:tblGrid>
        <w:gridCol w:w="3458"/>
        <w:gridCol w:w="1701"/>
        <w:gridCol w:w="1845"/>
        <w:gridCol w:w="2861"/>
      </w:tblGrid>
      <w:tr w:rsidR="009E176B" w:rsidTr="00CC2A78">
        <w:trPr>
          <w:cnfStyle w:val="100000000000" w:firstRow="1" w:lastRow="0" w:firstColumn="0" w:lastColumn="0" w:oddVBand="0" w:evenVBand="0" w:oddHBand="0" w:evenHBand="0" w:firstRowFirstColumn="0" w:firstRowLastColumn="0" w:lastRowFirstColumn="0" w:lastRowLastColumn="0"/>
        </w:trPr>
        <w:tc>
          <w:tcPr>
            <w:tcW w:w="1753" w:type="pct"/>
          </w:tcPr>
          <w:p w:rsidR="009A5772" w:rsidRDefault="009A5772" w:rsidP="0023586C"/>
        </w:tc>
        <w:tc>
          <w:tcPr>
            <w:tcW w:w="862" w:type="pct"/>
          </w:tcPr>
          <w:p w:rsidR="009A5772" w:rsidRDefault="005D562A" w:rsidP="006552D0">
            <w:pPr>
              <w:jc w:val="right"/>
            </w:pPr>
            <w:r>
              <w:t>1</w:t>
            </w:r>
            <w:r w:rsidR="006552D0">
              <w:t xml:space="preserve">8 </w:t>
            </w:r>
            <w:r>
              <w:t>Nov</w:t>
            </w:r>
            <w:r w:rsidR="00450F23">
              <w:t xml:space="preserve"> 2016</w:t>
            </w:r>
          </w:p>
        </w:tc>
        <w:tc>
          <w:tcPr>
            <w:tcW w:w="935" w:type="pct"/>
          </w:tcPr>
          <w:p w:rsidR="009A5772" w:rsidRDefault="006552D0" w:rsidP="005D562A">
            <w:pPr>
              <w:jc w:val="right"/>
            </w:pPr>
            <w:r>
              <w:t>18</w:t>
            </w:r>
            <w:r w:rsidR="00820021">
              <w:t xml:space="preserve"> </w:t>
            </w:r>
            <w:r w:rsidR="005D562A">
              <w:t>Oct</w:t>
            </w:r>
            <w:r w:rsidR="00DF6BCF">
              <w:t xml:space="preserve"> </w:t>
            </w:r>
            <w:r w:rsidR="00967403">
              <w:t>2016</w:t>
            </w:r>
          </w:p>
        </w:tc>
        <w:tc>
          <w:tcPr>
            <w:tcW w:w="1450" w:type="pct"/>
          </w:tcPr>
          <w:p w:rsidR="009A5772" w:rsidRDefault="00967403" w:rsidP="00967403">
            <w:pPr>
              <w:jc w:val="right"/>
            </w:pPr>
            <w:r>
              <w:t>Change</w:t>
            </w:r>
          </w:p>
        </w:tc>
      </w:tr>
      <w:tr w:rsidR="009E176B" w:rsidTr="00CC2A78">
        <w:trPr>
          <w:cnfStyle w:val="000000100000" w:firstRow="0" w:lastRow="0" w:firstColumn="0" w:lastColumn="0" w:oddVBand="0" w:evenVBand="0" w:oddHBand="1" w:evenHBand="0" w:firstRowFirstColumn="0" w:firstRowLastColumn="0" w:lastRowFirstColumn="0" w:lastRowLastColumn="0"/>
        </w:trPr>
        <w:tc>
          <w:tcPr>
            <w:tcW w:w="1753" w:type="pct"/>
          </w:tcPr>
          <w:p w:rsidR="009A5772" w:rsidRDefault="00967403" w:rsidP="0023586C">
            <w:r>
              <w:t>AUD/USD</w:t>
            </w:r>
          </w:p>
        </w:tc>
        <w:tc>
          <w:tcPr>
            <w:tcW w:w="862" w:type="pct"/>
          </w:tcPr>
          <w:p w:rsidR="009A5772" w:rsidRPr="005C5FE2" w:rsidRDefault="00450F23" w:rsidP="00654352">
            <w:pPr>
              <w:jc w:val="right"/>
              <w:rPr>
                <w:color w:val="FF0000"/>
              </w:rPr>
            </w:pPr>
            <w:r w:rsidRPr="005C5FE2">
              <w:t>0.7</w:t>
            </w:r>
            <w:r w:rsidR="00654352">
              <w:t>4</w:t>
            </w:r>
          </w:p>
        </w:tc>
        <w:tc>
          <w:tcPr>
            <w:tcW w:w="935" w:type="pct"/>
          </w:tcPr>
          <w:p w:rsidR="009A5772" w:rsidRPr="005C5FE2" w:rsidRDefault="007F677F" w:rsidP="00654352">
            <w:pPr>
              <w:jc w:val="right"/>
              <w:rPr>
                <w:color w:val="FF0000"/>
              </w:rPr>
            </w:pPr>
            <w:r w:rsidRPr="005C5FE2">
              <w:t>0.7</w:t>
            </w:r>
            <w:r w:rsidR="00654352">
              <w:t>7</w:t>
            </w:r>
          </w:p>
        </w:tc>
        <w:tc>
          <w:tcPr>
            <w:tcW w:w="1450" w:type="pct"/>
          </w:tcPr>
          <w:p w:rsidR="009A5772" w:rsidRPr="005C5FE2" w:rsidRDefault="005D562A" w:rsidP="00654352">
            <w:pPr>
              <w:jc w:val="right"/>
              <w:rPr>
                <w:color w:val="FF0000"/>
              </w:rPr>
            </w:pPr>
            <w:r>
              <w:t>-</w:t>
            </w:r>
            <w:r w:rsidR="00654352">
              <w:t>3.6</w:t>
            </w:r>
            <w:r w:rsidR="00967403" w:rsidRPr="005C5FE2">
              <w:t xml:space="preserve"> per cent</w:t>
            </w:r>
          </w:p>
        </w:tc>
      </w:tr>
      <w:tr w:rsidR="009E176B" w:rsidTr="00CC2A78">
        <w:trPr>
          <w:cnfStyle w:val="000000010000" w:firstRow="0" w:lastRow="0" w:firstColumn="0" w:lastColumn="0" w:oddVBand="0" w:evenVBand="0" w:oddHBand="0" w:evenHBand="1" w:firstRowFirstColumn="0" w:firstRowLastColumn="0" w:lastRowFirstColumn="0" w:lastRowLastColumn="0"/>
        </w:trPr>
        <w:tc>
          <w:tcPr>
            <w:tcW w:w="1753" w:type="pct"/>
          </w:tcPr>
          <w:p w:rsidR="009A5772" w:rsidRDefault="00967403" w:rsidP="0023586C">
            <w:r>
              <w:t>ASX 200</w:t>
            </w:r>
          </w:p>
        </w:tc>
        <w:tc>
          <w:tcPr>
            <w:tcW w:w="862" w:type="pct"/>
          </w:tcPr>
          <w:p w:rsidR="009A5772" w:rsidRPr="005C5FE2" w:rsidRDefault="00466CDB" w:rsidP="00654352">
            <w:pPr>
              <w:jc w:val="right"/>
              <w:rPr>
                <w:color w:val="FF0000"/>
              </w:rPr>
            </w:pPr>
            <w:r w:rsidRPr="005C5FE2">
              <w:t xml:space="preserve">5 </w:t>
            </w:r>
            <w:r w:rsidR="005D562A">
              <w:t>3</w:t>
            </w:r>
            <w:r w:rsidR="00654352">
              <w:t>5</w:t>
            </w:r>
            <w:r w:rsidR="005D562A">
              <w:t>9</w:t>
            </w:r>
          </w:p>
        </w:tc>
        <w:tc>
          <w:tcPr>
            <w:tcW w:w="935" w:type="pct"/>
          </w:tcPr>
          <w:p w:rsidR="009A5772" w:rsidRPr="005C5FE2" w:rsidRDefault="00466CDB" w:rsidP="00654352">
            <w:pPr>
              <w:jc w:val="right"/>
              <w:rPr>
                <w:color w:val="FF0000"/>
              </w:rPr>
            </w:pPr>
            <w:r w:rsidRPr="005C5FE2">
              <w:t xml:space="preserve">5 </w:t>
            </w:r>
            <w:r w:rsidR="00654352">
              <w:t>411</w:t>
            </w:r>
          </w:p>
        </w:tc>
        <w:tc>
          <w:tcPr>
            <w:tcW w:w="1450" w:type="pct"/>
          </w:tcPr>
          <w:p w:rsidR="009A5772" w:rsidRPr="005C5FE2" w:rsidRDefault="00654352" w:rsidP="00654352">
            <w:pPr>
              <w:jc w:val="right"/>
              <w:rPr>
                <w:color w:val="FF0000"/>
              </w:rPr>
            </w:pPr>
            <w:r>
              <w:t>-</w:t>
            </w:r>
            <w:r w:rsidR="005D562A">
              <w:t>0</w:t>
            </w:r>
            <w:r w:rsidR="00E72367" w:rsidRPr="005C5FE2">
              <w:t>.</w:t>
            </w:r>
            <w:r w:rsidR="005D562A">
              <w:t>9</w:t>
            </w:r>
            <w:r w:rsidR="00967403" w:rsidRPr="005C5FE2">
              <w:t xml:space="preserve"> per cent</w:t>
            </w:r>
          </w:p>
        </w:tc>
      </w:tr>
      <w:tr w:rsidR="009E176B" w:rsidTr="00CC2A78">
        <w:trPr>
          <w:cnfStyle w:val="000000100000" w:firstRow="0" w:lastRow="0" w:firstColumn="0" w:lastColumn="0" w:oddVBand="0" w:evenVBand="0" w:oddHBand="1" w:evenHBand="0" w:firstRowFirstColumn="0" w:firstRowLastColumn="0" w:lastRowFirstColumn="0" w:lastRowLastColumn="0"/>
        </w:trPr>
        <w:tc>
          <w:tcPr>
            <w:tcW w:w="1753" w:type="pct"/>
          </w:tcPr>
          <w:p w:rsidR="009A5772" w:rsidRDefault="00967403" w:rsidP="0023586C">
            <w:r>
              <w:t>S&amp;P 500</w:t>
            </w:r>
          </w:p>
        </w:tc>
        <w:tc>
          <w:tcPr>
            <w:tcW w:w="862" w:type="pct"/>
          </w:tcPr>
          <w:p w:rsidR="009A5772" w:rsidRPr="005C5FE2" w:rsidRDefault="00466CDB" w:rsidP="00654352">
            <w:pPr>
              <w:jc w:val="right"/>
              <w:rPr>
                <w:color w:val="FF0000"/>
              </w:rPr>
            </w:pPr>
            <w:r w:rsidRPr="005C5FE2">
              <w:t>2 1</w:t>
            </w:r>
            <w:r w:rsidR="005D562A">
              <w:t>8</w:t>
            </w:r>
            <w:r w:rsidR="00654352">
              <w:t>2</w:t>
            </w:r>
          </w:p>
        </w:tc>
        <w:tc>
          <w:tcPr>
            <w:tcW w:w="935" w:type="pct"/>
          </w:tcPr>
          <w:p w:rsidR="009A5772" w:rsidRPr="005C5FE2" w:rsidRDefault="00466CDB" w:rsidP="00654352">
            <w:pPr>
              <w:jc w:val="right"/>
              <w:rPr>
                <w:color w:val="FF0000"/>
              </w:rPr>
            </w:pPr>
            <w:r w:rsidRPr="005C5FE2">
              <w:t>2 1</w:t>
            </w:r>
            <w:r w:rsidR="00654352">
              <w:t>40</w:t>
            </w:r>
          </w:p>
        </w:tc>
        <w:tc>
          <w:tcPr>
            <w:tcW w:w="1450" w:type="pct"/>
          </w:tcPr>
          <w:p w:rsidR="009A5772" w:rsidRPr="005C5FE2" w:rsidRDefault="00466CDB" w:rsidP="00654352">
            <w:pPr>
              <w:jc w:val="right"/>
              <w:rPr>
                <w:color w:val="FF0000"/>
              </w:rPr>
            </w:pPr>
            <w:r w:rsidRPr="005C5FE2">
              <w:t>+</w:t>
            </w:r>
            <w:r w:rsidR="005D562A">
              <w:t>2</w:t>
            </w:r>
            <w:r w:rsidRPr="005C5FE2">
              <w:t>.</w:t>
            </w:r>
            <w:r w:rsidR="00654352">
              <w:t>0</w:t>
            </w:r>
            <w:r w:rsidRPr="005C5FE2">
              <w:t xml:space="preserve"> per cent</w:t>
            </w:r>
            <w:r w:rsidR="00466052" w:rsidRPr="005C5FE2">
              <w:rPr>
                <w:color w:val="FF0000"/>
              </w:rPr>
              <w:t xml:space="preserve">                     </w:t>
            </w:r>
          </w:p>
        </w:tc>
      </w:tr>
      <w:tr w:rsidR="009E176B" w:rsidTr="00CC2A78">
        <w:trPr>
          <w:cnfStyle w:val="000000010000" w:firstRow="0" w:lastRow="0" w:firstColumn="0" w:lastColumn="0" w:oddVBand="0" w:evenVBand="0" w:oddHBand="0" w:evenHBand="1" w:firstRowFirstColumn="0" w:firstRowLastColumn="0" w:lastRowFirstColumn="0" w:lastRowLastColumn="0"/>
        </w:trPr>
        <w:tc>
          <w:tcPr>
            <w:tcW w:w="1753" w:type="pct"/>
          </w:tcPr>
          <w:p w:rsidR="009E176B" w:rsidRDefault="009E176B" w:rsidP="0023586C">
            <w:r>
              <w:t>90 day bank bill rate</w:t>
            </w:r>
          </w:p>
        </w:tc>
        <w:tc>
          <w:tcPr>
            <w:tcW w:w="862" w:type="pct"/>
          </w:tcPr>
          <w:p w:rsidR="009E176B" w:rsidRPr="005C5FE2" w:rsidRDefault="00466052" w:rsidP="005D562A">
            <w:pPr>
              <w:jc w:val="right"/>
              <w:rPr>
                <w:color w:val="FF0000"/>
              </w:rPr>
            </w:pPr>
            <w:r w:rsidRPr="005C5FE2">
              <w:t>1.7</w:t>
            </w:r>
            <w:r w:rsidR="005D562A">
              <w:t>6</w:t>
            </w:r>
          </w:p>
        </w:tc>
        <w:tc>
          <w:tcPr>
            <w:tcW w:w="935" w:type="pct"/>
          </w:tcPr>
          <w:p w:rsidR="009E176B" w:rsidRPr="005C5FE2" w:rsidRDefault="00466052" w:rsidP="00654352">
            <w:pPr>
              <w:jc w:val="right"/>
              <w:rPr>
                <w:color w:val="FF0000"/>
              </w:rPr>
            </w:pPr>
            <w:r w:rsidRPr="005C5FE2">
              <w:t>1.7</w:t>
            </w:r>
            <w:r w:rsidR="00654352">
              <w:t>5</w:t>
            </w:r>
          </w:p>
        </w:tc>
        <w:tc>
          <w:tcPr>
            <w:tcW w:w="1450" w:type="pct"/>
          </w:tcPr>
          <w:p w:rsidR="009E176B" w:rsidRPr="005C5FE2" w:rsidRDefault="005C5FE2" w:rsidP="00654352">
            <w:pPr>
              <w:jc w:val="right"/>
              <w:rPr>
                <w:color w:val="FF0000"/>
              </w:rPr>
            </w:pPr>
            <w:r w:rsidRPr="005C5FE2">
              <w:t>+0.0</w:t>
            </w:r>
            <w:r w:rsidR="00654352">
              <w:t>1</w:t>
            </w:r>
            <w:r w:rsidR="00466CDB" w:rsidRPr="005C5FE2">
              <w:t xml:space="preserve"> percent</w:t>
            </w:r>
            <w:r w:rsidR="00820021" w:rsidRPr="005C5FE2">
              <w:t>age points</w:t>
            </w:r>
          </w:p>
        </w:tc>
      </w:tr>
      <w:tr w:rsidR="009E176B" w:rsidTr="00CC2A78">
        <w:trPr>
          <w:cnfStyle w:val="000000100000" w:firstRow="0" w:lastRow="0" w:firstColumn="0" w:lastColumn="0" w:oddVBand="0" w:evenVBand="0" w:oddHBand="1" w:evenHBand="0" w:firstRowFirstColumn="0" w:firstRowLastColumn="0" w:lastRowFirstColumn="0" w:lastRowLastColumn="0"/>
        </w:trPr>
        <w:tc>
          <w:tcPr>
            <w:tcW w:w="1753" w:type="pct"/>
          </w:tcPr>
          <w:p w:rsidR="009E176B" w:rsidRDefault="009E176B" w:rsidP="0023586C">
            <w:r>
              <w:t>10 year Commonwealth bond rate</w:t>
            </w:r>
          </w:p>
        </w:tc>
        <w:tc>
          <w:tcPr>
            <w:tcW w:w="862" w:type="pct"/>
          </w:tcPr>
          <w:p w:rsidR="009E176B" w:rsidRPr="005C5FE2" w:rsidRDefault="00E72367" w:rsidP="00654352">
            <w:pPr>
              <w:jc w:val="right"/>
              <w:rPr>
                <w:color w:val="FF0000"/>
              </w:rPr>
            </w:pPr>
            <w:r w:rsidRPr="005C5FE2">
              <w:t>2.</w:t>
            </w:r>
            <w:r w:rsidR="00654352">
              <w:t>67</w:t>
            </w:r>
          </w:p>
        </w:tc>
        <w:tc>
          <w:tcPr>
            <w:tcW w:w="935" w:type="pct"/>
          </w:tcPr>
          <w:p w:rsidR="009E176B" w:rsidRPr="005C5FE2" w:rsidRDefault="00DF6BCF" w:rsidP="00654352">
            <w:pPr>
              <w:jc w:val="right"/>
              <w:rPr>
                <w:color w:val="FF0000"/>
              </w:rPr>
            </w:pPr>
            <w:r w:rsidRPr="005C5FE2">
              <w:t>2</w:t>
            </w:r>
            <w:r w:rsidR="00466052" w:rsidRPr="005C5FE2">
              <w:t>.</w:t>
            </w:r>
            <w:r w:rsidR="00654352">
              <w:t>29</w:t>
            </w:r>
          </w:p>
        </w:tc>
        <w:tc>
          <w:tcPr>
            <w:tcW w:w="1450" w:type="pct"/>
          </w:tcPr>
          <w:p w:rsidR="009E176B" w:rsidRPr="005C5FE2" w:rsidRDefault="00466052" w:rsidP="00654352">
            <w:pPr>
              <w:jc w:val="right"/>
              <w:rPr>
                <w:color w:val="FF0000"/>
              </w:rPr>
            </w:pPr>
            <w:r w:rsidRPr="005C5FE2">
              <w:t>+0.</w:t>
            </w:r>
            <w:r w:rsidR="00654352">
              <w:t>38</w:t>
            </w:r>
            <w:r w:rsidR="009E176B" w:rsidRPr="005C5FE2">
              <w:t xml:space="preserve"> percentage points</w:t>
            </w:r>
          </w:p>
        </w:tc>
      </w:tr>
    </w:tbl>
    <w:p w:rsidR="0023586C" w:rsidRDefault="007F677F" w:rsidP="0023586C">
      <w:pPr>
        <w:rPr>
          <w:i/>
          <w:sz w:val="20"/>
        </w:rPr>
      </w:pPr>
      <w:r w:rsidRPr="007F677F">
        <w:rPr>
          <w:i/>
          <w:sz w:val="20"/>
        </w:rPr>
        <w:t>Note: Changes are based on the movement in unrounded figures</w:t>
      </w:r>
      <w:r w:rsidR="00B81B90">
        <w:rPr>
          <w:i/>
          <w:sz w:val="20"/>
        </w:rPr>
        <w:t>.</w:t>
      </w:r>
    </w:p>
    <w:p w:rsidR="00DB03BA" w:rsidRPr="007F677F" w:rsidRDefault="00DB03BA" w:rsidP="0023586C">
      <w:pPr>
        <w:rPr>
          <w:i/>
        </w:rPr>
      </w:pPr>
    </w:p>
    <w:sectPr w:rsidR="00DB03BA" w:rsidRPr="007F677F" w:rsidSect="00DB03BA">
      <w:footerReference w:type="default" r:id="rId16"/>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E0" w:rsidRDefault="00FC79E0" w:rsidP="001E7D0D">
      <w:pPr>
        <w:spacing w:after="0" w:line="240" w:lineRule="auto"/>
      </w:pPr>
      <w:r>
        <w:separator/>
      </w:r>
    </w:p>
  </w:endnote>
  <w:endnote w:type="continuationSeparator" w:id="0">
    <w:p w:rsidR="00FC79E0" w:rsidRDefault="00FC79E0"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70879B33" wp14:editId="1D59DA7B">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6D5419">
      <w:rPr>
        <w:rStyle w:val="PageNumber"/>
        <w:noProof/>
      </w:rPr>
      <w:t>1</w:t>
    </w:r>
    <w:r w:rsidRPr="00BC672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00" w:rsidRPr="00BC672F" w:rsidRDefault="000A0900" w:rsidP="000A0900">
    <w:pPr>
      <w:pStyle w:val="Footer"/>
      <w:rPr>
        <w:rStyle w:val="PageNumber"/>
      </w:rPr>
    </w:pPr>
    <w:r>
      <w:rPr>
        <w:noProof/>
        <w:lang w:eastAsia="en-AU"/>
      </w:rPr>
      <mc:AlternateContent>
        <mc:Choice Requires="wps">
          <w:drawing>
            <wp:anchor distT="0" distB="0" distL="114300" distR="114300" simplePos="0" relativeHeight="251697152" behindDoc="1" locked="0" layoutInCell="1" allowOverlap="1" wp14:anchorId="1DE849C7" wp14:editId="7363170E">
              <wp:simplePos x="0" y="0"/>
              <wp:positionH relativeFrom="column">
                <wp:posOffset>5868670</wp:posOffset>
              </wp:positionH>
              <wp:positionV relativeFrom="paragraph">
                <wp:posOffset>-1368425</wp:posOffset>
              </wp:positionV>
              <wp:extent cx="3085200" cy="2127600"/>
              <wp:effectExtent l="0" t="0" r="1270" b="6350"/>
              <wp:wrapNone/>
              <wp:docPr id="20" name="Trapezoid 20"/>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0" o:spid="_x0000_s1026" style="position:absolute;margin-left:462.1pt;margin-top:-107.75pt;width:242.95pt;height:167.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6D5419">
      <w:rPr>
        <w:rStyle w:val="PageNumber"/>
        <w:noProof/>
      </w:rPr>
      <w:t>2</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349"/>
    </w:tblGrid>
    <w:tr w:rsidR="000A0900" w:rsidTr="00C567BA">
      <w:trPr>
        <w:trHeight w:val="1223"/>
      </w:trPr>
      <w:tc>
        <w:tcPr>
          <w:tcW w:w="4082" w:type="dxa"/>
        </w:tcPr>
        <w:p w:rsidR="000A0900" w:rsidRPr="002868CD" w:rsidRDefault="008D15E5" w:rsidP="00C567BA">
          <w:pPr>
            <w:pStyle w:val="Note"/>
            <w:pBdr>
              <w:top w:val="single" w:sz="6" w:space="1" w:color="004EA8" w:themeColor="accent2"/>
              <w:bottom w:val="single" w:sz="6" w:space="1" w:color="004EA8" w:themeColor="accent2"/>
            </w:pBdr>
            <w:rPr>
              <w:color w:val="004EA8" w:themeColor="accent2"/>
            </w:rPr>
          </w:pPr>
          <w:r>
            <w:rPr>
              <w:noProof/>
              <w:lang w:eastAsia="en-AU"/>
            </w:rPr>
            <mc:AlternateContent>
              <mc:Choice Requires="wps">
                <w:drawing>
                  <wp:anchor distT="0" distB="0" distL="114300" distR="114300" simplePos="0" relativeHeight="251699200" behindDoc="1" locked="0" layoutInCell="0" allowOverlap="1" wp14:anchorId="5614A5DE" wp14:editId="712C16AE">
                    <wp:simplePos x="0" y="0"/>
                    <wp:positionH relativeFrom="column">
                      <wp:posOffset>5868670</wp:posOffset>
                    </wp:positionH>
                    <wp:positionV relativeFrom="paragraph">
                      <wp:posOffset>31750</wp:posOffset>
                    </wp:positionV>
                    <wp:extent cx="3330000" cy="2296800"/>
                    <wp:effectExtent l="0" t="0" r="3810" b="8255"/>
                    <wp:wrapNone/>
                    <wp:docPr id="21" name="Trapezoid 21"/>
                    <wp:cNvGraphicFramePr/>
                    <a:graphic xmlns:a="http://schemas.openxmlformats.org/drawingml/2006/main">
                      <a:graphicData uri="http://schemas.microsoft.com/office/word/2010/wordprocessingShape">
                        <wps:wsp>
                          <wps:cNvSpPr/>
                          <wps:spPr>
                            <a:xfrm>
                              <a:off x="0" y="0"/>
                              <a:ext cx="3330000" cy="22968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1" o:spid="_x0000_s1026" style="position:absolute;margin-left:462.1pt;margin-top:2.5pt;width:262.2pt;height:180.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0000,229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" o:allowincell="f" path="m,2296800l1074719,,2255281,,3330000,2296800,,2296800xe" fillcolor="#53565a [3215]" stroked="f" strokeweight="2pt">
                    <v:path arrowok="t" o:connecttype="custom" o:connectlocs="0,2296800;1074719,0;2255281,0;3330000,2296800;0,2296800" o:connectangles="0,0,0,0,0"/>
                  </v:shape>
                </w:pict>
              </mc:Fallback>
            </mc:AlternateContent>
          </w:r>
          <w:r w:rsidR="000A0900" w:rsidRPr="002868CD">
            <w:rPr>
              <w:b/>
              <w:color w:val="004EA8" w:themeColor="accent2"/>
            </w:rPr>
            <w:t xml:space="preserve">Disclaimer: </w:t>
          </w:r>
          <w:r w:rsidR="000A0900"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0A0900" w:rsidRDefault="000A0900" w:rsidP="00C567BA">
          <w:pPr>
            <w:pStyle w:val="Note"/>
          </w:pPr>
        </w:p>
      </w:tc>
      <w:tc>
        <w:tcPr>
          <w:tcW w:w="4349" w:type="dxa"/>
          <w:vMerge w:val="restart"/>
          <w:vAlign w:val="bottom"/>
        </w:tcPr>
        <w:p w:rsidR="000A0900" w:rsidRDefault="000A0900" w:rsidP="00C567BA">
          <w:pPr>
            <w:pStyle w:val="Note"/>
          </w:pPr>
          <w:r w:rsidRPr="000C21C3">
            <w:rPr>
              <w:noProof/>
              <w:lang w:eastAsia="en-AU"/>
            </w:rPr>
            <w:drawing>
              <wp:inline distT="0" distB="0" distL="0" distR="0" wp14:anchorId="6D674106" wp14:editId="2D368807">
                <wp:extent cx="1117460" cy="393651"/>
                <wp:effectExtent l="0" t="0" r="6985" b="6985"/>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0A0900" w:rsidRDefault="000A0900" w:rsidP="00C567BA">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0A0900" w:rsidTr="00C567BA">
      <w:trPr>
        <w:trHeight w:val="1222"/>
      </w:trPr>
      <w:tc>
        <w:tcPr>
          <w:tcW w:w="4082" w:type="dxa"/>
          <w:vAlign w:val="bottom"/>
        </w:tcPr>
        <w:p w:rsidR="000A0900" w:rsidRDefault="000A0900" w:rsidP="00C567BA">
          <w:pPr>
            <w:pStyle w:val="Note"/>
          </w:pPr>
          <w:r w:rsidRPr="00382510">
            <w:t>© State of Victoria 2016</w:t>
          </w:r>
        </w:p>
        <w:p w:rsidR="000A0900" w:rsidRPr="00382510" w:rsidRDefault="000A0900" w:rsidP="00C567BA">
          <w:pPr>
            <w:pStyle w:val="Note"/>
            <w:spacing w:line="312" w:lineRule="auto"/>
          </w:pPr>
          <w:r w:rsidRPr="00382510">
            <w:t>Copyright queries may be directed to IPpolicy@dtf.vic.gov.au.</w:t>
          </w:r>
        </w:p>
      </w:tc>
      <w:tc>
        <w:tcPr>
          <w:tcW w:w="709" w:type="dxa"/>
          <w:vMerge/>
          <w:vAlign w:val="bottom"/>
        </w:tcPr>
        <w:p w:rsidR="000A0900" w:rsidRDefault="000A0900" w:rsidP="00C567BA">
          <w:pPr>
            <w:pStyle w:val="Note"/>
          </w:pPr>
        </w:p>
      </w:tc>
      <w:tc>
        <w:tcPr>
          <w:tcW w:w="4349" w:type="dxa"/>
          <w:vMerge/>
          <w:vAlign w:val="bottom"/>
        </w:tcPr>
        <w:p w:rsidR="000A0900" w:rsidRPr="000C21C3" w:rsidRDefault="000A0900" w:rsidP="00C567BA">
          <w:pPr>
            <w:pStyle w:val="Note"/>
            <w:rPr>
              <w:noProof/>
              <w:lang w:eastAsia="en-AU"/>
            </w:rPr>
          </w:pPr>
        </w:p>
      </w:tc>
    </w:tr>
  </w:tbl>
  <w:p w:rsidR="000A0900" w:rsidRPr="00BA6B8C" w:rsidRDefault="000A0900" w:rsidP="000A0900">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6D5419">
      <w:rPr>
        <w:rStyle w:val="PageNumber"/>
        <w:noProof/>
      </w:rPr>
      <w:t>3</w:t>
    </w:r>
    <w:r w:rsidRPr="00BA6B8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349"/>
    </w:tblGrid>
    <w:tr w:rsidR="00382510" w:rsidTr="00BA6B8C">
      <w:trPr>
        <w:trHeight w:val="1223"/>
      </w:trPr>
      <w:tc>
        <w:tcPr>
          <w:tcW w:w="4082" w:type="dxa"/>
        </w:tcPr>
        <w:p w:rsidR="00382510" w:rsidRPr="002868CD" w:rsidRDefault="00382510" w:rsidP="002868CD">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382510" w:rsidRDefault="00382510" w:rsidP="00BA6B8C">
          <w:pPr>
            <w:pStyle w:val="Note"/>
          </w:pPr>
        </w:p>
      </w:tc>
      <w:tc>
        <w:tcPr>
          <w:tcW w:w="4349" w:type="dxa"/>
          <w:vMerge w:val="restart"/>
          <w:vAlign w:val="bottom"/>
        </w:tcPr>
        <w:p w:rsidR="00382510" w:rsidRDefault="00474854" w:rsidP="00BA6B8C">
          <w:pPr>
            <w:pStyle w:val="Note"/>
          </w:pPr>
          <w:r>
            <w:rPr>
              <w:noProof/>
              <w:lang w:eastAsia="en-AU"/>
            </w:rPr>
            <mc:AlternateContent>
              <mc:Choice Requires="wps">
                <w:drawing>
                  <wp:anchor distT="0" distB="0" distL="114300" distR="114300" simplePos="0" relativeHeight="251672576" behindDoc="1" locked="0" layoutInCell="1" allowOverlap="1" wp14:anchorId="3E40F6E8" wp14:editId="5D4CF1C7">
                    <wp:simplePos x="0" y="0"/>
                    <wp:positionH relativeFrom="column">
                      <wp:posOffset>2732405</wp:posOffset>
                    </wp:positionH>
                    <wp:positionV relativeFrom="paragraph">
                      <wp:posOffset>293370</wp:posOffset>
                    </wp:positionV>
                    <wp:extent cx="3328035" cy="2295525"/>
                    <wp:effectExtent l="0" t="0" r="5715" b="9525"/>
                    <wp:wrapNone/>
                    <wp:docPr id="33" name="Trapezoid 33"/>
                    <wp:cNvGraphicFramePr/>
                    <a:graphic xmlns:a="http://schemas.openxmlformats.org/drawingml/2006/main">
                      <a:graphicData uri="http://schemas.microsoft.com/office/word/2010/wordprocessingShape">
                        <wps:wsp>
                          <wps:cNvSpPr/>
                          <wps:spPr>
                            <a:xfrm>
                              <a:off x="0" y="0"/>
                              <a:ext cx="3328035" cy="2295525"/>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3" o:spid="_x0000_s1026" style="position:absolute;margin-left:215.15pt;margin-top:23.1pt;width:262.05pt;height:1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8035,229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" path="m,2295525l1074122,,2253913,,3328035,2295525,,2295525xe" fillcolor="#53565a [3215]" stroked="f" strokeweight="2pt">
                    <v:path arrowok="t" o:connecttype="custom" o:connectlocs="0,2295525;1074122,0;2253913,0;3328035,2295525;0,2295525" o:connectangles="0,0,0,0,0"/>
                  </v:shape>
                </w:pict>
              </mc:Fallback>
            </mc:AlternateContent>
          </w:r>
          <w:r w:rsidR="00382510" w:rsidRPr="000C21C3">
            <w:rPr>
              <w:noProof/>
              <w:lang w:eastAsia="en-AU"/>
            </w:rPr>
            <w:drawing>
              <wp:inline distT="0" distB="0" distL="0" distR="0" wp14:anchorId="6BE454C7" wp14:editId="31954F4E">
                <wp:extent cx="1117460" cy="393651"/>
                <wp:effectExtent l="0" t="0" r="6985" b="6985"/>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82510" w:rsidRDefault="00382510" w:rsidP="00BA6B8C">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382510" w:rsidTr="00BA6B8C">
      <w:trPr>
        <w:trHeight w:val="1222"/>
      </w:trPr>
      <w:tc>
        <w:tcPr>
          <w:tcW w:w="4082" w:type="dxa"/>
          <w:vAlign w:val="bottom"/>
        </w:tcPr>
        <w:p w:rsidR="00382510" w:rsidRDefault="00382510" w:rsidP="00BA6B8C">
          <w:pPr>
            <w:pStyle w:val="Note"/>
          </w:pPr>
          <w:r w:rsidRPr="00382510">
            <w:t>© State of Victoria 2016</w:t>
          </w:r>
        </w:p>
        <w:p w:rsidR="00382510" w:rsidRPr="00382510" w:rsidRDefault="00382510" w:rsidP="00BA6B8C">
          <w:pPr>
            <w:pStyle w:val="Note"/>
            <w:spacing w:line="312" w:lineRule="auto"/>
          </w:pPr>
          <w:r w:rsidRPr="00382510">
            <w:t>Copyright queries may be directed to IPpolicy@dtf.vic.gov.au.</w:t>
          </w:r>
        </w:p>
      </w:tc>
      <w:tc>
        <w:tcPr>
          <w:tcW w:w="709" w:type="dxa"/>
          <w:vMerge/>
          <w:vAlign w:val="bottom"/>
        </w:tcPr>
        <w:p w:rsidR="00382510" w:rsidRDefault="00382510" w:rsidP="00BA6B8C">
          <w:pPr>
            <w:pStyle w:val="Note"/>
          </w:pPr>
        </w:p>
      </w:tc>
      <w:tc>
        <w:tcPr>
          <w:tcW w:w="4349" w:type="dxa"/>
          <w:vMerge/>
          <w:vAlign w:val="bottom"/>
        </w:tcPr>
        <w:p w:rsidR="00382510" w:rsidRPr="000C21C3" w:rsidRDefault="00382510" w:rsidP="00BA6B8C">
          <w:pPr>
            <w:pStyle w:val="Note"/>
            <w:rPr>
              <w:noProof/>
              <w:lang w:eastAsia="en-AU"/>
            </w:rPr>
          </w:pPr>
        </w:p>
      </w:tc>
    </w:tr>
  </w:tbl>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CC2A78">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E0" w:rsidRDefault="00FC79E0" w:rsidP="001E7D0D">
      <w:pPr>
        <w:spacing w:after="0" w:line="240" w:lineRule="auto"/>
      </w:pPr>
      <w:r>
        <w:separator/>
      </w:r>
    </w:p>
  </w:footnote>
  <w:footnote w:type="continuationSeparator" w:id="0">
    <w:p w:rsidR="00FC79E0" w:rsidRDefault="00FC79E0"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54531F17" wp14:editId="13DC9BB6">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114E58B5" wp14:editId="05ADC517">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766EB2B5" wp14:editId="0FCAC22B">
          <wp:simplePos x="0" y="0"/>
          <wp:positionH relativeFrom="column">
            <wp:posOffset>4679789</wp:posOffset>
          </wp:positionH>
          <wp:positionV relativeFrom="paragraph">
            <wp:posOffset>69850</wp:posOffset>
          </wp:positionV>
          <wp:extent cx="1567180" cy="467995"/>
          <wp:effectExtent l="0" t="0" r="0" b="8255"/>
          <wp:wrapNone/>
          <wp:docPr id="18" name="Picture 18"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B06"/>
    <w:multiLevelType w:val="hybridMultilevel"/>
    <w:tmpl w:val="2116C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332250"/>
    <w:multiLevelType w:val="multilevel"/>
    <w:tmpl w:val="DA6E3D5C"/>
    <w:numStyleLink w:val="Highlightbulletstyle"/>
  </w:abstractNum>
  <w:abstractNum w:abstractNumId="2">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4065935"/>
    <w:multiLevelType w:val="multilevel"/>
    <w:tmpl w:val="DA6E3D5C"/>
    <w:numStyleLink w:val="Highlightbulletstyle"/>
  </w:abstractNum>
  <w:num w:numId="1">
    <w:abstractNumId w:val="2"/>
  </w:num>
  <w:num w:numId="2">
    <w:abstractNumId w:val="1"/>
  </w:num>
  <w:num w:numId="3">
    <w:abstractNumId w:val="3"/>
  </w:num>
  <w:num w:numId="4">
    <w:abstractNumId w:val="0"/>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60BC"/>
    <w:rsid w:val="00027A5D"/>
    <w:rsid w:val="00044907"/>
    <w:rsid w:val="00047DD7"/>
    <w:rsid w:val="00053341"/>
    <w:rsid w:val="00053F71"/>
    <w:rsid w:val="00061229"/>
    <w:rsid w:val="00063D5E"/>
    <w:rsid w:val="00065923"/>
    <w:rsid w:val="000701DA"/>
    <w:rsid w:val="000A0900"/>
    <w:rsid w:val="000A17BB"/>
    <w:rsid w:val="000A3879"/>
    <w:rsid w:val="000A3DE5"/>
    <w:rsid w:val="000E1FFA"/>
    <w:rsid w:val="000E5E7D"/>
    <w:rsid w:val="000F2FBA"/>
    <w:rsid w:val="00103711"/>
    <w:rsid w:val="001372E4"/>
    <w:rsid w:val="001661E7"/>
    <w:rsid w:val="00181D8E"/>
    <w:rsid w:val="001922E1"/>
    <w:rsid w:val="001B0E91"/>
    <w:rsid w:val="001B5D57"/>
    <w:rsid w:val="001D163D"/>
    <w:rsid w:val="001D2A26"/>
    <w:rsid w:val="001E141A"/>
    <w:rsid w:val="001E7D0D"/>
    <w:rsid w:val="00200D1F"/>
    <w:rsid w:val="00202582"/>
    <w:rsid w:val="00202E2B"/>
    <w:rsid w:val="00222DFE"/>
    <w:rsid w:val="0023586C"/>
    <w:rsid w:val="00245E95"/>
    <w:rsid w:val="00261D70"/>
    <w:rsid w:val="002761C2"/>
    <w:rsid w:val="002868CD"/>
    <w:rsid w:val="002A6621"/>
    <w:rsid w:val="002B6763"/>
    <w:rsid w:val="002D2638"/>
    <w:rsid w:val="002E5AB4"/>
    <w:rsid w:val="002E73F4"/>
    <w:rsid w:val="002F5DE2"/>
    <w:rsid w:val="00306D76"/>
    <w:rsid w:val="00324136"/>
    <w:rsid w:val="00332DB6"/>
    <w:rsid w:val="003540A1"/>
    <w:rsid w:val="00380DA2"/>
    <w:rsid w:val="00381C44"/>
    <w:rsid w:val="00382510"/>
    <w:rsid w:val="003831AB"/>
    <w:rsid w:val="003902A0"/>
    <w:rsid w:val="003A0F37"/>
    <w:rsid w:val="003A3AD2"/>
    <w:rsid w:val="003E507C"/>
    <w:rsid w:val="003F7844"/>
    <w:rsid w:val="0040561C"/>
    <w:rsid w:val="00412B93"/>
    <w:rsid w:val="0041389A"/>
    <w:rsid w:val="004248E2"/>
    <w:rsid w:val="00430C43"/>
    <w:rsid w:val="00430E71"/>
    <w:rsid w:val="00435687"/>
    <w:rsid w:val="00440C3A"/>
    <w:rsid w:val="00443FD2"/>
    <w:rsid w:val="00450F23"/>
    <w:rsid w:val="00453A5E"/>
    <w:rsid w:val="00453CBD"/>
    <w:rsid w:val="00455CCF"/>
    <w:rsid w:val="00466052"/>
    <w:rsid w:val="00466CDB"/>
    <w:rsid w:val="0047038E"/>
    <w:rsid w:val="00474854"/>
    <w:rsid w:val="00494A89"/>
    <w:rsid w:val="004A60F4"/>
    <w:rsid w:val="004B3EB7"/>
    <w:rsid w:val="004B6E36"/>
    <w:rsid w:val="004D34CD"/>
    <w:rsid w:val="004F7193"/>
    <w:rsid w:val="00502E13"/>
    <w:rsid w:val="00506EEE"/>
    <w:rsid w:val="005070EF"/>
    <w:rsid w:val="00521BA8"/>
    <w:rsid w:val="00521F88"/>
    <w:rsid w:val="00523A27"/>
    <w:rsid w:val="005318CE"/>
    <w:rsid w:val="00536486"/>
    <w:rsid w:val="00537EC6"/>
    <w:rsid w:val="00552395"/>
    <w:rsid w:val="00561537"/>
    <w:rsid w:val="00575F8D"/>
    <w:rsid w:val="00593E2F"/>
    <w:rsid w:val="005B6236"/>
    <w:rsid w:val="005B798C"/>
    <w:rsid w:val="005C5FE2"/>
    <w:rsid w:val="005D562A"/>
    <w:rsid w:val="005E2185"/>
    <w:rsid w:val="005E64C4"/>
    <w:rsid w:val="005F24B4"/>
    <w:rsid w:val="0060422F"/>
    <w:rsid w:val="006068E2"/>
    <w:rsid w:val="006135AB"/>
    <w:rsid w:val="00617C6B"/>
    <w:rsid w:val="006375DD"/>
    <w:rsid w:val="0064291B"/>
    <w:rsid w:val="00643BE0"/>
    <w:rsid w:val="006469B4"/>
    <w:rsid w:val="00652783"/>
    <w:rsid w:val="00654352"/>
    <w:rsid w:val="006552D0"/>
    <w:rsid w:val="00655B24"/>
    <w:rsid w:val="006619C8"/>
    <w:rsid w:val="00664763"/>
    <w:rsid w:val="00666ED0"/>
    <w:rsid w:val="0068446F"/>
    <w:rsid w:val="00694F39"/>
    <w:rsid w:val="006A7ABD"/>
    <w:rsid w:val="006B450F"/>
    <w:rsid w:val="006D2C01"/>
    <w:rsid w:val="006D5419"/>
    <w:rsid w:val="006E06AD"/>
    <w:rsid w:val="006E3ABA"/>
    <w:rsid w:val="006F3B8C"/>
    <w:rsid w:val="00705025"/>
    <w:rsid w:val="007133A1"/>
    <w:rsid w:val="00714AF6"/>
    <w:rsid w:val="00721ED1"/>
    <w:rsid w:val="0072370D"/>
    <w:rsid w:val="007347B8"/>
    <w:rsid w:val="00782DA0"/>
    <w:rsid w:val="007A139F"/>
    <w:rsid w:val="007B6D98"/>
    <w:rsid w:val="007D1DFC"/>
    <w:rsid w:val="007D6F02"/>
    <w:rsid w:val="007F677F"/>
    <w:rsid w:val="00816160"/>
    <w:rsid w:val="00820021"/>
    <w:rsid w:val="00833B24"/>
    <w:rsid w:val="00833E9D"/>
    <w:rsid w:val="0083514C"/>
    <w:rsid w:val="008406AA"/>
    <w:rsid w:val="00840C53"/>
    <w:rsid w:val="008660A0"/>
    <w:rsid w:val="008926D2"/>
    <w:rsid w:val="0089514C"/>
    <w:rsid w:val="008D15E5"/>
    <w:rsid w:val="008D5650"/>
    <w:rsid w:val="008D7232"/>
    <w:rsid w:val="008E215E"/>
    <w:rsid w:val="00904A36"/>
    <w:rsid w:val="00917DA7"/>
    <w:rsid w:val="0092123B"/>
    <w:rsid w:val="009379B3"/>
    <w:rsid w:val="00961DC4"/>
    <w:rsid w:val="009627E9"/>
    <w:rsid w:val="00965986"/>
    <w:rsid w:val="0096692A"/>
    <w:rsid w:val="00967403"/>
    <w:rsid w:val="00970186"/>
    <w:rsid w:val="00980269"/>
    <w:rsid w:val="009A3026"/>
    <w:rsid w:val="009A31AA"/>
    <w:rsid w:val="009A39A9"/>
    <w:rsid w:val="009A5772"/>
    <w:rsid w:val="009A5CE0"/>
    <w:rsid w:val="009B0BE4"/>
    <w:rsid w:val="009C533E"/>
    <w:rsid w:val="009E176B"/>
    <w:rsid w:val="009E3C8A"/>
    <w:rsid w:val="00A05497"/>
    <w:rsid w:val="00A05F37"/>
    <w:rsid w:val="00A27B08"/>
    <w:rsid w:val="00A54D06"/>
    <w:rsid w:val="00A7050A"/>
    <w:rsid w:val="00A81977"/>
    <w:rsid w:val="00A81A08"/>
    <w:rsid w:val="00A96140"/>
    <w:rsid w:val="00AD0968"/>
    <w:rsid w:val="00AE310A"/>
    <w:rsid w:val="00B31CB2"/>
    <w:rsid w:val="00B52C5D"/>
    <w:rsid w:val="00B56DF5"/>
    <w:rsid w:val="00B702CC"/>
    <w:rsid w:val="00B7051C"/>
    <w:rsid w:val="00B75088"/>
    <w:rsid w:val="00B7562B"/>
    <w:rsid w:val="00B81B90"/>
    <w:rsid w:val="00BA1124"/>
    <w:rsid w:val="00BA2604"/>
    <w:rsid w:val="00BA6B8C"/>
    <w:rsid w:val="00BB0BF9"/>
    <w:rsid w:val="00BB5CEC"/>
    <w:rsid w:val="00BC672F"/>
    <w:rsid w:val="00BE4516"/>
    <w:rsid w:val="00BE514B"/>
    <w:rsid w:val="00BF053D"/>
    <w:rsid w:val="00BF141A"/>
    <w:rsid w:val="00BF473E"/>
    <w:rsid w:val="00C33630"/>
    <w:rsid w:val="00C60AF1"/>
    <w:rsid w:val="00C71A2D"/>
    <w:rsid w:val="00C86481"/>
    <w:rsid w:val="00C94ED7"/>
    <w:rsid w:val="00CA6E7D"/>
    <w:rsid w:val="00CC2A78"/>
    <w:rsid w:val="00CE300C"/>
    <w:rsid w:val="00CE7C75"/>
    <w:rsid w:val="00CF1073"/>
    <w:rsid w:val="00CF74BB"/>
    <w:rsid w:val="00D00E91"/>
    <w:rsid w:val="00D02311"/>
    <w:rsid w:val="00D10699"/>
    <w:rsid w:val="00D30EAC"/>
    <w:rsid w:val="00D33CD7"/>
    <w:rsid w:val="00D33EEA"/>
    <w:rsid w:val="00D377FA"/>
    <w:rsid w:val="00D847A0"/>
    <w:rsid w:val="00DB03BA"/>
    <w:rsid w:val="00DB1738"/>
    <w:rsid w:val="00DB6329"/>
    <w:rsid w:val="00DD43FA"/>
    <w:rsid w:val="00DF3025"/>
    <w:rsid w:val="00DF6BCF"/>
    <w:rsid w:val="00E17CAD"/>
    <w:rsid w:val="00E561E5"/>
    <w:rsid w:val="00E6390E"/>
    <w:rsid w:val="00E72367"/>
    <w:rsid w:val="00E8551D"/>
    <w:rsid w:val="00EA41B8"/>
    <w:rsid w:val="00EC6B00"/>
    <w:rsid w:val="00ED4D18"/>
    <w:rsid w:val="00ED55E1"/>
    <w:rsid w:val="00EE31AA"/>
    <w:rsid w:val="00EE619A"/>
    <w:rsid w:val="00EF50A3"/>
    <w:rsid w:val="00EF6761"/>
    <w:rsid w:val="00F02227"/>
    <w:rsid w:val="00F037AF"/>
    <w:rsid w:val="00F11348"/>
    <w:rsid w:val="00F15B4E"/>
    <w:rsid w:val="00F339F2"/>
    <w:rsid w:val="00F40E35"/>
    <w:rsid w:val="00F42CD0"/>
    <w:rsid w:val="00F518B6"/>
    <w:rsid w:val="00F62672"/>
    <w:rsid w:val="00F64368"/>
    <w:rsid w:val="00F6524B"/>
    <w:rsid w:val="00F6696B"/>
    <w:rsid w:val="00F72EA0"/>
    <w:rsid w:val="00F73FDA"/>
    <w:rsid w:val="00F77CCC"/>
    <w:rsid w:val="00F84AF3"/>
    <w:rsid w:val="00F86551"/>
    <w:rsid w:val="00FA27EE"/>
    <w:rsid w:val="00FA3057"/>
    <w:rsid w:val="00FC79E0"/>
    <w:rsid w:val="00FE2CF1"/>
    <w:rsid w:val="00FE4E7A"/>
    <w:rsid w:val="00FE5301"/>
    <w:rsid w:val="00FE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styleId="TOC1">
    <w:name w:val="toc 1"/>
    <w:basedOn w:val="Normal"/>
    <w:next w:val="Normal"/>
    <w:uiPriority w:val="39"/>
    <w:rsid w:val="00324136"/>
    <w:pPr>
      <w:tabs>
        <w:tab w:val="right" w:leader="dot" w:pos="2520"/>
      </w:tabs>
      <w:spacing w:after="0" w:line="276" w:lineRule="auto"/>
      <w:ind w:right="432"/>
    </w:pPr>
    <w:rPr>
      <w:rFonts w:eastAsiaTheme="minorEastAsia"/>
      <w:spacing w:val="2"/>
      <w:sz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styleId="TOC1">
    <w:name w:val="toc 1"/>
    <w:basedOn w:val="Normal"/>
    <w:next w:val="Normal"/>
    <w:uiPriority w:val="39"/>
    <w:rsid w:val="00324136"/>
    <w:pPr>
      <w:tabs>
        <w:tab w:val="right" w:leader="dot" w:pos="2520"/>
      </w:tabs>
      <w:spacing w:after="0" w:line="276" w:lineRule="auto"/>
      <w:ind w:right="432"/>
    </w:pPr>
    <w:rPr>
      <w:rFonts w:eastAsiaTheme="minorEastAsia"/>
      <w:spacing w:val="2"/>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3.0/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3.0/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0738-0064-4579-A776-802F02EC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2016-11-22T05:44:00Z</cp:lastPrinted>
  <dcterms:created xsi:type="dcterms:W3CDTF">2018-01-24T02:56:00Z</dcterms:created>
  <dcterms:modified xsi:type="dcterms:W3CDTF">2018-01-24T02:56:00Z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6fee81d4-570d-4d81-9ff6-5abca5bfd57d</vt:lpwstr>
  </property>
  <property fmtid="{D5CDD505-2E9C-101B-9397-08002B2CF9AE}" pid="3" name="PSPFClassification">
    <vt:lpwstr>Do Not Mark</vt:lpwstr>
  </property>
</Properties>
</file>