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CF4D24" w:rsidRDefault="00E71328" w:rsidP="00440C3A">
      <w:pPr>
        <w:pStyle w:val="Subtitle"/>
        <w:rPr>
          <w:rFonts w:asciiTheme="minorHAnsi" w:hAnsiTheme="minorHAnsi" w:cstheme="minorHAnsi"/>
          <w:b/>
          <w:sz w:val="28"/>
          <w:szCs w:val="28"/>
        </w:rPr>
      </w:pPr>
      <w:bookmarkStart w:id="0" w:name="_GoBack"/>
      <w:bookmarkEnd w:id="0"/>
      <w:r w:rsidRPr="00CF4D24">
        <w:rPr>
          <w:rFonts w:asciiTheme="minorHAnsi" w:hAnsiTheme="minorHAnsi" w:cstheme="minorHAnsi"/>
          <w:b/>
          <w:sz w:val="28"/>
          <w:szCs w:val="28"/>
        </w:rPr>
        <w:t>May</w:t>
      </w:r>
      <w:r w:rsidR="00ED7CCB" w:rsidRPr="00CF4D24">
        <w:rPr>
          <w:rFonts w:asciiTheme="minorHAnsi" w:hAnsiTheme="minorHAnsi" w:cstheme="minorHAnsi"/>
          <w:b/>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2992"/>
        <w:gridCol w:w="7464"/>
      </w:tblGrid>
      <w:tr w:rsidR="002751C4" w:rsidTr="002751C4">
        <w:trPr>
          <w:trHeight w:val="492"/>
        </w:trPr>
        <w:tc>
          <w:tcPr>
            <w:tcW w:w="2992" w:type="dxa"/>
          </w:tcPr>
          <w:p w:rsidR="002751C4" w:rsidRPr="00833E9D" w:rsidRDefault="002751C4"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2751C4" w:rsidRPr="006469B4" w:rsidRDefault="00293A6B" w:rsidP="00293A6B">
            <w:pPr>
              <w:pStyle w:val="Note"/>
              <w:spacing w:after="0"/>
              <w:jc w:val="center"/>
              <w:rPr>
                <w:b/>
                <w:color w:val="707068" w:themeColor="background2" w:themeShade="80"/>
              </w:rPr>
            </w:pPr>
            <w:r>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5899" w:type="dxa"/>
        <w:shd w:val="clear" w:color="auto" w:fill="99B8DC" w:themeFill="accent5"/>
        <w:tblLook w:val="04A0" w:firstRow="1" w:lastRow="0" w:firstColumn="1" w:lastColumn="0" w:noHBand="0" w:noVBand="1"/>
      </w:tblPr>
      <w:tblGrid>
        <w:gridCol w:w="1101"/>
        <w:gridCol w:w="2247"/>
        <w:gridCol w:w="2551"/>
      </w:tblGrid>
      <w:tr w:rsidR="002751C4" w:rsidRPr="00BB0BF9" w:rsidTr="008D6A2F">
        <w:trPr>
          <w:gridAfter w:val="1"/>
          <w:wAfter w:w="2551" w:type="dxa"/>
          <w:trHeight w:val="9620"/>
        </w:trPr>
        <w:tc>
          <w:tcPr>
            <w:tcW w:w="3348" w:type="dxa"/>
            <w:gridSpan w:val="2"/>
            <w:shd w:val="clear" w:color="auto" w:fill="CCE3F5" w:themeFill="accent6"/>
          </w:tcPr>
          <w:p w:rsidR="002751C4" w:rsidRPr="00103711" w:rsidRDefault="008D6A2F" w:rsidP="000F7A12">
            <w:pPr>
              <w:tabs>
                <w:tab w:val="left" w:pos="360"/>
              </w:tabs>
              <w:spacing w:before="240" w:after="0" w:line="360" w:lineRule="auto"/>
              <w:rPr>
                <w:b/>
                <w:color w:val="201547" w:themeColor="accent1"/>
                <w:sz w:val="32"/>
              </w:rPr>
            </w:pPr>
            <w:r>
              <w:rPr>
                <w:b/>
                <w:color w:val="201547" w:themeColor="accent1"/>
                <w:sz w:val="32"/>
              </w:rPr>
              <w:lastRenderedPageBreak/>
              <w:tab/>
            </w:r>
            <w:r w:rsidR="002751C4" w:rsidRPr="00103711">
              <w:rPr>
                <w:b/>
                <w:color w:val="201547" w:themeColor="accent1"/>
                <w:sz w:val="32"/>
              </w:rPr>
              <w:t>Highlights</w:t>
            </w:r>
          </w:p>
          <w:p w:rsidR="00BA3154" w:rsidRDefault="00BA3154" w:rsidP="00231277">
            <w:pPr>
              <w:pStyle w:val="Bullet-highlight"/>
            </w:pPr>
            <w:r>
              <w:t xml:space="preserve">The Victorian </w:t>
            </w:r>
            <w:r w:rsidRPr="002237C1">
              <w:rPr>
                <w:b/>
              </w:rPr>
              <w:t>labour market</w:t>
            </w:r>
            <w:r>
              <w:t xml:space="preserve"> continues to perform well. </w:t>
            </w:r>
            <w:r w:rsidR="002237C1">
              <w:t>Employment increase</w:t>
            </w:r>
            <w:r w:rsidR="003C5B4A">
              <w:t>d</w:t>
            </w:r>
            <w:r w:rsidR="00DE6A29">
              <w:t xml:space="preserve"> in ten of the p</w:t>
            </w:r>
            <w:r w:rsidR="002237C1">
              <w:t>ast twelve months and the participation rate is the equal highest on record.</w:t>
            </w:r>
          </w:p>
          <w:p w:rsidR="00231277" w:rsidRDefault="001E03B1" w:rsidP="00231277">
            <w:pPr>
              <w:pStyle w:val="Bullet-highlight"/>
            </w:pPr>
            <w:r>
              <w:t xml:space="preserve">Annual growth </w:t>
            </w:r>
            <w:r w:rsidR="003C3E82">
              <w:t>in national wages was below the rate of inflation</w:t>
            </w:r>
            <w:r>
              <w:t xml:space="preserve"> in March</w:t>
            </w:r>
            <w:r w:rsidR="003C3E82">
              <w:t xml:space="preserve">. The </w:t>
            </w:r>
            <w:r w:rsidR="00B124E0">
              <w:t xml:space="preserve">national </w:t>
            </w:r>
            <w:r w:rsidR="003C3E82">
              <w:t>CPI increased by 2.1 per cent</w:t>
            </w:r>
            <w:r w:rsidR="00B124E0">
              <w:t xml:space="preserve"> over the year but annual </w:t>
            </w:r>
            <w:r w:rsidR="00B124E0">
              <w:rPr>
                <w:b/>
              </w:rPr>
              <w:t>wa</w:t>
            </w:r>
            <w:r w:rsidR="002237C1" w:rsidRPr="002237C1">
              <w:rPr>
                <w:b/>
              </w:rPr>
              <w:t>ge growth</w:t>
            </w:r>
            <w:r w:rsidR="002237C1">
              <w:t xml:space="preserve"> </w:t>
            </w:r>
            <w:r w:rsidR="003C3E82">
              <w:t>was</w:t>
            </w:r>
            <w:r w:rsidR="00B124E0">
              <w:t xml:space="preserve"> </w:t>
            </w:r>
            <w:r w:rsidR="003C3E82">
              <w:t>1.9 per cent</w:t>
            </w:r>
            <w:r w:rsidR="002237C1">
              <w:t>.</w:t>
            </w:r>
          </w:p>
          <w:p w:rsidR="00231277" w:rsidRDefault="00231277" w:rsidP="00231277">
            <w:pPr>
              <w:pStyle w:val="Bullet-highlight"/>
            </w:pPr>
            <w:r w:rsidRPr="0047124E">
              <w:t xml:space="preserve">The IMF upgraded </w:t>
            </w:r>
            <w:r>
              <w:t xml:space="preserve">their forecasts for 2017 </w:t>
            </w:r>
            <w:r w:rsidRPr="0008661D">
              <w:rPr>
                <w:b/>
              </w:rPr>
              <w:t>world GDP</w:t>
            </w:r>
            <w:r>
              <w:t xml:space="preserve"> from 3.4 per cent to </w:t>
            </w:r>
            <w:r w:rsidRPr="0047124E">
              <w:t>3.5 per cent</w:t>
            </w:r>
            <w:r>
              <w:t>. The upgrade was driven by expectations of stimulus fiscal policy in the US and China, and a</w:t>
            </w:r>
            <w:r w:rsidRPr="0047124E">
              <w:t xml:space="preserve"> cyclical recovery in global </w:t>
            </w:r>
            <w:r>
              <w:t>trade</w:t>
            </w:r>
            <w:r w:rsidRPr="0047124E">
              <w:t>.</w:t>
            </w:r>
            <w:r>
              <w:t xml:space="preserve"> </w:t>
            </w:r>
          </w:p>
          <w:p w:rsidR="007364C8" w:rsidRDefault="00231277" w:rsidP="00F24548">
            <w:pPr>
              <w:pStyle w:val="Bullet-highlight"/>
            </w:pPr>
            <w:r w:rsidRPr="00AD7B90">
              <w:t xml:space="preserve">The </w:t>
            </w:r>
            <w:r w:rsidRPr="0008661D">
              <w:rPr>
                <w:b/>
              </w:rPr>
              <w:t xml:space="preserve">US </w:t>
            </w:r>
            <w:r w:rsidRPr="00AD7B90">
              <w:t>announced a plan to cut the corporate tax rate to 15</w:t>
            </w:r>
            <w:r>
              <w:t> </w:t>
            </w:r>
            <w:r w:rsidRPr="00AD7B90">
              <w:t>per</w:t>
            </w:r>
            <w:r w:rsidR="00AC0213">
              <w:t> </w:t>
            </w:r>
            <w:r w:rsidRPr="00AD7B90">
              <w:t>cent</w:t>
            </w:r>
            <w:r w:rsidR="000F7A12">
              <w:t xml:space="preserve"> from </w:t>
            </w:r>
            <w:r>
              <w:t xml:space="preserve">39.6 per cent. </w:t>
            </w:r>
          </w:p>
          <w:p w:rsidR="00F24548" w:rsidRPr="00BB0BF9" w:rsidRDefault="00F24548" w:rsidP="00C657FA">
            <w:pPr>
              <w:pStyle w:val="Bullet-highlight"/>
            </w:pPr>
            <w:r>
              <w:t xml:space="preserve">Moody's downgraded China’s credit rating </w:t>
            </w:r>
            <w:r w:rsidR="00C657FA">
              <w:t xml:space="preserve">from Aa3 </w:t>
            </w:r>
            <w:r>
              <w:t>to A1 (AA- to A+).</w:t>
            </w:r>
          </w:p>
        </w:tc>
      </w:tr>
      <w:tr w:rsidR="002751C4" w:rsidTr="005164C2">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3209AF62" wp14:editId="389A1D0A">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798" w:type="dxa"/>
            <w:gridSpan w:val="2"/>
            <w:vAlign w:val="bottom"/>
          </w:tcPr>
          <w:p w:rsidR="002751C4" w:rsidRDefault="002751C4" w:rsidP="005164C2">
            <w:pPr>
              <w:pStyle w:val="Heading1"/>
            </w:pPr>
            <w:r>
              <w:t>Domestic developments</w:t>
            </w:r>
          </w:p>
        </w:tc>
      </w:tr>
    </w:tbl>
    <w:p w:rsidR="00B17DE6" w:rsidRPr="00B17DE6" w:rsidRDefault="00DE6A29" w:rsidP="001B0E91">
      <w:r>
        <w:t>M</w:t>
      </w:r>
      <w:r w:rsidR="00A441AF">
        <w:t>acro</w:t>
      </w:r>
      <w:r w:rsidR="00B17DE6" w:rsidRPr="00B17DE6">
        <w:t xml:space="preserve">economic indicators </w:t>
      </w:r>
      <w:r w:rsidR="00567A0F">
        <w:t>released</w:t>
      </w:r>
      <w:r w:rsidR="00B17DE6" w:rsidRPr="00B17DE6">
        <w:t xml:space="preserve"> </w:t>
      </w:r>
      <w:r w:rsidR="00567A0F">
        <w:t xml:space="preserve">during the past </w:t>
      </w:r>
      <w:r w:rsidR="00036CD9">
        <w:t>month</w:t>
      </w:r>
      <w:r w:rsidR="00567A0F">
        <w:t xml:space="preserve"> </w:t>
      </w:r>
      <w:r w:rsidR="00231277">
        <w:t xml:space="preserve">show </w:t>
      </w:r>
      <w:r w:rsidR="00AC0213">
        <w:t>solid</w:t>
      </w:r>
      <w:r w:rsidR="00CB7F4A">
        <w:t xml:space="preserve"> </w:t>
      </w:r>
      <w:r w:rsidR="00335813">
        <w:t xml:space="preserve">Victorian </w:t>
      </w:r>
      <w:r w:rsidR="00CB7F4A">
        <w:t xml:space="preserve">economic </w:t>
      </w:r>
      <w:r w:rsidR="00335813">
        <w:t>conditions</w:t>
      </w:r>
      <w:r w:rsidR="00567A0F">
        <w:t>.</w:t>
      </w:r>
    </w:p>
    <w:p w:rsidR="00320889" w:rsidRDefault="00B124E0" w:rsidP="00EA6703">
      <w:r>
        <w:t xml:space="preserve">The </w:t>
      </w:r>
      <w:r w:rsidR="00231277">
        <w:t xml:space="preserve">Melbourne </w:t>
      </w:r>
      <w:r w:rsidR="0008661D" w:rsidRPr="0008661D">
        <w:rPr>
          <w:b/>
        </w:rPr>
        <w:t>consumer price index</w:t>
      </w:r>
      <w:r w:rsidR="0008661D">
        <w:t xml:space="preserve"> (CPI) </w:t>
      </w:r>
      <w:r w:rsidR="00231277">
        <w:t xml:space="preserve">rose </w:t>
      </w:r>
      <w:r>
        <w:t xml:space="preserve">strongly in the March quarter 2017 but the increase was driven by factors </w:t>
      </w:r>
      <w:r w:rsidR="004768B5">
        <w:t xml:space="preserve">which are likely to be temporary </w:t>
      </w:r>
      <w:r>
        <w:t xml:space="preserve">such as fuel </w:t>
      </w:r>
      <w:r w:rsidR="00DE6A29">
        <w:t xml:space="preserve">and electricity </w:t>
      </w:r>
      <w:r>
        <w:t xml:space="preserve">price rises. Melbourne’s CPI rose by </w:t>
      </w:r>
      <w:r w:rsidR="00231277">
        <w:t>0.9</w:t>
      </w:r>
      <w:r w:rsidR="005D5C2A">
        <w:t> </w:t>
      </w:r>
      <w:r w:rsidR="00231277">
        <w:t>per cent</w:t>
      </w:r>
      <w:r w:rsidR="00F24548">
        <w:t>, higher than</w:t>
      </w:r>
      <w:r w:rsidR="00231277">
        <w:t xml:space="preserve"> the nat</w:t>
      </w:r>
      <w:r>
        <w:t>ional increase of 0.5</w:t>
      </w:r>
      <w:r w:rsidR="004768B5">
        <w:t> </w:t>
      </w:r>
      <w:r>
        <w:t>per</w:t>
      </w:r>
      <w:r w:rsidR="004768B5">
        <w:t> </w:t>
      </w:r>
      <w:r>
        <w:t>cent.</w:t>
      </w:r>
      <w:r w:rsidR="004768B5">
        <w:t xml:space="preserve"> </w:t>
      </w:r>
      <w:r>
        <w:t>The national CPI recorded an annual increase of 2.1 per cent, moving inflation into the RBA’s target band for the first time since 2014</w:t>
      </w:r>
      <w:r w:rsidR="004768B5">
        <w:t xml:space="preserve"> b</w:t>
      </w:r>
      <w:r>
        <w:t xml:space="preserve">ut subdued wages growth is expected to contain inflation in the near term. </w:t>
      </w:r>
    </w:p>
    <w:p w:rsidR="00320889" w:rsidRDefault="004768B5" w:rsidP="00834D07">
      <w:r>
        <w:t xml:space="preserve">The annual growth rate in the national </w:t>
      </w:r>
      <w:r w:rsidRPr="004768B5">
        <w:rPr>
          <w:b/>
        </w:rPr>
        <w:t>wage price index</w:t>
      </w:r>
      <w:r w:rsidR="00F24548">
        <w:t xml:space="preserve">, </w:t>
      </w:r>
      <w:r>
        <w:t>which has been weakening</w:t>
      </w:r>
      <w:r w:rsidR="00320889">
        <w:t xml:space="preserve"> over the past three years</w:t>
      </w:r>
      <w:r>
        <w:t>, posted its lowest annual increase on record at 1.9 per cent in the March quarter 2017, below the inflation rate.</w:t>
      </w:r>
      <w:r w:rsidR="00320889">
        <w:t xml:space="preserve"> </w:t>
      </w:r>
      <w:r>
        <w:t xml:space="preserve">Victoria, with a </w:t>
      </w:r>
      <w:r w:rsidR="00BC3E78">
        <w:t>strong</w:t>
      </w:r>
      <w:r w:rsidR="00320889">
        <w:t>er</w:t>
      </w:r>
      <w:r>
        <w:t xml:space="preserve"> labour market, recorded its first annual increase </w:t>
      </w:r>
      <w:r w:rsidRPr="00320889">
        <w:t xml:space="preserve">in wages growth </w:t>
      </w:r>
      <w:r w:rsidR="00320889" w:rsidRPr="00320889">
        <w:t>since</w:t>
      </w:r>
      <w:r w:rsidR="00320889">
        <w:t xml:space="preserve"> 2014 </w:t>
      </w:r>
      <w:r>
        <w:t>to 2.0 </w:t>
      </w:r>
      <w:r w:rsidRPr="00EE652E">
        <w:t>per</w:t>
      </w:r>
      <w:r>
        <w:t> </w:t>
      </w:r>
      <w:r w:rsidRPr="00EE652E">
        <w:t xml:space="preserve">cent </w:t>
      </w:r>
      <w:r>
        <w:t>over</w:t>
      </w:r>
      <w:r w:rsidRPr="00EE652E">
        <w:t xml:space="preserve"> the </w:t>
      </w:r>
      <w:r>
        <w:t xml:space="preserve">year to the </w:t>
      </w:r>
      <w:r w:rsidRPr="00EE652E">
        <w:t>March quarter 2017</w:t>
      </w:r>
      <w:r w:rsidR="00320889">
        <w:t>.</w:t>
      </w:r>
    </w:p>
    <w:p w:rsidR="00EE652E" w:rsidRDefault="00035A12" w:rsidP="00834D07">
      <w:pPr>
        <w:sectPr w:rsidR="00EE652E" w:rsidSect="002751C4">
          <w:headerReference w:type="default" r:id="rId16"/>
          <w:footerReference w:type="default" r:id="rId17"/>
          <w:type w:val="continuous"/>
          <w:pgSz w:w="11906" w:h="16838" w:code="9"/>
          <w:pgMar w:top="964" w:right="1134" w:bottom="794" w:left="1134" w:header="709" w:footer="567" w:gutter="0"/>
          <w:cols w:num="2" w:space="562" w:equalWidth="0">
            <w:col w:w="3355" w:space="562"/>
            <w:col w:w="5721"/>
          </w:cols>
          <w:docGrid w:linePitch="360"/>
        </w:sectPr>
      </w:pPr>
      <w:r>
        <w:rPr>
          <w:b/>
        </w:rPr>
        <w:t>Em</w:t>
      </w:r>
      <w:r w:rsidR="00195637" w:rsidRPr="00195637">
        <w:rPr>
          <w:b/>
        </w:rPr>
        <w:t>ployment</w:t>
      </w:r>
      <w:r w:rsidR="00195637">
        <w:t xml:space="preserve"> </w:t>
      </w:r>
      <w:r>
        <w:t xml:space="preserve">in Victoria </w:t>
      </w:r>
      <w:r w:rsidR="00195637">
        <w:t xml:space="preserve">grew for the third consecutive month in April, increasing by 18 600 persons. The labour force participation rate is at the equal highest </w:t>
      </w:r>
      <w:r w:rsidR="007B4BD4">
        <w:t xml:space="preserve">on record with </w:t>
      </w:r>
      <w:r w:rsidR="00195637">
        <w:t xml:space="preserve">January 2011. </w:t>
      </w:r>
      <w:r w:rsidR="007B4BD4">
        <w:t>T</w:t>
      </w:r>
      <w:r w:rsidR="00195637">
        <w:t xml:space="preserve">he </w:t>
      </w:r>
      <w:r w:rsidR="00195637" w:rsidRPr="00195637">
        <w:rPr>
          <w:b/>
        </w:rPr>
        <w:t>unemployment rate</w:t>
      </w:r>
      <w:r w:rsidR="00195637">
        <w:t xml:space="preserve"> </w:t>
      </w:r>
      <w:r w:rsidR="007B4BD4">
        <w:t>remained steady at</w:t>
      </w:r>
      <w:r w:rsidR="00195637">
        <w:t xml:space="preserve"> 6.1 per cent.</w:t>
      </w:r>
    </w:p>
    <w:p w:rsidR="00360F22" w:rsidRDefault="00360F22" w:rsidP="00834D07">
      <w:pPr>
        <w:sectPr w:rsidR="00360F22" w:rsidSect="002751C4">
          <w:type w:val="continuous"/>
          <w:pgSz w:w="11906" w:h="16838" w:code="9"/>
          <w:pgMar w:top="964" w:right="1134" w:bottom="794" w:left="1134" w:header="709" w:footer="567" w:gutter="0"/>
          <w:cols w:num="2" w:space="562"/>
          <w:docGrid w:linePitch="360"/>
        </w:sectPr>
      </w:pPr>
    </w:p>
    <w:p w:rsidR="00195637" w:rsidRDefault="00195637" w:rsidP="00195637">
      <w:r>
        <w:lastRenderedPageBreak/>
        <w:t xml:space="preserve">Conditions for business investment in Victoria remain strong. Victorian </w:t>
      </w:r>
      <w:r w:rsidRPr="0008661D">
        <w:rPr>
          <w:b/>
        </w:rPr>
        <w:t>business conditions</w:t>
      </w:r>
      <w:r>
        <w:t xml:space="preserve"> from the NAB survey are positive at +8 index points in April and </w:t>
      </w:r>
      <w:r w:rsidRPr="0008661D">
        <w:rPr>
          <w:b/>
        </w:rPr>
        <w:t>business confidence</w:t>
      </w:r>
      <w:r>
        <w:t xml:space="preserve"> rose by 6 points to +12 index points.</w:t>
      </w:r>
    </w:p>
    <w:p w:rsidR="00195637" w:rsidRDefault="00195637" w:rsidP="00195637">
      <w:r>
        <w:t xml:space="preserve">Property prices continue to rise with the </w:t>
      </w:r>
      <w:proofErr w:type="spellStart"/>
      <w:r w:rsidRPr="0008661D">
        <w:rPr>
          <w:b/>
        </w:rPr>
        <w:t>CoreLogic</w:t>
      </w:r>
      <w:proofErr w:type="spellEnd"/>
      <w:r w:rsidRPr="0008661D">
        <w:rPr>
          <w:b/>
        </w:rPr>
        <w:t xml:space="preserve"> RP Data Home Value Index</w:t>
      </w:r>
      <w:r>
        <w:t xml:space="preserve"> for Melbourne increasing by 0.5 per cent in April 2017 and by 15.3 per cent over the year. </w:t>
      </w:r>
      <w:r w:rsidR="006072A0">
        <w:t xml:space="preserve">Melbourne’s unit prices fell in April by 0.9 per cent. </w:t>
      </w:r>
    </w:p>
    <w:p w:rsidR="00231277" w:rsidRDefault="006072A0" w:rsidP="00195637">
      <w:r>
        <w:t>While the</w:t>
      </w:r>
      <w:r w:rsidR="00231277">
        <w:t xml:space="preserve"> March value of </w:t>
      </w:r>
      <w:r w:rsidR="00231277" w:rsidRPr="0008661D">
        <w:rPr>
          <w:b/>
        </w:rPr>
        <w:t>residential</w:t>
      </w:r>
      <w:r>
        <w:rPr>
          <w:b/>
        </w:rPr>
        <w:t xml:space="preserve"> building</w:t>
      </w:r>
      <w:r w:rsidR="00231277" w:rsidRPr="0008661D">
        <w:rPr>
          <w:b/>
        </w:rPr>
        <w:t xml:space="preserve"> approvals</w:t>
      </w:r>
      <w:r>
        <w:rPr>
          <w:b/>
        </w:rPr>
        <w:t xml:space="preserve"> </w:t>
      </w:r>
      <w:r>
        <w:t>was weak, overall growth remains robust. The value of Victorian residential building for the 12 months to March 2017 grew by 8.9 per cent compared with the preceding 12 months.</w:t>
      </w:r>
    </w:p>
    <w:p w:rsidR="00335813" w:rsidRDefault="00335813" w:rsidP="00335813">
      <w:r w:rsidRPr="007231C4">
        <w:rPr>
          <w:b/>
        </w:rPr>
        <w:t>Retail sales</w:t>
      </w:r>
      <w:r>
        <w:t xml:space="preserve"> growth has been weak across most of the nation. </w:t>
      </w:r>
      <w:r w:rsidRPr="00EE652E">
        <w:t xml:space="preserve">Victoria's </w:t>
      </w:r>
      <w:r>
        <w:t xml:space="preserve">volume of </w:t>
      </w:r>
      <w:r w:rsidRPr="007231C4">
        <w:t>retail sales grew</w:t>
      </w:r>
      <w:r w:rsidRPr="00EE652E">
        <w:t xml:space="preserve"> by </w:t>
      </w:r>
      <w:r>
        <w:t>1</w:t>
      </w:r>
      <w:r w:rsidRPr="00EE652E">
        <w:t>.</w:t>
      </w:r>
      <w:r>
        <w:t>7</w:t>
      </w:r>
      <w:r w:rsidRPr="00EE652E">
        <w:t xml:space="preserve"> per </w:t>
      </w:r>
      <w:r>
        <w:t>cent over the year to the March quarter 2017 compared with 4.6 per cent one year prior. The annual growth rate nationally fell from 7.2 per cent to 1.2 per cent.</w:t>
      </w:r>
    </w:p>
    <w:p w:rsidR="00706673" w:rsidRDefault="00231277" w:rsidP="00231277">
      <w:r>
        <w:t xml:space="preserve">The </w:t>
      </w:r>
      <w:r w:rsidRPr="0008661D">
        <w:rPr>
          <w:b/>
        </w:rPr>
        <w:t>cash rate</w:t>
      </w:r>
      <w:r>
        <w:t xml:space="preserve"> was unchanged at 1.50</w:t>
      </w:r>
      <w:r w:rsidR="005D5C2A">
        <w:t> </w:t>
      </w:r>
      <w:r>
        <w:t>per</w:t>
      </w:r>
      <w:r w:rsidR="005D5C2A">
        <w:t> </w:t>
      </w:r>
      <w:r>
        <w:t>cent in May 2017 with the Board of the Reserve Bank of Australia noting that the improvement in global conditions has contributed to higher commodity prices, improving Australia’s terms of trade.</w:t>
      </w:r>
    </w:p>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br w:type="column"/>
            </w:r>
            <w:r w:rsidR="00047DD7" w:rsidRPr="00405FBA">
              <w:rPr>
                <w:noProof/>
                <w:lang w:eastAsia="en-AU"/>
              </w:rPr>
              <w:drawing>
                <wp:inline distT="0" distB="0" distL="0" distR="0" wp14:anchorId="54F3CA8B" wp14:editId="27AE138F">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231277" w:rsidRDefault="00231277" w:rsidP="00CF4D24">
      <w:r>
        <w:t xml:space="preserve">The IMF upgraded </w:t>
      </w:r>
      <w:r w:rsidR="00771375">
        <w:t>its</w:t>
      </w:r>
      <w:r>
        <w:t xml:space="preserve"> forecast for 2017 </w:t>
      </w:r>
      <w:r w:rsidRPr="0008661D">
        <w:rPr>
          <w:b/>
        </w:rPr>
        <w:t>world GDP</w:t>
      </w:r>
      <w:r>
        <w:t xml:space="preserve"> from 3.4 per cent to 3.5</w:t>
      </w:r>
      <w:r w:rsidR="005D5C2A">
        <w:t> </w:t>
      </w:r>
      <w:r>
        <w:t>per</w:t>
      </w:r>
      <w:r w:rsidR="005D5C2A">
        <w:t> </w:t>
      </w:r>
      <w:r>
        <w:t>cent. The upgrade was driven by expectations of stimul</w:t>
      </w:r>
      <w:r w:rsidR="00771375">
        <w:t>atory</w:t>
      </w:r>
      <w:r>
        <w:t xml:space="preserve"> fiscal policy in the US and China, and a cyclical recovery in global trade. A broad-based pick-up in the global economy since last year has also improved the outlook for Europe and Japan. </w:t>
      </w:r>
    </w:p>
    <w:p w:rsidR="00231277" w:rsidRDefault="00231277" w:rsidP="00231277">
      <w:pPr>
        <w:spacing w:before="120"/>
      </w:pPr>
      <w:r>
        <w:lastRenderedPageBreak/>
        <w:t xml:space="preserve">The </w:t>
      </w:r>
      <w:r w:rsidRPr="0008661D">
        <w:rPr>
          <w:b/>
        </w:rPr>
        <w:t>US Government</w:t>
      </w:r>
      <w:r>
        <w:t xml:space="preserve"> announced a plan to cut the corporate tax rate to 15 per cent from 39.6 per cent. However, the plan is light on details, making it difficult to ascertai</w:t>
      </w:r>
      <w:r w:rsidR="00AC0213">
        <w:t>n the magnitude of the impacts.</w:t>
      </w:r>
    </w:p>
    <w:p w:rsidR="00AC0213" w:rsidRDefault="00DE2338" w:rsidP="00231277">
      <w:pPr>
        <w:spacing w:before="120"/>
      </w:pPr>
      <w:r>
        <w:t xml:space="preserve">Some weakness in US stocks </w:t>
      </w:r>
      <w:r w:rsidR="009E7726">
        <w:t xml:space="preserve">in May 2017 </w:t>
      </w:r>
      <w:r>
        <w:t>has resulted from a</w:t>
      </w:r>
      <w:r w:rsidR="00BA58EB">
        <w:t xml:space="preserve">llegations against the </w:t>
      </w:r>
      <w:r w:rsidR="00BA58EB" w:rsidRPr="00BA58EB">
        <w:rPr>
          <w:b/>
        </w:rPr>
        <w:t>US President</w:t>
      </w:r>
      <w:r w:rsidR="00BA58EB">
        <w:t xml:space="preserve"> for obstruction of justice and calls for his impeachment</w:t>
      </w:r>
      <w:r>
        <w:t>.</w:t>
      </w:r>
      <w:r w:rsidR="00BA58EB">
        <w:t xml:space="preserve"> </w:t>
      </w:r>
      <w:r w:rsidR="00F24548">
        <w:t>T</w:t>
      </w:r>
      <w:r w:rsidR="00BA58EB">
        <w:t>he overall impact has been described as “muted”.</w:t>
      </w:r>
    </w:p>
    <w:p w:rsidR="00231277" w:rsidRDefault="00231277" w:rsidP="00231277">
      <w:pPr>
        <w:spacing w:before="120"/>
      </w:pPr>
      <w:r>
        <w:t xml:space="preserve">The US labour market remains vibrant. </w:t>
      </w:r>
      <w:r w:rsidRPr="0008661D">
        <w:rPr>
          <w:b/>
        </w:rPr>
        <w:t>Non-farm payrolls</w:t>
      </w:r>
      <w:r>
        <w:t xml:space="preserve"> increased by 211 000 in April 2017 and the unemployment rate declined to 4.4 per cent</w:t>
      </w:r>
      <w:r w:rsidR="00516980">
        <w:t>,</w:t>
      </w:r>
      <w:r>
        <w:t xml:space="preserve"> </w:t>
      </w:r>
      <w:r w:rsidR="00516980">
        <w:t xml:space="preserve">its lowest level  since </w:t>
      </w:r>
      <w:r>
        <w:t>May 2007.</w:t>
      </w:r>
    </w:p>
    <w:p w:rsidR="00231277" w:rsidRDefault="00231277" w:rsidP="00231277">
      <w:pPr>
        <w:spacing w:before="120"/>
      </w:pPr>
      <w:r>
        <w:t xml:space="preserve">Other US economic indicators were more subdued. The annual growth in </w:t>
      </w:r>
      <w:r w:rsidRPr="0008661D">
        <w:rPr>
          <w:b/>
        </w:rPr>
        <w:t>US GDP</w:t>
      </w:r>
      <w:r>
        <w:t xml:space="preserve"> for the March quarter 2017 of 0.7 per cent was substantially lower than the previous quarter’s growth of 2.1 per cent. This reflected a deceleration in consumer spending, downturns in inventory investment and in stat</w:t>
      </w:r>
      <w:r w:rsidR="00EA6703">
        <w:t>e and local government spending</w:t>
      </w:r>
      <w:r>
        <w:t>.</w:t>
      </w:r>
    </w:p>
    <w:p w:rsidR="00335813" w:rsidRDefault="00335813" w:rsidP="00335813">
      <w:pPr>
        <w:spacing w:before="120"/>
      </w:pPr>
      <w:r w:rsidRPr="00335813">
        <w:rPr>
          <w:b/>
        </w:rPr>
        <w:t>China</w:t>
      </w:r>
      <w:r>
        <w:t xml:space="preserve"> unveiled its</w:t>
      </w:r>
      <w:r w:rsidRPr="000D2445">
        <w:t xml:space="preserve"> “</w:t>
      </w:r>
      <w:r w:rsidRPr="00CB7F4A">
        <w:rPr>
          <w:b/>
        </w:rPr>
        <w:t>One Belt, One Road</w:t>
      </w:r>
      <w:r w:rsidRPr="000D2445">
        <w:t>”</w:t>
      </w:r>
      <w:r>
        <w:t xml:space="preserve"> initiative encompassing infrastructure spending of </w:t>
      </w:r>
      <w:r w:rsidRPr="000D2445">
        <w:t>$1</w:t>
      </w:r>
      <w:r>
        <w:t>.3 </w:t>
      </w:r>
      <w:r w:rsidRPr="000D2445">
        <w:t>trillion spanning more than 60 countries.</w:t>
      </w:r>
      <w:r>
        <w:t xml:space="preserve"> Although Australia is not geographically located on the “Belt and Road”, the initiative potentially creates opportunities for Australian industries such as engineering, architecture and finance.</w:t>
      </w:r>
    </w:p>
    <w:p w:rsidR="00231277" w:rsidRDefault="0008661D" w:rsidP="00231277">
      <w:pPr>
        <w:spacing w:before="120"/>
      </w:pPr>
      <w:r w:rsidRPr="0008661D">
        <w:rPr>
          <w:b/>
        </w:rPr>
        <w:t>China’s GDP</w:t>
      </w:r>
      <w:r>
        <w:t xml:space="preserve"> increased</w:t>
      </w:r>
      <w:r w:rsidR="00231277">
        <w:t xml:space="preserve"> by 6.9</w:t>
      </w:r>
      <w:r w:rsidR="005D5C2A">
        <w:t> </w:t>
      </w:r>
      <w:r w:rsidR="00231277">
        <w:t>per</w:t>
      </w:r>
      <w:r w:rsidR="005D5C2A">
        <w:t> </w:t>
      </w:r>
      <w:r w:rsidR="00231277">
        <w:t>cent over the year to the March quarter 2017, after recording a 6.8</w:t>
      </w:r>
      <w:r w:rsidR="005D5C2A">
        <w:t> </w:t>
      </w:r>
      <w:r w:rsidR="00231277">
        <w:t>per</w:t>
      </w:r>
      <w:r w:rsidR="005D5C2A">
        <w:t> </w:t>
      </w:r>
      <w:r w:rsidR="00231277">
        <w:t xml:space="preserve">cent annual increase to the December quarter. </w:t>
      </w:r>
      <w:r w:rsidR="00231277" w:rsidRPr="0008661D">
        <w:rPr>
          <w:b/>
        </w:rPr>
        <w:t>Industrial production</w:t>
      </w:r>
      <w:r w:rsidR="00231277">
        <w:t xml:space="preserve"> </w:t>
      </w:r>
      <w:r w:rsidR="00EA6703">
        <w:t xml:space="preserve">growth returned to a more normal level at  6.5 per cent over the year to April 2017 after </w:t>
      </w:r>
      <w:r w:rsidR="00231277">
        <w:t>jump</w:t>
      </w:r>
      <w:r w:rsidR="00EA6703">
        <w:t>ing</w:t>
      </w:r>
      <w:r w:rsidR="00231277">
        <w:t xml:space="preserve"> </w:t>
      </w:r>
      <w:r w:rsidR="00EA6703">
        <w:t xml:space="preserve">to </w:t>
      </w:r>
      <w:r w:rsidR="00231277">
        <w:t>7.6</w:t>
      </w:r>
      <w:r w:rsidR="005D5C2A">
        <w:t> </w:t>
      </w:r>
      <w:r w:rsidR="00231277">
        <w:t>per</w:t>
      </w:r>
      <w:r w:rsidR="005D5C2A">
        <w:t> </w:t>
      </w:r>
      <w:r w:rsidR="00231277">
        <w:t>cent in March.</w:t>
      </w:r>
    </w:p>
    <w:p w:rsidR="00231277" w:rsidRDefault="00231277" w:rsidP="00231277">
      <w:pPr>
        <w:spacing w:before="120"/>
      </w:pPr>
      <w:r>
        <w:t xml:space="preserve">More recently published indicators of China’s economic activity were </w:t>
      </w:r>
      <w:r w:rsidR="00035A12">
        <w:t>less positive</w:t>
      </w:r>
      <w:r>
        <w:t xml:space="preserve">, pointing to a moderation in the growth outlook. China’s </w:t>
      </w:r>
      <w:r w:rsidRPr="0008661D">
        <w:rPr>
          <w:b/>
        </w:rPr>
        <w:t xml:space="preserve">purchasing </w:t>
      </w:r>
      <w:r w:rsidRPr="0008661D">
        <w:rPr>
          <w:b/>
        </w:rPr>
        <w:lastRenderedPageBreak/>
        <w:t>managers’ index</w:t>
      </w:r>
      <w:r>
        <w:t xml:space="preserve"> of factory activity fell to a six month low of 51.2 in April, from a multi-year high of 51.8 in March. Chin</w:t>
      </w:r>
      <w:r w:rsidR="0008661D">
        <w:t>a’s</w:t>
      </w:r>
      <w:r>
        <w:t xml:space="preserve"> </w:t>
      </w:r>
      <w:r w:rsidRPr="0008661D">
        <w:rPr>
          <w:b/>
        </w:rPr>
        <w:t xml:space="preserve">CPI </w:t>
      </w:r>
      <w:r>
        <w:t xml:space="preserve">grew </w:t>
      </w:r>
      <w:r w:rsidR="00EA6703">
        <w:t>1.2</w:t>
      </w:r>
      <w:r w:rsidR="0008661D">
        <w:t> </w:t>
      </w:r>
      <w:r>
        <w:t>per</w:t>
      </w:r>
      <w:r w:rsidR="0008661D">
        <w:t> </w:t>
      </w:r>
      <w:r>
        <w:t xml:space="preserve">cent over the year to </w:t>
      </w:r>
      <w:r w:rsidR="00EA6703">
        <w:t>April</w:t>
      </w:r>
      <w:r>
        <w:t xml:space="preserve"> 2017, its </w:t>
      </w:r>
      <w:r w:rsidR="00EA6703">
        <w:t>third consecutive</w:t>
      </w:r>
      <w:r>
        <w:t xml:space="preserve"> month of annual growth below </w:t>
      </w:r>
      <w:r w:rsidR="00EA6703">
        <w:t>2</w:t>
      </w:r>
      <w:r>
        <w:t>.0</w:t>
      </w:r>
      <w:r w:rsidR="0008661D">
        <w:t> </w:t>
      </w:r>
      <w:r>
        <w:t>per</w:t>
      </w:r>
      <w:r w:rsidR="0008661D">
        <w:t> </w:t>
      </w:r>
      <w:r w:rsidR="000D2445">
        <w:t>cent.</w:t>
      </w:r>
    </w:p>
    <w:p w:rsidR="00CB7F4A" w:rsidRDefault="00CB7F4A" w:rsidP="00CB7F4A">
      <w:pPr>
        <w:spacing w:before="120"/>
      </w:pPr>
      <w:r>
        <w:t xml:space="preserve">The </w:t>
      </w:r>
      <w:r w:rsidRPr="00CB7F4A">
        <w:rPr>
          <w:b/>
        </w:rPr>
        <w:t>French election</w:t>
      </w:r>
      <w:r>
        <w:t xml:space="preserve"> concluded on 7 May 2017 with Emmanuel Macron voted in as President. Macron is described as a centrist and has a reform agenda for France’s welfare and pension system.</w:t>
      </w:r>
    </w:p>
    <w:p w:rsidR="00C4203F" w:rsidRPr="006E401A" w:rsidRDefault="00231277" w:rsidP="00231277">
      <w:pPr>
        <w:spacing w:before="120"/>
      </w:pPr>
      <w:r>
        <w:lastRenderedPageBreak/>
        <w:t xml:space="preserve">In </w:t>
      </w:r>
      <w:r w:rsidRPr="0008661D">
        <w:rPr>
          <w:b/>
        </w:rPr>
        <w:t>Japan</w:t>
      </w:r>
      <w:r>
        <w:t xml:space="preserve">, household spending continues </w:t>
      </w:r>
      <w:r w:rsidR="00516980">
        <w:t xml:space="preserve">its decline, </w:t>
      </w:r>
      <w:r>
        <w:t>fall</w:t>
      </w:r>
      <w:r w:rsidR="00516980">
        <w:t>ing by 1.3 per cent</w:t>
      </w:r>
      <w:r>
        <w:t xml:space="preserve"> despite negative interest rates aimed at stimulating the economy</w:t>
      </w:r>
      <w:r w:rsidR="00516980">
        <w:t>.</w:t>
      </w:r>
      <w:r>
        <w:t xml:space="preserve"> This is the thirteenth consecutive monthly fall in household spending.</w:t>
      </w:r>
    </w:p>
    <w:p w:rsidR="00D17E6E" w:rsidRPr="007364C8" w:rsidRDefault="00246C5C" w:rsidP="001E141A">
      <w:r w:rsidRPr="009865C5">
        <w:rPr>
          <w:i/>
          <w:sz w:val="20"/>
        </w:rPr>
        <w:t xml:space="preserve">Note: all data reported in the newsletter is as at </w:t>
      </w:r>
      <w:r w:rsidR="00516980">
        <w:rPr>
          <w:i/>
          <w:sz w:val="20"/>
        </w:rPr>
        <w:t>1</w:t>
      </w:r>
      <w:r w:rsidR="00107EEF">
        <w:rPr>
          <w:i/>
          <w:sz w:val="20"/>
        </w:rPr>
        <w:t>8</w:t>
      </w:r>
      <w:r w:rsidR="00516980">
        <w:rPr>
          <w:i/>
          <w:sz w:val="20"/>
        </w:rPr>
        <w:t> </w:t>
      </w:r>
      <w:r w:rsidR="004F2C65">
        <w:rPr>
          <w:i/>
          <w:sz w:val="20"/>
        </w:rPr>
        <w:t>May</w:t>
      </w:r>
      <w:r w:rsidR="00231277">
        <w:rPr>
          <w:i/>
          <w:sz w:val="20"/>
        </w:rPr>
        <w:t> </w:t>
      </w:r>
      <w:r w:rsidRPr="009865C5">
        <w:rPr>
          <w:i/>
          <w:sz w:val="20"/>
        </w:rPr>
        <w:t>2017.</w:t>
      </w:r>
    </w:p>
    <w:p w:rsidR="00ED5782" w:rsidRDefault="00ED5782" w:rsidP="001E141A">
      <w:pPr>
        <w:rPr>
          <w:highlight w:val="green"/>
        </w:rPr>
        <w:sectPr w:rsidR="00ED5782" w:rsidSect="002751C4">
          <w:type w:val="continuous"/>
          <w:pgSz w:w="11906" w:h="16838" w:code="9"/>
          <w:pgMar w:top="964" w:right="1134" w:bottom="794" w:left="1134" w:header="709" w:footer="567" w:gutter="0"/>
          <w:cols w:num="2" w:space="562"/>
          <w:docGrid w:linePitch="360"/>
        </w:sectPr>
      </w:pPr>
    </w:p>
    <w:p w:rsidR="000D2445" w:rsidRDefault="000D2445" w:rsidP="00D17E6E">
      <w:pPr>
        <w:pStyle w:val="Caption"/>
      </w:pPr>
    </w:p>
    <w:p w:rsidR="00CF4D24" w:rsidRPr="00CF4D24" w:rsidRDefault="00CF4D24" w:rsidP="00CF4D24"/>
    <w:p w:rsidR="00D17E6E" w:rsidRPr="00CF4D24" w:rsidRDefault="00D17E6E" w:rsidP="00CF4D24">
      <w:pPr>
        <w:pStyle w:val="Caption"/>
        <w:spacing w:after="240"/>
        <w:rPr>
          <w:sz w:val="24"/>
        </w:rPr>
      </w:pPr>
      <w:r w:rsidRPr="00CF4D24">
        <w:rPr>
          <w:sz w:val="24"/>
        </w:rPr>
        <w:t>Movements</w:t>
      </w:r>
      <w:r w:rsidR="00771375" w:rsidRPr="00CF4D24">
        <w:rPr>
          <w:sz w:val="24"/>
        </w:rPr>
        <w:t>*</w:t>
      </w:r>
      <w:r w:rsidRPr="00CF4D24">
        <w:rPr>
          <w:sz w:val="24"/>
        </w:rPr>
        <w:t xml:space="preserve"> in financial data over the past month</w:t>
      </w:r>
      <w:r w:rsidR="00771375" w:rsidRPr="00CF4D24">
        <w:rPr>
          <w:sz w:val="24"/>
        </w:rPr>
        <w:t>**</w:t>
      </w:r>
    </w:p>
    <w:tbl>
      <w:tblPr>
        <w:tblStyle w:val="TableGrid"/>
        <w:tblW w:w="5000" w:type="pct"/>
        <w:tblLook w:val="0420" w:firstRow="1" w:lastRow="0" w:firstColumn="0" w:lastColumn="0" w:noHBand="0" w:noVBand="1"/>
      </w:tblPr>
      <w:tblGrid>
        <w:gridCol w:w="3419"/>
        <w:gridCol w:w="1681"/>
        <w:gridCol w:w="1824"/>
        <w:gridCol w:w="2828"/>
      </w:tblGrid>
      <w:tr w:rsidR="005D5C2A" w:rsidTr="00F64B07">
        <w:trPr>
          <w:cnfStyle w:val="100000000000" w:firstRow="1" w:lastRow="0" w:firstColumn="0" w:lastColumn="0" w:oddVBand="0" w:evenVBand="0" w:oddHBand="0" w:evenHBand="0" w:firstRowFirstColumn="0" w:firstRowLastColumn="0" w:lastRowFirstColumn="0" w:lastRowLastColumn="0"/>
        </w:trPr>
        <w:tc>
          <w:tcPr>
            <w:tcW w:w="1753" w:type="pct"/>
          </w:tcPr>
          <w:p w:rsidR="005D5C2A" w:rsidRDefault="005D5C2A" w:rsidP="005E371D"/>
        </w:tc>
        <w:tc>
          <w:tcPr>
            <w:tcW w:w="862" w:type="pct"/>
            <w:vAlign w:val="center"/>
          </w:tcPr>
          <w:p w:rsidR="005D5C2A" w:rsidRPr="005D5C2A" w:rsidRDefault="005D5C2A">
            <w:pPr>
              <w:jc w:val="right"/>
            </w:pPr>
            <w:r w:rsidRPr="005D5C2A">
              <w:t>28-Apr-17</w:t>
            </w:r>
          </w:p>
        </w:tc>
        <w:tc>
          <w:tcPr>
            <w:tcW w:w="935" w:type="pct"/>
            <w:vAlign w:val="center"/>
          </w:tcPr>
          <w:p w:rsidR="005D5C2A" w:rsidRPr="005D5C2A" w:rsidRDefault="005D5C2A">
            <w:pPr>
              <w:jc w:val="right"/>
            </w:pPr>
            <w:r w:rsidRPr="005D5C2A">
              <w:t>31-Mar-17</w:t>
            </w:r>
          </w:p>
        </w:tc>
        <w:tc>
          <w:tcPr>
            <w:tcW w:w="1450" w:type="pct"/>
          </w:tcPr>
          <w:p w:rsidR="005D5C2A" w:rsidRDefault="005D5C2A" w:rsidP="005E371D">
            <w:pPr>
              <w:jc w:val="right"/>
            </w:pPr>
            <w:r>
              <w:t>Change</w:t>
            </w:r>
          </w:p>
        </w:tc>
      </w:tr>
      <w:tr w:rsidR="005D5C2A"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Default="005D5C2A" w:rsidP="005E371D">
            <w:r>
              <w:t>AUD/USD</w:t>
            </w:r>
          </w:p>
        </w:tc>
        <w:tc>
          <w:tcPr>
            <w:tcW w:w="862" w:type="pct"/>
            <w:vAlign w:val="center"/>
          </w:tcPr>
          <w:p w:rsidR="005D5C2A" w:rsidRPr="005D5C2A" w:rsidRDefault="005D5C2A">
            <w:pPr>
              <w:jc w:val="right"/>
            </w:pPr>
            <w:r w:rsidRPr="005D5C2A">
              <w:t>0.7</w:t>
            </w:r>
            <w:r>
              <w:t>47</w:t>
            </w:r>
            <w:r w:rsidRPr="005D5C2A">
              <w:t>5</w:t>
            </w:r>
          </w:p>
        </w:tc>
        <w:tc>
          <w:tcPr>
            <w:tcW w:w="935" w:type="pct"/>
            <w:vAlign w:val="center"/>
          </w:tcPr>
          <w:p w:rsidR="005D5C2A" w:rsidRPr="005D5C2A" w:rsidRDefault="005D5C2A">
            <w:pPr>
              <w:jc w:val="right"/>
            </w:pPr>
            <w:r w:rsidRPr="005D5C2A">
              <w:t>0.76</w:t>
            </w:r>
            <w:r>
              <w:t>44</w:t>
            </w:r>
          </w:p>
        </w:tc>
        <w:tc>
          <w:tcPr>
            <w:tcW w:w="1450" w:type="pct"/>
          </w:tcPr>
          <w:p w:rsidR="005D5C2A" w:rsidRPr="005C5FE2" w:rsidRDefault="005D5C2A" w:rsidP="005D5C2A">
            <w:pPr>
              <w:jc w:val="right"/>
              <w:rPr>
                <w:color w:val="FF0000"/>
              </w:rPr>
            </w:pPr>
            <w:r>
              <w:t>-2.2 per cent</w:t>
            </w:r>
          </w:p>
        </w:tc>
      </w:tr>
      <w:tr w:rsidR="005D5C2A"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Default="005D5C2A" w:rsidP="005E371D">
            <w:r>
              <w:t>ASX 200</w:t>
            </w:r>
          </w:p>
        </w:tc>
        <w:tc>
          <w:tcPr>
            <w:tcW w:w="862" w:type="pct"/>
            <w:vAlign w:val="center"/>
          </w:tcPr>
          <w:p w:rsidR="005D5C2A" w:rsidRPr="005D5C2A" w:rsidRDefault="005D5C2A">
            <w:pPr>
              <w:jc w:val="right"/>
            </w:pPr>
            <w:r w:rsidRPr="005D5C2A">
              <w:t>5,924</w:t>
            </w:r>
          </w:p>
        </w:tc>
        <w:tc>
          <w:tcPr>
            <w:tcW w:w="935" w:type="pct"/>
            <w:vAlign w:val="center"/>
          </w:tcPr>
          <w:p w:rsidR="005D5C2A" w:rsidRPr="005D5C2A" w:rsidRDefault="005D5C2A">
            <w:pPr>
              <w:jc w:val="right"/>
            </w:pPr>
            <w:r w:rsidRPr="005D5C2A">
              <w:t>5,865</w:t>
            </w:r>
          </w:p>
        </w:tc>
        <w:tc>
          <w:tcPr>
            <w:tcW w:w="1450" w:type="pct"/>
          </w:tcPr>
          <w:p w:rsidR="005D5C2A" w:rsidRPr="005C5FE2" w:rsidRDefault="005D5C2A" w:rsidP="005D5C2A">
            <w:pPr>
              <w:jc w:val="right"/>
              <w:rPr>
                <w:color w:val="FF0000"/>
              </w:rPr>
            </w:pPr>
            <w:r>
              <w:t>+</w:t>
            </w:r>
            <w:r w:rsidR="00301591">
              <w:t>1.0</w:t>
            </w:r>
            <w:r>
              <w:t> per cent</w:t>
            </w:r>
          </w:p>
        </w:tc>
      </w:tr>
      <w:tr w:rsidR="005D5C2A" w:rsidTr="00E12389">
        <w:trPr>
          <w:cnfStyle w:val="000000100000" w:firstRow="0" w:lastRow="0" w:firstColumn="0" w:lastColumn="0" w:oddVBand="0" w:evenVBand="0" w:oddHBand="1" w:evenHBand="0" w:firstRowFirstColumn="0" w:firstRowLastColumn="0" w:lastRowFirstColumn="0" w:lastRowLastColumn="0"/>
        </w:trPr>
        <w:tc>
          <w:tcPr>
            <w:tcW w:w="1753" w:type="pct"/>
          </w:tcPr>
          <w:p w:rsidR="005D5C2A" w:rsidRDefault="005D5C2A" w:rsidP="005E371D">
            <w:r>
              <w:t>S&amp;P 500</w:t>
            </w:r>
          </w:p>
        </w:tc>
        <w:tc>
          <w:tcPr>
            <w:tcW w:w="862" w:type="pct"/>
            <w:vAlign w:val="center"/>
          </w:tcPr>
          <w:p w:rsidR="005D5C2A" w:rsidRPr="005D5C2A" w:rsidRDefault="005D5C2A">
            <w:pPr>
              <w:jc w:val="right"/>
            </w:pPr>
            <w:r w:rsidRPr="005D5C2A">
              <w:t>2,384</w:t>
            </w:r>
          </w:p>
        </w:tc>
        <w:tc>
          <w:tcPr>
            <w:tcW w:w="935" w:type="pct"/>
            <w:vAlign w:val="center"/>
          </w:tcPr>
          <w:p w:rsidR="005D5C2A" w:rsidRPr="005D5C2A" w:rsidRDefault="005D5C2A">
            <w:pPr>
              <w:jc w:val="right"/>
            </w:pPr>
            <w:r w:rsidRPr="005D5C2A">
              <w:t>2,363</w:t>
            </w:r>
          </w:p>
        </w:tc>
        <w:tc>
          <w:tcPr>
            <w:tcW w:w="1450" w:type="pct"/>
          </w:tcPr>
          <w:p w:rsidR="005D5C2A" w:rsidRPr="005C5FE2" w:rsidRDefault="005D5C2A" w:rsidP="005D5C2A">
            <w:pPr>
              <w:jc w:val="right"/>
              <w:rPr>
                <w:color w:val="FF0000"/>
              </w:rPr>
            </w:pPr>
            <w:r>
              <w:t>+0.9 per cent</w:t>
            </w:r>
            <w:r w:rsidRPr="005C5FE2">
              <w:rPr>
                <w:color w:val="FF0000"/>
              </w:rPr>
              <w:t xml:space="preserve">                     </w:t>
            </w:r>
          </w:p>
        </w:tc>
      </w:tr>
      <w:tr w:rsidR="005D5C2A" w:rsidTr="00E12389">
        <w:trPr>
          <w:cnfStyle w:val="000000010000" w:firstRow="0" w:lastRow="0" w:firstColumn="0" w:lastColumn="0" w:oddVBand="0" w:evenVBand="0" w:oddHBand="0" w:evenHBand="1" w:firstRowFirstColumn="0" w:firstRowLastColumn="0" w:lastRowFirstColumn="0" w:lastRowLastColumn="0"/>
        </w:trPr>
        <w:tc>
          <w:tcPr>
            <w:tcW w:w="1753" w:type="pct"/>
          </w:tcPr>
          <w:p w:rsidR="005D5C2A" w:rsidRDefault="005D5C2A" w:rsidP="005E371D">
            <w:r>
              <w:t>90 day bank bill rate</w:t>
            </w:r>
          </w:p>
        </w:tc>
        <w:tc>
          <w:tcPr>
            <w:tcW w:w="862" w:type="pct"/>
            <w:vAlign w:val="center"/>
          </w:tcPr>
          <w:p w:rsidR="005D5C2A" w:rsidRPr="005D5C2A" w:rsidRDefault="005D5C2A">
            <w:pPr>
              <w:jc w:val="right"/>
            </w:pPr>
            <w:r w:rsidRPr="005D5C2A">
              <w:t>1.74</w:t>
            </w:r>
          </w:p>
        </w:tc>
        <w:tc>
          <w:tcPr>
            <w:tcW w:w="935" w:type="pct"/>
            <w:vAlign w:val="center"/>
          </w:tcPr>
          <w:p w:rsidR="005D5C2A" w:rsidRPr="005D5C2A" w:rsidRDefault="005D5C2A">
            <w:pPr>
              <w:jc w:val="right"/>
            </w:pPr>
            <w:r w:rsidRPr="005D5C2A">
              <w:t>1.79</w:t>
            </w:r>
          </w:p>
        </w:tc>
        <w:tc>
          <w:tcPr>
            <w:tcW w:w="1450" w:type="pct"/>
          </w:tcPr>
          <w:p w:rsidR="005D5C2A" w:rsidRPr="005C5FE2" w:rsidRDefault="00335813" w:rsidP="005D5C2A">
            <w:pPr>
              <w:jc w:val="right"/>
              <w:rPr>
                <w:color w:val="FF0000"/>
              </w:rPr>
            </w:pPr>
            <w:r>
              <w:t>-</w:t>
            </w:r>
            <w:r w:rsidR="005D5C2A">
              <w:t xml:space="preserve">0.05 </w:t>
            </w:r>
            <w:r w:rsidR="005D5C2A" w:rsidRPr="005C5FE2">
              <w:t>percentage points</w:t>
            </w:r>
          </w:p>
        </w:tc>
      </w:tr>
      <w:tr w:rsidR="005D5C2A" w:rsidTr="00E12389">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5D5C2A" w:rsidRDefault="005D5C2A" w:rsidP="005E371D">
            <w:pPr>
              <w:ind w:right="-381"/>
            </w:pPr>
            <w:r>
              <w:t>10 year Commonwealth bond rate</w:t>
            </w:r>
          </w:p>
        </w:tc>
        <w:tc>
          <w:tcPr>
            <w:tcW w:w="862" w:type="pct"/>
            <w:vAlign w:val="center"/>
          </w:tcPr>
          <w:p w:rsidR="005D5C2A" w:rsidRPr="005D5C2A" w:rsidRDefault="005D5C2A">
            <w:pPr>
              <w:jc w:val="right"/>
            </w:pPr>
            <w:r w:rsidRPr="005D5C2A">
              <w:t>2.58</w:t>
            </w:r>
          </w:p>
        </w:tc>
        <w:tc>
          <w:tcPr>
            <w:tcW w:w="935" w:type="pct"/>
            <w:vAlign w:val="center"/>
          </w:tcPr>
          <w:p w:rsidR="005D5C2A" w:rsidRPr="005D5C2A" w:rsidRDefault="005D5C2A">
            <w:pPr>
              <w:jc w:val="right"/>
            </w:pPr>
            <w:r w:rsidRPr="005D5C2A">
              <w:t>2.70</w:t>
            </w:r>
          </w:p>
        </w:tc>
        <w:tc>
          <w:tcPr>
            <w:tcW w:w="1450" w:type="pct"/>
          </w:tcPr>
          <w:p w:rsidR="005D5C2A" w:rsidRPr="005C5FE2" w:rsidRDefault="00335813" w:rsidP="005D5C2A">
            <w:pPr>
              <w:jc w:val="right"/>
              <w:rPr>
                <w:color w:val="FF0000"/>
              </w:rPr>
            </w:pPr>
            <w:r>
              <w:t>-</w:t>
            </w:r>
            <w:r w:rsidR="005D5C2A">
              <w:t xml:space="preserve">0.12 </w:t>
            </w:r>
            <w:r w:rsidR="005D5C2A" w:rsidRPr="005C5FE2">
              <w:t>percentage points</w:t>
            </w:r>
          </w:p>
        </w:tc>
      </w:tr>
    </w:tbl>
    <w:p w:rsidR="00CF4D24" w:rsidRDefault="00D17E6E" w:rsidP="00CF4D24">
      <w:pPr>
        <w:spacing w:before="240" w:after="0" w:line="240" w:lineRule="auto"/>
        <w:rPr>
          <w:i/>
          <w:sz w:val="20"/>
        </w:rPr>
      </w:pPr>
      <w:r w:rsidRPr="007F677F">
        <w:rPr>
          <w:i/>
          <w:sz w:val="20"/>
        </w:rPr>
        <w:t>Note</w:t>
      </w:r>
      <w:r w:rsidR="00771375">
        <w:rPr>
          <w:i/>
          <w:sz w:val="20"/>
        </w:rPr>
        <w:t>s</w:t>
      </w:r>
      <w:r w:rsidRPr="007F677F">
        <w:rPr>
          <w:i/>
          <w:sz w:val="20"/>
        </w:rPr>
        <w:t xml:space="preserve">: </w:t>
      </w:r>
      <w:r w:rsidR="00CF4D24">
        <w:rPr>
          <w:i/>
          <w:sz w:val="20"/>
        </w:rPr>
        <w:tab/>
      </w:r>
      <w:r w:rsidR="00771375">
        <w:rPr>
          <w:i/>
          <w:sz w:val="20"/>
        </w:rPr>
        <w:t>*</w:t>
      </w:r>
      <w:r w:rsidRPr="007F677F">
        <w:rPr>
          <w:i/>
          <w:sz w:val="20"/>
        </w:rPr>
        <w:t>Changes are based on t</w:t>
      </w:r>
      <w:r w:rsidR="00C94806">
        <w:rPr>
          <w:i/>
          <w:sz w:val="20"/>
        </w:rPr>
        <w:t>he movement in unrounded figures</w:t>
      </w:r>
      <w:r w:rsidR="00771375">
        <w:rPr>
          <w:i/>
          <w:sz w:val="20"/>
        </w:rPr>
        <w:t xml:space="preserve">. </w:t>
      </w:r>
      <w:r w:rsidR="00CF4D24">
        <w:rPr>
          <w:i/>
          <w:sz w:val="20"/>
        </w:rPr>
        <w:t xml:space="preserve">                                                                 </w:t>
      </w:r>
    </w:p>
    <w:p w:rsidR="00D30EAC" w:rsidRDefault="00CF4D24" w:rsidP="00CF4D24">
      <w:pPr>
        <w:spacing w:after="0" w:line="240" w:lineRule="auto"/>
        <w:rPr>
          <w:i/>
          <w:sz w:val="20"/>
        </w:rPr>
      </w:pPr>
      <w:r>
        <w:rPr>
          <w:i/>
          <w:sz w:val="20"/>
        </w:rPr>
        <w:tab/>
      </w:r>
      <w:r w:rsidR="00771375">
        <w:rPr>
          <w:i/>
          <w:sz w:val="20"/>
        </w:rPr>
        <w:t>**Month-end dates are the last trading day of the month.</w:t>
      </w:r>
    </w:p>
    <w:p w:rsidR="005379E5" w:rsidRDefault="005379E5" w:rsidP="001E141A">
      <w:pPr>
        <w:rPr>
          <w:i/>
          <w:sz w:val="20"/>
        </w:rPr>
      </w:pPr>
    </w:p>
    <w:p w:rsidR="002751C4" w:rsidRDefault="002751C4"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086018AA" wp14:editId="699EE262">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94806" w:rsidRPr="00D17E6E" w:rsidRDefault="00C94806" w:rsidP="001E141A">
      <w:pPr>
        <w:rPr>
          <w:i/>
          <w:sz w:val="20"/>
        </w:rPr>
        <w:sectPr w:rsidR="00C94806" w:rsidRPr="00D17E6E" w:rsidSect="00D17E6E">
          <w:type w:val="continuous"/>
          <w:pgSz w:w="11906" w:h="16838" w:code="9"/>
          <w:pgMar w:top="964" w:right="1134" w:bottom="794" w:left="1134" w:header="709" w:footer="567" w:gutter="0"/>
          <w:cols w:space="567"/>
          <w:docGrid w:linePitch="360"/>
        </w:sectPr>
      </w:pPr>
    </w:p>
    <w:p w:rsidR="0023586C" w:rsidRPr="007F677F" w:rsidRDefault="0023586C" w:rsidP="002751C4"/>
    <w:sectPr w:rsidR="0023586C"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02" w:rsidRDefault="00935902" w:rsidP="001E7D0D">
      <w:pPr>
        <w:spacing w:after="0" w:line="240" w:lineRule="auto"/>
      </w:pPr>
      <w:r>
        <w:separator/>
      </w:r>
    </w:p>
  </w:endnote>
  <w:endnote w:type="continuationSeparator" w:id="0">
    <w:p w:rsidR="00935902" w:rsidRDefault="00935902"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AE6A3CE" wp14:editId="0D26EE2E">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271468">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0CC582A4" wp14:editId="1031749E">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271468">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ED5782">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02" w:rsidRDefault="00935902" w:rsidP="001E7D0D">
      <w:pPr>
        <w:spacing w:after="0" w:line="240" w:lineRule="auto"/>
      </w:pPr>
      <w:r>
        <w:separator/>
      </w:r>
    </w:p>
  </w:footnote>
  <w:footnote w:type="continuationSeparator" w:id="0">
    <w:p w:rsidR="00935902" w:rsidRDefault="00935902"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0AF4CEB5" wp14:editId="6CAAB837">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C69F43D" wp14:editId="37CBB55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CF84A62" wp14:editId="7C4A5688">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1C8"/>
    <w:multiLevelType w:val="multilevel"/>
    <w:tmpl w:val="306ACA90"/>
    <w:lvl w:ilvl="0">
      <w:start w:val="1"/>
      <w:numFmt w:val="decimal"/>
      <w:pStyle w:val="Listnum"/>
      <w:lvlText w:val="%1."/>
      <w:lvlJc w:val="left"/>
      <w:pPr>
        <w:tabs>
          <w:tab w:val="num" w:pos="9075"/>
        </w:tabs>
        <w:ind w:left="9075" w:hanging="504"/>
      </w:pPr>
      <w:rPr>
        <w:rFonts w:hint="default"/>
      </w:rPr>
    </w:lvl>
    <w:lvl w:ilvl="1">
      <w:start w:val="1"/>
      <w:numFmt w:val="lowerLetter"/>
      <w:pStyle w:val="Listnum2"/>
      <w:lvlText w:val="(%2)"/>
      <w:lvlJc w:val="left"/>
      <w:pPr>
        <w:tabs>
          <w:tab w:val="num" w:pos="9579"/>
        </w:tabs>
        <w:ind w:left="9579" w:hanging="504"/>
      </w:pPr>
      <w:rPr>
        <w:rFonts w:hint="default"/>
      </w:rPr>
    </w:lvl>
    <w:lvl w:ilvl="2">
      <w:start w:val="1"/>
      <w:numFmt w:val="lowerRoman"/>
      <w:pStyle w:val="Listnum3"/>
      <w:lvlText w:val="(%3)"/>
      <w:lvlJc w:val="right"/>
      <w:pPr>
        <w:tabs>
          <w:tab w:val="num" w:pos="10083"/>
        </w:tabs>
        <w:ind w:left="10083" w:hanging="504"/>
      </w:pPr>
      <w:rPr>
        <w:rFonts w:hint="default"/>
      </w:rPr>
    </w:lvl>
    <w:lvl w:ilvl="3">
      <w:start w:val="1"/>
      <w:numFmt w:val="decimal"/>
      <w:lvlText w:val="%4."/>
      <w:lvlJc w:val="left"/>
      <w:pPr>
        <w:tabs>
          <w:tab w:val="num" w:pos="11153"/>
        </w:tabs>
        <w:ind w:left="10587" w:hanging="504"/>
      </w:pPr>
      <w:rPr>
        <w:rFonts w:hint="default"/>
      </w:rPr>
    </w:lvl>
    <w:lvl w:ilvl="4">
      <w:start w:val="1"/>
      <w:numFmt w:val="lowerLetter"/>
      <w:lvlText w:val="%5."/>
      <w:lvlJc w:val="left"/>
      <w:pPr>
        <w:tabs>
          <w:tab w:val="num" w:pos="11657"/>
        </w:tabs>
        <w:ind w:left="11091" w:hanging="504"/>
      </w:pPr>
      <w:rPr>
        <w:rFonts w:hint="default"/>
      </w:rPr>
    </w:lvl>
    <w:lvl w:ilvl="5">
      <w:start w:val="1"/>
      <w:numFmt w:val="lowerRoman"/>
      <w:lvlText w:val="%6."/>
      <w:lvlJc w:val="right"/>
      <w:pPr>
        <w:tabs>
          <w:tab w:val="num" w:pos="12161"/>
        </w:tabs>
        <w:ind w:left="11595" w:hanging="504"/>
      </w:pPr>
      <w:rPr>
        <w:rFonts w:hint="default"/>
      </w:rPr>
    </w:lvl>
    <w:lvl w:ilvl="6">
      <w:start w:val="1"/>
      <w:numFmt w:val="decimal"/>
      <w:lvlText w:val="%7."/>
      <w:lvlJc w:val="left"/>
      <w:pPr>
        <w:tabs>
          <w:tab w:val="num" w:pos="12665"/>
        </w:tabs>
        <w:ind w:left="12099" w:hanging="504"/>
      </w:pPr>
      <w:rPr>
        <w:rFonts w:hint="default"/>
      </w:rPr>
    </w:lvl>
    <w:lvl w:ilvl="7">
      <w:start w:val="1"/>
      <w:numFmt w:val="lowerLetter"/>
      <w:lvlText w:val="%8."/>
      <w:lvlJc w:val="left"/>
      <w:pPr>
        <w:tabs>
          <w:tab w:val="num" w:pos="13169"/>
        </w:tabs>
        <w:ind w:left="12603" w:hanging="504"/>
      </w:pPr>
      <w:rPr>
        <w:rFonts w:hint="default"/>
      </w:rPr>
    </w:lvl>
    <w:lvl w:ilvl="8">
      <w:start w:val="1"/>
      <w:numFmt w:val="lowerRoman"/>
      <w:lvlText w:val="%9."/>
      <w:lvlJc w:val="right"/>
      <w:pPr>
        <w:tabs>
          <w:tab w:val="num" w:pos="13673"/>
        </w:tabs>
        <w:ind w:left="13107" w:hanging="504"/>
      </w:pPr>
      <w:rPr>
        <w:rFonts w:hint="default"/>
      </w:rPr>
    </w:lvl>
  </w:abstractNum>
  <w:abstractNum w:abstractNumId="1">
    <w:nsid w:val="35332250"/>
    <w:multiLevelType w:val="multilevel"/>
    <w:tmpl w:val="DA6E3D5C"/>
    <w:numStyleLink w:val="Highlightbulletstyle"/>
  </w:abstractNum>
  <w:abstractNum w:abstractNumId="2">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4065935"/>
    <w:multiLevelType w:val="multilevel"/>
    <w:tmpl w:val="DA6E3D5C"/>
    <w:numStyleLink w:val="Highlightbulletstyle"/>
  </w:abstractNum>
  <w:num w:numId="1">
    <w:abstractNumId w:val="2"/>
  </w:num>
  <w:num w:numId="2">
    <w:abstractNumId w:val="1"/>
  </w:num>
  <w:num w:numId="3">
    <w:abstractNumId w:val="3"/>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4A00"/>
    <w:rsid w:val="000160BC"/>
    <w:rsid w:val="00022C95"/>
    <w:rsid w:val="00027A5D"/>
    <w:rsid w:val="0003309C"/>
    <w:rsid w:val="00033485"/>
    <w:rsid w:val="00035A12"/>
    <w:rsid w:val="00036CD9"/>
    <w:rsid w:val="00042C14"/>
    <w:rsid w:val="00044907"/>
    <w:rsid w:val="00046F57"/>
    <w:rsid w:val="00047DD7"/>
    <w:rsid w:val="00053341"/>
    <w:rsid w:val="00053F71"/>
    <w:rsid w:val="00054994"/>
    <w:rsid w:val="000576D1"/>
    <w:rsid w:val="00061229"/>
    <w:rsid w:val="00062BCA"/>
    <w:rsid w:val="00063D5E"/>
    <w:rsid w:val="00065923"/>
    <w:rsid w:val="000660AA"/>
    <w:rsid w:val="0006662B"/>
    <w:rsid w:val="000720FA"/>
    <w:rsid w:val="0007353B"/>
    <w:rsid w:val="00073A18"/>
    <w:rsid w:val="0007721B"/>
    <w:rsid w:val="00081AA9"/>
    <w:rsid w:val="000848EB"/>
    <w:rsid w:val="0008661D"/>
    <w:rsid w:val="00092EB0"/>
    <w:rsid w:val="00092FE6"/>
    <w:rsid w:val="00095562"/>
    <w:rsid w:val="000A3879"/>
    <w:rsid w:val="000A3DE5"/>
    <w:rsid w:val="000A6218"/>
    <w:rsid w:val="000B4020"/>
    <w:rsid w:val="000D2445"/>
    <w:rsid w:val="000D4112"/>
    <w:rsid w:val="000D517F"/>
    <w:rsid w:val="000D7E75"/>
    <w:rsid w:val="000E1FFA"/>
    <w:rsid w:val="000E5E7D"/>
    <w:rsid w:val="000F167A"/>
    <w:rsid w:val="000F2FBA"/>
    <w:rsid w:val="000F6F43"/>
    <w:rsid w:val="000F7A12"/>
    <w:rsid w:val="00103711"/>
    <w:rsid w:val="00106242"/>
    <w:rsid w:val="00107EEF"/>
    <w:rsid w:val="00114E7A"/>
    <w:rsid w:val="00123AFA"/>
    <w:rsid w:val="00125049"/>
    <w:rsid w:val="00130B73"/>
    <w:rsid w:val="001372E4"/>
    <w:rsid w:val="001428A1"/>
    <w:rsid w:val="001442F4"/>
    <w:rsid w:val="00155E50"/>
    <w:rsid w:val="001709F7"/>
    <w:rsid w:val="00181D8E"/>
    <w:rsid w:val="0019153C"/>
    <w:rsid w:val="00195637"/>
    <w:rsid w:val="001A1164"/>
    <w:rsid w:val="001A179F"/>
    <w:rsid w:val="001B0012"/>
    <w:rsid w:val="001B0E91"/>
    <w:rsid w:val="001B35BD"/>
    <w:rsid w:val="001B59EB"/>
    <w:rsid w:val="001B6034"/>
    <w:rsid w:val="001C1EC8"/>
    <w:rsid w:val="001D0F0C"/>
    <w:rsid w:val="001D1AB4"/>
    <w:rsid w:val="001D2117"/>
    <w:rsid w:val="001D432C"/>
    <w:rsid w:val="001D7B30"/>
    <w:rsid w:val="001E03B1"/>
    <w:rsid w:val="001E141A"/>
    <w:rsid w:val="001E5D17"/>
    <w:rsid w:val="001E7D0D"/>
    <w:rsid w:val="001E7D7B"/>
    <w:rsid w:val="001F03D2"/>
    <w:rsid w:val="0020012F"/>
    <w:rsid w:val="00200D1F"/>
    <w:rsid w:val="002014B8"/>
    <w:rsid w:val="00202582"/>
    <w:rsid w:val="00202BAF"/>
    <w:rsid w:val="002068A8"/>
    <w:rsid w:val="00212251"/>
    <w:rsid w:val="0022157A"/>
    <w:rsid w:val="00222DFE"/>
    <w:rsid w:val="002237C1"/>
    <w:rsid w:val="00231277"/>
    <w:rsid w:val="0023586C"/>
    <w:rsid w:val="002414D2"/>
    <w:rsid w:val="00244136"/>
    <w:rsid w:val="00245E95"/>
    <w:rsid w:val="00246C5C"/>
    <w:rsid w:val="0025798D"/>
    <w:rsid w:val="00261D70"/>
    <w:rsid w:val="00262411"/>
    <w:rsid w:val="00270AF2"/>
    <w:rsid w:val="00270CF1"/>
    <w:rsid w:val="00271468"/>
    <w:rsid w:val="00274C7F"/>
    <w:rsid w:val="002751C4"/>
    <w:rsid w:val="0028118E"/>
    <w:rsid w:val="002868CD"/>
    <w:rsid w:val="002920D2"/>
    <w:rsid w:val="00293A6B"/>
    <w:rsid w:val="002A0EE8"/>
    <w:rsid w:val="002B0039"/>
    <w:rsid w:val="002B6763"/>
    <w:rsid w:val="002C0ACC"/>
    <w:rsid w:val="002D2638"/>
    <w:rsid w:val="002D52D6"/>
    <w:rsid w:val="002E5AB4"/>
    <w:rsid w:val="002E61AC"/>
    <w:rsid w:val="002E73F4"/>
    <w:rsid w:val="002F13D9"/>
    <w:rsid w:val="002F5DE2"/>
    <w:rsid w:val="00301591"/>
    <w:rsid w:val="00306D76"/>
    <w:rsid w:val="00320889"/>
    <w:rsid w:val="00335813"/>
    <w:rsid w:val="0034648C"/>
    <w:rsid w:val="00346694"/>
    <w:rsid w:val="00347BE0"/>
    <w:rsid w:val="003540A1"/>
    <w:rsid w:val="00354235"/>
    <w:rsid w:val="00360F22"/>
    <w:rsid w:val="0037175A"/>
    <w:rsid w:val="00372159"/>
    <w:rsid w:val="00380DA2"/>
    <w:rsid w:val="00381C44"/>
    <w:rsid w:val="00381E61"/>
    <w:rsid w:val="00382510"/>
    <w:rsid w:val="003831AB"/>
    <w:rsid w:val="003844EC"/>
    <w:rsid w:val="003902A0"/>
    <w:rsid w:val="00394456"/>
    <w:rsid w:val="003952AA"/>
    <w:rsid w:val="003A0F37"/>
    <w:rsid w:val="003A3175"/>
    <w:rsid w:val="003A3AD2"/>
    <w:rsid w:val="003A65EF"/>
    <w:rsid w:val="003C3E82"/>
    <w:rsid w:val="003C5B4A"/>
    <w:rsid w:val="003C6D78"/>
    <w:rsid w:val="003E507C"/>
    <w:rsid w:val="003E6813"/>
    <w:rsid w:val="003F77EE"/>
    <w:rsid w:val="0040027B"/>
    <w:rsid w:val="0040561C"/>
    <w:rsid w:val="00405FBA"/>
    <w:rsid w:val="00407DB0"/>
    <w:rsid w:val="0041092A"/>
    <w:rsid w:val="00412B93"/>
    <w:rsid w:val="004248E2"/>
    <w:rsid w:val="0043096A"/>
    <w:rsid w:val="00435687"/>
    <w:rsid w:val="00440C3A"/>
    <w:rsid w:val="00443FD2"/>
    <w:rsid w:val="00450F23"/>
    <w:rsid w:val="00453A5E"/>
    <w:rsid w:val="00453CBD"/>
    <w:rsid w:val="00455CCF"/>
    <w:rsid w:val="0046250A"/>
    <w:rsid w:val="00466052"/>
    <w:rsid w:val="00466B30"/>
    <w:rsid w:val="00466CDB"/>
    <w:rsid w:val="0047038E"/>
    <w:rsid w:val="00474854"/>
    <w:rsid w:val="004768B5"/>
    <w:rsid w:val="00480F7B"/>
    <w:rsid w:val="00483862"/>
    <w:rsid w:val="00484190"/>
    <w:rsid w:val="00494A89"/>
    <w:rsid w:val="00496637"/>
    <w:rsid w:val="004A5EFF"/>
    <w:rsid w:val="004A60F4"/>
    <w:rsid w:val="004B0DE0"/>
    <w:rsid w:val="004B3EB7"/>
    <w:rsid w:val="004B6E36"/>
    <w:rsid w:val="004C2B18"/>
    <w:rsid w:val="004C630F"/>
    <w:rsid w:val="004D34CD"/>
    <w:rsid w:val="004D582C"/>
    <w:rsid w:val="004E06F1"/>
    <w:rsid w:val="004E1C48"/>
    <w:rsid w:val="004F011B"/>
    <w:rsid w:val="004F2C65"/>
    <w:rsid w:val="004F7193"/>
    <w:rsid w:val="00506EEE"/>
    <w:rsid w:val="00507432"/>
    <w:rsid w:val="00516980"/>
    <w:rsid w:val="00521BA8"/>
    <w:rsid w:val="00521F88"/>
    <w:rsid w:val="00523A27"/>
    <w:rsid w:val="005318CE"/>
    <w:rsid w:val="005325F0"/>
    <w:rsid w:val="00534B86"/>
    <w:rsid w:val="005379E5"/>
    <w:rsid w:val="00537EC6"/>
    <w:rsid w:val="00554F72"/>
    <w:rsid w:val="00557172"/>
    <w:rsid w:val="00561537"/>
    <w:rsid w:val="00567A0F"/>
    <w:rsid w:val="00575F8D"/>
    <w:rsid w:val="005801E4"/>
    <w:rsid w:val="005859E0"/>
    <w:rsid w:val="00590DB3"/>
    <w:rsid w:val="005A312B"/>
    <w:rsid w:val="005A3A8E"/>
    <w:rsid w:val="005A499A"/>
    <w:rsid w:val="005B50FE"/>
    <w:rsid w:val="005B6236"/>
    <w:rsid w:val="005C5FE2"/>
    <w:rsid w:val="005D5C2A"/>
    <w:rsid w:val="005D72B5"/>
    <w:rsid w:val="005E1F2C"/>
    <w:rsid w:val="005E2185"/>
    <w:rsid w:val="005E4620"/>
    <w:rsid w:val="005E64C4"/>
    <w:rsid w:val="005F34B4"/>
    <w:rsid w:val="0060422F"/>
    <w:rsid w:val="006068E2"/>
    <w:rsid w:val="00606BF1"/>
    <w:rsid w:val="00607271"/>
    <w:rsid w:val="006072A0"/>
    <w:rsid w:val="006135AB"/>
    <w:rsid w:val="006345C6"/>
    <w:rsid w:val="00637485"/>
    <w:rsid w:val="006375DD"/>
    <w:rsid w:val="0064291B"/>
    <w:rsid w:val="00643BE0"/>
    <w:rsid w:val="00652783"/>
    <w:rsid w:val="00655B24"/>
    <w:rsid w:val="006619C8"/>
    <w:rsid w:val="00664763"/>
    <w:rsid w:val="00666002"/>
    <w:rsid w:val="00666ED0"/>
    <w:rsid w:val="00670790"/>
    <w:rsid w:val="00670E78"/>
    <w:rsid w:val="00675585"/>
    <w:rsid w:val="0068446F"/>
    <w:rsid w:val="0069059D"/>
    <w:rsid w:val="006A0CDF"/>
    <w:rsid w:val="006A1032"/>
    <w:rsid w:val="006A7ABD"/>
    <w:rsid w:val="006B11CA"/>
    <w:rsid w:val="006C0DF2"/>
    <w:rsid w:val="006C400D"/>
    <w:rsid w:val="006C6503"/>
    <w:rsid w:val="006D2C01"/>
    <w:rsid w:val="006E06AD"/>
    <w:rsid w:val="006E0DF0"/>
    <w:rsid w:val="006E169E"/>
    <w:rsid w:val="006E3ABA"/>
    <w:rsid w:val="006E401A"/>
    <w:rsid w:val="006F3B8C"/>
    <w:rsid w:val="00700502"/>
    <w:rsid w:val="00700764"/>
    <w:rsid w:val="00703EBC"/>
    <w:rsid w:val="00705025"/>
    <w:rsid w:val="00706673"/>
    <w:rsid w:val="00721ED1"/>
    <w:rsid w:val="007231C4"/>
    <w:rsid w:val="007347B8"/>
    <w:rsid w:val="007364C8"/>
    <w:rsid w:val="0075117C"/>
    <w:rsid w:val="00751643"/>
    <w:rsid w:val="00771375"/>
    <w:rsid w:val="007941D3"/>
    <w:rsid w:val="007A139F"/>
    <w:rsid w:val="007B0DDE"/>
    <w:rsid w:val="007B4BD4"/>
    <w:rsid w:val="007C7BE7"/>
    <w:rsid w:val="007D0358"/>
    <w:rsid w:val="007D618F"/>
    <w:rsid w:val="007D6F02"/>
    <w:rsid w:val="007E2AD3"/>
    <w:rsid w:val="007E6072"/>
    <w:rsid w:val="007F677F"/>
    <w:rsid w:val="00802FB2"/>
    <w:rsid w:val="00803E2C"/>
    <w:rsid w:val="008061D0"/>
    <w:rsid w:val="008115C7"/>
    <w:rsid w:val="00813058"/>
    <w:rsid w:val="00816160"/>
    <w:rsid w:val="00820021"/>
    <w:rsid w:val="00833B24"/>
    <w:rsid w:val="00833E9D"/>
    <w:rsid w:val="00834D07"/>
    <w:rsid w:val="0083514C"/>
    <w:rsid w:val="00837C8E"/>
    <w:rsid w:val="008406AA"/>
    <w:rsid w:val="008437E6"/>
    <w:rsid w:val="008447D1"/>
    <w:rsid w:val="008563E7"/>
    <w:rsid w:val="008565B3"/>
    <w:rsid w:val="008660A0"/>
    <w:rsid w:val="00866111"/>
    <w:rsid w:val="00872BDF"/>
    <w:rsid w:val="00874CD5"/>
    <w:rsid w:val="00885DAC"/>
    <w:rsid w:val="00887B0E"/>
    <w:rsid w:val="008926D2"/>
    <w:rsid w:val="0089355C"/>
    <w:rsid w:val="0089514C"/>
    <w:rsid w:val="008A3F4A"/>
    <w:rsid w:val="008B2D78"/>
    <w:rsid w:val="008B5294"/>
    <w:rsid w:val="008C6468"/>
    <w:rsid w:val="008D419F"/>
    <w:rsid w:val="008D6A2F"/>
    <w:rsid w:val="008D7232"/>
    <w:rsid w:val="008E215E"/>
    <w:rsid w:val="008F253E"/>
    <w:rsid w:val="00904A36"/>
    <w:rsid w:val="00906AF7"/>
    <w:rsid w:val="00917DA7"/>
    <w:rsid w:val="0092123B"/>
    <w:rsid w:val="00924FCB"/>
    <w:rsid w:val="009264E6"/>
    <w:rsid w:val="00935902"/>
    <w:rsid w:val="009379B3"/>
    <w:rsid w:val="00942979"/>
    <w:rsid w:val="009506AF"/>
    <w:rsid w:val="0095727E"/>
    <w:rsid w:val="00960C7E"/>
    <w:rsid w:val="00961DC4"/>
    <w:rsid w:val="00964E4A"/>
    <w:rsid w:val="00965986"/>
    <w:rsid w:val="0096692A"/>
    <w:rsid w:val="00967403"/>
    <w:rsid w:val="00980269"/>
    <w:rsid w:val="009977C2"/>
    <w:rsid w:val="009A0CC6"/>
    <w:rsid w:val="009A3026"/>
    <w:rsid w:val="009A39A9"/>
    <w:rsid w:val="009A5772"/>
    <w:rsid w:val="009A5CE0"/>
    <w:rsid w:val="009B0BE4"/>
    <w:rsid w:val="009C533E"/>
    <w:rsid w:val="009C66D2"/>
    <w:rsid w:val="009D35B5"/>
    <w:rsid w:val="009E0F7A"/>
    <w:rsid w:val="009E13DC"/>
    <w:rsid w:val="009E176B"/>
    <w:rsid w:val="009E3C8A"/>
    <w:rsid w:val="009E5DC7"/>
    <w:rsid w:val="009E654E"/>
    <w:rsid w:val="009E7726"/>
    <w:rsid w:val="009F0F64"/>
    <w:rsid w:val="00A05497"/>
    <w:rsid w:val="00A05F37"/>
    <w:rsid w:val="00A07DFA"/>
    <w:rsid w:val="00A15447"/>
    <w:rsid w:val="00A22C6E"/>
    <w:rsid w:val="00A2697F"/>
    <w:rsid w:val="00A27B08"/>
    <w:rsid w:val="00A4205F"/>
    <w:rsid w:val="00A441AF"/>
    <w:rsid w:val="00A54258"/>
    <w:rsid w:val="00A55ECA"/>
    <w:rsid w:val="00A67716"/>
    <w:rsid w:val="00A7050A"/>
    <w:rsid w:val="00A743D7"/>
    <w:rsid w:val="00A75E1E"/>
    <w:rsid w:val="00A82B38"/>
    <w:rsid w:val="00A91509"/>
    <w:rsid w:val="00A96140"/>
    <w:rsid w:val="00AA68F7"/>
    <w:rsid w:val="00AA73B6"/>
    <w:rsid w:val="00AC0213"/>
    <w:rsid w:val="00AC3523"/>
    <w:rsid w:val="00AC4B92"/>
    <w:rsid w:val="00AD0968"/>
    <w:rsid w:val="00AD2B97"/>
    <w:rsid w:val="00AD32EB"/>
    <w:rsid w:val="00AE310A"/>
    <w:rsid w:val="00AF3830"/>
    <w:rsid w:val="00B124E0"/>
    <w:rsid w:val="00B17DE6"/>
    <w:rsid w:val="00B23E2F"/>
    <w:rsid w:val="00B24275"/>
    <w:rsid w:val="00B343CB"/>
    <w:rsid w:val="00B34D62"/>
    <w:rsid w:val="00B36DC9"/>
    <w:rsid w:val="00B54575"/>
    <w:rsid w:val="00B56033"/>
    <w:rsid w:val="00B56DF5"/>
    <w:rsid w:val="00B60937"/>
    <w:rsid w:val="00B7051C"/>
    <w:rsid w:val="00B75088"/>
    <w:rsid w:val="00B7562B"/>
    <w:rsid w:val="00B81689"/>
    <w:rsid w:val="00B82663"/>
    <w:rsid w:val="00B94DA6"/>
    <w:rsid w:val="00B95141"/>
    <w:rsid w:val="00B97E06"/>
    <w:rsid w:val="00BA1124"/>
    <w:rsid w:val="00BA2604"/>
    <w:rsid w:val="00BA3154"/>
    <w:rsid w:val="00BA58EB"/>
    <w:rsid w:val="00BA6B8C"/>
    <w:rsid w:val="00BB032A"/>
    <w:rsid w:val="00BB07CD"/>
    <w:rsid w:val="00BB0BF9"/>
    <w:rsid w:val="00BB0D30"/>
    <w:rsid w:val="00BB5CEC"/>
    <w:rsid w:val="00BC0DCB"/>
    <w:rsid w:val="00BC2E59"/>
    <w:rsid w:val="00BC3E78"/>
    <w:rsid w:val="00BC672F"/>
    <w:rsid w:val="00BC6868"/>
    <w:rsid w:val="00BD24EB"/>
    <w:rsid w:val="00BE514B"/>
    <w:rsid w:val="00C13752"/>
    <w:rsid w:val="00C25BFE"/>
    <w:rsid w:val="00C3070A"/>
    <w:rsid w:val="00C32759"/>
    <w:rsid w:val="00C33630"/>
    <w:rsid w:val="00C4203F"/>
    <w:rsid w:val="00C43A87"/>
    <w:rsid w:val="00C441C8"/>
    <w:rsid w:val="00C464BC"/>
    <w:rsid w:val="00C5427E"/>
    <w:rsid w:val="00C542A9"/>
    <w:rsid w:val="00C60AF1"/>
    <w:rsid w:val="00C657FA"/>
    <w:rsid w:val="00C71A2D"/>
    <w:rsid w:val="00C75A3C"/>
    <w:rsid w:val="00C86481"/>
    <w:rsid w:val="00C86987"/>
    <w:rsid w:val="00C86AA1"/>
    <w:rsid w:val="00C94806"/>
    <w:rsid w:val="00C94ED7"/>
    <w:rsid w:val="00C9664F"/>
    <w:rsid w:val="00CA3441"/>
    <w:rsid w:val="00CB2339"/>
    <w:rsid w:val="00CB6120"/>
    <w:rsid w:val="00CB724D"/>
    <w:rsid w:val="00CB791F"/>
    <w:rsid w:val="00CB7F4A"/>
    <w:rsid w:val="00CC2A70"/>
    <w:rsid w:val="00CC3381"/>
    <w:rsid w:val="00CD1E1B"/>
    <w:rsid w:val="00CE17DC"/>
    <w:rsid w:val="00CE300C"/>
    <w:rsid w:val="00CE4B53"/>
    <w:rsid w:val="00CE7BB0"/>
    <w:rsid w:val="00CE7C75"/>
    <w:rsid w:val="00CF1073"/>
    <w:rsid w:val="00CF4D24"/>
    <w:rsid w:val="00CF74BB"/>
    <w:rsid w:val="00D00E91"/>
    <w:rsid w:val="00D019BB"/>
    <w:rsid w:val="00D02311"/>
    <w:rsid w:val="00D03447"/>
    <w:rsid w:val="00D10165"/>
    <w:rsid w:val="00D12950"/>
    <w:rsid w:val="00D17E6E"/>
    <w:rsid w:val="00D2094E"/>
    <w:rsid w:val="00D23BD2"/>
    <w:rsid w:val="00D2779D"/>
    <w:rsid w:val="00D30EAC"/>
    <w:rsid w:val="00D33EEA"/>
    <w:rsid w:val="00D4035D"/>
    <w:rsid w:val="00D44DBB"/>
    <w:rsid w:val="00D50249"/>
    <w:rsid w:val="00D5133B"/>
    <w:rsid w:val="00D56286"/>
    <w:rsid w:val="00D82C20"/>
    <w:rsid w:val="00D847A0"/>
    <w:rsid w:val="00D95B60"/>
    <w:rsid w:val="00DA526F"/>
    <w:rsid w:val="00DB1F96"/>
    <w:rsid w:val="00DB6329"/>
    <w:rsid w:val="00DC48FC"/>
    <w:rsid w:val="00DC7136"/>
    <w:rsid w:val="00DD5683"/>
    <w:rsid w:val="00DE2338"/>
    <w:rsid w:val="00DE6A29"/>
    <w:rsid w:val="00DF3025"/>
    <w:rsid w:val="00DF6BCF"/>
    <w:rsid w:val="00E022B1"/>
    <w:rsid w:val="00E05878"/>
    <w:rsid w:val="00E07D12"/>
    <w:rsid w:val="00E104B2"/>
    <w:rsid w:val="00E13399"/>
    <w:rsid w:val="00E17CAD"/>
    <w:rsid w:val="00E226EC"/>
    <w:rsid w:val="00E36C16"/>
    <w:rsid w:val="00E40BC0"/>
    <w:rsid w:val="00E446CC"/>
    <w:rsid w:val="00E44FC6"/>
    <w:rsid w:val="00E6390E"/>
    <w:rsid w:val="00E65EEA"/>
    <w:rsid w:val="00E71328"/>
    <w:rsid w:val="00E72367"/>
    <w:rsid w:val="00E80164"/>
    <w:rsid w:val="00E85299"/>
    <w:rsid w:val="00E8551D"/>
    <w:rsid w:val="00E904CC"/>
    <w:rsid w:val="00E9249E"/>
    <w:rsid w:val="00E9724A"/>
    <w:rsid w:val="00EA41B8"/>
    <w:rsid w:val="00EA6703"/>
    <w:rsid w:val="00EB15EC"/>
    <w:rsid w:val="00EC2B7E"/>
    <w:rsid w:val="00EC6B00"/>
    <w:rsid w:val="00ED1F73"/>
    <w:rsid w:val="00ED5782"/>
    <w:rsid w:val="00ED7CCB"/>
    <w:rsid w:val="00EE31AA"/>
    <w:rsid w:val="00EE619A"/>
    <w:rsid w:val="00EE652E"/>
    <w:rsid w:val="00EE6BB5"/>
    <w:rsid w:val="00EF50A3"/>
    <w:rsid w:val="00EF6761"/>
    <w:rsid w:val="00F02BA5"/>
    <w:rsid w:val="00F037AF"/>
    <w:rsid w:val="00F03B1B"/>
    <w:rsid w:val="00F10329"/>
    <w:rsid w:val="00F11348"/>
    <w:rsid w:val="00F12F87"/>
    <w:rsid w:val="00F15B4E"/>
    <w:rsid w:val="00F174A1"/>
    <w:rsid w:val="00F24548"/>
    <w:rsid w:val="00F27342"/>
    <w:rsid w:val="00F423C1"/>
    <w:rsid w:val="00F42CD0"/>
    <w:rsid w:val="00F42FC6"/>
    <w:rsid w:val="00F53CE6"/>
    <w:rsid w:val="00F62672"/>
    <w:rsid w:val="00F637EE"/>
    <w:rsid w:val="00F63F06"/>
    <w:rsid w:val="00F6524B"/>
    <w:rsid w:val="00F6696B"/>
    <w:rsid w:val="00F73FDA"/>
    <w:rsid w:val="00F77CCC"/>
    <w:rsid w:val="00F800ED"/>
    <w:rsid w:val="00F86551"/>
    <w:rsid w:val="00FA221B"/>
    <w:rsid w:val="00FA27EE"/>
    <w:rsid w:val="00FA31B4"/>
    <w:rsid w:val="00FB3EC2"/>
    <w:rsid w:val="00FB78D5"/>
    <w:rsid w:val="00FC46BB"/>
    <w:rsid w:val="00FE2927"/>
    <w:rsid w:val="00FE2CF1"/>
    <w:rsid w:val="00FE4E7A"/>
    <w:rsid w:val="00FE78D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F749-5BA3-4DA9-A4A7-3C879384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2017-05-18T05:36:00Z</cp:lastPrinted>
  <dcterms:created xsi:type="dcterms:W3CDTF">2018-01-24T02:38:00Z</dcterms:created>
  <dcterms:modified xsi:type="dcterms:W3CDTF">2018-01-24T02:38:00Z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670802cb-17d2-4d97-9809-efd2d2deef7b</vt:lpwstr>
  </property>
  <property fmtid="{D5CDD505-2E9C-101B-9397-08002B2CF9AE}" pid="3" name="PSPFClassification">
    <vt:lpwstr>Do Not Mark</vt:lpwstr>
  </property>
</Properties>
</file>