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Default="00E446CC" w:rsidP="00440C3A">
      <w:pPr>
        <w:pStyle w:val="Subtitle"/>
        <w:rPr>
          <w:rFonts w:asciiTheme="minorHAnsi" w:hAnsiTheme="minorHAnsi" w:cstheme="minorHAnsi"/>
          <w:sz w:val="28"/>
          <w:szCs w:val="28"/>
        </w:rPr>
      </w:pPr>
      <w:bookmarkStart w:id="0" w:name="_GoBack"/>
      <w:bookmarkEnd w:id="0"/>
      <w:r>
        <w:rPr>
          <w:rFonts w:asciiTheme="minorHAnsi" w:hAnsiTheme="minorHAnsi" w:cstheme="minorHAnsi"/>
          <w:sz w:val="28"/>
          <w:szCs w:val="28"/>
        </w:rPr>
        <w:t>March</w:t>
      </w:r>
      <w:r w:rsidR="00ED7CCB">
        <w:rPr>
          <w:rFonts w:asciiTheme="minorHAnsi" w:hAnsiTheme="minorHAnsi" w:cstheme="minorHAnsi"/>
          <w:sz w:val="28"/>
          <w:szCs w:val="28"/>
        </w:rPr>
        <w:t xml:space="preserve"> 2017</w:t>
      </w:r>
    </w:p>
    <w:p w:rsidR="002751C4" w:rsidRPr="002751C4" w:rsidRDefault="002751C4" w:rsidP="002751C4">
      <w:pPr>
        <w:sectPr w:rsidR="002751C4" w:rsidRPr="002751C4"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p>
    <w:tbl>
      <w:tblPr>
        <w:tblW w:w="10456" w:type="dxa"/>
        <w:tblLayout w:type="fixed"/>
        <w:tblLook w:val="04A0" w:firstRow="1" w:lastRow="0" w:firstColumn="1" w:lastColumn="0" w:noHBand="0" w:noVBand="1"/>
      </w:tblPr>
      <w:tblGrid>
        <w:gridCol w:w="2992"/>
        <w:gridCol w:w="7464"/>
      </w:tblGrid>
      <w:tr w:rsidR="002751C4" w:rsidTr="002751C4">
        <w:trPr>
          <w:trHeight w:val="492"/>
        </w:trPr>
        <w:tc>
          <w:tcPr>
            <w:tcW w:w="2992" w:type="dxa"/>
          </w:tcPr>
          <w:p w:rsidR="002751C4" w:rsidRPr="00833E9D" w:rsidRDefault="002751C4" w:rsidP="00103711">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2751C4" w:rsidRPr="006469B4" w:rsidRDefault="00293A6B" w:rsidP="00293A6B">
            <w:pPr>
              <w:pStyle w:val="Note"/>
              <w:spacing w:after="0"/>
              <w:jc w:val="center"/>
              <w:rPr>
                <w:b/>
                <w:color w:val="707068" w:themeColor="background2" w:themeShade="80"/>
              </w:rPr>
            </w:pPr>
            <w:r>
              <w:rPr>
                <w:b/>
                <w:color w:val="707068" w:themeColor="background2" w:themeShade="80"/>
              </w:rPr>
              <w:t xml:space="preserve">     </w:t>
            </w:r>
            <w:r w:rsidR="002751C4" w:rsidRPr="006469B4">
              <w:rPr>
                <w:b/>
                <w:color w:val="707068" w:themeColor="background2" w:themeShade="80"/>
              </w:rPr>
              <w:t xml:space="preserve">By David Martine, Secretary, Department of Treasury and Finance </w:t>
            </w: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5899" w:type="dxa"/>
        <w:shd w:val="clear" w:color="auto" w:fill="99B8DC" w:themeFill="accent5"/>
        <w:tblLook w:val="04A0" w:firstRow="1" w:lastRow="0" w:firstColumn="1" w:lastColumn="0" w:noHBand="0" w:noVBand="1"/>
      </w:tblPr>
      <w:tblGrid>
        <w:gridCol w:w="1101"/>
        <w:gridCol w:w="2247"/>
        <w:gridCol w:w="2551"/>
      </w:tblGrid>
      <w:tr w:rsidR="002751C4" w:rsidRPr="00BB0BF9" w:rsidTr="00366ECD">
        <w:trPr>
          <w:gridAfter w:val="1"/>
          <w:wAfter w:w="2551" w:type="dxa"/>
          <w:trHeight w:val="8931"/>
        </w:trPr>
        <w:tc>
          <w:tcPr>
            <w:tcW w:w="3348" w:type="dxa"/>
            <w:gridSpan w:val="2"/>
            <w:shd w:val="clear" w:color="auto" w:fill="CCE3F5" w:themeFill="accent6"/>
          </w:tcPr>
          <w:p w:rsidR="002751C4" w:rsidRPr="00103711" w:rsidRDefault="008D6A2F" w:rsidP="008D6A2F">
            <w:pPr>
              <w:tabs>
                <w:tab w:val="left" w:pos="360"/>
              </w:tabs>
              <w:spacing w:before="200"/>
              <w:rPr>
                <w:b/>
                <w:color w:val="201547" w:themeColor="accent1"/>
                <w:sz w:val="32"/>
              </w:rPr>
            </w:pPr>
            <w:r>
              <w:rPr>
                <w:b/>
                <w:color w:val="201547" w:themeColor="accent1"/>
                <w:sz w:val="32"/>
              </w:rPr>
              <w:lastRenderedPageBreak/>
              <w:tab/>
            </w:r>
            <w:r w:rsidR="002751C4" w:rsidRPr="00103711">
              <w:rPr>
                <w:b/>
                <w:color w:val="201547" w:themeColor="accent1"/>
                <w:sz w:val="32"/>
              </w:rPr>
              <w:t>Highlights</w:t>
            </w:r>
          </w:p>
          <w:p w:rsidR="002751C4" w:rsidRPr="00567A0F" w:rsidRDefault="002751C4" w:rsidP="008D6A2F">
            <w:pPr>
              <w:pStyle w:val="Bullet-highlight"/>
              <w:ind w:left="360" w:hanging="360"/>
            </w:pPr>
            <w:r w:rsidRPr="00C464BC">
              <w:t xml:space="preserve">Victoria’s </w:t>
            </w:r>
            <w:r w:rsidRPr="00885DAC">
              <w:rPr>
                <w:b/>
              </w:rPr>
              <w:t>economy</w:t>
            </w:r>
            <w:r w:rsidRPr="00C464BC">
              <w:t xml:space="preserve"> rebounded strongly in the December quarter</w:t>
            </w:r>
            <w:r>
              <w:t xml:space="preserve"> 2016,</w:t>
            </w:r>
            <w:r w:rsidRPr="00C464BC">
              <w:t xml:space="preserve"> </w:t>
            </w:r>
            <w:r>
              <w:t>f</w:t>
            </w:r>
            <w:r w:rsidRPr="00C464BC">
              <w:t xml:space="preserve">ollowing a </w:t>
            </w:r>
            <w:r>
              <w:t xml:space="preserve">weather related </w:t>
            </w:r>
            <w:r w:rsidRPr="00C464BC">
              <w:t>contr</w:t>
            </w:r>
            <w:r w:rsidR="00F35DB8">
              <w:t>action in the September quarter</w:t>
            </w:r>
            <w:r w:rsidRPr="00C464BC">
              <w:t xml:space="preserve"> </w:t>
            </w:r>
          </w:p>
          <w:p w:rsidR="002751C4" w:rsidRPr="00590DB3" w:rsidRDefault="002751C4" w:rsidP="008D6A2F">
            <w:pPr>
              <w:pStyle w:val="Bullet-highlight"/>
              <w:ind w:left="360" w:hanging="360"/>
            </w:pPr>
            <w:r w:rsidRPr="00360F22">
              <w:t xml:space="preserve">Australian </w:t>
            </w:r>
            <w:r w:rsidRPr="00360F22">
              <w:rPr>
                <w:b/>
              </w:rPr>
              <w:t>GDP</w:t>
            </w:r>
            <w:r w:rsidRPr="00360F22">
              <w:t xml:space="preserve"> grew by 2.4 per cent in </w:t>
            </w:r>
            <w:r w:rsidR="009977C2" w:rsidRPr="00360F22">
              <w:t xml:space="preserve">the </w:t>
            </w:r>
            <w:r w:rsidRPr="00360F22">
              <w:t>2016</w:t>
            </w:r>
            <w:r w:rsidR="00F35DB8">
              <w:t xml:space="preserve"> </w:t>
            </w:r>
            <w:r w:rsidR="00F35DB8" w:rsidRPr="00360F22">
              <w:t>calendar year</w:t>
            </w:r>
            <w:r w:rsidRPr="00360F22">
              <w:t>, higher</w:t>
            </w:r>
            <w:r>
              <w:t xml:space="preserve"> than</w:t>
            </w:r>
            <w:r w:rsidRPr="00590DB3">
              <w:t xml:space="preserve"> market expectations</w:t>
            </w:r>
          </w:p>
          <w:p w:rsidR="008437E6" w:rsidRDefault="008437E6">
            <w:pPr>
              <w:pStyle w:val="Bullet-highlight"/>
              <w:ind w:left="360" w:hanging="360"/>
            </w:pPr>
            <w:r w:rsidRPr="008437E6">
              <w:t xml:space="preserve">Indicators of </w:t>
            </w:r>
            <w:r>
              <w:t xml:space="preserve">Victoria’s </w:t>
            </w:r>
            <w:r w:rsidRPr="008437E6">
              <w:rPr>
                <w:b/>
              </w:rPr>
              <w:t>manufacturing</w:t>
            </w:r>
            <w:r w:rsidRPr="008437E6">
              <w:t xml:space="preserve"> activity improved in February</w:t>
            </w:r>
          </w:p>
          <w:p w:rsidR="0034648C" w:rsidRDefault="002751C4">
            <w:pPr>
              <w:pStyle w:val="Bullet-highlight"/>
              <w:ind w:left="360" w:hanging="360"/>
            </w:pPr>
            <w:r w:rsidRPr="00567A0F">
              <w:t>Victoria</w:t>
            </w:r>
            <w:r w:rsidR="00014A00">
              <w:t xml:space="preserve">n </w:t>
            </w:r>
            <w:r w:rsidR="00014A00" w:rsidRPr="008437E6">
              <w:rPr>
                <w:b/>
              </w:rPr>
              <w:t>employment</w:t>
            </w:r>
            <w:r w:rsidR="00014A00">
              <w:t xml:space="preserve"> rose by 10 600 persons in February</w:t>
            </w:r>
          </w:p>
          <w:p w:rsidR="002751C4" w:rsidRDefault="008437E6">
            <w:pPr>
              <w:pStyle w:val="Bullet-highlight"/>
              <w:ind w:left="360" w:hanging="360"/>
            </w:pPr>
            <w:r>
              <w:t xml:space="preserve">The </w:t>
            </w:r>
            <w:r w:rsidRPr="00014A00">
              <w:rPr>
                <w:b/>
              </w:rPr>
              <w:t>US Fed</w:t>
            </w:r>
            <w:r>
              <w:t xml:space="preserve"> increased interest rates in March due to </w:t>
            </w:r>
            <w:r w:rsidR="002751C4">
              <w:t>stron</w:t>
            </w:r>
            <w:r>
              <w:t>g economic and employment data</w:t>
            </w:r>
          </w:p>
          <w:p w:rsidR="007364C8" w:rsidRPr="00BB0BF9" w:rsidRDefault="008437E6" w:rsidP="001D7B30">
            <w:pPr>
              <w:pStyle w:val="Bullet-highlight"/>
            </w:pPr>
            <w:r>
              <w:t>Global p</w:t>
            </w:r>
            <w:r w:rsidR="007364C8" w:rsidRPr="007364C8">
              <w:t xml:space="preserve">olitical </w:t>
            </w:r>
            <w:r w:rsidRPr="004E1C48">
              <w:rPr>
                <w:b/>
              </w:rPr>
              <w:t>uncertainty</w:t>
            </w:r>
            <w:r w:rsidR="007364C8" w:rsidRPr="007364C8">
              <w:t xml:space="preserve"> remain</w:t>
            </w:r>
            <w:r>
              <w:t>s elevated</w:t>
            </w:r>
            <w:r w:rsidR="007364C8" w:rsidRPr="007364C8">
              <w:t>, including around US trade p</w:t>
            </w:r>
            <w:r w:rsidR="007364C8">
              <w:t>olic</w:t>
            </w:r>
            <w:r>
              <w:t xml:space="preserve">y </w:t>
            </w:r>
            <w:r w:rsidR="007364C8">
              <w:t>and Brexit</w:t>
            </w:r>
          </w:p>
        </w:tc>
      </w:tr>
      <w:tr w:rsidR="002751C4" w:rsidTr="005164C2">
        <w:tblPrEx>
          <w:shd w:val="clear" w:color="auto" w:fill="auto"/>
        </w:tblPrEx>
        <w:tc>
          <w:tcPr>
            <w:tcW w:w="1101" w:type="dxa"/>
          </w:tcPr>
          <w:p w:rsidR="002751C4" w:rsidRDefault="002751C4" w:rsidP="005164C2">
            <w:pPr>
              <w:keepNext/>
            </w:pPr>
            <w:r>
              <w:rPr>
                <w:noProof/>
                <w:lang w:eastAsia="en-AU"/>
              </w:rPr>
              <w:lastRenderedPageBreak/>
              <w:drawing>
                <wp:inline distT="0" distB="0" distL="0" distR="0" wp14:anchorId="46D4F1E5" wp14:editId="7250C5AA">
                  <wp:extent cx="512935" cy="36000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798" w:type="dxa"/>
            <w:gridSpan w:val="2"/>
            <w:vAlign w:val="bottom"/>
          </w:tcPr>
          <w:p w:rsidR="002751C4" w:rsidRDefault="002751C4" w:rsidP="005164C2">
            <w:pPr>
              <w:pStyle w:val="Heading1"/>
            </w:pPr>
            <w:r>
              <w:t>Domestic developments</w:t>
            </w:r>
          </w:p>
        </w:tc>
      </w:tr>
    </w:tbl>
    <w:p w:rsidR="00B17DE6" w:rsidRPr="00B17DE6" w:rsidRDefault="00567A0F" w:rsidP="001B0E91">
      <w:r>
        <w:t>M</w:t>
      </w:r>
      <w:r w:rsidR="00A441AF">
        <w:t>acro</w:t>
      </w:r>
      <w:r w:rsidR="00B17DE6" w:rsidRPr="00B17DE6">
        <w:t xml:space="preserve">economic indicators </w:t>
      </w:r>
      <w:r>
        <w:t>released</w:t>
      </w:r>
      <w:r w:rsidR="00B17DE6" w:rsidRPr="00B17DE6">
        <w:t xml:space="preserve"> </w:t>
      </w:r>
      <w:r>
        <w:t xml:space="preserve">during the past four weeks point to </w:t>
      </w:r>
      <w:r w:rsidR="00B17DE6" w:rsidRPr="00B17DE6">
        <w:t xml:space="preserve">ongoing strength in the </w:t>
      </w:r>
      <w:r>
        <w:t xml:space="preserve">Victorian </w:t>
      </w:r>
      <w:r w:rsidR="00B17DE6" w:rsidRPr="00B17DE6">
        <w:t>economy</w:t>
      </w:r>
      <w:r>
        <w:t>.</w:t>
      </w:r>
    </w:p>
    <w:p w:rsidR="00567A0F" w:rsidRDefault="008C6468" w:rsidP="00567A0F">
      <w:r w:rsidRPr="00360F22">
        <w:t xml:space="preserve">Over the </w:t>
      </w:r>
      <w:r w:rsidR="009977C2" w:rsidRPr="00360F22">
        <w:t>2016</w:t>
      </w:r>
      <w:r w:rsidR="00655DCA">
        <w:t xml:space="preserve"> </w:t>
      </w:r>
      <w:r w:rsidR="00655DCA" w:rsidRPr="00360F22">
        <w:t>calendar year</w:t>
      </w:r>
      <w:r w:rsidRPr="00360F22">
        <w:t xml:space="preserve">, Victorian </w:t>
      </w:r>
      <w:r w:rsidRPr="00360F22">
        <w:rPr>
          <w:b/>
        </w:rPr>
        <w:t xml:space="preserve">state final demand </w:t>
      </w:r>
      <w:r w:rsidRPr="00360F22">
        <w:t>grew by 3.4</w:t>
      </w:r>
      <w:r w:rsidR="002751C4" w:rsidRPr="00360F22">
        <w:t> per cent</w:t>
      </w:r>
      <w:r w:rsidRPr="00360F22">
        <w:t>, higher than growth in national final demand.</w:t>
      </w:r>
      <w:r>
        <w:t xml:space="preserve"> </w:t>
      </w:r>
      <w:r w:rsidR="00567A0F">
        <w:t xml:space="preserve">Victorian </w:t>
      </w:r>
      <w:r w:rsidR="00567A0F" w:rsidRPr="008C6468">
        <w:t>state final demand</w:t>
      </w:r>
      <w:r w:rsidR="00567A0F">
        <w:t xml:space="preserve"> grew by 1.7</w:t>
      </w:r>
      <w:r w:rsidR="002751C4">
        <w:t> per cent</w:t>
      </w:r>
      <w:r w:rsidR="00567A0F">
        <w:t xml:space="preserve"> in the December quarter</w:t>
      </w:r>
      <w:r w:rsidR="00C464BC">
        <w:t xml:space="preserve"> 2016</w:t>
      </w:r>
      <w:r w:rsidR="00567A0F">
        <w:t xml:space="preserve">, the strongest </w:t>
      </w:r>
      <w:r w:rsidR="002F33B2">
        <w:t xml:space="preserve">growth rate of all the states. </w:t>
      </w:r>
      <w:r w:rsidR="00C464BC">
        <w:t xml:space="preserve">All components of state final demand increased in the quarter, </w:t>
      </w:r>
      <w:r w:rsidR="00567A0F">
        <w:t xml:space="preserve">with broad based growth in consumption, </w:t>
      </w:r>
      <w:r w:rsidR="000B4020">
        <w:t xml:space="preserve">business </w:t>
      </w:r>
      <w:r w:rsidR="00567A0F">
        <w:t xml:space="preserve">investment and public demand. </w:t>
      </w:r>
    </w:p>
    <w:p w:rsidR="00706673" w:rsidRDefault="00706673" w:rsidP="00706673">
      <w:r>
        <w:t xml:space="preserve">Australian </w:t>
      </w:r>
      <w:r w:rsidRPr="00360F22">
        <w:rPr>
          <w:b/>
        </w:rPr>
        <w:t>GDP</w:t>
      </w:r>
      <w:r>
        <w:t xml:space="preserve"> grew by </w:t>
      </w:r>
      <w:r w:rsidR="008C6468" w:rsidRPr="00360F22">
        <w:t>2.4</w:t>
      </w:r>
      <w:r w:rsidR="002751C4" w:rsidRPr="00360F22">
        <w:t> per cent</w:t>
      </w:r>
      <w:r w:rsidR="008C6468" w:rsidRPr="00360F22">
        <w:t xml:space="preserve"> over the</w:t>
      </w:r>
      <w:r w:rsidR="009977C2" w:rsidRPr="00360F22">
        <w:t xml:space="preserve"> </w:t>
      </w:r>
      <w:r w:rsidR="009977C2">
        <w:t xml:space="preserve">2016 </w:t>
      </w:r>
      <w:r w:rsidR="00655DCA" w:rsidRPr="00360F22">
        <w:t>calendar year</w:t>
      </w:r>
      <w:r w:rsidR="00655DCA">
        <w:t xml:space="preserve"> </w:t>
      </w:r>
      <w:r w:rsidR="008C6468">
        <w:t xml:space="preserve">and </w:t>
      </w:r>
      <w:r w:rsidR="00270AF2">
        <w:t>1.2</w:t>
      </w:r>
      <w:r w:rsidR="002751C4">
        <w:t> per cent</w:t>
      </w:r>
      <w:r>
        <w:t xml:space="preserve"> </w:t>
      </w:r>
      <w:r w:rsidR="004E1C48">
        <w:t>in</w:t>
      </w:r>
      <w:r>
        <w:t xml:space="preserve"> the quarter</w:t>
      </w:r>
      <w:r w:rsidR="008C6468">
        <w:t xml:space="preserve">, </w:t>
      </w:r>
      <w:r w:rsidR="00C441C8">
        <w:t>above</w:t>
      </w:r>
      <w:r>
        <w:t xml:space="preserve"> market expectations.</w:t>
      </w:r>
    </w:p>
    <w:p w:rsidR="002068A8" w:rsidRDefault="002068A8" w:rsidP="000B4020">
      <w:pPr>
        <w:rPr>
          <w:rFonts w:ascii="Helv" w:hAnsi="Helv" w:cs="Helv"/>
          <w:color w:val="000000"/>
          <w:sz w:val="20"/>
          <w:szCs w:val="20"/>
        </w:rPr>
      </w:pPr>
      <w:r>
        <w:t xml:space="preserve">Victoria’s </w:t>
      </w:r>
      <w:r w:rsidRPr="00B95141">
        <w:rPr>
          <w:b/>
        </w:rPr>
        <w:t>trade</w:t>
      </w:r>
      <w:r>
        <w:t xml:space="preserve"> performance detracted from econ</w:t>
      </w:r>
      <w:r w:rsidR="00212251">
        <w:t xml:space="preserve">omic growth during the quarter. Export volumes fell slightly, </w:t>
      </w:r>
      <w:r>
        <w:t>driven by goods export</w:t>
      </w:r>
      <w:r w:rsidR="00212251">
        <w:t xml:space="preserve">s, while service exports increased modestly. </w:t>
      </w:r>
      <w:r w:rsidR="008C6468">
        <w:t>This was offset by a moderate increase in the</w:t>
      </w:r>
      <w:r w:rsidRPr="00212251">
        <w:t xml:space="preserve"> volume of Victorian imports</w:t>
      </w:r>
      <w:r w:rsidR="00212251" w:rsidRPr="00212251">
        <w:t>.</w:t>
      </w:r>
    </w:p>
    <w:p w:rsidR="00114E7A" w:rsidRDefault="00347BE0" w:rsidP="00BB07CD">
      <w:r w:rsidRPr="00347BE0">
        <w:t xml:space="preserve">Victoria's </w:t>
      </w:r>
      <w:r w:rsidRPr="00B95141">
        <w:rPr>
          <w:b/>
        </w:rPr>
        <w:t>Performance of Manufacturing Index</w:t>
      </w:r>
      <w:r w:rsidRPr="00347BE0">
        <w:t xml:space="preserve"> </w:t>
      </w:r>
      <w:r w:rsidR="000F167A">
        <w:t xml:space="preserve">increased to 59.6 points in </w:t>
      </w:r>
      <w:r w:rsidR="00BB07CD" w:rsidRPr="00360F22">
        <w:t>February</w:t>
      </w:r>
      <w:r w:rsidR="000F167A">
        <w:t>,</w:t>
      </w:r>
      <w:r w:rsidR="00BB07CD">
        <w:t xml:space="preserve"> its </w:t>
      </w:r>
      <w:r w:rsidRPr="00347BE0">
        <w:t xml:space="preserve">highest level </w:t>
      </w:r>
      <w:r w:rsidR="00BB07CD">
        <w:t>in nine years</w:t>
      </w:r>
      <w:r w:rsidRPr="00347BE0">
        <w:t xml:space="preserve">. </w:t>
      </w:r>
      <w:r w:rsidR="000F167A" w:rsidRPr="000F167A">
        <w:t>A reading above 50 points indicates that manufacturing</w:t>
      </w:r>
      <w:r w:rsidR="00507432">
        <w:t xml:space="preserve"> activity</w:t>
      </w:r>
      <w:r w:rsidR="000F167A" w:rsidRPr="000F167A">
        <w:t xml:space="preserve"> is expanding</w:t>
      </w:r>
      <w:r w:rsidR="000F167A">
        <w:t>.</w:t>
      </w:r>
    </w:p>
    <w:p w:rsidR="00360F22" w:rsidRDefault="00360F22" w:rsidP="00834D07"/>
    <w:p w:rsidR="00360F22" w:rsidRDefault="00360F22" w:rsidP="00834D07">
      <w:pPr>
        <w:sectPr w:rsidR="00360F22" w:rsidSect="002751C4">
          <w:headerReference w:type="default" r:id="rId16"/>
          <w:footerReference w:type="default" r:id="rId17"/>
          <w:type w:val="continuous"/>
          <w:pgSz w:w="11906" w:h="16838" w:code="9"/>
          <w:pgMar w:top="964" w:right="1134" w:bottom="794" w:left="1134" w:header="709" w:footer="567" w:gutter="0"/>
          <w:cols w:num="2" w:space="562" w:equalWidth="0">
            <w:col w:w="3355" w:space="562"/>
            <w:col w:w="5721"/>
          </w:cols>
          <w:docGrid w:linePitch="360"/>
        </w:sectPr>
      </w:pPr>
    </w:p>
    <w:p w:rsidR="00360F22" w:rsidRDefault="00360F22" w:rsidP="00834D07">
      <w:pPr>
        <w:sectPr w:rsidR="00360F22" w:rsidSect="002751C4">
          <w:type w:val="continuous"/>
          <w:pgSz w:w="11906" w:h="16838" w:code="9"/>
          <w:pgMar w:top="964" w:right="1134" w:bottom="794" w:left="1134" w:header="709" w:footer="567" w:gutter="0"/>
          <w:cols w:num="2" w:space="562"/>
          <w:docGrid w:linePitch="360"/>
        </w:sectPr>
      </w:pPr>
    </w:p>
    <w:p w:rsidR="003952AA" w:rsidRDefault="003952AA" w:rsidP="003952AA">
      <w:r w:rsidRPr="003952AA">
        <w:lastRenderedPageBreak/>
        <w:t xml:space="preserve">Survey measures of Victorian </w:t>
      </w:r>
      <w:r w:rsidRPr="003952AA">
        <w:rPr>
          <w:b/>
        </w:rPr>
        <w:t>business conditions</w:t>
      </w:r>
      <w:r w:rsidRPr="003952AA">
        <w:t xml:space="preserve"> have been above average for some time and Victorian </w:t>
      </w:r>
      <w:r w:rsidRPr="003952AA">
        <w:rPr>
          <w:b/>
        </w:rPr>
        <w:t>business confidence</w:t>
      </w:r>
      <w:r w:rsidRPr="003952AA">
        <w:t xml:space="preserve"> has increased sharply over the past few months.</w:t>
      </w:r>
    </w:p>
    <w:p w:rsidR="00B95141" w:rsidRDefault="00480F7B" w:rsidP="00834D07">
      <w:r w:rsidRPr="00B95141">
        <w:t xml:space="preserve">Victorian </w:t>
      </w:r>
      <w:r w:rsidRPr="00CC3381">
        <w:rPr>
          <w:b/>
        </w:rPr>
        <w:t>employment</w:t>
      </w:r>
      <w:r w:rsidRPr="001A1164">
        <w:t xml:space="preserve"> </w:t>
      </w:r>
      <w:r w:rsidR="00014A00">
        <w:t xml:space="preserve">rose by </w:t>
      </w:r>
      <w:r w:rsidRPr="00B95141">
        <w:t>0.3</w:t>
      </w:r>
      <w:r w:rsidR="002751C4">
        <w:t> per cent</w:t>
      </w:r>
      <w:r w:rsidR="00A15447" w:rsidRPr="00B95141">
        <w:t xml:space="preserve"> in </w:t>
      </w:r>
      <w:r w:rsidR="00014A00">
        <w:t>Febr</w:t>
      </w:r>
      <w:r w:rsidR="00A15447" w:rsidRPr="00B95141">
        <w:t xml:space="preserve">uary, </w:t>
      </w:r>
      <w:r w:rsidR="00014A00">
        <w:t>due to gains i</w:t>
      </w:r>
      <w:r w:rsidR="00A15447" w:rsidRPr="00B95141">
        <w:t xml:space="preserve">n </w:t>
      </w:r>
      <w:r w:rsidR="00014A00">
        <w:t xml:space="preserve">both </w:t>
      </w:r>
      <w:r w:rsidRPr="00B95141">
        <w:t>full</w:t>
      </w:r>
      <w:r w:rsidR="007B0DDE">
        <w:t xml:space="preserve"> </w:t>
      </w:r>
      <w:r w:rsidRPr="00B95141">
        <w:t xml:space="preserve">time </w:t>
      </w:r>
      <w:r w:rsidR="00014A00">
        <w:t>and</w:t>
      </w:r>
      <w:r w:rsidRPr="00B95141">
        <w:t xml:space="preserve"> part-time employment</w:t>
      </w:r>
      <w:r w:rsidR="00A15447" w:rsidRPr="00B95141">
        <w:t xml:space="preserve">. </w:t>
      </w:r>
      <w:r w:rsidRPr="00B95141">
        <w:t xml:space="preserve">Over the year, Victorian employment rose by </w:t>
      </w:r>
      <w:r w:rsidR="00014A00">
        <w:t xml:space="preserve">97 300 </w:t>
      </w:r>
      <w:r w:rsidRPr="00B95141">
        <w:t>persons (+3.</w:t>
      </w:r>
      <w:r w:rsidR="00014A00">
        <w:t>2 </w:t>
      </w:r>
      <w:r w:rsidR="002751C4">
        <w:t>per cent</w:t>
      </w:r>
      <w:r w:rsidRPr="00B95141">
        <w:t>)</w:t>
      </w:r>
      <w:r w:rsidR="00A15447" w:rsidRPr="00B95141">
        <w:t xml:space="preserve">, </w:t>
      </w:r>
      <w:r w:rsidRPr="00B95141">
        <w:t>the h</w:t>
      </w:r>
      <w:r w:rsidR="00A15447" w:rsidRPr="00B95141">
        <w:t xml:space="preserve">ighest annual growth among the states. </w:t>
      </w:r>
      <w:r w:rsidR="00B95141">
        <w:t xml:space="preserve"> </w:t>
      </w:r>
      <w:r w:rsidRPr="001A1164">
        <w:t xml:space="preserve">Victoria's unemployment rate </w:t>
      </w:r>
      <w:r w:rsidR="00014A00">
        <w:t>increased to 6.1</w:t>
      </w:r>
      <w:r w:rsidR="002751C4">
        <w:t> per cent</w:t>
      </w:r>
      <w:r w:rsidR="006C400D">
        <w:t xml:space="preserve"> in February</w:t>
      </w:r>
      <w:r w:rsidR="00B95141" w:rsidRPr="001A1164">
        <w:t>,</w:t>
      </w:r>
      <w:r w:rsidRPr="001A1164">
        <w:t xml:space="preserve"> </w:t>
      </w:r>
      <w:r w:rsidR="002414D2">
        <w:t>partly due to</w:t>
      </w:r>
      <w:r w:rsidRPr="001A1164">
        <w:t xml:space="preserve"> a 0.</w:t>
      </w:r>
      <w:r w:rsidR="00014A00">
        <w:t>3</w:t>
      </w:r>
      <w:r w:rsidR="002414D2">
        <w:t> </w:t>
      </w:r>
      <w:r w:rsidRPr="001A1164">
        <w:t xml:space="preserve">percentage points </w:t>
      </w:r>
      <w:r w:rsidR="00014A00">
        <w:t>increase</w:t>
      </w:r>
      <w:r w:rsidR="00014A00" w:rsidRPr="001A1164">
        <w:t xml:space="preserve"> </w:t>
      </w:r>
      <w:r w:rsidRPr="001A1164">
        <w:t xml:space="preserve">in the participation rate. </w:t>
      </w:r>
    </w:p>
    <w:p w:rsidR="00F53CE6" w:rsidRDefault="00554F72" w:rsidP="0040027B">
      <w:r w:rsidRPr="00F53CE6">
        <w:t xml:space="preserve">Victorian </w:t>
      </w:r>
      <w:r w:rsidRPr="00BB0D30">
        <w:rPr>
          <w:b/>
        </w:rPr>
        <w:t>wages</w:t>
      </w:r>
      <w:r w:rsidRPr="00F53CE6">
        <w:t xml:space="preserve"> grew by 0.4</w:t>
      </w:r>
      <w:r>
        <w:t> per cent</w:t>
      </w:r>
      <w:r w:rsidRPr="00F53CE6">
        <w:t xml:space="preserve"> in the December quarter to be</w:t>
      </w:r>
      <w:r>
        <w:t xml:space="preserve"> only</w:t>
      </w:r>
      <w:r w:rsidRPr="00F53CE6">
        <w:t xml:space="preserve"> 1.9</w:t>
      </w:r>
      <w:r>
        <w:t> per cent</w:t>
      </w:r>
      <w:r w:rsidRPr="00F53CE6">
        <w:t xml:space="preserve"> higher than one year ago.</w:t>
      </w:r>
      <w:r>
        <w:t xml:space="preserve"> </w:t>
      </w:r>
      <w:r w:rsidR="001E7D7B">
        <w:t>S</w:t>
      </w:r>
      <w:r w:rsidR="00637485">
        <w:t>pare</w:t>
      </w:r>
      <w:r w:rsidR="001E7D7B">
        <w:t xml:space="preserve"> capacity in the labour market </w:t>
      </w:r>
      <w:r w:rsidR="00CB6120">
        <w:t xml:space="preserve">is one of the </w:t>
      </w:r>
      <w:r w:rsidR="001E7D7B">
        <w:t>key factor</w:t>
      </w:r>
      <w:r w:rsidR="00CB6120">
        <w:t>s</w:t>
      </w:r>
      <w:r w:rsidR="000B4020">
        <w:t xml:space="preserve"> </w:t>
      </w:r>
      <w:r w:rsidR="00130B73">
        <w:t xml:space="preserve">weighing on </w:t>
      </w:r>
      <w:r>
        <w:t xml:space="preserve">wages </w:t>
      </w:r>
      <w:r w:rsidR="001E7D7B">
        <w:t xml:space="preserve">growth. </w:t>
      </w:r>
    </w:p>
    <w:p w:rsidR="00480F7B" w:rsidRDefault="006E169E" w:rsidP="00480F7B">
      <w:r>
        <w:t>T</w:t>
      </w:r>
      <w:r w:rsidR="0040027B">
        <w:t xml:space="preserve">he value of Victoria’s </w:t>
      </w:r>
      <w:r w:rsidR="0040027B" w:rsidRPr="001E7D7B">
        <w:rPr>
          <w:b/>
        </w:rPr>
        <w:t>retail sales</w:t>
      </w:r>
      <w:r w:rsidR="007B0DDE">
        <w:t xml:space="preserve"> grew by 1.1</w:t>
      </w:r>
      <w:r w:rsidR="002751C4">
        <w:t> per cent</w:t>
      </w:r>
      <w:r w:rsidR="0040027B">
        <w:t xml:space="preserve"> in January 2017, the highest growth rate of all the states. Over the year, </w:t>
      </w:r>
      <w:r w:rsidR="00022C95">
        <w:t>Victoria's retail sales increased by 3.8</w:t>
      </w:r>
      <w:r w:rsidR="002751C4">
        <w:t> per cent</w:t>
      </w:r>
      <w:r w:rsidR="00022C95">
        <w:t xml:space="preserve">. </w:t>
      </w:r>
      <w:r w:rsidR="00480F7B" w:rsidRPr="00480F7B">
        <w:t xml:space="preserve">The Victorian </w:t>
      </w:r>
      <w:r w:rsidR="00480F7B" w:rsidRPr="001E7D7B">
        <w:rPr>
          <w:b/>
        </w:rPr>
        <w:t>Consumer Sentiment Index</w:t>
      </w:r>
      <w:r w:rsidR="00480F7B" w:rsidRPr="00480F7B">
        <w:t xml:space="preserve"> fell by 2.9</w:t>
      </w:r>
      <w:r w:rsidR="002751C4">
        <w:t> per cent</w:t>
      </w:r>
      <w:r w:rsidR="00480F7B" w:rsidRPr="00480F7B">
        <w:t xml:space="preserve"> to 100.7 in February, but remains in </w:t>
      </w:r>
      <w:r w:rsidR="00022C95">
        <w:t>optimistic</w:t>
      </w:r>
      <w:r w:rsidR="00480F7B" w:rsidRPr="00480F7B">
        <w:t xml:space="preserve"> territory.</w:t>
      </w:r>
    </w:p>
    <w:p w:rsidR="008C6468" w:rsidRDefault="008C6468" w:rsidP="00B17DE6">
      <w:r>
        <w:t xml:space="preserve">Strong house price </w:t>
      </w:r>
      <w:r w:rsidR="006E169E">
        <w:t>growth</w:t>
      </w:r>
      <w:r>
        <w:t xml:space="preserve"> and ongoing demand for housing </w:t>
      </w:r>
      <w:r w:rsidR="00DB1F96" w:rsidRPr="00360F22">
        <w:t>are stimulating</w:t>
      </w:r>
      <w:r w:rsidR="00DB1F96" w:rsidRPr="00360F22">
        <w:rPr>
          <w:strike/>
        </w:rPr>
        <w:t xml:space="preserve"> </w:t>
      </w:r>
      <w:r>
        <w:t xml:space="preserve">residential construction. </w:t>
      </w:r>
      <w:r w:rsidR="000B4020">
        <w:t xml:space="preserve">The </w:t>
      </w:r>
      <w:proofErr w:type="spellStart"/>
      <w:r w:rsidR="000B4020" w:rsidRPr="000B4020">
        <w:rPr>
          <w:b/>
        </w:rPr>
        <w:t>CoreLogic</w:t>
      </w:r>
      <w:proofErr w:type="spellEnd"/>
      <w:r w:rsidR="000B4020" w:rsidRPr="000B4020">
        <w:rPr>
          <w:b/>
        </w:rPr>
        <w:t xml:space="preserve"> RP Data Home Value Index</w:t>
      </w:r>
      <w:r w:rsidR="000B4020">
        <w:t xml:space="preserve"> for Melbourne increased by 1.5</w:t>
      </w:r>
      <w:r w:rsidR="002751C4">
        <w:t> per cent</w:t>
      </w:r>
      <w:r w:rsidR="000B4020">
        <w:t xml:space="preserve"> in February 2017 and by 13.1</w:t>
      </w:r>
      <w:r w:rsidR="002751C4">
        <w:t> per cent</w:t>
      </w:r>
      <w:r w:rsidR="000B4020">
        <w:t xml:space="preserve"> over the year. </w:t>
      </w:r>
    </w:p>
    <w:p w:rsidR="00F53CE6" w:rsidRDefault="00CB6120" w:rsidP="00B17DE6">
      <w:r w:rsidRPr="00CB6120">
        <w:t xml:space="preserve">The value of Victorian </w:t>
      </w:r>
      <w:r w:rsidRPr="000B4020">
        <w:rPr>
          <w:b/>
        </w:rPr>
        <w:t>residential building approvals</w:t>
      </w:r>
      <w:r w:rsidRPr="00CB6120">
        <w:t xml:space="preserve"> rose </w:t>
      </w:r>
      <w:r w:rsidR="00270AF2">
        <w:t>by 2.7</w:t>
      </w:r>
      <w:r w:rsidR="002751C4">
        <w:t> per cent</w:t>
      </w:r>
      <w:r w:rsidR="006E169E">
        <w:t xml:space="preserve"> in January</w:t>
      </w:r>
      <w:r w:rsidR="00270AF2">
        <w:t>, to be 25.8</w:t>
      </w:r>
      <w:r w:rsidR="002751C4">
        <w:t> per cent</w:t>
      </w:r>
      <w:r w:rsidRPr="00CB6120">
        <w:t xml:space="preserve"> higher than one year ago, the highest annual growth of the mainland states</w:t>
      </w:r>
      <w:r w:rsidR="00637485">
        <w:t>.</w:t>
      </w:r>
    </w:p>
    <w:p w:rsidR="00706673" w:rsidRDefault="00706673" w:rsidP="00A22C6E">
      <w:r w:rsidRPr="00F53CE6">
        <w:t xml:space="preserve">The RBA held the </w:t>
      </w:r>
      <w:r w:rsidRPr="007B0DDE">
        <w:rPr>
          <w:b/>
        </w:rPr>
        <w:t>cash rate</w:t>
      </w:r>
      <w:r>
        <w:t xml:space="preserve"> unchanged at 1.5</w:t>
      </w:r>
      <w:r w:rsidR="002751C4">
        <w:t> per cent</w:t>
      </w:r>
      <w:r>
        <w:t xml:space="preserve"> at its </w:t>
      </w:r>
      <w:r w:rsidR="007B0DDE">
        <w:t xml:space="preserve">meeting </w:t>
      </w:r>
      <w:r w:rsidR="002D52D6">
        <w:t xml:space="preserve">in </w:t>
      </w:r>
      <w:r w:rsidR="00CE4B53">
        <w:t>March</w:t>
      </w:r>
      <w:r>
        <w:t xml:space="preserve">. Historically low interest rates and strong </w:t>
      </w:r>
      <w:r>
        <w:lastRenderedPageBreak/>
        <w:t xml:space="preserve">population growth are expected </w:t>
      </w:r>
      <w:r w:rsidR="00360F22">
        <w:t xml:space="preserve">to </w:t>
      </w:r>
      <w:r>
        <w:t xml:space="preserve">continue </w:t>
      </w:r>
      <w:r w:rsidR="00F10329">
        <w:t>to support the Victorian economy.</w:t>
      </w:r>
    </w:p>
    <w:tbl>
      <w:tblPr>
        <w:tblW w:w="4698" w:type="dxa"/>
        <w:tblLook w:val="04A0" w:firstRow="1" w:lastRow="0" w:firstColumn="1" w:lastColumn="0" w:noHBand="0" w:noVBand="1"/>
      </w:tblPr>
      <w:tblGrid>
        <w:gridCol w:w="988"/>
        <w:gridCol w:w="3710"/>
      </w:tblGrid>
      <w:tr w:rsidR="00047DD7" w:rsidRPr="00405FBA" w:rsidTr="002751C4">
        <w:tc>
          <w:tcPr>
            <w:tcW w:w="988" w:type="dxa"/>
          </w:tcPr>
          <w:p w:rsidR="00047DD7" w:rsidRPr="00405FBA" w:rsidRDefault="002868CD" w:rsidP="00EE60CF">
            <w:r w:rsidRPr="00405FBA">
              <w:br w:type="column"/>
            </w:r>
            <w:r w:rsidR="00047DD7" w:rsidRPr="00405FBA">
              <w:rPr>
                <w:noProof/>
                <w:lang w:eastAsia="en-AU"/>
              </w:rPr>
              <w:drawing>
                <wp:inline distT="0" distB="0" distL="0" distR="0" wp14:anchorId="1FBC050B" wp14:editId="0B1A3B42">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10" w:type="dxa"/>
            <w:vAlign w:val="bottom"/>
          </w:tcPr>
          <w:p w:rsidR="00047DD7" w:rsidRPr="00405FBA" w:rsidRDefault="008B2D78" w:rsidP="00EE60CF">
            <w:pPr>
              <w:pStyle w:val="Heading1"/>
            </w:pPr>
            <w:r>
              <w:t>Global developments</w:t>
            </w:r>
          </w:p>
        </w:tc>
      </w:tr>
    </w:tbl>
    <w:p w:rsidR="006E401A" w:rsidRDefault="00125049" w:rsidP="00C66878">
      <w:pPr>
        <w:spacing w:before="120"/>
      </w:pPr>
      <w:r>
        <w:t>Economic c</w:t>
      </w:r>
      <w:r w:rsidR="00C75A3C" w:rsidRPr="00C75A3C">
        <w:t>onditions in the global economy have improve</w:t>
      </w:r>
      <w:r>
        <w:t>d</w:t>
      </w:r>
      <w:r w:rsidR="00C75A3C" w:rsidRPr="00C75A3C">
        <w:t xml:space="preserve"> </w:t>
      </w:r>
      <w:r>
        <w:t xml:space="preserve">in </w:t>
      </w:r>
      <w:r w:rsidR="00CC3381">
        <w:t xml:space="preserve">the </w:t>
      </w:r>
      <w:r w:rsidR="00866111">
        <w:t>month</w:t>
      </w:r>
      <w:r>
        <w:t>, mostly due to continued strength in the US economy. G</w:t>
      </w:r>
      <w:r w:rsidR="006E401A" w:rsidRPr="007364C8">
        <w:t>rowth in the Eurozone and Japan remain</w:t>
      </w:r>
      <w:r>
        <w:t>s lacklustre</w:t>
      </w:r>
      <w:r w:rsidR="006E401A" w:rsidRPr="007364C8">
        <w:t xml:space="preserve">. </w:t>
      </w:r>
      <w:r>
        <w:t>Economic and political uncertainty is elevated</w:t>
      </w:r>
      <w:r w:rsidR="006E401A" w:rsidRPr="007364C8">
        <w:t>, including around the effects of US president Trump’s trade policies and Brexit</w:t>
      </w:r>
      <w:r>
        <w:t>.</w:t>
      </w:r>
    </w:p>
    <w:p w:rsidR="00F03B1B" w:rsidRDefault="00D23BD2" w:rsidP="007B0DDE">
      <w:pPr>
        <w:spacing w:before="120"/>
      </w:pPr>
      <w:r>
        <w:t xml:space="preserve">The </w:t>
      </w:r>
      <w:r w:rsidR="00E80164" w:rsidRPr="00C25BFE">
        <w:rPr>
          <w:b/>
        </w:rPr>
        <w:t>US</w:t>
      </w:r>
      <w:r>
        <w:t xml:space="preserve"> </w:t>
      </w:r>
      <w:r w:rsidRPr="00885DAC">
        <w:rPr>
          <w:b/>
        </w:rPr>
        <w:t>labour market</w:t>
      </w:r>
      <w:r>
        <w:t xml:space="preserve"> continues to improve and is now close to full employment. </w:t>
      </w:r>
      <w:r w:rsidR="00F03B1B" w:rsidRPr="00F03B1B">
        <w:t>Total nonfarm payroll</w:t>
      </w:r>
      <w:r w:rsidR="00EB15EC">
        <w:t>s</w:t>
      </w:r>
      <w:r w:rsidR="00F03B1B" w:rsidRPr="00F03B1B">
        <w:t xml:space="preserve"> increased by 235,000 in February and the unemployment rate was little changed at 4.7 percent.</w:t>
      </w:r>
    </w:p>
    <w:p w:rsidR="005E1F2C" w:rsidRDefault="00EB15EC" w:rsidP="00C25BFE">
      <w:pPr>
        <w:spacing w:before="120"/>
      </w:pPr>
      <w:r>
        <w:t xml:space="preserve">The US Fed increased official </w:t>
      </w:r>
      <w:r w:rsidRPr="006C0DF2">
        <w:rPr>
          <w:b/>
        </w:rPr>
        <w:t>interest rates</w:t>
      </w:r>
      <w:r>
        <w:t xml:space="preserve"> </w:t>
      </w:r>
      <w:r w:rsidRPr="003952AA">
        <w:t xml:space="preserve">by 25 basis points </w:t>
      </w:r>
      <w:r>
        <w:t>at its meeting in March to an upper bound of 1.0 per cent. The hike was due to ongoing strength in the economy and labour market.</w:t>
      </w:r>
      <w:r w:rsidR="00D23BD2" w:rsidRPr="003952AA">
        <w:t xml:space="preserve"> This </w:t>
      </w:r>
      <w:r w:rsidR="00666002" w:rsidRPr="003952AA">
        <w:t>was</w:t>
      </w:r>
      <w:r w:rsidR="008061D0" w:rsidRPr="003952AA">
        <w:t xml:space="preserve"> </w:t>
      </w:r>
      <w:r>
        <w:t xml:space="preserve">only </w:t>
      </w:r>
      <w:r w:rsidR="008061D0" w:rsidRPr="003952AA">
        <w:t>the third interest rate hike in about a decade</w:t>
      </w:r>
      <w:r w:rsidR="005A499A" w:rsidRPr="003952AA">
        <w:t xml:space="preserve">. </w:t>
      </w:r>
      <w:r w:rsidR="00F637EE">
        <w:t>The market is expecting t</w:t>
      </w:r>
      <w:r w:rsidR="00C25BFE" w:rsidRPr="003952AA">
        <w:t xml:space="preserve">wo more </w:t>
      </w:r>
      <w:r w:rsidR="00F637EE">
        <w:t>rate hikes this year</w:t>
      </w:r>
      <w:r w:rsidR="009E0F7A">
        <w:t>.</w:t>
      </w:r>
    </w:p>
    <w:p w:rsidR="00D23BD2" w:rsidRDefault="00D23BD2" w:rsidP="00C66878">
      <w:pPr>
        <w:spacing w:before="120" w:line="288" w:lineRule="auto"/>
      </w:pPr>
      <w:r w:rsidRPr="00D23BD2">
        <w:t>Higher</w:t>
      </w:r>
      <w:r w:rsidR="00C25BFE">
        <w:t xml:space="preserve"> US </w:t>
      </w:r>
      <w:r w:rsidR="009A0CC6">
        <w:t xml:space="preserve">interest </w:t>
      </w:r>
      <w:r w:rsidR="00C25BFE">
        <w:t xml:space="preserve">rates </w:t>
      </w:r>
      <w:r w:rsidR="009A0CC6">
        <w:t xml:space="preserve">may </w:t>
      </w:r>
      <w:r w:rsidR="00C25BFE">
        <w:t xml:space="preserve">contribute to </w:t>
      </w:r>
      <w:r w:rsidR="009A0CC6">
        <w:t xml:space="preserve">higher </w:t>
      </w:r>
      <w:r w:rsidRPr="00D23BD2">
        <w:t xml:space="preserve">global </w:t>
      </w:r>
      <w:r w:rsidR="00C25BFE" w:rsidRPr="00D23BD2">
        <w:t xml:space="preserve">wholesale funding </w:t>
      </w:r>
      <w:r w:rsidRPr="00D23BD2">
        <w:t>rates</w:t>
      </w:r>
      <w:r w:rsidR="00C25BFE">
        <w:t xml:space="preserve">, which </w:t>
      </w:r>
      <w:r w:rsidR="009A0CC6">
        <w:t xml:space="preserve">could </w:t>
      </w:r>
      <w:r w:rsidR="00C25BFE">
        <w:t>put</w:t>
      </w:r>
      <w:r w:rsidR="00B34D62">
        <w:t xml:space="preserve"> upward</w:t>
      </w:r>
      <w:r w:rsidR="00C25BFE">
        <w:t xml:space="preserve"> pressure on borrowing costs</w:t>
      </w:r>
      <w:r w:rsidR="00B34D62">
        <w:t xml:space="preserve"> in Australia</w:t>
      </w:r>
      <w:r w:rsidR="00C25BFE">
        <w:t>.</w:t>
      </w:r>
    </w:p>
    <w:p w:rsidR="006E401A" w:rsidRDefault="006E401A" w:rsidP="006E401A">
      <w:r w:rsidRPr="007364C8">
        <w:t xml:space="preserve">The European Central Bank held </w:t>
      </w:r>
      <w:r w:rsidR="00DC48FC">
        <w:t xml:space="preserve">the benchmark refinancing rate </w:t>
      </w:r>
      <w:r w:rsidRPr="007364C8">
        <w:t xml:space="preserve">at 0 per cent and left the pace of bond purchases unchanged </w:t>
      </w:r>
      <w:r w:rsidR="00557172" w:rsidRPr="007364C8">
        <w:t xml:space="preserve">at its meeting </w:t>
      </w:r>
      <w:r w:rsidR="00B36DC9">
        <w:t>in</w:t>
      </w:r>
      <w:r w:rsidRPr="007364C8">
        <w:t xml:space="preserve"> March.  </w:t>
      </w:r>
      <w:r w:rsidR="00DC48FC">
        <w:t xml:space="preserve">Ongoing </w:t>
      </w:r>
      <w:r w:rsidR="00DC48FC" w:rsidRPr="007364C8">
        <w:t xml:space="preserve">low interest rates are </w:t>
      </w:r>
      <w:r w:rsidR="00DC48FC">
        <w:t xml:space="preserve">expected </w:t>
      </w:r>
      <w:r w:rsidR="00DC48FC" w:rsidRPr="007364C8">
        <w:t>to support a gradual recovery</w:t>
      </w:r>
      <w:r w:rsidRPr="007364C8">
        <w:t xml:space="preserve"> in the </w:t>
      </w:r>
      <w:r w:rsidRPr="007364C8">
        <w:rPr>
          <w:b/>
        </w:rPr>
        <w:t>Eurozone</w:t>
      </w:r>
      <w:r w:rsidRPr="007364C8">
        <w:t>.</w:t>
      </w:r>
    </w:p>
    <w:p w:rsidR="008563E7" w:rsidRDefault="0043096A" w:rsidP="0043096A">
      <w:pPr>
        <w:spacing w:before="120"/>
      </w:pPr>
      <w:r>
        <w:t>The economic data was generally positive in China during the month. January t</w:t>
      </w:r>
      <w:r w:rsidR="004F011B">
        <w:t xml:space="preserve">rade </w:t>
      </w:r>
      <w:r>
        <w:t>statistics were very strong although s</w:t>
      </w:r>
      <w:r w:rsidRPr="0043096A">
        <w:t xml:space="preserve">easonal distortions due to the timing of </w:t>
      </w:r>
      <w:r>
        <w:lastRenderedPageBreak/>
        <w:t>the Lunar New Year may have been a factor.</w:t>
      </w:r>
      <w:r w:rsidR="005801E4">
        <w:t xml:space="preserve"> </w:t>
      </w:r>
    </w:p>
    <w:p w:rsidR="00D4035D" w:rsidRDefault="008563E7" w:rsidP="00E904CC">
      <w:pPr>
        <w:spacing w:before="120"/>
      </w:pPr>
      <w:r>
        <w:t>Chinese m</w:t>
      </w:r>
      <w:r w:rsidR="00CD1E1B">
        <w:t xml:space="preserve">anufacturing expanded as the </w:t>
      </w:r>
      <w:r w:rsidR="00D4035D">
        <w:t xml:space="preserve">official </w:t>
      </w:r>
      <w:r w:rsidR="005801E4" w:rsidRPr="005801E4">
        <w:t xml:space="preserve">PMI </w:t>
      </w:r>
      <w:r w:rsidR="005801E4">
        <w:t>rose to</w:t>
      </w:r>
      <w:r w:rsidR="00885DAC">
        <w:t xml:space="preserve"> 51.6 in February</w:t>
      </w:r>
      <w:r w:rsidR="000848EB">
        <w:t>,</w:t>
      </w:r>
      <w:r w:rsidR="00CD1E1B">
        <w:t xml:space="preserve"> the</w:t>
      </w:r>
      <w:r w:rsidR="005801E4" w:rsidRPr="005801E4">
        <w:t xml:space="preserve"> seventh straight month of growth and the highest reading since November 2016</w:t>
      </w:r>
      <w:r w:rsidR="009264E6">
        <w:t>. The increase was</w:t>
      </w:r>
      <w:r w:rsidR="005801E4" w:rsidRPr="005801E4">
        <w:t xml:space="preserve"> driven by faster rises in output, new orders and new export orders.</w:t>
      </w:r>
      <w:r w:rsidR="00CD1E1B">
        <w:t xml:space="preserve"> </w:t>
      </w:r>
      <w:r w:rsidR="0025798D">
        <w:t xml:space="preserve"> </w:t>
      </w:r>
    </w:p>
    <w:p w:rsidR="00AD2B97" w:rsidRDefault="00A743D7" w:rsidP="00E904CC">
      <w:pPr>
        <w:spacing w:before="120"/>
      </w:pPr>
      <w:r>
        <w:t>Economic g</w:t>
      </w:r>
      <w:r w:rsidR="00E904CC">
        <w:t xml:space="preserve">rowth </w:t>
      </w:r>
      <w:r>
        <w:t xml:space="preserve">in China is being </w:t>
      </w:r>
      <w:r w:rsidR="00E904CC">
        <w:t xml:space="preserve">supported by </w:t>
      </w:r>
      <w:r w:rsidR="00E904CC" w:rsidRPr="00E904CC">
        <w:t xml:space="preserve">expansionary fiscal policy and credit growth </w:t>
      </w:r>
      <w:r>
        <w:t xml:space="preserve">which has been used to </w:t>
      </w:r>
      <w:r w:rsidR="00E904CC" w:rsidRPr="00E904CC">
        <w:t>finance construction activity</w:t>
      </w:r>
      <w:r>
        <w:t xml:space="preserve"> and infrastructure. </w:t>
      </w:r>
    </w:p>
    <w:p w:rsidR="00E904CC" w:rsidRDefault="00E904CC" w:rsidP="00E904CC">
      <w:pPr>
        <w:spacing w:before="120"/>
      </w:pPr>
      <w:r>
        <w:lastRenderedPageBreak/>
        <w:t>However, h</w:t>
      </w:r>
      <w:r w:rsidRPr="00E904CC">
        <w:t>igher credit growth has contribut</w:t>
      </w:r>
      <w:r w:rsidR="00637485">
        <w:t>ed to a rise in China’s debt</w:t>
      </w:r>
      <w:r w:rsidR="00637485">
        <w:noBreakHyphen/>
        <w:t>to</w:t>
      </w:r>
      <w:r w:rsidR="00637485">
        <w:noBreakHyphen/>
      </w:r>
      <w:r w:rsidRPr="00E904CC">
        <w:t xml:space="preserve">GDP ratio which </w:t>
      </w:r>
      <w:r>
        <w:t>poses a medium term risk to the outlook.</w:t>
      </w:r>
    </w:p>
    <w:p w:rsidR="00C4203F" w:rsidRPr="006E401A" w:rsidRDefault="0025798D" w:rsidP="006E401A">
      <w:pPr>
        <w:spacing w:before="120"/>
      </w:pPr>
      <w:r>
        <w:t xml:space="preserve">Other emerging Asian countries have also reported improvements in trade and manufacturing </w:t>
      </w:r>
      <w:r w:rsidR="00D4035D">
        <w:t>activity</w:t>
      </w:r>
      <w:r w:rsidR="000F6F43" w:rsidRPr="007364C8">
        <w:t xml:space="preserve">, pointing to a potential pick up in the </w:t>
      </w:r>
      <w:r w:rsidR="00A743D7">
        <w:t>region.</w:t>
      </w:r>
    </w:p>
    <w:p w:rsidR="00ED5782" w:rsidRPr="00C66878" w:rsidRDefault="00246C5C" w:rsidP="001E141A">
      <w:r w:rsidRPr="009865C5">
        <w:rPr>
          <w:i/>
          <w:sz w:val="20"/>
        </w:rPr>
        <w:t xml:space="preserve">Note: all data reported in the newsletter is as at </w:t>
      </w:r>
      <w:r w:rsidR="00407DB0">
        <w:rPr>
          <w:i/>
          <w:sz w:val="20"/>
        </w:rPr>
        <w:t>1</w:t>
      </w:r>
      <w:r w:rsidR="00666002">
        <w:rPr>
          <w:i/>
          <w:sz w:val="20"/>
        </w:rPr>
        <w:t>7</w:t>
      </w:r>
      <w:r w:rsidR="00407DB0">
        <w:rPr>
          <w:i/>
          <w:sz w:val="20"/>
        </w:rPr>
        <w:t xml:space="preserve"> March</w:t>
      </w:r>
      <w:r w:rsidRPr="009865C5">
        <w:rPr>
          <w:i/>
          <w:sz w:val="20"/>
        </w:rPr>
        <w:t xml:space="preserve"> 2017.</w:t>
      </w:r>
    </w:p>
    <w:p w:rsidR="00ED5782" w:rsidRDefault="00ED5782" w:rsidP="001E141A">
      <w:pPr>
        <w:rPr>
          <w:highlight w:val="green"/>
        </w:rPr>
      </w:pPr>
    </w:p>
    <w:p w:rsidR="00ED5782" w:rsidRDefault="00ED5782" w:rsidP="001E141A">
      <w:pPr>
        <w:rPr>
          <w:highlight w:val="green"/>
        </w:rPr>
        <w:sectPr w:rsidR="00ED5782" w:rsidSect="002751C4">
          <w:type w:val="continuous"/>
          <w:pgSz w:w="11906" w:h="16838" w:code="9"/>
          <w:pgMar w:top="964" w:right="1134" w:bottom="794" w:left="1134" w:header="709" w:footer="567" w:gutter="0"/>
          <w:cols w:num="2" w:space="562"/>
          <w:docGrid w:linePitch="360"/>
        </w:sectPr>
      </w:pPr>
    </w:p>
    <w:p w:rsidR="00DC7136" w:rsidRDefault="00DC7136" w:rsidP="00D17E6E">
      <w:pPr>
        <w:pStyle w:val="Caption"/>
      </w:pPr>
    </w:p>
    <w:p w:rsidR="00D17E6E" w:rsidRDefault="00D17E6E" w:rsidP="00D17E6E">
      <w:pPr>
        <w:pStyle w:val="Caption"/>
      </w:pPr>
      <w:r w:rsidRPr="00BA6B8C">
        <w:t xml:space="preserve">Movements in financial data over </w:t>
      </w:r>
      <w:r>
        <w:t>the past month</w:t>
      </w:r>
    </w:p>
    <w:tbl>
      <w:tblPr>
        <w:tblStyle w:val="TableGrid"/>
        <w:tblW w:w="5000" w:type="pct"/>
        <w:tblLook w:val="0420" w:firstRow="1" w:lastRow="0" w:firstColumn="0" w:lastColumn="0" w:noHBand="0" w:noVBand="1"/>
      </w:tblPr>
      <w:tblGrid>
        <w:gridCol w:w="3419"/>
        <w:gridCol w:w="1681"/>
        <w:gridCol w:w="1824"/>
        <w:gridCol w:w="2828"/>
      </w:tblGrid>
      <w:tr w:rsidR="001E5D17" w:rsidTr="005E371D">
        <w:trPr>
          <w:cnfStyle w:val="100000000000" w:firstRow="1" w:lastRow="0" w:firstColumn="0" w:lastColumn="0" w:oddVBand="0" w:evenVBand="0" w:oddHBand="0" w:evenHBand="0" w:firstRowFirstColumn="0" w:firstRowLastColumn="0" w:lastRowFirstColumn="0" w:lastRowLastColumn="0"/>
        </w:trPr>
        <w:tc>
          <w:tcPr>
            <w:tcW w:w="1753" w:type="pct"/>
          </w:tcPr>
          <w:p w:rsidR="001E5D17" w:rsidRDefault="001E5D17" w:rsidP="005E371D"/>
        </w:tc>
        <w:tc>
          <w:tcPr>
            <w:tcW w:w="862" w:type="pct"/>
          </w:tcPr>
          <w:p w:rsidR="001E5D17" w:rsidRDefault="001E5D17" w:rsidP="00496637">
            <w:pPr>
              <w:ind w:left="267" w:hanging="267"/>
              <w:jc w:val="right"/>
            </w:pPr>
            <w:r>
              <w:t>3</w:t>
            </w:r>
            <w:r w:rsidR="00496637">
              <w:t>1</w:t>
            </w:r>
            <w:r>
              <w:t xml:space="preserve"> </w:t>
            </w:r>
            <w:r w:rsidR="00496637">
              <w:t>Jan 2017</w:t>
            </w:r>
          </w:p>
        </w:tc>
        <w:tc>
          <w:tcPr>
            <w:tcW w:w="935" w:type="pct"/>
          </w:tcPr>
          <w:p w:rsidR="001E5D17" w:rsidRDefault="00496637" w:rsidP="005E371D">
            <w:pPr>
              <w:jc w:val="right"/>
            </w:pPr>
            <w:r>
              <w:t>28 Feb</w:t>
            </w:r>
            <w:r w:rsidR="001E5D17">
              <w:t xml:space="preserve"> 2017</w:t>
            </w:r>
          </w:p>
        </w:tc>
        <w:tc>
          <w:tcPr>
            <w:tcW w:w="1450" w:type="pct"/>
          </w:tcPr>
          <w:p w:rsidR="001E5D17" w:rsidRDefault="001E5D17" w:rsidP="005E371D">
            <w:pPr>
              <w:jc w:val="right"/>
            </w:pPr>
            <w:r>
              <w:t>Change</w:t>
            </w:r>
          </w:p>
        </w:tc>
      </w:tr>
      <w:tr w:rsidR="001E5D17" w:rsidTr="005E371D">
        <w:trPr>
          <w:cnfStyle w:val="000000100000" w:firstRow="0" w:lastRow="0" w:firstColumn="0" w:lastColumn="0" w:oddVBand="0" w:evenVBand="0" w:oddHBand="1" w:evenHBand="0" w:firstRowFirstColumn="0" w:firstRowLastColumn="0" w:lastRowFirstColumn="0" w:lastRowLastColumn="0"/>
        </w:trPr>
        <w:tc>
          <w:tcPr>
            <w:tcW w:w="1753" w:type="pct"/>
          </w:tcPr>
          <w:p w:rsidR="001E5D17" w:rsidRDefault="001E5D17" w:rsidP="005E371D">
            <w:r>
              <w:t>AUD/USD</w:t>
            </w:r>
          </w:p>
        </w:tc>
        <w:tc>
          <w:tcPr>
            <w:tcW w:w="862" w:type="pct"/>
          </w:tcPr>
          <w:p w:rsidR="001E5D17" w:rsidRPr="005C5FE2" w:rsidRDefault="001E5D17" w:rsidP="005E371D">
            <w:pPr>
              <w:jc w:val="right"/>
              <w:rPr>
                <w:color w:val="FF0000"/>
              </w:rPr>
            </w:pPr>
            <w:r w:rsidRPr="005C5FE2">
              <w:t>0.</w:t>
            </w:r>
            <w:r w:rsidR="00496637">
              <w:t>7</w:t>
            </w:r>
            <w:r w:rsidR="00270AF2">
              <w:t>57</w:t>
            </w:r>
          </w:p>
        </w:tc>
        <w:tc>
          <w:tcPr>
            <w:tcW w:w="935" w:type="pct"/>
          </w:tcPr>
          <w:p w:rsidR="001E5D17" w:rsidRPr="0006662B" w:rsidRDefault="00703EBC" w:rsidP="005E371D">
            <w:pPr>
              <w:jc w:val="right"/>
              <w:rPr>
                <w:color w:val="000000" w:themeColor="text1"/>
              </w:rPr>
            </w:pPr>
            <w:r>
              <w:rPr>
                <w:color w:val="000000" w:themeColor="text1"/>
              </w:rPr>
              <w:t>0.7</w:t>
            </w:r>
            <w:r w:rsidR="00270AF2">
              <w:rPr>
                <w:color w:val="000000" w:themeColor="text1"/>
              </w:rPr>
              <w:t>69</w:t>
            </w:r>
          </w:p>
        </w:tc>
        <w:tc>
          <w:tcPr>
            <w:tcW w:w="1450" w:type="pct"/>
          </w:tcPr>
          <w:p w:rsidR="001E5D17" w:rsidRPr="005C5FE2" w:rsidRDefault="00906AF7" w:rsidP="00906AF7">
            <w:pPr>
              <w:jc w:val="right"/>
              <w:rPr>
                <w:color w:val="FF0000"/>
              </w:rPr>
            </w:pPr>
            <w:r>
              <w:t>+</w:t>
            </w:r>
            <w:r w:rsidR="00D4035D">
              <w:t>1.6</w:t>
            </w:r>
            <w:r w:rsidR="002751C4">
              <w:t> per cent</w:t>
            </w:r>
          </w:p>
        </w:tc>
      </w:tr>
      <w:tr w:rsidR="001E5D17" w:rsidTr="005E371D">
        <w:trPr>
          <w:cnfStyle w:val="000000010000" w:firstRow="0" w:lastRow="0" w:firstColumn="0" w:lastColumn="0" w:oddVBand="0" w:evenVBand="0" w:oddHBand="0" w:evenHBand="1" w:firstRowFirstColumn="0" w:firstRowLastColumn="0" w:lastRowFirstColumn="0" w:lastRowLastColumn="0"/>
        </w:trPr>
        <w:tc>
          <w:tcPr>
            <w:tcW w:w="1753" w:type="pct"/>
          </w:tcPr>
          <w:p w:rsidR="001E5D17" w:rsidRDefault="001E5D17" w:rsidP="005E371D">
            <w:r>
              <w:t>ASX 200</w:t>
            </w:r>
          </w:p>
        </w:tc>
        <w:tc>
          <w:tcPr>
            <w:tcW w:w="862" w:type="pct"/>
          </w:tcPr>
          <w:p w:rsidR="001E5D17" w:rsidRPr="005C5FE2" w:rsidRDefault="001E5D17" w:rsidP="005E371D">
            <w:pPr>
              <w:jc w:val="right"/>
              <w:rPr>
                <w:color w:val="FF0000"/>
              </w:rPr>
            </w:pPr>
            <w:r w:rsidRPr="005C5FE2">
              <w:t xml:space="preserve">5 </w:t>
            </w:r>
            <w:r w:rsidR="00496637">
              <w:t>621</w:t>
            </w:r>
          </w:p>
        </w:tc>
        <w:tc>
          <w:tcPr>
            <w:tcW w:w="935" w:type="pct"/>
          </w:tcPr>
          <w:p w:rsidR="001E5D17" w:rsidRPr="0006662B" w:rsidRDefault="001E5D17" w:rsidP="00496637">
            <w:pPr>
              <w:jc w:val="right"/>
              <w:rPr>
                <w:color w:val="000000" w:themeColor="text1"/>
              </w:rPr>
            </w:pPr>
            <w:r w:rsidRPr="0006662B">
              <w:rPr>
                <w:color w:val="000000" w:themeColor="text1"/>
              </w:rPr>
              <w:t>5</w:t>
            </w:r>
            <w:r w:rsidR="00496637">
              <w:rPr>
                <w:color w:val="000000" w:themeColor="text1"/>
              </w:rPr>
              <w:t>712</w:t>
            </w:r>
          </w:p>
        </w:tc>
        <w:tc>
          <w:tcPr>
            <w:tcW w:w="1450" w:type="pct"/>
          </w:tcPr>
          <w:p w:rsidR="001E5D17" w:rsidRPr="005C5FE2" w:rsidRDefault="00906AF7" w:rsidP="005E371D">
            <w:pPr>
              <w:jc w:val="right"/>
              <w:rPr>
                <w:color w:val="FF0000"/>
              </w:rPr>
            </w:pPr>
            <w:r>
              <w:t>+1.6</w:t>
            </w:r>
            <w:r w:rsidR="002751C4">
              <w:t> per cent</w:t>
            </w:r>
          </w:p>
        </w:tc>
      </w:tr>
      <w:tr w:rsidR="001E5D17" w:rsidTr="005E371D">
        <w:trPr>
          <w:cnfStyle w:val="000000100000" w:firstRow="0" w:lastRow="0" w:firstColumn="0" w:lastColumn="0" w:oddVBand="0" w:evenVBand="0" w:oddHBand="1" w:evenHBand="0" w:firstRowFirstColumn="0" w:firstRowLastColumn="0" w:lastRowFirstColumn="0" w:lastRowLastColumn="0"/>
        </w:trPr>
        <w:tc>
          <w:tcPr>
            <w:tcW w:w="1753" w:type="pct"/>
          </w:tcPr>
          <w:p w:rsidR="001E5D17" w:rsidRDefault="001E5D17" w:rsidP="005E371D">
            <w:r>
              <w:t>S&amp;P 500</w:t>
            </w:r>
          </w:p>
        </w:tc>
        <w:tc>
          <w:tcPr>
            <w:tcW w:w="862" w:type="pct"/>
          </w:tcPr>
          <w:p w:rsidR="001E5D17" w:rsidRPr="005C5FE2" w:rsidRDefault="00496637" w:rsidP="005E371D">
            <w:pPr>
              <w:jc w:val="right"/>
              <w:rPr>
                <w:color w:val="FF0000"/>
              </w:rPr>
            </w:pPr>
            <w:r>
              <w:t>2 279</w:t>
            </w:r>
          </w:p>
        </w:tc>
        <w:tc>
          <w:tcPr>
            <w:tcW w:w="935" w:type="pct"/>
          </w:tcPr>
          <w:p w:rsidR="001E5D17" w:rsidRPr="0006662B" w:rsidRDefault="00C32759" w:rsidP="005E371D">
            <w:pPr>
              <w:jc w:val="right"/>
              <w:rPr>
                <w:color w:val="000000" w:themeColor="text1"/>
              </w:rPr>
            </w:pPr>
            <w:r>
              <w:rPr>
                <w:color w:val="000000" w:themeColor="text1"/>
              </w:rPr>
              <w:t>2364</w:t>
            </w:r>
          </w:p>
        </w:tc>
        <w:tc>
          <w:tcPr>
            <w:tcW w:w="1450" w:type="pct"/>
          </w:tcPr>
          <w:p w:rsidR="001E5D17" w:rsidRPr="005C5FE2" w:rsidRDefault="001E5D17" w:rsidP="00906AF7">
            <w:pPr>
              <w:jc w:val="right"/>
              <w:rPr>
                <w:color w:val="FF0000"/>
              </w:rPr>
            </w:pPr>
            <w:r>
              <w:t>+</w:t>
            </w:r>
            <w:r w:rsidR="00906AF7">
              <w:t>3.7</w:t>
            </w:r>
            <w:r w:rsidR="002751C4">
              <w:t> per cent</w:t>
            </w:r>
            <w:r w:rsidRPr="005C5FE2">
              <w:rPr>
                <w:color w:val="FF0000"/>
              </w:rPr>
              <w:t xml:space="preserve">                     </w:t>
            </w:r>
          </w:p>
        </w:tc>
      </w:tr>
      <w:tr w:rsidR="001E5D17" w:rsidTr="005E371D">
        <w:trPr>
          <w:cnfStyle w:val="000000010000" w:firstRow="0" w:lastRow="0" w:firstColumn="0" w:lastColumn="0" w:oddVBand="0" w:evenVBand="0" w:oddHBand="0" w:evenHBand="1" w:firstRowFirstColumn="0" w:firstRowLastColumn="0" w:lastRowFirstColumn="0" w:lastRowLastColumn="0"/>
        </w:trPr>
        <w:tc>
          <w:tcPr>
            <w:tcW w:w="1753" w:type="pct"/>
          </w:tcPr>
          <w:p w:rsidR="001E5D17" w:rsidRDefault="001E5D17" w:rsidP="005E371D">
            <w:r>
              <w:t>90 day bank bill rate</w:t>
            </w:r>
          </w:p>
        </w:tc>
        <w:tc>
          <w:tcPr>
            <w:tcW w:w="862" w:type="pct"/>
          </w:tcPr>
          <w:p w:rsidR="001E5D17" w:rsidRPr="005C5FE2" w:rsidRDefault="00496637" w:rsidP="00D4035D">
            <w:pPr>
              <w:jc w:val="right"/>
              <w:rPr>
                <w:color w:val="FF0000"/>
              </w:rPr>
            </w:pPr>
            <w:r>
              <w:t>1.7</w:t>
            </w:r>
            <w:r w:rsidR="00D4035D">
              <w:t>8</w:t>
            </w:r>
          </w:p>
        </w:tc>
        <w:tc>
          <w:tcPr>
            <w:tcW w:w="935" w:type="pct"/>
          </w:tcPr>
          <w:p w:rsidR="001E5D17" w:rsidRPr="0006662B" w:rsidRDefault="00C32759" w:rsidP="005E371D">
            <w:pPr>
              <w:jc w:val="right"/>
              <w:rPr>
                <w:color w:val="000000" w:themeColor="text1"/>
              </w:rPr>
            </w:pPr>
            <w:r>
              <w:rPr>
                <w:color w:val="000000" w:themeColor="text1"/>
              </w:rPr>
              <w:t>1.78</w:t>
            </w:r>
          </w:p>
        </w:tc>
        <w:tc>
          <w:tcPr>
            <w:tcW w:w="1450" w:type="pct"/>
          </w:tcPr>
          <w:p w:rsidR="001E5D17" w:rsidRPr="005C5FE2" w:rsidRDefault="00D4035D" w:rsidP="00703EBC">
            <w:pPr>
              <w:jc w:val="right"/>
              <w:rPr>
                <w:color w:val="FF0000"/>
              </w:rPr>
            </w:pPr>
            <w:r>
              <w:t>No change</w:t>
            </w:r>
          </w:p>
        </w:tc>
      </w:tr>
      <w:tr w:rsidR="001E5D17" w:rsidTr="005E371D">
        <w:trPr>
          <w:cnfStyle w:val="000000100000" w:firstRow="0" w:lastRow="0" w:firstColumn="0" w:lastColumn="0" w:oddVBand="0" w:evenVBand="0" w:oddHBand="1" w:evenHBand="0" w:firstRowFirstColumn="0" w:firstRowLastColumn="0" w:lastRowFirstColumn="0" w:lastRowLastColumn="0"/>
          <w:trHeight w:val="430"/>
        </w:trPr>
        <w:tc>
          <w:tcPr>
            <w:tcW w:w="1753" w:type="pct"/>
          </w:tcPr>
          <w:p w:rsidR="001E5D17" w:rsidRDefault="001E5D17" w:rsidP="005E371D">
            <w:pPr>
              <w:ind w:right="-381"/>
            </w:pPr>
            <w:r>
              <w:t>10 year Commonwealth bond rate</w:t>
            </w:r>
          </w:p>
        </w:tc>
        <w:tc>
          <w:tcPr>
            <w:tcW w:w="862" w:type="pct"/>
          </w:tcPr>
          <w:p w:rsidR="001E5D17" w:rsidRPr="005C5FE2" w:rsidRDefault="001E5D17" w:rsidP="00D4035D">
            <w:pPr>
              <w:jc w:val="right"/>
              <w:rPr>
                <w:color w:val="FF0000"/>
              </w:rPr>
            </w:pPr>
            <w:r>
              <w:t>2.</w:t>
            </w:r>
            <w:r w:rsidR="00496637">
              <w:t>7</w:t>
            </w:r>
            <w:r w:rsidR="00D4035D">
              <w:t>3</w:t>
            </w:r>
          </w:p>
        </w:tc>
        <w:tc>
          <w:tcPr>
            <w:tcW w:w="935" w:type="pct"/>
          </w:tcPr>
          <w:p w:rsidR="001E5D17" w:rsidRPr="0006662B" w:rsidRDefault="00C32759" w:rsidP="005E371D">
            <w:pPr>
              <w:jc w:val="right"/>
              <w:rPr>
                <w:color w:val="000000" w:themeColor="text1"/>
              </w:rPr>
            </w:pPr>
            <w:r>
              <w:rPr>
                <w:color w:val="000000" w:themeColor="text1"/>
              </w:rPr>
              <w:t>2.7</w:t>
            </w:r>
            <w:r w:rsidR="00D4035D">
              <w:rPr>
                <w:color w:val="000000" w:themeColor="text1"/>
              </w:rPr>
              <w:t>5</w:t>
            </w:r>
          </w:p>
        </w:tc>
        <w:tc>
          <w:tcPr>
            <w:tcW w:w="1450" w:type="pct"/>
          </w:tcPr>
          <w:p w:rsidR="001E5D17" w:rsidRPr="005C5FE2" w:rsidRDefault="00703EBC" w:rsidP="00703EBC">
            <w:pPr>
              <w:jc w:val="right"/>
              <w:rPr>
                <w:color w:val="FF0000"/>
              </w:rPr>
            </w:pPr>
            <w:r>
              <w:t>+</w:t>
            </w:r>
            <w:r w:rsidR="001E5D17">
              <w:t>0.0</w:t>
            </w:r>
            <w:r>
              <w:t>2</w:t>
            </w:r>
            <w:r w:rsidR="001E5D17">
              <w:t xml:space="preserve"> </w:t>
            </w:r>
            <w:r w:rsidR="001E5D17" w:rsidRPr="005C5FE2">
              <w:t>percentage points</w:t>
            </w:r>
          </w:p>
        </w:tc>
      </w:tr>
    </w:tbl>
    <w:p w:rsidR="00D30EAC" w:rsidRDefault="00D17E6E" w:rsidP="001E141A">
      <w:pPr>
        <w:rPr>
          <w:i/>
          <w:sz w:val="20"/>
        </w:rPr>
      </w:pPr>
      <w:r w:rsidRPr="007F677F">
        <w:rPr>
          <w:i/>
          <w:sz w:val="20"/>
        </w:rPr>
        <w:t>Note: Changes are based on t</w:t>
      </w:r>
      <w:r w:rsidR="00C94806">
        <w:rPr>
          <w:i/>
          <w:sz w:val="20"/>
        </w:rPr>
        <w:t>he movement in unrounded figures</w:t>
      </w:r>
      <w:r w:rsidR="00ED7CCB">
        <w:rPr>
          <w:i/>
          <w:sz w:val="20"/>
        </w:rPr>
        <w:t>.</w:t>
      </w:r>
    </w:p>
    <w:p w:rsidR="005379E5" w:rsidRDefault="005379E5" w:rsidP="001E141A">
      <w:pPr>
        <w:rPr>
          <w:i/>
          <w:sz w:val="20"/>
        </w:rPr>
      </w:pPr>
    </w:p>
    <w:p w:rsidR="002751C4" w:rsidRDefault="002751C4" w:rsidP="001E141A">
      <w:pPr>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C94806" w:rsidTr="002751C4">
        <w:trPr>
          <w:trHeight w:val="1223"/>
        </w:trPr>
        <w:tc>
          <w:tcPr>
            <w:tcW w:w="4082" w:type="dxa"/>
          </w:tcPr>
          <w:p w:rsidR="00C94806" w:rsidRPr="002868CD" w:rsidRDefault="00C94806" w:rsidP="001D2117">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C94806" w:rsidRDefault="00C94806" w:rsidP="001D2117">
            <w:pPr>
              <w:pStyle w:val="Note"/>
            </w:pPr>
          </w:p>
        </w:tc>
        <w:tc>
          <w:tcPr>
            <w:tcW w:w="4682" w:type="dxa"/>
            <w:vMerge w:val="restart"/>
            <w:vAlign w:val="bottom"/>
          </w:tcPr>
          <w:p w:rsidR="00C94806" w:rsidRDefault="00C94806" w:rsidP="001D2117">
            <w:pPr>
              <w:pStyle w:val="Note"/>
            </w:pPr>
            <w:r w:rsidRPr="000C21C3">
              <w:rPr>
                <w:noProof/>
                <w:lang w:eastAsia="en-AU"/>
              </w:rPr>
              <w:drawing>
                <wp:inline distT="0" distB="0" distL="0" distR="0" wp14:anchorId="086018AA" wp14:editId="699EE262">
                  <wp:extent cx="1117460" cy="393651"/>
                  <wp:effectExtent l="0" t="0" r="6985" b="6985"/>
                  <wp:docPr id="13" name="Picture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C94806" w:rsidRDefault="00C94806" w:rsidP="001D2117">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C94806" w:rsidTr="002751C4">
        <w:trPr>
          <w:trHeight w:val="1222"/>
        </w:trPr>
        <w:tc>
          <w:tcPr>
            <w:tcW w:w="4082" w:type="dxa"/>
            <w:vAlign w:val="bottom"/>
          </w:tcPr>
          <w:p w:rsidR="00C94806" w:rsidRDefault="00C94806" w:rsidP="001D2117">
            <w:pPr>
              <w:pStyle w:val="Note"/>
            </w:pPr>
            <w:r w:rsidRPr="00382510">
              <w:t>© State of Victoria 201</w:t>
            </w:r>
            <w:r w:rsidR="00ED7CCB">
              <w:t>7</w:t>
            </w:r>
          </w:p>
          <w:p w:rsidR="00C94806" w:rsidRPr="00382510" w:rsidRDefault="00C94806" w:rsidP="001D2117">
            <w:pPr>
              <w:pStyle w:val="Note"/>
              <w:spacing w:line="312" w:lineRule="auto"/>
            </w:pPr>
            <w:r w:rsidRPr="00382510">
              <w:t>Copyright queries may be directed to IPpolicy@dtf.vic.gov.au.</w:t>
            </w:r>
          </w:p>
        </w:tc>
        <w:tc>
          <w:tcPr>
            <w:tcW w:w="709" w:type="dxa"/>
            <w:vMerge/>
            <w:vAlign w:val="bottom"/>
          </w:tcPr>
          <w:p w:rsidR="00C94806" w:rsidRDefault="00C94806" w:rsidP="001D2117">
            <w:pPr>
              <w:pStyle w:val="Note"/>
            </w:pPr>
          </w:p>
        </w:tc>
        <w:tc>
          <w:tcPr>
            <w:tcW w:w="4682" w:type="dxa"/>
            <w:vMerge/>
            <w:vAlign w:val="bottom"/>
          </w:tcPr>
          <w:p w:rsidR="00C94806" w:rsidRPr="000C21C3" w:rsidRDefault="00C94806" w:rsidP="001D2117">
            <w:pPr>
              <w:pStyle w:val="Note"/>
              <w:rPr>
                <w:noProof/>
                <w:lang w:eastAsia="en-AU"/>
              </w:rPr>
            </w:pPr>
          </w:p>
        </w:tc>
      </w:tr>
    </w:tbl>
    <w:p w:rsidR="00C94806" w:rsidRPr="00D17E6E" w:rsidRDefault="00C94806" w:rsidP="001E141A">
      <w:pPr>
        <w:rPr>
          <w:i/>
          <w:sz w:val="20"/>
        </w:rPr>
        <w:sectPr w:rsidR="00C94806" w:rsidRPr="00D17E6E" w:rsidSect="00D17E6E">
          <w:type w:val="continuous"/>
          <w:pgSz w:w="11906" w:h="16838" w:code="9"/>
          <w:pgMar w:top="964" w:right="1134" w:bottom="794" w:left="1134" w:header="709" w:footer="567" w:gutter="0"/>
          <w:cols w:space="567"/>
          <w:docGrid w:linePitch="360"/>
        </w:sectPr>
      </w:pPr>
    </w:p>
    <w:p w:rsidR="0023586C" w:rsidRPr="007F677F" w:rsidRDefault="0023586C" w:rsidP="002751C4"/>
    <w:sectPr w:rsidR="0023586C" w:rsidRPr="007F677F" w:rsidSect="001D2117">
      <w:footerReference w:type="default" r:id="rId21"/>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9A" w:rsidRDefault="00854F9A" w:rsidP="001E7D0D">
      <w:pPr>
        <w:spacing w:after="0" w:line="240" w:lineRule="auto"/>
      </w:pPr>
      <w:r>
        <w:separator/>
      </w:r>
    </w:p>
  </w:endnote>
  <w:endnote w:type="continuationSeparator" w:id="0">
    <w:p w:rsidR="00854F9A" w:rsidRDefault="00854F9A"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AE6A3CE" wp14:editId="0D26EE2E">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74218F">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06" w:rsidRPr="00BC672F" w:rsidRDefault="00C94806"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21684F1C" wp14:editId="39AFA53C">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74218F">
      <w:rPr>
        <w:rStyle w:val="PageNumber"/>
        <w:noProof/>
      </w:rPr>
      <w:t>3</w:t>
    </w:r>
    <w:r w:rsidRPr="00BC672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ED5782">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9A" w:rsidRDefault="00854F9A" w:rsidP="001E7D0D">
      <w:pPr>
        <w:spacing w:after="0" w:line="240" w:lineRule="auto"/>
      </w:pPr>
      <w:r>
        <w:separator/>
      </w:r>
    </w:p>
  </w:footnote>
  <w:footnote w:type="continuationSeparator" w:id="0">
    <w:p w:rsidR="00854F9A" w:rsidRDefault="00854F9A"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0AF4CEB5" wp14:editId="6CAAB837">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C69F43D" wp14:editId="37CBB555">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1CF84A62" wp14:editId="7C4A5688">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3F" w:rsidRDefault="00C420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250"/>
    <w:multiLevelType w:val="multilevel"/>
    <w:tmpl w:val="DA6E3D5C"/>
    <w:numStyleLink w:val="Highlightbulletstyle"/>
  </w:abstractNum>
  <w:abstractNum w:abstractNumId="1">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4065935"/>
    <w:multiLevelType w:val="multilevel"/>
    <w:tmpl w:val="DA6E3D5C"/>
    <w:numStyleLink w:val="Highlightbullet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14A00"/>
    <w:rsid w:val="000160BC"/>
    <w:rsid w:val="00022C95"/>
    <w:rsid w:val="00027A5D"/>
    <w:rsid w:val="0003309C"/>
    <w:rsid w:val="00033485"/>
    <w:rsid w:val="00042C14"/>
    <w:rsid w:val="00044907"/>
    <w:rsid w:val="00046F57"/>
    <w:rsid w:val="00047DD7"/>
    <w:rsid w:val="00053341"/>
    <w:rsid w:val="00053F71"/>
    <w:rsid w:val="00054994"/>
    <w:rsid w:val="00061229"/>
    <w:rsid w:val="00062BCA"/>
    <w:rsid w:val="00063D5E"/>
    <w:rsid w:val="00065923"/>
    <w:rsid w:val="000660AA"/>
    <w:rsid w:val="0006662B"/>
    <w:rsid w:val="000720FA"/>
    <w:rsid w:val="0007353B"/>
    <w:rsid w:val="00073A18"/>
    <w:rsid w:val="00081AA9"/>
    <w:rsid w:val="000848EB"/>
    <w:rsid w:val="00092EB0"/>
    <w:rsid w:val="00092FE6"/>
    <w:rsid w:val="00095562"/>
    <w:rsid w:val="000A3879"/>
    <w:rsid w:val="000A3DE5"/>
    <w:rsid w:val="000A6218"/>
    <w:rsid w:val="000B4020"/>
    <w:rsid w:val="000D4112"/>
    <w:rsid w:val="000D517F"/>
    <w:rsid w:val="000D7E75"/>
    <w:rsid w:val="000E1FFA"/>
    <w:rsid w:val="000E5E7D"/>
    <w:rsid w:val="000F167A"/>
    <w:rsid w:val="000F2FBA"/>
    <w:rsid w:val="000F6F43"/>
    <w:rsid w:val="00103711"/>
    <w:rsid w:val="00114E7A"/>
    <w:rsid w:val="00123AFA"/>
    <w:rsid w:val="00125049"/>
    <w:rsid w:val="00130B73"/>
    <w:rsid w:val="001372E4"/>
    <w:rsid w:val="001428A1"/>
    <w:rsid w:val="001442F4"/>
    <w:rsid w:val="00155E50"/>
    <w:rsid w:val="00181D8E"/>
    <w:rsid w:val="0019153C"/>
    <w:rsid w:val="001A1164"/>
    <w:rsid w:val="001A179F"/>
    <w:rsid w:val="001B0012"/>
    <w:rsid w:val="001B0E91"/>
    <w:rsid w:val="001B35BD"/>
    <w:rsid w:val="001B59EB"/>
    <w:rsid w:val="001B6034"/>
    <w:rsid w:val="001C1EC8"/>
    <w:rsid w:val="001D0F0C"/>
    <w:rsid w:val="001D1AB4"/>
    <w:rsid w:val="001D2117"/>
    <w:rsid w:val="001D432C"/>
    <w:rsid w:val="001D7B30"/>
    <w:rsid w:val="001E141A"/>
    <w:rsid w:val="001E5D17"/>
    <w:rsid w:val="001E7D0D"/>
    <w:rsid w:val="001E7D7B"/>
    <w:rsid w:val="001F03D2"/>
    <w:rsid w:val="0020012F"/>
    <w:rsid w:val="00200D1F"/>
    <w:rsid w:val="002014B8"/>
    <w:rsid w:val="00202582"/>
    <w:rsid w:val="00202BAF"/>
    <w:rsid w:val="002068A8"/>
    <w:rsid w:val="00212251"/>
    <w:rsid w:val="0022157A"/>
    <w:rsid w:val="00222DFE"/>
    <w:rsid w:val="00224754"/>
    <w:rsid w:val="0023586C"/>
    <w:rsid w:val="002414D2"/>
    <w:rsid w:val="00245E95"/>
    <w:rsid w:val="00246C5C"/>
    <w:rsid w:val="0025798D"/>
    <w:rsid w:val="00261D70"/>
    <w:rsid w:val="00262411"/>
    <w:rsid w:val="00270AF2"/>
    <w:rsid w:val="00270CF1"/>
    <w:rsid w:val="00274C7F"/>
    <w:rsid w:val="002751C4"/>
    <w:rsid w:val="0028118E"/>
    <w:rsid w:val="002868CD"/>
    <w:rsid w:val="002920D2"/>
    <w:rsid w:val="00293A6B"/>
    <w:rsid w:val="002A0EE8"/>
    <w:rsid w:val="002B0039"/>
    <w:rsid w:val="002B6763"/>
    <w:rsid w:val="002C0ACC"/>
    <w:rsid w:val="002D2638"/>
    <w:rsid w:val="002D52D6"/>
    <w:rsid w:val="002E5AB4"/>
    <w:rsid w:val="002E61AC"/>
    <w:rsid w:val="002E73F4"/>
    <w:rsid w:val="002F33B2"/>
    <w:rsid w:val="002F5DE2"/>
    <w:rsid w:val="00306D76"/>
    <w:rsid w:val="0034648C"/>
    <w:rsid w:val="00346694"/>
    <w:rsid w:val="00347BE0"/>
    <w:rsid w:val="003540A1"/>
    <w:rsid w:val="00354235"/>
    <w:rsid w:val="00360F22"/>
    <w:rsid w:val="00366ECD"/>
    <w:rsid w:val="0037175A"/>
    <w:rsid w:val="00372159"/>
    <w:rsid w:val="00380DA2"/>
    <w:rsid w:val="00381C44"/>
    <w:rsid w:val="00381E61"/>
    <w:rsid w:val="00382510"/>
    <w:rsid w:val="003831AB"/>
    <w:rsid w:val="003844EC"/>
    <w:rsid w:val="003902A0"/>
    <w:rsid w:val="00394456"/>
    <w:rsid w:val="003952AA"/>
    <w:rsid w:val="003A0F37"/>
    <w:rsid w:val="003A3175"/>
    <w:rsid w:val="003A3AD2"/>
    <w:rsid w:val="003A65EF"/>
    <w:rsid w:val="003C6D78"/>
    <w:rsid w:val="003E507C"/>
    <w:rsid w:val="003E6813"/>
    <w:rsid w:val="003F77EE"/>
    <w:rsid w:val="0040027B"/>
    <w:rsid w:val="0040561C"/>
    <w:rsid w:val="00405FBA"/>
    <w:rsid w:val="00407DB0"/>
    <w:rsid w:val="0041092A"/>
    <w:rsid w:val="00412B93"/>
    <w:rsid w:val="0041399A"/>
    <w:rsid w:val="004248E2"/>
    <w:rsid w:val="0043096A"/>
    <w:rsid w:val="00435687"/>
    <w:rsid w:val="00440C3A"/>
    <w:rsid w:val="00443FD2"/>
    <w:rsid w:val="00450F23"/>
    <w:rsid w:val="00453A5E"/>
    <w:rsid w:val="00453CBD"/>
    <w:rsid w:val="00455CCF"/>
    <w:rsid w:val="0046250A"/>
    <w:rsid w:val="00466052"/>
    <w:rsid w:val="00466B30"/>
    <w:rsid w:val="00466CDB"/>
    <w:rsid w:val="0047038E"/>
    <w:rsid w:val="00474854"/>
    <w:rsid w:val="00480F7B"/>
    <w:rsid w:val="00483862"/>
    <w:rsid w:val="00484190"/>
    <w:rsid w:val="00494A89"/>
    <w:rsid w:val="00496637"/>
    <w:rsid w:val="004A5EFF"/>
    <w:rsid w:val="004A60F4"/>
    <w:rsid w:val="004B3EB7"/>
    <w:rsid w:val="004B6E36"/>
    <w:rsid w:val="004C2B18"/>
    <w:rsid w:val="004C630F"/>
    <w:rsid w:val="004D34CD"/>
    <w:rsid w:val="004D582C"/>
    <w:rsid w:val="004E06F1"/>
    <w:rsid w:val="004E1C48"/>
    <w:rsid w:val="004F011B"/>
    <w:rsid w:val="004F7193"/>
    <w:rsid w:val="00506EEE"/>
    <w:rsid w:val="00507432"/>
    <w:rsid w:val="00521BA8"/>
    <w:rsid w:val="00521F88"/>
    <w:rsid w:val="00523A27"/>
    <w:rsid w:val="005318CE"/>
    <w:rsid w:val="005325F0"/>
    <w:rsid w:val="00534B86"/>
    <w:rsid w:val="005379E5"/>
    <w:rsid w:val="00537EC6"/>
    <w:rsid w:val="00554F72"/>
    <w:rsid w:val="00557172"/>
    <w:rsid w:val="00561537"/>
    <w:rsid w:val="00567A0F"/>
    <w:rsid w:val="00575F8D"/>
    <w:rsid w:val="005801E4"/>
    <w:rsid w:val="005859E0"/>
    <w:rsid w:val="00590DB3"/>
    <w:rsid w:val="005A312B"/>
    <w:rsid w:val="005A3A8E"/>
    <w:rsid w:val="005A499A"/>
    <w:rsid w:val="005B6236"/>
    <w:rsid w:val="005C5FE2"/>
    <w:rsid w:val="005E1F2C"/>
    <w:rsid w:val="005E2185"/>
    <w:rsid w:val="005E4620"/>
    <w:rsid w:val="005E64C4"/>
    <w:rsid w:val="005F34B4"/>
    <w:rsid w:val="00603954"/>
    <w:rsid w:val="00603C59"/>
    <w:rsid w:val="0060422F"/>
    <w:rsid w:val="006068E2"/>
    <w:rsid w:val="00606BF1"/>
    <w:rsid w:val="00607271"/>
    <w:rsid w:val="006135AB"/>
    <w:rsid w:val="006345C6"/>
    <w:rsid w:val="00637485"/>
    <w:rsid w:val="006375DD"/>
    <w:rsid w:val="0064291B"/>
    <w:rsid w:val="00643BE0"/>
    <w:rsid w:val="00652783"/>
    <w:rsid w:val="00655B24"/>
    <w:rsid w:val="00655DCA"/>
    <w:rsid w:val="006619C8"/>
    <w:rsid w:val="00664763"/>
    <w:rsid w:val="00666002"/>
    <w:rsid w:val="00666ED0"/>
    <w:rsid w:val="00670790"/>
    <w:rsid w:val="00670E78"/>
    <w:rsid w:val="00675585"/>
    <w:rsid w:val="0068446F"/>
    <w:rsid w:val="0069059D"/>
    <w:rsid w:val="006A0CDF"/>
    <w:rsid w:val="006A1032"/>
    <w:rsid w:val="006A7ABD"/>
    <w:rsid w:val="006B11CA"/>
    <w:rsid w:val="006C0DF2"/>
    <w:rsid w:val="006C400D"/>
    <w:rsid w:val="006C6503"/>
    <w:rsid w:val="006D2C01"/>
    <w:rsid w:val="006E06AD"/>
    <w:rsid w:val="006E0DF0"/>
    <w:rsid w:val="006E169E"/>
    <w:rsid w:val="006E3ABA"/>
    <w:rsid w:val="006E401A"/>
    <w:rsid w:val="006F3B8C"/>
    <w:rsid w:val="00700502"/>
    <w:rsid w:val="00700764"/>
    <w:rsid w:val="00703EBC"/>
    <w:rsid w:val="00705025"/>
    <w:rsid w:val="00706673"/>
    <w:rsid w:val="00721ED1"/>
    <w:rsid w:val="007347B8"/>
    <w:rsid w:val="007364C8"/>
    <w:rsid w:val="0074218F"/>
    <w:rsid w:val="0075117C"/>
    <w:rsid w:val="00751643"/>
    <w:rsid w:val="007862E1"/>
    <w:rsid w:val="007A139F"/>
    <w:rsid w:val="007B0DDE"/>
    <w:rsid w:val="007C7BE7"/>
    <w:rsid w:val="007D0358"/>
    <w:rsid w:val="007D618F"/>
    <w:rsid w:val="007D6F02"/>
    <w:rsid w:val="007E6072"/>
    <w:rsid w:val="007F677F"/>
    <w:rsid w:val="00802FB2"/>
    <w:rsid w:val="00803E2C"/>
    <w:rsid w:val="008061D0"/>
    <w:rsid w:val="008115C7"/>
    <w:rsid w:val="00813058"/>
    <w:rsid w:val="00816160"/>
    <w:rsid w:val="00820021"/>
    <w:rsid w:val="00833B24"/>
    <w:rsid w:val="00833E9D"/>
    <w:rsid w:val="00834C0C"/>
    <w:rsid w:val="00834D07"/>
    <w:rsid w:val="0083514C"/>
    <w:rsid w:val="008406AA"/>
    <w:rsid w:val="008437E6"/>
    <w:rsid w:val="008447D1"/>
    <w:rsid w:val="00854F9A"/>
    <w:rsid w:val="008563E7"/>
    <w:rsid w:val="008565B3"/>
    <w:rsid w:val="008660A0"/>
    <w:rsid w:val="00866111"/>
    <w:rsid w:val="00872BDF"/>
    <w:rsid w:val="00874CD5"/>
    <w:rsid w:val="00885DAC"/>
    <w:rsid w:val="00887B0E"/>
    <w:rsid w:val="008926D2"/>
    <w:rsid w:val="0089355C"/>
    <w:rsid w:val="0089514C"/>
    <w:rsid w:val="008B2D78"/>
    <w:rsid w:val="008B5294"/>
    <w:rsid w:val="008B6B19"/>
    <w:rsid w:val="008C6468"/>
    <w:rsid w:val="008D419F"/>
    <w:rsid w:val="008D6A2F"/>
    <w:rsid w:val="008D7232"/>
    <w:rsid w:val="008E215E"/>
    <w:rsid w:val="008F253E"/>
    <w:rsid w:val="00904A36"/>
    <w:rsid w:val="00906AF7"/>
    <w:rsid w:val="00917DA7"/>
    <w:rsid w:val="009200DB"/>
    <w:rsid w:val="0092123B"/>
    <w:rsid w:val="009264E6"/>
    <w:rsid w:val="009379B3"/>
    <w:rsid w:val="00937D0D"/>
    <w:rsid w:val="00942979"/>
    <w:rsid w:val="009506AF"/>
    <w:rsid w:val="00960C7E"/>
    <w:rsid w:val="00961DC4"/>
    <w:rsid w:val="00964E4A"/>
    <w:rsid w:val="00965986"/>
    <w:rsid w:val="0096692A"/>
    <w:rsid w:val="00967403"/>
    <w:rsid w:val="00980269"/>
    <w:rsid w:val="009977C2"/>
    <w:rsid w:val="009A0CC6"/>
    <w:rsid w:val="009A3026"/>
    <w:rsid w:val="009A39A9"/>
    <w:rsid w:val="009A5772"/>
    <w:rsid w:val="009A5CE0"/>
    <w:rsid w:val="009B0BE4"/>
    <w:rsid w:val="009C533E"/>
    <w:rsid w:val="009C66D2"/>
    <w:rsid w:val="009D35B5"/>
    <w:rsid w:val="009E0F7A"/>
    <w:rsid w:val="009E13DC"/>
    <w:rsid w:val="009E176B"/>
    <w:rsid w:val="009E3C8A"/>
    <w:rsid w:val="009E5DC7"/>
    <w:rsid w:val="009E654E"/>
    <w:rsid w:val="009F0F64"/>
    <w:rsid w:val="00A05497"/>
    <w:rsid w:val="00A05F37"/>
    <w:rsid w:val="00A07DFA"/>
    <w:rsid w:val="00A15447"/>
    <w:rsid w:val="00A22C6E"/>
    <w:rsid w:val="00A2697F"/>
    <w:rsid w:val="00A27B08"/>
    <w:rsid w:val="00A4205F"/>
    <w:rsid w:val="00A441AF"/>
    <w:rsid w:val="00A54258"/>
    <w:rsid w:val="00A55ECA"/>
    <w:rsid w:val="00A67716"/>
    <w:rsid w:val="00A7050A"/>
    <w:rsid w:val="00A743D7"/>
    <w:rsid w:val="00A75E1E"/>
    <w:rsid w:val="00A82B38"/>
    <w:rsid w:val="00A91509"/>
    <w:rsid w:val="00A96140"/>
    <w:rsid w:val="00AA68F7"/>
    <w:rsid w:val="00AB2B1F"/>
    <w:rsid w:val="00AC3523"/>
    <w:rsid w:val="00AC4B92"/>
    <w:rsid w:val="00AD0968"/>
    <w:rsid w:val="00AD2B97"/>
    <w:rsid w:val="00AD32EB"/>
    <w:rsid w:val="00AE310A"/>
    <w:rsid w:val="00AF3830"/>
    <w:rsid w:val="00B17DE6"/>
    <w:rsid w:val="00B23E2F"/>
    <w:rsid w:val="00B343CB"/>
    <w:rsid w:val="00B34D62"/>
    <w:rsid w:val="00B36DC9"/>
    <w:rsid w:val="00B54575"/>
    <w:rsid w:val="00B56033"/>
    <w:rsid w:val="00B56DF5"/>
    <w:rsid w:val="00B60937"/>
    <w:rsid w:val="00B7051C"/>
    <w:rsid w:val="00B75088"/>
    <w:rsid w:val="00B752F7"/>
    <w:rsid w:val="00B7562B"/>
    <w:rsid w:val="00B81689"/>
    <w:rsid w:val="00B82663"/>
    <w:rsid w:val="00B94DA6"/>
    <w:rsid w:val="00B95141"/>
    <w:rsid w:val="00B97E06"/>
    <w:rsid w:val="00BA1124"/>
    <w:rsid w:val="00BA2604"/>
    <w:rsid w:val="00BA6B8C"/>
    <w:rsid w:val="00BB032A"/>
    <w:rsid w:val="00BB07CD"/>
    <w:rsid w:val="00BB0BF9"/>
    <w:rsid w:val="00BB0D30"/>
    <w:rsid w:val="00BB5CEC"/>
    <w:rsid w:val="00BC0DCB"/>
    <w:rsid w:val="00BC2E59"/>
    <w:rsid w:val="00BC672F"/>
    <w:rsid w:val="00BC6868"/>
    <w:rsid w:val="00BD24EB"/>
    <w:rsid w:val="00BE2EE6"/>
    <w:rsid w:val="00BE514B"/>
    <w:rsid w:val="00C13752"/>
    <w:rsid w:val="00C25BFE"/>
    <w:rsid w:val="00C3070A"/>
    <w:rsid w:val="00C32759"/>
    <w:rsid w:val="00C33630"/>
    <w:rsid w:val="00C4203F"/>
    <w:rsid w:val="00C43A87"/>
    <w:rsid w:val="00C441C8"/>
    <w:rsid w:val="00C464BC"/>
    <w:rsid w:val="00C5427E"/>
    <w:rsid w:val="00C542A9"/>
    <w:rsid w:val="00C60AF1"/>
    <w:rsid w:val="00C66878"/>
    <w:rsid w:val="00C71A2D"/>
    <w:rsid w:val="00C75A3C"/>
    <w:rsid w:val="00C86481"/>
    <w:rsid w:val="00C86987"/>
    <w:rsid w:val="00C94806"/>
    <w:rsid w:val="00C94ED7"/>
    <w:rsid w:val="00C9664F"/>
    <w:rsid w:val="00CA3441"/>
    <w:rsid w:val="00CB2339"/>
    <w:rsid w:val="00CB6120"/>
    <w:rsid w:val="00CB724D"/>
    <w:rsid w:val="00CB791F"/>
    <w:rsid w:val="00CC2A70"/>
    <w:rsid w:val="00CC3381"/>
    <w:rsid w:val="00CD1E1B"/>
    <w:rsid w:val="00CE300C"/>
    <w:rsid w:val="00CE4B53"/>
    <w:rsid w:val="00CE7BB0"/>
    <w:rsid w:val="00CE7C75"/>
    <w:rsid w:val="00CF1073"/>
    <w:rsid w:val="00CF74BB"/>
    <w:rsid w:val="00D00E91"/>
    <w:rsid w:val="00D019BB"/>
    <w:rsid w:val="00D02311"/>
    <w:rsid w:val="00D03447"/>
    <w:rsid w:val="00D10165"/>
    <w:rsid w:val="00D12950"/>
    <w:rsid w:val="00D17E6E"/>
    <w:rsid w:val="00D2094E"/>
    <w:rsid w:val="00D23BD2"/>
    <w:rsid w:val="00D2779D"/>
    <w:rsid w:val="00D30EAC"/>
    <w:rsid w:val="00D33EEA"/>
    <w:rsid w:val="00D4035D"/>
    <w:rsid w:val="00D44DBB"/>
    <w:rsid w:val="00D50249"/>
    <w:rsid w:val="00D5133B"/>
    <w:rsid w:val="00D56286"/>
    <w:rsid w:val="00D82C20"/>
    <w:rsid w:val="00D847A0"/>
    <w:rsid w:val="00D95B60"/>
    <w:rsid w:val="00DA526F"/>
    <w:rsid w:val="00DB1F96"/>
    <w:rsid w:val="00DB6329"/>
    <w:rsid w:val="00DC48FC"/>
    <w:rsid w:val="00DC7136"/>
    <w:rsid w:val="00DD5683"/>
    <w:rsid w:val="00DF3025"/>
    <w:rsid w:val="00DF6BCF"/>
    <w:rsid w:val="00E022B1"/>
    <w:rsid w:val="00E05878"/>
    <w:rsid w:val="00E07D12"/>
    <w:rsid w:val="00E104B2"/>
    <w:rsid w:val="00E13399"/>
    <w:rsid w:val="00E17CAD"/>
    <w:rsid w:val="00E226EC"/>
    <w:rsid w:val="00E36C16"/>
    <w:rsid w:val="00E40BC0"/>
    <w:rsid w:val="00E446CC"/>
    <w:rsid w:val="00E6390E"/>
    <w:rsid w:val="00E72367"/>
    <w:rsid w:val="00E80164"/>
    <w:rsid w:val="00E85299"/>
    <w:rsid w:val="00E8551D"/>
    <w:rsid w:val="00E904CC"/>
    <w:rsid w:val="00E9249E"/>
    <w:rsid w:val="00E9724A"/>
    <w:rsid w:val="00EA41B8"/>
    <w:rsid w:val="00EB15EC"/>
    <w:rsid w:val="00EC2B7E"/>
    <w:rsid w:val="00EC6B00"/>
    <w:rsid w:val="00ED1F73"/>
    <w:rsid w:val="00ED5782"/>
    <w:rsid w:val="00ED7CCB"/>
    <w:rsid w:val="00EE31AA"/>
    <w:rsid w:val="00EE619A"/>
    <w:rsid w:val="00EF50A3"/>
    <w:rsid w:val="00EF6761"/>
    <w:rsid w:val="00F037AF"/>
    <w:rsid w:val="00F03B1B"/>
    <w:rsid w:val="00F10329"/>
    <w:rsid w:val="00F11348"/>
    <w:rsid w:val="00F12F87"/>
    <w:rsid w:val="00F15B4E"/>
    <w:rsid w:val="00F174A1"/>
    <w:rsid w:val="00F233DA"/>
    <w:rsid w:val="00F27342"/>
    <w:rsid w:val="00F35DB8"/>
    <w:rsid w:val="00F423C1"/>
    <w:rsid w:val="00F42CD0"/>
    <w:rsid w:val="00F42FC6"/>
    <w:rsid w:val="00F53CE6"/>
    <w:rsid w:val="00F62672"/>
    <w:rsid w:val="00F637EE"/>
    <w:rsid w:val="00F63F06"/>
    <w:rsid w:val="00F6524B"/>
    <w:rsid w:val="00F6696B"/>
    <w:rsid w:val="00F73FDA"/>
    <w:rsid w:val="00F77CCC"/>
    <w:rsid w:val="00F800ED"/>
    <w:rsid w:val="00F86551"/>
    <w:rsid w:val="00FA221B"/>
    <w:rsid w:val="00FA27EE"/>
    <w:rsid w:val="00FA31B4"/>
    <w:rsid w:val="00FB3EC2"/>
    <w:rsid w:val="00FB78D5"/>
    <w:rsid w:val="00FC46BB"/>
    <w:rsid w:val="00FE2927"/>
    <w:rsid w:val="00FE2CF1"/>
    <w:rsid w:val="00FE4E7A"/>
    <w:rsid w:val="00FE78D5"/>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semiHidden/>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semiHidden/>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 w:type="paragraph" w:customStyle="1" w:styleId="Default">
    <w:name w:val="Default"/>
    <w:rsid w:val="00480F7B"/>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6B11CA"/>
    <w:rPr>
      <w:sz w:val="16"/>
      <w:szCs w:val="16"/>
    </w:rPr>
  </w:style>
  <w:style w:type="paragraph" w:styleId="CommentText">
    <w:name w:val="annotation text"/>
    <w:basedOn w:val="Normal"/>
    <w:link w:val="CommentTextChar"/>
    <w:uiPriority w:val="99"/>
    <w:semiHidden/>
    <w:unhideWhenUsed/>
    <w:rsid w:val="006B11CA"/>
    <w:pPr>
      <w:spacing w:line="240" w:lineRule="auto"/>
    </w:pPr>
    <w:rPr>
      <w:sz w:val="20"/>
      <w:szCs w:val="20"/>
    </w:rPr>
  </w:style>
  <w:style w:type="character" w:customStyle="1" w:styleId="CommentTextChar">
    <w:name w:val="Comment Text Char"/>
    <w:basedOn w:val="DefaultParagraphFont"/>
    <w:link w:val="CommentText"/>
    <w:uiPriority w:val="99"/>
    <w:semiHidden/>
    <w:rsid w:val="006B11CA"/>
    <w:rPr>
      <w:sz w:val="20"/>
      <w:szCs w:val="20"/>
    </w:rPr>
  </w:style>
  <w:style w:type="paragraph" w:styleId="CommentSubject">
    <w:name w:val="annotation subject"/>
    <w:basedOn w:val="CommentText"/>
    <w:next w:val="CommentText"/>
    <w:link w:val="CommentSubjectChar"/>
    <w:uiPriority w:val="99"/>
    <w:semiHidden/>
    <w:unhideWhenUsed/>
    <w:rsid w:val="006B11CA"/>
    <w:rPr>
      <w:b/>
      <w:bCs/>
    </w:rPr>
  </w:style>
  <w:style w:type="character" w:customStyle="1" w:styleId="CommentSubjectChar">
    <w:name w:val="Comment Subject Char"/>
    <w:basedOn w:val="CommentTextChar"/>
    <w:link w:val="CommentSubject"/>
    <w:uiPriority w:val="99"/>
    <w:semiHidden/>
    <w:rsid w:val="006B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BCA1-4433-48FC-9CF7-AB787483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2017-03-20T02:25:00Z</cp:lastPrinted>
  <dcterms:created xsi:type="dcterms:W3CDTF">2018-01-24T02:41:00Z</dcterms:created>
  <dcterms:modified xsi:type="dcterms:W3CDTF">2018-01-24T02:41:00Z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5a28ad39-bd7b-485c-b130-3d10785f82b0</vt:lpwstr>
  </property>
  <property fmtid="{D5CDD505-2E9C-101B-9397-08002B2CF9AE}" pid="3" name="PSPFClassification">
    <vt:lpwstr>Do Not Mark</vt:lpwstr>
  </property>
</Properties>
</file>