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A0" w:rsidRPr="00BB5CEC" w:rsidRDefault="00095562" w:rsidP="00440C3A">
      <w:pPr>
        <w:pStyle w:val="Subtitle"/>
        <w:rPr>
          <w:rFonts w:asciiTheme="minorHAnsi" w:hAnsiTheme="minorHAnsi" w:cstheme="minorHAnsi"/>
          <w:sz w:val="28"/>
          <w:szCs w:val="28"/>
        </w:rPr>
        <w:sectPr w:rsidR="00D847A0" w:rsidRPr="00BB5CEC" w:rsidSect="004B3EB7">
          <w:headerReference w:type="default" r:id="rId9"/>
          <w:footerReference w:type="default" r:id="rId10"/>
          <w:type w:val="continuous"/>
          <w:pgSz w:w="11906" w:h="16838" w:code="9"/>
          <w:pgMar w:top="3572" w:right="1134" w:bottom="1134" w:left="1134" w:header="709" w:footer="567" w:gutter="0"/>
          <w:cols w:num="2" w:space="567" w:equalWidth="0">
            <w:col w:w="2858" w:space="567"/>
            <w:col w:w="6213"/>
          </w:cols>
          <w:docGrid w:linePitch="360"/>
        </w:sectPr>
      </w:pPr>
      <w:bookmarkStart w:id="0" w:name="_GoBack"/>
      <w:bookmarkEnd w:id="0"/>
      <w:r>
        <w:rPr>
          <w:rFonts w:asciiTheme="minorHAnsi" w:hAnsiTheme="minorHAnsi" w:cstheme="minorHAnsi"/>
          <w:sz w:val="28"/>
          <w:szCs w:val="28"/>
        </w:rPr>
        <w:t>February</w:t>
      </w:r>
      <w:r w:rsidR="00ED7CCB">
        <w:rPr>
          <w:rFonts w:asciiTheme="minorHAnsi" w:hAnsiTheme="minorHAnsi" w:cstheme="minorHAnsi"/>
          <w:sz w:val="28"/>
          <w:szCs w:val="28"/>
        </w:rPr>
        <w:t xml:space="preserve"> 2017</w:t>
      </w:r>
    </w:p>
    <w:tbl>
      <w:tblPr>
        <w:tblW w:w="17920" w:type="dxa"/>
        <w:tblLayout w:type="fixed"/>
        <w:tblLook w:val="04A0" w:firstRow="1" w:lastRow="0" w:firstColumn="1" w:lastColumn="0" w:noHBand="0" w:noVBand="1"/>
      </w:tblPr>
      <w:tblGrid>
        <w:gridCol w:w="2992"/>
        <w:gridCol w:w="7464"/>
        <w:gridCol w:w="7464"/>
      </w:tblGrid>
      <w:tr w:rsidR="00BE2117" w:rsidTr="009620BB">
        <w:trPr>
          <w:trHeight w:val="492"/>
        </w:trPr>
        <w:tc>
          <w:tcPr>
            <w:tcW w:w="2992" w:type="dxa"/>
          </w:tcPr>
          <w:p w:rsidR="00BE2117" w:rsidRPr="00833E9D" w:rsidRDefault="00BE2117" w:rsidP="009620BB">
            <w:pPr>
              <w:pStyle w:val="Note"/>
              <w:spacing w:after="0"/>
            </w:pPr>
            <w:r w:rsidRPr="00103711">
              <w:rPr>
                <w:b/>
              </w:rPr>
              <w:lastRenderedPageBreak/>
              <w:t>Scope:</w:t>
            </w:r>
            <w:r>
              <w:t xml:space="preserve"> This monthly newsletter outlines economic and financial developments in Victoria, nationally and globally.</w:t>
            </w:r>
          </w:p>
        </w:tc>
        <w:tc>
          <w:tcPr>
            <w:tcW w:w="7464" w:type="dxa"/>
          </w:tcPr>
          <w:p w:rsidR="00BE2117" w:rsidRPr="006469B4" w:rsidRDefault="00BE2117" w:rsidP="009620BB">
            <w:pPr>
              <w:pStyle w:val="Note"/>
              <w:spacing w:after="0"/>
              <w:jc w:val="right"/>
              <w:rPr>
                <w:b/>
                <w:color w:val="707068" w:themeColor="background2" w:themeShade="80"/>
              </w:rPr>
            </w:pPr>
            <w:r w:rsidRPr="006469B4">
              <w:rPr>
                <w:b/>
                <w:color w:val="707068" w:themeColor="background2" w:themeShade="80"/>
              </w:rPr>
              <w:t xml:space="preserve">By David Martine, Secretary, Department of Treasury and Finance </w:t>
            </w:r>
          </w:p>
        </w:tc>
        <w:tc>
          <w:tcPr>
            <w:tcW w:w="7464" w:type="dxa"/>
          </w:tcPr>
          <w:p w:rsidR="00BE2117" w:rsidRPr="00D847A0" w:rsidRDefault="00BE2117" w:rsidP="009620BB">
            <w:pPr>
              <w:pStyle w:val="Note"/>
              <w:spacing w:after="0"/>
              <w:jc w:val="right"/>
              <w:rPr>
                <w:color w:val="53565A" w:themeColor="text2"/>
              </w:rPr>
            </w:pPr>
          </w:p>
        </w:tc>
      </w:tr>
    </w:tbl>
    <w:p w:rsidR="00BE2117" w:rsidRDefault="00BE2117" w:rsidP="00BE2117">
      <w:pPr>
        <w:pStyle w:val="Note"/>
        <w:jc w:val="right"/>
        <w:rPr>
          <w:b/>
          <w:color w:val="53565A" w:themeColor="text2"/>
        </w:rPr>
        <w:sectPr w:rsidR="00BE2117" w:rsidSect="00D847A0">
          <w:type w:val="continuous"/>
          <w:pgSz w:w="11906" w:h="16838" w:code="9"/>
          <w:pgMar w:top="3572" w:right="1134" w:bottom="1134" w:left="1134" w:header="709" w:footer="567" w:gutter="0"/>
          <w:cols w:space="567"/>
          <w:docGrid w:linePitch="360"/>
        </w:sectPr>
      </w:pPr>
    </w:p>
    <w:p w:rsidR="00BE2117" w:rsidRDefault="00BE2117" w:rsidP="00BE2117">
      <w:pPr>
        <w:pStyle w:val="Bullet-highlight"/>
        <w:numPr>
          <w:ilvl w:val="0"/>
          <w:numId w:val="0"/>
        </w:numPr>
        <w:spacing w:after="0"/>
      </w:pPr>
    </w:p>
    <w:p w:rsidR="00BE2117" w:rsidRDefault="00BE2117" w:rsidP="00BE2117">
      <w:pPr>
        <w:pStyle w:val="Bullet-highlight"/>
        <w:numPr>
          <w:ilvl w:val="0"/>
          <w:numId w:val="0"/>
        </w:numPr>
        <w:spacing w:after="0"/>
        <w:sectPr w:rsidR="00BE2117" w:rsidSect="00D847A0">
          <w:type w:val="continuous"/>
          <w:pgSz w:w="11906" w:h="16838" w:code="9"/>
          <w:pgMar w:top="3572" w:right="1134" w:bottom="1134" w:left="1134" w:header="709" w:footer="567" w:gutter="0"/>
          <w:cols w:space="567"/>
          <w:docGrid w:linePitch="360"/>
        </w:sectPr>
      </w:pPr>
    </w:p>
    <w:tbl>
      <w:tblPr>
        <w:tblW w:w="5899" w:type="dxa"/>
        <w:shd w:val="clear" w:color="auto" w:fill="99B8DC" w:themeFill="accent5"/>
        <w:tblLook w:val="04A0" w:firstRow="1" w:lastRow="0" w:firstColumn="1" w:lastColumn="0" w:noHBand="0" w:noVBand="1"/>
      </w:tblPr>
      <w:tblGrid>
        <w:gridCol w:w="1101"/>
        <w:gridCol w:w="2247"/>
        <w:gridCol w:w="2551"/>
      </w:tblGrid>
      <w:tr w:rsidR="00BE2117" w:rsidRPr="00BB0BF9" w:rsidTr="00197EA5">
        <w:trPr>
          <w:gridAfter w:val="1"/>
          <w:wAfter w:w="2551" w:type="dxa"/>
          <w:trHeight w:val="8450"/>
        </w:trPr>
        <w:tc>
          <w:tcPr>
            <w:tcW w:w="3348" w:type="dxa"/>
            <w:gridSpan w:val="2"/>
            <w:shd w:val="clear" w:color="auto" w:fill="CCE3F5" w:themeFill="accent6"/>
          </w:tcPr>
          <w:p w:rsidR="00BE2117" w:rsidRPr="00103711" w:rsidRDefault="00BE2117" w:rsidP="009620BB">
            <w:pPr>
              <w:spacing w:before="200"/>
              <w:rPr>
                <w:b/>
                <w:color w:val="201547" w:themeColor="accent1"/>
                <w:sz w:val="32"/>
              </w:rPr>
            </w:pPr>
            <w:r>
              <w:rPr>
                <w:b/>
                <w:color w:val="201547" w:themeColor="accent1"/>
                <w:sz w:val="32"/>
              </w:rPr>
              <w:lastRenderedPageBreak/>
              <w:t xml:space="preserve">   </w:t>
            </w:r>
            <w:r w:rsidRPr="00103711">
              <w:rPr>
                <w:b/>
                <w:color w:val="201547" w:themeColor="accent1"/>
                <w:sz w:val="32"/>
              </w:rPr>
              <w:t>Highlights</w:t>
            </w:r>
          </w:p>
          <w:p w:rsidR="00BE2117" w:rsidRPr="00796EF3" w:rsidRDefault="00BE2117" w:rsidP="009620BB">
            <w:pPr>
              <w:pStyle w:val="Bullet-highlight"/>
            </w:pPr>
            <w:r w:rsidRPr="004C2B18">
              <w:t xml:space="preserve">Pace of economic growth in Victoria </w:t>
            </w:r>
            <w:r>
              <w:t>remains strong, albeit some</w:t>
            </w:r>
            <w:r w:rsidRPr="00796EF3">
              <w:t xml:space="preserve"> indicators have moderated.</w:t>
            </w:r>
          </w:p>
          <w:p w:rsidR="00BE2117" w:rsidRPr="00796EF3" w:rsidRDefault="00BE2117" w:rsidP="009620BB">
            <w:pPr>
              <w:pStyle w:val="Bullet-highlight"/>
            </w:pPr>
            <w:r w:rsidRPr="00796EF3">
              <w:t>Residential building approvals continue to grow, although at a slower rate.</w:t>
            </w:r>
          </w:p>
          <w:p w:rsidR="00BE2117" w:rsidRPr="00796EF3" w:rsidRDefault="00BE2117" w:rsidP="009620BB">
            <w:pPr>
              <w:pStyle w:val="Bullet-highlight"/>
            </w:pPr>
            <w:r w:rsidRPr="00796EF3">
              <w:t>Victorian consumers continue to be optimistic.</w:t>
            </w:r>
          </w:p>
          <w:p w:rsidR="00BE2117" w:rsidRPr="00796EF3" w:rsidRDefault="00BE2117" w:rsidP="009620BB">
            <w:pPr>
              <w:pStyle w:val="Bullet-highlight"/>
            </w:pPr>
            <w:r w:rsidRPr="00796EF3">
              <w:t>Victoria added almost 120,000 new jobs over 2016, encouraging labour force participation.</w:t>
            </w:r>
          </w:p>
          <w:p w:rsidR="00BE2117" w:rsidRPr="00796EF3" w:rsidRDefault="00BE2117" w:rsidP="009620BB">
            <w:pPr>
              <w:pStyle w:val="Bullet-highlight"/>
            </w:pPr>
            <w:r w:rsidRPr="00796EF3">
              <w:t>The IMF has left its global growth estimates unchanged, but has raised its estimate of US growth.</w:t>
            </w:r>
          </w:p>
          <w:p w:rsidR="00BE2117" w:rsidRPr="00BB0BF9" w:rsidRDefault="00BE2117" w:rsidP="009620BB">
            <w:pPr>
              <w:pStyle w:val="Bullet-highlight"/>
            </w:pPr>
            <w:r w:rsidRPr="00796EF3">
              <w:t>Uncertainty about the possible global consequences</w:t>
            </w:r>
            <w:r>
              <w:t xml:space="preserve"> of US economic and trade policy decisions remain.</w:t>
            </w:r>
          </w:p>
        </w:tc>
      </w:tr>
      <w:tr w:rsidR="00BE2117" w:rsidTr="00197EA5">
        <w:tblPrEx>
          <w:shd w:val="clear" w:color="auto" w:fill="auto"/>
        </w:tblPrEx>
        <w:tc>
          <w:tcPr>
            <w:tcW w:w="1101" w:type="dxa"/>
          </w:tcPr>
          <w:p w:rsidR="00BE2117" w:rsidRDefault="00BE2117" w:rsidP="00197EA5">
            <w:pPr>
              <w:keepNext/>
            </w:pPr>
            <w:r>
              <w:rPr>
                <w:noProof/>
                <w:lang w:eastAsia="en-AU"/>
              </w:rPr>
              <w:lastRenderedPageBreak/>
              <w:drawing>
                <wp:inline distT="0" distB="0" distL="0" distR="0" wp14:anchorId="3CD6540D" wp14:editId="056343D4">
                  <wp:extent cx="512935" cy="36000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2935" cy="360000"/>
                          </a:xfrm>
                          <a:prstGeom prst="rect">
                            <a:avLst/>
                          </a:prstGeom>
                          <a:noFill/>
                          <a:ln>
                            <a:noFill/>
                          </a:ln>
                        </pic:spPr>
                      </pic:pic>
                    </a:graphicData>
                  </a:graphic>
                </wp:inline>
              </w:drawing>
            </w:r>
          </w:p>
        </w:tc>
        <w:tc>
          <w:tcPr>
            <w:tcW w:w="4798" w:type="dxa"/>
            <w:gridSpan w:val="2"/>
            <w:vAlign w:val="bottom"/>
          </w:tcPr>
          <w:p w:rsidR="00BE2117" w:rsidRDefault="00BE2117" w:rsidP="009620BB">
            <w:pPr>
              <w:pStyle w:val="Heading1"/>
            </w:pPr>
            <w:r>
              <w:t>Domestic developments</w:t>
            </w:r>
          </w:p>
        </w:tc>
      </w:tr>
    </w:tbl>
    <w:p w:rsidR="00BE2117" w:rsidRPr="00B17DE6" w:rsidRDefault="00BE2117" w:rsidP="00BE2117">
      <w:r>
        <w:t>Recent macro</w:t>
      </w:r>
      <w:r w:rsidRPr="00B17DE6">
        <w:t>economic indicators point to ongoing strength in the economy</w:t>
      </w:r>
      <w:r>
        <w:t xml:space="preserve">, albeit some indicators have moderated. </w:t>
      </w:r>
    </w:p>
    <w:p w:rsidR="00BE2117" w:rsidRPr="00B17DE6" w:rsidRDefault="00BE2117" w:rsidP="00BE2117">
      <w:r w:rsidRPr="00E104B2">
        <w:t xml:space="preserve">Residential investment continues to </w:t>
      </w:r>
      <w:r>
        <w:t>grow</w:t>
      </w:r>
      <w:r w:rsidRPr="00E104B2">
        <w:t xml:space="preserve">, although at a slower rate. </w:t>
      </w:r>
      <w:r>
        <w:t>The</w:t>
      </w:r>
      <w:r w:rsidRPr="00E104B2">
        <w:t xml:space="preserve"> value of </w:t>
      </w:r>
      <w:r w:rsidRPr="00B56033">
        <w:rPr>
          <w:b/>
        </w:rPr>
        <w:t>residential building approvals</w:t>
      </w:r>
      <w:r w:rsidRPr="00E104B2">
        <w:t xml:space="preserve"> grew by </w:t>
      </w:r>
      <w:r>
        <w:t>an average of 6.7 per cent</w:t>
      </w:r>
      <w:r w:rsidRPr="00E104B2">
        <w:t xml:space="preserve"> </w:t>
      </w:r>
      <w:r>
        <w:t>over the year to December 2016</w:t>
      </w:r>
      <w:r w:rsidRPr="00E104B2">
        <w:t xml:space="preserve">. </w:t>
      </w:r>
      <w:r w:rsidRPr="00B17DE6">
        <w:t xml:space="preserve">Ongoing demand for detached housing plus alterations and additions is being partially offset by the moderation in </w:t>
      </w:r>
      <w:r>
        <w:t>apartment construction.</w:t>
      </w:r>
    </w:p>
    <w:p w:rsidR="00BE2117" w:rsidRDefault="00BE2117" w:rsidP="00BE2117">
      <w:pPr>
        <w:rPr>
          <w:rStyle w:val="Emphasis"/>
          <w:b w:val="0"/>
        </w:rPr>
      </w:pPr>
      <w:r w:rsidRPr="00E07D12">
        <w:rPr>
          <w:rStyle w:val="Emphasis"/>
          <w:b w:val="0"/>
        </w:rPr>
        <w:t xml:space="preserve">Demand for residential construction is supported by continued population growth, low interest rates and high house price inflation which encourages new investment. The </w:t>
      </w:r>
      <w:proofErr w:type="spellStart"/>
      <w:r w:rsidRPr="00E07D12">
        <w:rPr>
          <w:rStyle w:val="Emphasis"/>
        </w:rPr>
        <w:t>CoreLogic</w:t>
      </w:r>
      <w:proofErr w:type="spellEnd"/>
      <w:r w:rsidRPr="00E07D12">
        <w:rPr>
          <w:rStyle w:val="Emphasis"/>
        </w:rPr>
        <w:t xml:space="preserve"> Home Value Index</w:t>
      </w:r>
      <w:r>
        <w:rPr>
          <w:rStyle w:val="Emphasis"/>
          <w:b w:val="0"/>
        </w:rPr>
        <w:t xml:space="preserve"> for Melbourne grew by 11.8 per </w:t>
      </w:r>
      <w:r w:rsidRPr="00E07D12">
        <w:rPr>
          <w:rStyle w:val="Emphasis"/>
          <w:b w:val="0"/>
        </w:rPr>
        <w:t>cent over the year to January 2017.</w:t>
      </w:r>
      <w:r>
        <w:rPr>
          <w:rStyle w:val="Emphasis"/>
          <w:b w:val="0"/>
        </w:rPr>
        <w:t xml:space="preserve"> The monthly outturn indicates </w:t>
      </w:r>
      <w:r w:rsidRPr="00E07D12">
        <w:rPr>
          <w:rStyle w:val="Emphasis"/>
          <w:b w:val="0"/>
        </w:rPr>
        <w:t xml:space="preserve">some moderation in annual price growth from the previous month, but remains high. </w:t>
      </w:r>
    </w:p>
    <w:p w:rsidR="00BE2117" w:rsidRDefault="00BE2117" w:rsidP="00BE2117">
      <w:pPr>
        <w:rPr>
          <w:rStyle w:val="Emphasis"/>
          <w:b w:val="0"/>
        </w:rPr>
      </w:pPr>
      <w:r w:rsidRPr="00E07D12">
        <w:rPr>
          <w:rStyle w:val="Emphasis"/>
          <w:b w:val="0"/>
        </w:rPr>
        <w:t xml:space="preserve">Strong house price growth </w:t>
      </w:r>
      <w:r>
        <w:rPr>
          <w:rStyle w:val="Emphasis"/>
          <w:b w:val="0"/>
        </w:rPr>
        <w:t>is</w:t>
      </w:r>
      <w:r w:rsidRPr="00E07D12">
        <w:rPr>
          <w:rStyle w:val="Emphasis"/>
          <w:b w:val="0"/>
        </w:rPr>
        <w:t xml:space="preserve"> reduc</w:t>
      </w:r>
      <w:r>
        <w:rPr>
          <w:rStyle w:val="Emphasis"/>
          <w:b w:val="0"/>
        </w:rPr>
        <w:t>ing</w:t>
      </w:r>
      <w:r w:rsidRPr="00E07D12">
        <w:rPr>
          <w:rStyle w:val="Emphasis"/>
          <w:b w:val="0"/>
        </w:rPr>
        <w:t xml:space="preserve"> </w:t>
      </w:r>
      <w:r w:rsidRPr="00E07D12">
        <w:rPr>
          <w:rStyle w:val="Emphasis"/>
        </w:rPr>
        <w:t>housing affordability</w:t>
      </w:r>
      <w:r w:rsidRPr="00E07D12">
        <w:rPr>
          <w:rStyle w:val="Emphasis"/>
          <w:b w:val="0"/>
        </w:rPr>
        <w:t xml:space="preserve">. According to the Housing Industry Association, housing in Melbourne is more affordable than in Sydney, but </w:t>
      </w:r>
      <w:r>
        <w:rPr>
          <w:rStyle w:val="Emphasis"/>
          <w:b w:val="0"/>
        </w:rPr>
        <w:t>less affordable</w:t>
      </w:r>
      <w:r w:rsidRPr="00E07D12">
        <w:rPr>
          <w:rStyle w:val="Emphasis"/>
          <w:b w:val="0"/>
        </w:rPr>
        <w:t xml:space="preserve"> than the </w:t>
      </w:r>
      <w:r>
        <w:rPr>
          <w:rStyle w:val="Emphasis"/>
          <w:b w:val="0"/>
        </w:rPr>
        <w:t xml:space="preserve">other </w:t>
      </w:r>
      <w:r w:rsidRPr="00E07D12">
        <w:rPr>
          <w:rStyle w:val="Emphasis"/>
          <w:b w:val="0"/>
        </w:rPr>
        <w:t>capital cities</w:t>
      </w:r>
      <w:r>
        <w:rPr>
          <w:rStyle w:val="Emphasis"/>
          <w:b w:val="0"/>
        </w:rPr>
        <w:t>.</w:t>
      </w:r>
    </w:p>
    <w:p w:rsidR="00BE2117" w:rsidRDefault="00BE2117" w:rsidP="00BE2117">
      <w:pPr>
        <w:rPr>
          <w:rStyle w:val="Emphasis"/>
          <w:b w:val="0"/>
        </w:rPr>
        <w:sectPr w:rsidR="00BE2117" w:rsidSect="00197EA5">
          <w:headerReference w:type="default" r:id="rId12"/>
          <w:footerReference w:type="default" r:id="rId13"/>
          <w:type w:val="continuous"/>
          <w:pgSz w:w="11906" w:h="16838" w:code="9"/>
          <w:pgMar w:top="964" w:right="1286" w:bottom="794" w:left="1134" w:header="709" w:footer="567" w:gutter="0"/>
          <w:cols w:num="2" w:space="562" w:equalWidth="0">
            <w:col w:w="3355" w:space="562"/>
            <w:col w:w="5569"/>
          </w:cols>
          <w:docGrid w:linePitch="360"/>
        </w:sectPr>
      </w:pPr>
    </w:p>
    <w:p w:rsidR="00BE2117" w:rsidRDefault="00BE2117" w:rsidP="00BE2117">
      <w:r>
        <w:rPr>
          <w:rStyle w:val="Emphasis"/>
          <w:b w:val="0"/>
        </w:rPr>
        <w:lastRenderedPageBreak/>
        <w:t xml:space="preserve">Consumer sentiment remains resilient. </w:t>
      </w:r>
      <w:r w:rsidRPr="00D019BB">
        <w:t xml:space="preserve">The </w:t>
      </w:r>
      <w:r w:rsidRPr="00B56033">
        <w:rPr>
          <w:b/>
        </w:rPr>
        <w:t>Consumer Sentiment Index</w:t>
      </w:r>
      <w:r>
        <w:t xml:space="preserve"> for Victoria increased by 5.7 per cent to 103.7 </w:t>
      </w:r>
      <w:r w:rsidRPr="00D019BB">
        <w:t xml:space="preserve">in January, and has been optimistic in </w:t>
      </w:r>
      <w:r>
        <w:t>8</w:t>
      </w:r>
      <w:r w:rsidRPr="00D019BB">
        <w:t xml:space="preserve"> out of the </w:t>
      </w:r>
      <w:r>
        <w:t>past</w:t>
      </w:r>
      <w:r w:rsidRPr="00D019BB">
        <w:t xml:space="preserve"> </w:t>
      </w:r>
      <w:r>
        <w:t>12</w:t>
      </w:r>
      <w:r w:rsidRPr="00D019BB">
        <w:t xml:space="preserve"> months.</w:t>
      </w:r>
    </w:p>
    <w:p w:rsidR="00BE2117" w:rsidRPr="00E07D12" w:rsidRDefault="00BE2117" w:rsidP="00BE2117">
      <w:pPr>
        <w:rPr>
          <w:rStyle w:val="Emphasis"/>
          <w:b w:val="0"/>
        </w:rPr>
      </w:pPr>
      <w:r>
        <w:t xml:space="preserve">That said, retail spending has moderated over the calendar year. Annual growth in the </w:t>
      </w:r>
      <w:r w:rsidRPr="00D019BB">
        <w:t xml:space="preserve">value of Victorian </w:t>
      </w:r>
      <w:r w:rsidRPr="00B56033">
        <w:rPr>
          <w:b/>
        </w:rPr>
        <w:t>retail trade</w:t>
      </w:r>
      <w:r w:rsidRPr="00D019BB">
        <w:t xml:space="preserve"> </w:t>
      </w:r>
      <w:r>
        <w:t>averaged</w:t>
      </w:r>
      <w:r w:rsidRPr="00D019BB">
        <w:t xml:space="preserve"> 3</w:t>
      </w:r>
      <w:r>
        <w:t>.3 per cent</w:t>
      </w:r>
      <w:r w:rsidRPr="00D019BB">
        <w:t xml:space="preserve"> over the </w:t>
      </w:r>
      <w:r>
        <w:t xml:space="preserve">second half of 2016, down from an average of 5.0 per cent in the first half of the year. </w:t>
      </w:r>
    </w:p>
    <w:p w:rsidR="00BE2117" w:rsidRDefault="00BE2117" w:rsidP="00BE2117">
      <w:pPr>
        <w:rPr>
          <w:rStyle w:val="Emphasis"/>
          <w:b w:val="0"/>
        </w:rPr>
      </w:pPr>
      <w:r>
        <w:rPr>
          <w:rStyle w:val="Emphasis"/>
          <w:b w:val="0"/>
        </w:rPr>
        <w:t>The forward indicators for business investment are mixed. The pipeline for non</w:t>
      </w:r>
      <w:r>
        <w:rPr>
          <w:rStyle w:val="Emphasis"/>
          <w:b w:val="0"/>
        </w:rPr>
        <w:noBreakHyphen/>
        <w:t>residential building is starting to pick up. T</w:t>
      </w:r>
      <w:r w:rsidRPr="00813058">
        <w:rPr>
          <w:rStyle w:val="Emphasis"/>
          <w:b w:val="0"/>
        </w:rPr>
        <w:t xml:space="preserve">he value of </w:t>
      </w:r>
      <w:r w:rsidRPr="00813058">
        <w:rPr>
          <w:rStyle w:val="Emphasis"/>
        </w:rPr>
        <w:t>non</w:t>
      </w:r>
      <w:r>
        <w:rPr>
          <w:rStyle w:val="Emphasis"/>
        </w:rPr>
        <w:noBreakHyphen/>
      </w:r>
      <w:r w:rsidRPr="00813058">
        <w:rPr>
          <w:rStyle w:val="Emphasis"/>
        </w:rPr>
        <w:t>residential building approvals</w:t>
      </w:r>
      <w:r w:rsidRPr="00813058">
        <w:rPr>
          <w:rStyle w:val="Emphasis"/>
          <w:b w:val="0"/>
        </w:rPr>
        <w:t xml:space="preserve"> </w:t>
      </w:r>
      <w:r>
        <w:rPr>
          <w:rStyle w:val="Emphasis"/>
          <w:b w:val="0"/>
        </w:rPr>
        <w:t>increased by an average of 17.5 per cent</w:t>
      </w:r>
      <w:r w:rsidRPr="00813058">
        <w:rPr>
          <w:rStyle w:val="Emphasis"/>
          <w:b w:val="0"/>
        </w:rPr>
        <w:t xml:space="preserve"> </w:t>
      </w:r>
      <w:r>
        <w:rPr>
          <w:rStyle w:val="Emphasis"/>
          <w:b w:val="0"/>
        </w:rPr>
        <w:t xml:space="preserve">over the year to December 2016. However, </w:t>
      </w:r>
      <w:r w:rsidRPr="00813058">
        <w:rPr>
          <w:rStyle w:val="Emphasis"/>
          <w:b w:val="0"/>
        </w:rPr>
        <w:t xml:space="preserve">weakness in the engineering pipeline is </w:t>
      </w:r>
      <w:r>
        <w:rPr>
          <w:rStyle w:val="Emphasis"/>
          <w:b w:val="0"/>
        </w:rPr>
        <w:t>expected to weigh on aggregate non</w:t>
      </w:r>
      <w:r>
        <w:rPr>
          <w:rStyle w:val="Emphasis"/>
          <w:b w:val="0"/>
        </w:rPr>
        <w:noBreakHyphen/>
        <w:t xml:space="preserve">dwelling construction. </w:t>
      </w:r>
    </w:p>
    <w:p w:rsidR="00BE2117" w:rsidRDefault="00BE2117" w:rsidP="00BE2117">
      <w:r>
        <w:t>Strong economic growth in Victoria over 2015</w:t>
      </w:r>
      <w:r>
        <w:noBreakHyphen/>
        <w:t>16 is contributing to the demand for labour</w:t>
      </w:r>
      <w:r w:rsidRPr="00D019BB">
        <w:t xml:space="preserve">. </w:t>
      </w:r>
      <w:r w:rsidRPr="00B56033">
        <w:rPr>
          <w:b/>
        </w:rPr>
        <w:t>Employment</w:t>
      </w:r>
      <w:r w:rsidRPr="00D019BB">
        <w:t xml:space="preserve"> increased by 4.0 </w:t>
      </w:r>
      <w:r>
        <w:br/>
      </w:r>
      <w:r w:rsidRPr="00D019BB">
        <w:t xml:space="preserve">per cent (118,500 </w:t>
      </w:r>
      <w:r>
        <w:t>persons</w:t>
      </w:r>
      <w:r w:rsidRPr="00D019BB">
        <w:t>) over the year to December 2016, driven primarily by increasing full</w:t>
      </w:r>
      <w:r>
        <w:noBreakHyphen/>
      </w:r>
      <w:r w:rsidRPr="00D019BB">
        <w:t xml:space="preserve">time employment. </w:t>
      </w:r>
    </w:p>
    <w:p w:rsidR="00BE2117" w:rsidRDefault="00BE2117" w:rsidP="00BE2117">
      <w:pPr>
        <w:rPr>
          <w:highlight w:val="yellow"/>
        </w:rPr>
      </w:pPr>
      <w:r w:rsidRPr="00D019BB">
        <w:t xml:space="preserve">Solid employment growth is one of the factors encouraging Victorians back into the workforce. The </w:t>
      </w:r>
      <w:r w:rsidRPr="00B56033">
        <w:rPr>
          <w:b/>
        </w:rPr>
        <w:t>participation rate</w:t>
      </w:r>
      <w:r w:rsidRPr="00D019BB">
        <w:t xml:space="preserve"> increased to 65.9</w:t>
      </w:r>
      <w:r>
        <w:t> per cent</w:t>
      </w:r>
      <w:r w:rsidRPr="00D019BB">
        <w:t xml:space="preserve">, its highest level since February 2011. The </w:t>
      </w:r>
      <w:r w:rsidRPr="00B56033">
        <w:rPr>
          <w:b/>
        </w:rPr>
        <w:t>unemployment rate</w:t>
      </w:r>
      <w:r w:rsidRPr="00D019BB">
        <w:t xml:space="preserve"> has been broadly stable, averaging 5.8</w:t>
      </w:r>
      <w:r>
        <w:t> per cent</w:t>
      </w:r>
      <w:r w:rsidRPr="00D019BB">
        <w:t xml:space="preserve"> over the 2016 calendar year.</w:t>
      </w:r>
    </w:p>
    <w:p w:rsidR="00BE2117" w:rsidRPr="00813058" w:rsidRDefault="00BE2117" w:rsidP="00BE2117">
      <w:pPr>
        <w:rPr>
          <w:rStyle w:val="Emphasis"/>
          <w:b w:val="0"/>
        </w:rPr>
      </w:pPr>
      <w:r w:rsidRPr="00813058">
        <w:rPr>
          <w:rStyle w:val="Emphasis"/>
          <w:b w:val="0"/>
        </w:rPr>
        <w:t>There are tentative signs that strong employment growth is translating into price pressure with annual non</w:t>
      </w:r>
      <w:r>
        <w:rPr>
          <w:rStyle w:val="Emphasis"/>
          <w:b w:val="0"/>
        </w:rPr>
        <w:noBreakHyphen/>
      </w:r>
      <w:r w:rsidRPr="00813058">
        <w:rPr>
          <w:rStyle w:val="Emphasis"/>
          <w:b w:val="0"/>
        </w:rPr>
        <w:t xml:space="preserve">tradable inflation </w:t>
      </w:r>
      <w:r>
        <w:rPr>
          <w:rStyle w:val="Emphasis"/>
          <w:b w:val="0"/>
        </w:rPr>
        <w:t xml:space="preserve">in Melbourne </w:t>
      </w:r>
      <w:r w:rsidRPr="00813058">
        <w:rPr>
          <w:rStyle w:val="Emphasis"/>
          <w:b w:val="0"/>
        </w:rPr>
        <w:t xml:space="preserve">increasing to 2.3 </w:t>
      </w:r>
      <w:r>
        <w:rPr>
          <w:rStyle w:val="Emphasis"/>
          <w:b w:val="0"/>
        </w:rPr>
        <w:br/>
        <w:t>per cent</w:t>
      </w:r>
      <w:r w:rsidRPr="00813058">
        <w:rPr>
          <w:rStyle w:val="Emphasis"/>
          <w:b w:val="0"/>
        </w:rPr>
        <w:t xml:space="preserve"> in the December quarter. </w:t>
      </w:r>
      <w:r>
        <w:rPr>
          <w:rStyle w:val="Emphasis"/>
          <w:b w:val="0"/>
        </w:rPr>
        <w:t>Annual tradable inflation in Victoria decreased to 0.2 percent over the year to the December 2016 quarter, despite a quarterly increase that was driven by higher fuel prices.</w:t>
      </w:r>
      <w:r w:rsidRPr="00813058">
        <w:rPr>
          <w:rStyle w:val="Emphasis"/>
          <w:b w:val="0"/>
        </w:rPr>
        <w:t xml:space="preserve"> Melbourne’s </w:t>
      </w:r>
      <w:r w:rsidRPr="00813058">
        <w:rPr>
          <w:rStyle w:val="Emphasis"/>
        </w:rPr>
        <w:t>annual inflation</w:t>
      </w:r>
      <w:r w:rsidRPr="00813058">
        <w:rPr>
          <w:rStyle w:val="Emphasis"/>
          <w:b w:val="0"/>
        </w:rPr>
        <w:t xml:space="preserve"> rate is currently 1.5</w:t>
      </w:r>
      <w:r>
        <w:rPr>
          <w:rStyle w:val="Emphasis"/>
          <w:b w:val="0"/>
        </w:rPr>
        <w:t> per cent</w:t>
      </w:r>
      <w:r w:rsidRPr="00813058">
        <w:rPr>
          <w:rStyle w:val="Emphasis"/>
          <w:b w:val="0"/>
        </w:rPr>
        <w:t>.</w:t>
      </w:r>
    </w:p>
    <w:tbl>
      <w:tblPr>
        <w:tblW w:w="0" w:type="auto"/>
        <w:tblLook w:val="04A0" w:firstRow="1" w:lastRow="0" w:firstColumn="1" w:lastColumn="0" w:noHBand="0" w:noVBand="1"/>
      </w:tblPr>
      <w:tblGrid>
        <w:gridCol w:w="988"/>
        <w:gridCol w:w="3759"/>
      </w:tblGrid>
      <w:tr w:rsidR="00BE2117" w:rsidRPr="00405FBA" w:rsidTr="009620BB">
        <w:tc>
          <w:tcPr>
            <w:tcW w:w="988" w:type="dxa"/>
          </w:tcPr>
          <w:p w:rsidR="00BE2117" w:rsidRPr="00405FBA" w:rsidRDefault="00BE2117" w:rsidP="009620BB">
            <w:r w:rsidRPr="00405FBA">
              <w:lastRenderedPageBreak/>
              <w:br w:type="column"/>
            </w:r>
            <w:r w:rsidRPr="00405FBA">
              <w:rPr>
                <w:noProof/>
                <w:lang w:eastAsia="en-AU"/>
              </w:rPr>
              <w:drawing>
                <wp:inline distT="0" distB="0" distL="0" distR="0" wp14:anchorId="3C726E16" wp14:editId="0CF624AD">
                  <wp:extent cx="468000" cy="468000"/>
                  <wp:effectExtent l="0" t="0" r="8255" b="8255"/>
                  <wp:docPr id="14" name="Picture 14" descr="H:\temp\Economic Policy Newsletter\Stockmark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emp\Economic Policy Newsletter\Stockmarket.png"/>
                          <pic:cNvPicPr>
                            <a:picLocks noChangeAspect="1" noChangeArrowheads="1"/>
                          </pic:cNvPicPr>
                        </pic:nvPicPr>
                        <pic:blipFill>
                          <a:blip r:embed="rId14"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68000" cy="468000"/>
                          </a:xfrm>
                          <a:prstGeom prst="rect">
                            <a:avLst/>
                          </a:prstGeom>
                          <a:noFill/>
                          <a:ln>
                            <a:noFill/>
                          </a:ln>
                        </pic:spPr>
                      </pic:pic>
                    </a:graphicData>
                  </a:graphic>
                </wp:inline>
              </w:drawing>
            </w:r>
          </w:p>
        </w:tc>
        <w:tc>
          <w:tcPr>
            <w:tcW w:w="3763" w:type="dxa"/>
            <w:vAlign w:val="bottom"/>
          </w:tcPr>
          <w:p w:rsidR="00BE2117" w:rsidRPr="00405FBA" w:rsidRDefault="00BE2117" w:rsidP="009620BB">
            <w:pPr>
              <w:pStyle w:val="Heading1"/>
            </w:pPr>
            <w:r>
              <w:t>Global developments</w:t>
            </w:r>
          </w:p>
        </w:tc>
      </w:tr>
    </w:tbl>
    <w:p w:rsidR="00BE2117" w:rsidRDefault="00BE2117" w:rsidP="00BE2117">
      <w:pPr>
        <w:spacing w:before="120"/>
      </w:pPr>
      <w:r>
        <w:t xml:space="preserve">The </w:t>
      </w:r>
      <w:r w:rsidRPr="00B94DA6">
        <w:rPr>
          <w:b/>
        </w:rPr>
        <w:t xml:space="preserve">US </w:t>
      </w:r>
      <w:r>
        <w:t xml:space="preserve">recorded annualised </w:t>
      </w:r>
      <w:r w:rsidRPr="00E40BC0">
        <w:t xml:space="preserve">GDP growth </w:t>
      </w:r>
      <w:r>
        <w:t xml:space="preserve">of 1.9 per cent </w:t>
      </w:r>
      <w:r w:rsidRPr="00E40BC0">
        <w:t>in the December quarter</w:t>
      </w:r>
      <w:r>
        <w:t xml:space="preserve">, below the September quarter annualised growth of 3.5 per cent. </w:t>
      </w:r>
      <w:r w:rsidRPr="00E40BC0">
        <w:t xml:space="preserve">Consumption growth slowed </w:t>
      </w:r>
      <w:r>
        <w:t xml:space="preserve">from previous quarters </w:t>
      </w:r>
      <w:r w:rsidRPr="00E40BC0">
        <w:t xml:space="preserve">but was still </w:t>
      </w:r>
      <w:r>
        <w:t>robust.</w:t>
      </w:r>
      <w:r w:rsidRPr="00E40BC0">
        <w:t xml:space="preserve"> </w:t>
      </w:r>
      <w:r>
        <w:t>R</w:t>
      </w:r>
      <w:r w:rsidRPr="00E40BC0">
        <w:t>esidential investment re</w:t>
      </w:r>
      <w:r>
        <w:t xml:space="preserve">turned to positive growth </w:t>
      </w:r>
      <w:r w:rsidRPr="00E40BC0">
        <w:t xml:space="preserve">and business investment showed some further improvement. </w:t>
      </w:r>
    </w:p>
    <w:p w:rsidR="00BE2117" w:rsidRDefault="00BE2117" w:rsidP="00BE2117">
      <w:r w:rsidRPr="00D70E73">
        <w:t xml:space="preserve">The </w:t>
      </w:r>
      <w:r w:rsidRPr="00F12F87">
        <w:rPr>
          <w:b/>
        </w:rPr>
        <w:t>US labour market</w:t>
      </w:r>
      <w:r>
        <w:t xml:space="preserve"> continues to improve, with strong employment growth of 227,000 persons in January. However, there has been a slowdown in </w:t>
      </w:r>
      <w:r w:rsidRPr="00D70E73">
        <w:t xml:space="preserve">trend employment growth as the US moves closer to full employment. </w:t>
      </w:r>
      <w:r>
        <w:t>T</w:t>
      </w:r>
      <w:r w:rsidRPr="00D70E73">
        <w:t xml:space="preserve">he unemployment rate rose </w:t>
      </w:r>
      <w:r>
        <w:t xml:space="preserve">0.1 percentage points to </w:t>
      </w:r>
      <w:r w:rsidRPr="00D70E73">
        <w:t>4.8</w:t>
      </w:r>
      <w:r>
        <w:t> per cent in January</w:t>
      </w:r>
      <w:r w:rsidRPr="00D70E73">
        <w:t xml:space="preserve">, </w:t>
      </w:r>
      <w:r>
        <w:t xml:space="preserve">partly </w:t>
      </w:r>
      <w:r w:rsidRPr="00D70E73">
        <w:t>due to a rise in workforce participation.</w:t>
      </w:r>
    </w:p>
    <w:p w:rsidR="00BE2117" w:rsidRDefault="00BE2117" w:rsidP="00BE2117">
      <w:r w:rsidRPr="00B94DA6">
        <w:rPr>
          <w:b/>
        </w:rPr>
        <w:t>Chinese GDP</w:t>
      </w:r>
      <w:r w:rsidRPr="0037175A">
        <w:t xml:space="preserve"> </w:t>
      </w:r>
      <w:r>
        <w:t>growth came in at 6.8 per cent over the year to the December quarter, f</w:t>
      </w:r>
      <w:r w:rsidRPr="0037175A">
        <w:t>ollowing three consecutive annual gains of 6.7</w:t>
      </w:r>
      <w:r>
        <w:t> per cent. Industrial production was steady while growth in the service sector picked up. Retail sales and export volumes both grew at a similar pace as in the September quarter. Infrastructure investment growth declined in the quarter, however, manufacturing and property investment picked up. Growth in the services sector continued to outperform headline GDP growth, increasing by 8.3 per cent over the year.</w:t>
      </w:r>
    </w:p>
    <w:p w:rsidR="00BE2117" w:rsidRDefault="00BE2117" w:rsidP="00BE2117">
      <w:pPr>
        <w:spacing w:before="120"/>
      </w:pPr>
      <w:r>
        <w:t xml:space="preserve">In the </w:t>
      </w:r>
      <w:r w:rsidRPr="00DC7136">
        <w:t xml:space="preserve">January 2017 </w:t>
      </w:r>
      <w:r w:rsidRPr="00DC7136">
        <w:rPr>
          <w:i/>
        </w:rPr>
        <w:t>World Economic Outlook Update</w:t>
      </w:r>
      <w:r>
        <w:t xml:space="preserve"> the </w:t>
      </w:r>
      <w:r w:rsidRPr="00DC7136">
        <w:rPr>
          <w:b/>
        </w:rPr>
        <w:t>International Monetary Fund (IMF)</w:t>
      </w:r>
      <w:r>
        <w:t xml:space="preserve"> left global growth projections unchanged at 3.4 per cent in 2017 and 3.6 per cent in 2018 </w:t>
      </w:r>
      <w:r w:rsidRPr="009C4F38">
        <w:t>compared to</w:t>
      </w:r>
      <w:r>
        <w:t xml:space="preserve"> forecasts in the October 2016 </w:t>
      </w:r>
      <w:r>
        <w:rPr>
          <w:i/>
        </w:rPr>
        <w:t xml:space="preserve">World Economic Outlook. </w:t>
      </w:r>
      <w:r>
        <w:t xml:space="preserve">While the IMF increased their US growth expectations (by 0.1 per cent to 2.3 per cent in 2017 </w:t>
      </w:r>
    </w:p>
    <w:p w:rsidR="00197EA5" w:rsidRDefault="00197EA5" w:rsidP="00BE2117">
      <w:pPr>
        <w:spacing w:before="120"/>
        <w:sectPr w:rsidR="00197EA5" w:rsidSect="00197EA5">
          <w:pgSz w:w="11906" w:h="16838" w:code="9"/>
          <w:pgMar w:top="965" w:right="1138" w:bottom="792" w:left="1138" w:header="706" w:footer="562" w:gutter="0"/>
          <w:cols w:num="2" w:space="567"/>
          <w:docGrid w:linePitch="360"/>
        </w:sectPr>
      </w:pPr>
    </w:p>
    <w:p w:rsidR="00BE2117" w:rsidRDefault="00BE2117" w:rsidP="00BE2117">
      <w:pPr>
        <w:spacing w:before="120"/>
      </w:pPr>
      <w:r>
        <w:lastRenderedPageBreak/>
        <w:t>and by 0.4 per cent to 2.5 per cent in 2018) they note the uncertainty about the impact of US President Trump’s economic and trade policies.</w:t>
      </w:r>
    </w:p>
    <w:p w:rsidR="00BE2117" w:rsidRDefault="00BE2117" w:rsidP="00BE2117">
      <w:pPr>
        <w:spacing w:before="120"/>
      </w:pPr>
      <w:r>
        <w:t xml:space="preserve">Some </w:t>
      </w:r>
      <w:r w:rsidRPr="00286C1A">
        <w:t xml:space="preserve">commentators believe </w:t>
      </w:r>
      <w:r>
        <w:t xml:space="preserve">that </w:t>
      </w:r>
      <w:r w:rsidRPr="00B94DA6">
        <w:rPr>
          <w:b/>
        </w:rPr>
        <w:t>Trump's proposals</w:t>
      </w:r>
      <w:r w:rsidRPr="00286C1A">
        <w:t xml:space="preserve"> on trade</w:t>
      </w:r>
      <w:r>
        <w:t xml:space="preserve"> agreements and </w:t>
      </w:r>
      <w:r w:rsidRPr="00286C1A">
        <w:t>tariffs</w:t>
      </w:r>
      <w:r>
        <w:t xml:space="preserve">, together with policy responses by other countries, could have a </w:t>
      </w:r>
      <w:r w:rsidRPr="00286C1A">
        <w:t xml:space="preserve">negative </w:t>
      </w:r>
      <w:r>
        <w:t>impact on global growth. O</w:t>
      </w:r>
      <w:r w:rsidRPr="00286C1A">
        <w:t xml:space="preserve">ther </w:t>
      </w:r>
      <w:r>
        <w:t>analysts point to the positive flow</w:t>
      </w:r>
      <w:r>
        <w:noBreakHyphen/>
        <w:t xml:space="preserve">on effects of Trump’s domestic economic agenda (such as tax cuts and increased infrastructure spending) </w:t>
      </w:r>
      <w:r w:rsidRPr="00286C1A">
        <w:t>that will be stimulatory for the US economy</w:t>
      </w:r>
      <w:r>
        <w:t xml:space="preserve">, benefiting countries that export to the US. </w:t>
      </w:r>
    </w:p>
    <w:p w:rsidR="00197EA5" w:rsidRDefault="00BE2117" w:rsidP="00BE2117">
      <w:r w:rsidRPr="00B94DA6">
        <w:t xml:space="preserve">Another source of risk to the global economy and financial markets surrounds uncertainty with regard to </w:t>
      </w:r>
      <w:r w:rsidRPr="00B94DA6">
        <w:rPr>
          <w:b/>
        </w:rPr>
        <w:t>the Brexit process</w:t>
      </w:r>
      <w:r w:rsidRPr="00B94DA6">
        <w:t xml:space="preserve">. A protracted period of </w:t>
      </w:r>
    </w:p>
    <w:p w:rsidR="00BE2117" w:rsidRDefault="00197EA5" w:rsidP="00BE2117">
      <w:r>
        <w:br w:type="column"/>
      </w:r>
      <w:r w:rsidR="00BE2117" w:rsidRPr="00B94DA6">
        <w:lastRenderedPageBreak/>
        <w:t xml:space="preserve">exit negotiations could dampen UK capital spending and economic activity. </w:t>
      </w:r>
      <w:r w:rsidR="00BE2117">
        <w:t>I</w:t>
      </w:r>
      <w:r w:rsidR="00BE2117" w:rsidRPr="00B343CB">
        <w:t>n light of the recent decision by the Supreme Court</w:t>
      </w:r>
      <w:r w:rsidR="00BE2117">
        <w:t xml:space="preserve">, </w:t>
      </w:r>
      <w:r w:rsidR="00BE2117" w:rsidRPr="00B343CB">
        <w:t>the UK parliament has voted overwhelmingly in favour of invoking Article 50 and beginning the formal process of leaving the EU.</w:t>
      </w:r>
    </w:p>
    <w:p w:rsidR="00BE2117" w:rsidRDefault="00BE2117" w:rsidP="00BE2117">
      <w:r>
        <w:t xml:space="preserve">Recent central bank decisions relating to monetary policy have been broadly as expected by analysts. The US Federal Reserve left the target range for the federal funds rate unchanged at 0.50 to 0.75 per cent following its meeting held over 31 January to 1 February. The RBA also left the target cash rate unchanged at 1.50 per cent at its meeting held on 7 February. </w:t>
      </w:r>
    </w:p>
    <w:p w:rsidR="00BE2117" w:rsidRPr="00670790" w:rsidRDefault="00BE2117" w:rsidP="00BE2117">
      <w:r w:rsidRPr="009865C5">
        <w:rPr>
          <w:i/>
          <w:sz w:val="20"/>
        </w:rPr>
        <w:t xml:space="preserve">Note: all data reported in the newsletter is as at </w:t>
      </w:r>
      <w:r>
        <w:rPr>
          <w:i/>
          <w:sz w:val="20"/>
        </w:rPr>
        <w:t>10 February</w:t>
      </w:r>
      <w:r w:rsidRPr="009865C5">
        <w:rPr>
          <w:i/>
          <w:sz w:val="20"/>
        </w:rPr>
        <w:t xml:space="preserve"> 2017.</w:t>
      </w:r>
    </w:p>
    <w:p w:rsidR="00BE2117" w:rsidRDefault="00BE2117" w:rsidP="00BE2117">
      <w:pPr>
        <w:rPr>
          <w:highlight w:val="green"/>
        </w:rPr>
      </w:pPr>
    </w:p>
    <w:p w:rsidR="00BE2117" w:rsidRDefault="00BE2117" w:rsidP="00BE2117">
      <w:pPr>
        <w:rPr>
          <w:highlight w:val="green"/>
        </w:rPr>
        <w:sectPr w:rsidR="00BE2117" w:rsidSect="00197EA5">
          <w:type w:val="continuous"/>
          <w:pgSz w:w="11906" w:h="16838" w:code="9"/>
          <w:pgMar w:top="965" w:right="1138" w:bottom="792" w:left="1138" w:header="706" w:footer="562" w:gutter="0"/>
          <w:cols w:num="2" w:space="746"/>
          <w:docGrid w:linePitch="360"/>
        </w:sectPr>
      </w:pPr>
    </w:p>
    <w:p w:rsidR="00BE2117" w:rsidRDefault="00BE2117" w:rsidP="00BE2117">
      <w:pPr>
        <w:pStyle w:val="Caption"/>
      </w:pPr>
    </w:p>
    <w:p w:rsidR="00BE2117" w:rsidRPr="00BA6B8C" w:rsidRDefault="00BE2117" w:rsidP="00BE2117">
      <w:pPr>
        <w:pStyle w:val="Caption"/>
      </w:pPr>
      <w:r w:rsidRPr="00BA6B8C">
        <w:t xml:space="preserve">Movements in financial data over </w:t>
      </w:r>
      <w:r>
        <w:t>the past month</w:t>
      </w:r>
    </w:p>
    <w:tbl>
      <w:tblPr>
        <w:tblStyle w:val="TableGrid"/>
        <w:tblW w:w="5000" w:type="pct"/>
        <w:tblLook w:val="0420" w:firstRow="1" w:lastRow="0" w:firstColumn="0" w:lastColumn="0" w:noHBand="0" w:noVBand="1"/>
      </w:tblPr>
      <w:tblGrid>
        <w:gridCol w:w="3419"/>
        <w:gridCol w:w="1681"/>
        <w:gridCol w:w="1824"/>
        <w:gridCol w:w="2828"/>
      </w:tblGrid>
      <w:tr w:rsidR="00BE2117" w:rsidTr="009620BB">
        <w:trPr>
          <w:cnfStyle w:val="100000000000" w:firstRow="1" w:lastRow="0" w:firstColumn="0" w:lastColumn="0" w:oddVBand="0" w:evenVBand="0" w:oddHBand="0" w:evenHBand="0" w:firstRowFirstColumn="0" w:firstRowLastColumn="0" w:lastRowFirstColumn="0" w:lastRowLastColumn="0"/>
        </w:trPr>
        <w:tc>
          <w:tcPr>
            <w:tcW w:w="1753" w:type="pct"/>
          </w:tcPr>
          <w:p w:rsidR="00BE2117" w:rsidRDefault="00BE2117" w:rsidP="009620BB"/>
        </w:tc>
        <w:tc>
          <w:tcPr>
            <w:tcW w:w="862" w:type="pct"/>
          </w:tcPr>
          <w:p w:rsidR="00BE2117" w:rsidRDefault="00BE2117" w:rsidP="009620BB">
            <w:pPr>
              <w:ind w:left="267" w:hanging="267"/>
              <w:jc w:val="right"/>
            </w:pPr>
            <w:r>
              <w:t>30 Dec 2016</w:t>
            </w:r>
          </w:p>
        </w:tc>
        <w:tc>
          <w:tcPr>
            <w:tcW w:w="935" w:type="pct"/>
          </w:tcPr>
          <w:p w:rsidR="00BE2117" w:rsidRDefault="00BE2117" w:rsidP="009620BB">
            <w:pPr>
              <w:jc w:val="right"/>
            </w:pPr>
            <w:r>
              <w:t>31 Jan 2017</w:t>
            </w:r>
          </w:p>
        </w:tc>
        <w:tc>
          <w:tcPr>
            <w:tcW w:w="1450" w:type="pct"/>
          </w:tcPr>
          <w:p w:rsidR="00BE2117" w:rsidRDefault="00BE2117" w:rsidP="009620BB">
            <w:pPr>
              <w:jc w:val="right"/>
            </w:pPr>
            <w:r>
              <w:t>Change</w:t>
            </w:r>
          </w:p>
        </w:tc>
      </w:tr>
      <w:tr w:rsidR="00BE2117" w:rsidTr="009620BB">
        <w:trPr>
          <w:cnfStyle w:val="000000100000" w:firstRow="0" w:lastRow="0" w:firstColumn="0" w:lastColumn="0" w:oddVBand="0" w:evenVBand="0" w:oddHBand="1" w:evenHBand="0" w:firstRowFirstColumn="0" w:firstRowLastColumn="0" w:lastRowFirstColumn="0" w:lastRowLastColumn="0"/>
        </w:trPr>
        <w:tc>
          <w:tcPr>
            <w:tcW w:w="1753" w:type="pct"/>
          </w:tcPr>
          <w:p w:rsidR="00BE2117" w:rsidRDefault="00BE2117" w:rsidP="009620BB">
            <w:r>
              <w:t>AUD/USD</w:t>
            </w:r>
          </w:p>
        </w:tc>
        <w:tc>
          <w:tcPr>
            <w:tcW w:w="862" w:type="pct"/>
          </w:tcPr>
          <w:p w:rsidR="00BE2117" w:rsidRPr="005C5FE2" w:rsidRDefault="00BE2117" w:rsidP="009620BB">
            <w:pPr>
              <w:jc w:val="right"/>
              <w:rPr>
                <w:color w:val="FF0000"/>
              </w:rPr>
            </w:pPr>
            <w:r w:rsidRPr="005C5FE2">
              <w:t>0.</w:t>
            </w:r>
            <w:r>
              <w:t>72</w:t>
            </w:r>
          </w:p>
        </w:tc>
        <w:tc>
          <w:tcPr>
            <w:tcW w:w="935" w:type="pct"/>
          </w:tcPr>
          <w:p w:rsidR="00BE2117" w:rsidRPr="0006662B" w:rsidRDefault="00BE2117" w:rsidP="009620BB">
            <w:pPr>
              <w:jc w:val="right"/>
              <w:rPr>
                <w:color w:val="000000" w:themeColor="text1"/>
              </w:rPr>
            </w:pPr>
            <w:r w:rsidRPr="0006662B">
              <w:rPr>
                <w:color w:val="000000" w:themeColor="text1"/>
              </w:rPr>
              <w:t>0.76</w:t>
            </w:r>
          </w:p>
        </w:tc>
        <w:tc>
          <w:tcPr>
            <w:tcW w:w="1450" w:type="pct"/>
          </w:tcPr>
          <w:p w:rsidR="00BE2117" w:rsidRPr="005C5FE2" w:rsidRDefault="00BE2117" w:rsidP="009620BB">
            <w:pPr>
              <w:jc w:val="right"/>
              <w:rPr>
                <w:color w:val="FF0000"/>
              </w:rPr>
            </w:pPr>
            <w:r>
              <w:t>+4.6 per cent</w:t>
            </w:r>
          </w:p>
        </w:tc>
      </w:tr>
      <w:tr w:rsidR="00BE2117" w:rsidTr="009620BB">
        <w:trPr>
          <w:cnfStyle w:val="000000010000" w:firstRow="0" w:lastRow="0" w:firstColumn="0" w:lastColumn="0" w:oddVBand="0" w:evenVBand="0" w:oddHBand="0" w:evenHBand="1" w:firstRowFirstColumn="0" w:firstRowLastColumn="0" w:lastRowFirstColumn="0" w:lastRowLastColumn="0"/>
        </w:trPr>
        <w:tc>
          <w:tcPr>
            <w:tcW w:w="1753" w:type="pct"/>
          </w:tcPr>
          <w:p w:rsidR="00BE2117" w:rsidRDefault="00BE2117" w:rsidP="009620BB">
            <w:r>
              <w:t>ASX 200</w:t>
            </w:r>
          </w:p>
        </w:tc>
        <w:tc>
          <w:tcPr>
            <w:tcW w:w="862" w:type="pct"/>
          </w:tcPr>
          <w:p w:rsidR="00BE2117" w:rsidRPr="005C5FE2" w:rsidRDefault="00BE2117" w:rsidP="009620BB">
            <w:pPr>
              <w:jc w:val="right"/>
              <w:rPr>
                <w:color w:val="FF0000"/>
              </w:rPr>
            </w:pPr>
            <w:r w:rsidRPr="005C5FE2">
              <w:t xml:space="preserve">5 </w:t>
            </w:r>
            <w:r>
              <w:t>666</w:t>
            </w:r>
          </w:p>
        </w:tc>
        <w:tc>
          <w:tcPr>
            <w:tcW w:w="935" w:type="pct"/>
          </w:tcPr>
          <w:p w:rsidR="00BE2117" w:rsidRPr="0006662B" w:rsidRDefault="00BE2117" w:rsidP="009620BB">
            <w:pPr>
              <w:jc w:val="right"/>
              <w:rPr>
                <w:color w:val="000000" w:themeColor="text1"/>
              </w:rPr>
            </w:pPr>
            <w:r w:rsidRPr="0006662B">
              <w:rPr>
                <w:color w:val="000000" w:themeColor="text1"/>
              </w:rPr>
              <w:t>5621</w:t>
            </w:r>
          </w:p>
        </w:tc>
        <w:tc>
          <w:tcPr>
            <w:tcW w:w="1450" w:type="pct"/>
          </w:tcPr>
          <w:p w:rsidR="00BE2117" w:rsidRPr="005C5FE2" w:rsidRDefault="00BE2117" w:rsidP="009620BB">
            <w:pPr>
              <w:jc w:val="right"/>
              <w:rPr>
                <w:color w:val="FF0000"/>
              </w:rPr>
            </w:pPr>
            <w:r>
              <w:noBreakHyphen/>
              <w:t>0.8 per cent</w:t>
            </w:r>
          </w:p>
        </w:tc>
      </w:tr>
      <w:tr w:rsidR="00BE2117" w:rsidTr="009620BB">
        <w:trPr>
          <w:cnfStyle w:val="000000100000" w:firstRow="0" w:lastRow="0" w:firstColumn="0" w:lastColumn="0" w:oddVBand="0" w:evenVBand="0" w:oddHBand="1" w:evenHBand="0" w:firstRowFirstColumn="0" w:firstRowLastColumn="0" w:lastRowFirstColumn="0" w:lastRowLastColumn="0"/>
        </w:trPr>
        <w:tc>
          <w:tcPr>
            <w:tcW w:w="1753" w:type="pct"/>
          </w:tcPr>
          <w:p w:rsidR="00BE2117" w:rsidRDefault="00BE2117" w:rsidP="009620BB">
            <w:r>
              <w:t>S&amp;P 500</w:t>
            </w:r>
          </w:p>
        </w:tc>
        <w:tc>
          <w:tcPr>
            <w:tcW w:w="862" w:type="pct"/>
          </w:tcPr>
          <w:p w:rsidR="00BE2117" w:rsidRPr="005C5FE2" w:rsidRDefault="00BE2117" w:rsidP="009620BB">
            <w:pPr>
              <w:jc w:val="right"/>
              <w:rPr>
                <w:color w:val="FF0000"/>
              </w:rPr>
            </w:pPr>
            <w:r>
              <w:t>2 239</w:t>
            </w:r>
          </w:p>
        </w:tc>
        <w:tc>
          <w:tcPr>
            <w:tcW w:w="935" w:type="pct"/>
          </w:tcPr>
          <w:p w:rsidR="00BE2117" w:rsidRPr="0006662B" w:rsidRDefault="00BE2117" w:rsidP="009620BB">
            <w:pPr>
              <w:jc w:val="right"/>
              <w:rPr>
                <w:color w:val="000000" w:themeColor="text1"/>
              </w:rPr>
            </w:pPr>
            <w:r w:rsidRPr="0006662B">
              <w:rPr>
                <w:color w:val="000000" w:themeColor="text1"/>
              </w:rPr>
              <w:t>2279</w:t>
            </w:r>
          </w:p>
        </w:tc>
        <w:tc>
          <w:tcPr>
            <w:tcW w:w="1450" w:type="pct"/>
          </w:tcPr>
          <w:p w:rsidR="00BE2117" w:rsidRPr="005C5FE2" w:rsidRDefault="00BE2117" w:rsidP="009620BB">
            <w:pPr>
              <w:jc w:val="right"/>
              <w:rPr>
                <w:color w:val="FF0000"/>
              </w:rPr>
            </w:pPr>
            <w:r>
              <w:t>+1.79 per cent</w:t>
            </w:r>
            <w:r w:rsidRPr="005C5FE2">
              <w:rPr>
                <w:color w:val="FF0000"/>
              </w:rPr>
              <w:t xml:space="preserve">                     </w:t>
            </w:r>
          </w:p>
        </w:tc>
      </w:tr>
      <w:tr w:rsidR="00BE2117" w:rsidTr="009620BB">
        <w:trPr>
          <w:cnfStyle w:val="000000010000" w:firstRow="0" w:lastRow="0" w:firstColumn="0" w:lastColumn="0" w:oddVBand="0" w:evenVBand="0" w:oddHBand="0" w:evenHBand="1" w:firstRowFirstColumn="0" w:firstRowLastColumn="0" w:lastRowFirstColumn="0" w:lastRowLastColumn="0"/>
        </w:trPr>
        <w:tc>
          <w:tcPr>
            <w:tcW w:w="1753" w:type="pct"/>
          </w:tcPr>
          <w:p w:rsidR="00BE2117" w:rsidRDefault="00BE2117" w:rsidP="009620BB">
            <w:r>
              <w:t>90 day bank bill rate</w:t>
            </w:r>
          </w:p>
        </w:tc>
        <w:tc>
          <w:tcPr>
            <w:tcW w:w="862" w:type="pct"/>
          </w:tcPr>
          <w:p w:rsidR="00BE2117" w:rsidRPr="005C5FE2" w:rsidRDefault="00BE2117" w:rsidP="009620BB">
            <w:pPr>
              <w:jc w:val="right"/>
              <w:rPr>
                <w:color w:val="FF0000"/>
              </w:rPr>
            </w:pPr>
            <w:r>
              <w:t>1.81</w:t>
            </w:r>
          </w:p>
        </w:tc>
        <w:tc>
          <w:tcPr>
            <w:tcW w:w="935" w:type="pct"/>
          </w:tcPr>
          <w:p w:rsidR="00BE2117" w:rsidRPr="0006662B" w:rsidRDefault="00BE2117" w:rsidP="009620BB">
            <w:pPr>
              <w:jc w:val="right"/>
              <w:rPr>
                <w:color w:val="000000" w:themeColor="text1"/>
              </w:rPr>
            </w:pPr>
            <w:r w:rsidRPr="0006662B">
              <w:rPr>
                <w:color w:val="000000" w:themeColor="text1"/>
              </w:rPr>
              <w:t>1.77</w:t>
            </w:r>
          </w:p>
        </w:tc>
        <w:tc>
          <w:tcPr>
            <w:tcW w:w="1450" w:type="pct"/>
          </w:tcPr>
          <w:p w:rsidR="00BE2117" w:rsidRPr="005C5FE2" w:rsidRDefault="00BE2117" w:rsidP="009620BB">
            <w:pPr>
              <w:jc w:val="right"/>
              <w:rPr>
                <w:color w:val="FF0000"/>
              </w:rPr>
            </w:pPr>
            <w:r>
              <w:noBreakHyphen/>
              <w:t xml:space="preserve">0.04 </w:t>
            </w:r>
            <w:r w:rsidRPr="005C5FE2">
              <w:t>percentage points</w:t>
            </w:r>
          </w:p>
        </w:tc>
      </w:tr>
      <w:tr w:rsidR="00BE2117" w:rsidTr="009620BB">
        <w:trPr>
          <w:cnfStyle w:val="000000100000" w:firstRow="0" w:lastRow="0" w:firstColumn="0" w:lastColumn="0" w:oddVBand="0" w:evenVBand="0" w:oddHBand="1" w:evenHBand="0" w:firstRowFirstColumn="0" w:firstRowLastColumn="0" w:lastRowFirstColumn="0" w:lastRowLastColumn="0"/>
          <w:trHeight w:val="430"/>
        </w:trPr>
        <w:tc>
          <w:tcPr>
            <w:tcW w:w="1753" w:type="pct"/>
          </w:tcPr>
          <w:p w:rsidR="00BE2117" w:rsidRDefault="00BE2117" w:rsidP="009620BB">
            <w:pPr>
              <w:ind w:right="-381"/>
            </w:pPr>
            <w:r>
              <w:t>10 year Commonwealth bond rate</w:t>
            </w:r>
          </w:p>
        </w:tc>
        <w:tc>
          <w:tcPr>
            <w:tcW w:w="862" w:type="pct"/>
          </w:tcPr>
          <w:p w:rsidR="00BE2117" w:rsidRPr="005C5FE2" w:rsidRDefault="00BE2117" w:rsidP="009620BB">
            <w:pPr>
              <w:jc w:val="right"/>
              <w:rPr>
                <w:color w:val="FF0000"/>
              </w:rPr>
            </w:pPr>
            <w:r>
              <w:t>2.76</w:t>
            </w:r>
          </w:p>
        </w:tc>
        <w:tc>
          <w:tcPr>
            <w:tcW w:w="935" w:type="pct"/>
          </w:tcPr>
          <w:p w:rsidR="00BE2117" w:rsidRPr="0006662B" w:rsidRDefault="00BE2117" w:rsidP="009620BB">
            <w:pPr>
              <w:jc w:val="right"/>
              <w:rPr>
                <w:color w:val="000000" w:themeColor="text1"/>
              </w:rPr>
            </w:pPr>
            <w:r w:rsidRPr="0006662B">
              <w:rPr>
                <w:color w:val="000000" w:themeColor="text1"/>
              </w:rPr>
              <w:t>2.72</w:t>
            </w:r>
          </w:p>
        </w:tc>
        <w:tc>
          <w:tcPr>
            <w:tcW w:w="1450" w:type="pct"/>
          </w:tcPr>
          <w:p w:rsidR="00BE2117" w:rsidRPr="005C5FE2" w:rsidRDefault="00BE2117" w:rsidP="009620BB">
            <w:pPr>
              <w:jc w:val="right"/>
              <w:rPr>
                <w:color w:val="FF0000"/>
              </w:rPr>
            </w:pPr>
            <w:r>
              <w:noBreakHyphen/>
              <w:t xml:space="preserve">0.04 </w:t>
            </w:r>
            <w:r w:rsidRPr="005C5FE2">
              <w:t>percentage points</w:t>
            </w:r>
          </w:p>
        </w:tc>
      </w:tr>
    </w:tbl>
    <w:p w:rsidR="00BE2117" w:rsidRDefault="00BE2117" w:rsidP="00BE2117">
      <w:pPr>
        <w:rPr>
          <w:i/>
          <w:sz w:val="20"/>
        </w:rPr>
      </w:pPr>
      <w:r w:rsidRPr="007F677F">
        <w:rPr>
          <w:i/>
          <w:sz w:val="20"/>
        </w:rPr>
        <w:t>Note: Changes are based on t</w:t>
      </w:r>
      <w:r>
        <w:rPr>
          <w:i/>
          <w:sz w:val="20"/>
        </w:rPr>
        <w:t>he movement in unrounded figures.</w:t>
      </w:r>
    </w:p>
    <w:p w:rsidR="00BE2117" w:rsidRDefault="00BE2117" w:rsidP="00BE2117">
      <w:pPr>
        <w:rPr>
          <w:i/>
          <w:sz w:val="20"/>
        </w:rPr>
      </w:pPr>
    </w:p>
    <w:p w:rsidR="00BE2117" w:rsidRPr="009865C5" w:rsidRDefault="00BE2117" w:rsidP="00BE2117">
      <w:pPr>
        <w:spacing w:after="120"/>
        <w:rPr>
          <w:i/>
          <w:sz w:val="20"/>
        </w:rPr>
      </w:pPr>
    </w:p>
    <w:tbl>
      <w:tblPr>
        <w:tblStyle w:val="TableGrid"/>
        <w:tblW w:w="0" w:type="auto"/>
        <w:tblBorders>
          <w:bottom w:val="none" w:sz="0" w:space="0" w:color="auto"/>
        </w:tblBorders>
        <w:tblLayout w:type="fixed"/>
        <w:tblCellMar>
          <w:left w:w="113" w:type="dxa"/>
          <w:right w:w="113" w:type="dxa"/>
        </w:tblCellMar>
        <w:tblLook w:val="0600" w:firstRow="0" w:lastRow="0" w:firstColumn="0" w:lastColumn="0" w:noHBand="1" w:noVBand="1"/>
      </w:tblPr>
      <w:tblGrid>
        <w:gridCol w:w="4082"/>
        <w:gridCol w:w="709"/>
        <w:gridCol w:w="4682"/>
      </w:tblGrid>
      <w:tr w:rsidR="00BE2117" w:rsidTr="00BE2117">
        <w:trPr>
          <w:trHeight w:val="1223"/>
        </w:trPr>
        <w:tc>
          <w:tcPr>
            <w:tcW w:w="4082" w:type="dxa"/>
          </w:tcPr>
          <w:p w:rsidR="00BE2117" w:rsidRPr="002868CD" w:rsidRDefault="00BE2117" w:rsidP="009620BB">
            <w:pPr>
              <w:pStyle w:val="Note"/>
              <w:pBdr>
                <w:top w:val="single" w:sz="6" w:space="1" w:color="004EA8" w:themeColor="accent2"/>
                <w:bottom w:val="single" w:sz="6" w:space="1" w:color="004EA8" w:themeColor="accent2"/>
              </w:pBdr>
              <w:rPr>
                <w:color w:val="004EA8" w:themeColor="accent2"/>
              </w:rPr>
            </w:pPr>
            <w:r w:rsidRPr="002868CD">
              <w:rPr>
                <w:b/>
                <w:color w:val="004EA8" w:themeColor="accent2"/>
              </w:rPr>
              <w:t xml:space="preserve">Disclaimer: </w:t>
            </w:r>
            <w:r w:rsidRPr="002868CD">
              <w:rPr>
                <w:color w:val="004EA8" w:themeColor="accent2"/>
              </w:rPr>
              <w:t>No responsibility is taken for any action(s) taken on the basis of information contained in this Newsletter nor for any errors or omissions in that information.</w:t>
            </w:r>
          </w:p>
        </w:tc>
        <w:tc>
          <w:tcPr>
            <w:tcW w:w="709" w:type="dxa"/>
            <w:vMerge w:val="restart"/>
            <w:vAlign w:val="bottom"/>
          </w:tcPr>
          <w:p w:rsidR="00BE2117" w:rsidRDefault="00BE2117" w:rsidP="009620BB">
            <w:pPr>
              <w:pStyle w:val="Note"/>
            </w:pPr>
          </w:p>
        </w:tc>
        <w:tc>
          <w:tcPr>
            <w:tcW w:w="4682" w:type="dxa"/>
            <w:vMerge w:val="restart"/>
            <w:shd w:val="clear" w:color="auto" w:fill="FFFFFF" w:themeFill="background1"/>
            <w:vAlign w:val="bottom"/>
          </w:tcPr>
          <w:p w:rsidR="00BE2117" w:rsidRDefault="00BE2117" w:rsidP="009620BB">
            <w:pPr>
              <w:pStyle w:val="Note"/>
            </w:pPr>
            <w:r w:rsidRPr="000C21C3">
              <w:rPr>
                <w:noProof/>
                <w:lang w:eastAsia="en-AU"/>
              </w:rPr>
              <w:drawing>
                <wp:inline distT="0" distB="0" distL="0" distR="0" wp14:anchorId="11869653" wp14:editId="7341A9DE">
                  <wp:extent cx="1117460" cy="393651"/>
                  <wp:effectExtent l="0" t="0" r="6985" b="6985"/>
                  <wp:docPr id="13" name="Picture 1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x31.png"/>
                          <pic:cNvPicPr/>
                        </pic:nvPicPr>
                        <pic:blipFill>
                          <a:blip r:embed="rId16">
                            <a:extLst>
                              <a:ext uri="{28A0092B-C50C-407E-A947-70E740481C1C}">
                                <a14:useLocalDpi xmlns:a14="http://schemas.microsoft.com/office/drawing/2010/main" val="0"/>
                              </a:ext>
                            </a:extLst>
                          </a:blip>
                          <a:stretch>
                            <a:fillRect/>
                          </a:stretch>
                        </pic:blipFill>
                        <pic:spPr>
                          <a:xfrm>
                            <a:off x="0" y="0"/>
                            <a:ext cx="1117460" cy="393651"/>
                          </a:xfrm>
                          <a:prstGeom prst="rect">
                            <a:avLst/>
                          </a:prstGeom>
                        </pic:spPr>
                      </pic:pic>
                    </a:graphicData>
                  </a:graphic>
                </wp:inline>
              </w:drawing>
            </w:r>
          </w:p>
          <w:p w:rsidR="00BE2117" w:rsidRDefault="00BE2117" w:rsidP="00BE2117">
            <w:pPr>
              <w:pStyle w:val="Note"/>
              <w:ind w:right="67"/>
            </w:pPr>
            <w:r w:rsidRPr="00382510">
              <w:t>You are free to re</w:t>
            </w:r>
            <w:r>
              <w:noBreakHyphen/>
            </w:r>
            <w:r w:rsidRPr="00382510">
              <w:t>use this work under a Creative Commons Attribution 4.0 licence, provided you credit the State of Victoria (Department of Treasury and Finance) as author, indicate if changes were made and comply with the other licence terms. The licence does not apply to any branding, including Government logos.</w:t>
            </w:r>
          </w:p>
        </w:tc>
      </w:tr>
      <w:tr w:rsidR="00BE2117" w:rsidTr="00BE2117">
        <w:trPr>
          <w:trHeight w:val="1222"/>
        </w:trPr>
        <w:tc>
          <w:tcPr>
            <w:tcW w:w="4082" w:type="dxa"/>
            <w:vAlign w:val="bottom"/>
          </w:tcPr>
          <w:p w:rsidR="00BE2117" w:rsidRDefault="00BE2117" w:rsidP="009620BB">
            <w:pPr>
              <w:pStyle w:val="Note"/>
            </w:pPr>
            <w:r w:rsidRPr="00382510">
              <w:t>© State of Victoria 201</w:t>
            </w:r>
            <w:r>
              <w:t>7</w:t>
            </w:r>
          </w:p>
          <w:p w:rsidR="00BE2117" w:rsidRPr="00382510" w:rsidRDefault="00BE2117" w:rsidP="009620BB">
            <w:pPr>
              <w:pStyle w:val="Note"/>
              <w:spacing w:line="312" w:lineRule="auto"/>
            </w:pPr>
            <w:r w:rsidRPr="00382510">
              <w:t>Copyright queries may be directed to IPpolicy@dtf.vic.gov.au.</w:t>
            </w:r>
          </w:p>
        </w:tc>
        <w:tc>
          <w:tcPr>
            <w:tcW w:w="709" w:type="dxa"/>
            <w:vMerge/>
            <w:vAlign w:val="bottom"/>
          </w:tcPr>
          <w:p w:rsidR="00BE2117" w:rsidRDefault="00BE2117" w:rsidP="009620BB">
            <w:pPr>
              <w:pStyle w:val="Note"/>
            </w:pPr>
          </w:p>
        </w:tc>
        <w:tc>
          <w:tcPr>
            <w:tcW w:w="4682" w:type="dxa"/>
            <w:vMerge/>
            <w:vAlign w:val="bottom"/>
          </w:tcPr>
          <w:p w:rsidR="00BE2117" w:rsidRPr="000C21C3" w:rsidRDefault="00BE2117" w:rsidP="009620BB">
            <w:pPr>
              <w:pStyle w:val="Note"/>
              <w:rPr>
                <w:noProof/>
                <w:lang w:eastAsia="en-AU"/>
              </w:rPr>
            </w:pPr>
          </w:p>
        </w:tc>
      </w:tr>
    </w:tbl>
    <w:p w:rsidR="00BE2117" w:rsidRPr="00D17E6E" w:rsidRDefault="00BE2117" w:rsidP="00BE2117">
      <w:pPr>
        <w:rPr>
          <w:i/>
          <w:sz w:val="20"/>
        </w:rPr>
        <w:sectPr w:rsidR="00BE2117" w:rsidRPr="00D17E6E" w:rsidSect="00D17E6E">
          <w:type w:val="continuous"/>
          <w:pgSz w:w="11906" w:h="16838" w:code="9"/>
          <w:pgMar w:top="964" w:right="1134" w:bottom="794" w:left="1134" w:header="709" w:footer="567" w:gutter="0"/>
          <w:cols w:space="567"/>
          <w:docGrid w:linePitch="360"/>
        </w:sectPr>
      </w:pPr>
    </w:p>
    <w:p w:rsidR="00BE2117" w:rsidRPr="00796EF3" w:rsidRDefault="00BE2117" w:rsidP="00BE2117">
      <w:pPr>
        <w:pStyle w:val="Caption"/>
        <w:keepNext w:val="0"/>
        <w:keepLines w:val="0"/>
        <w:spacing w:after="0"/>
        <w:rPr>
          <w:i/>
          <w:sz w:val="4"/>
          <w:szCs w:val="4"/>
        </w:rPr>
      </w:pPr>
    </w:p>
    <w:sectPr w:rsidR="00BE2117" w:rsidRPr="00796EF3" w:rsidSect="001D2117">
      <w:footerReference w:type="default" r:id="rId17"/>
      <w:type w:val="continuous"/>
      <w:pgSz w:w="11906" w:h="16838" w:code="9"/>
      <w:pgMar w:top="1134" w:right="1021" w:bottom="1440"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77B" w:rsidRDefault="0001677B" w:rsidP="001E7D0D">
      <w:pPr>
        <w:spacing w:after="0" w:line="240" w:lineRule="auto"/>
      </w:pPr>
      <w:r>
        <w:separator/>
      </w:r>
    </w:p>
  </w:endnote>
  <w:endnote w:type="continuationSeparator" w:id="0">
    <w:p w:rsidR="0001677B" w:rsidRDefault="0001677B" w:rsidP="001E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229" w:rsidRPr="00BC672F" w:rsidRDefault="00BC672F" w:rsidP="00474854">
    <w:pPr>
      <w:pStyle w:val="Footer"/>
      <w:rPr>
        <w:rStyle w:val="PageNumber"/>
      </w:rPr>
    </w:pPr>
    <w:r>
      <w:rPr>
        <w:noProof/>
        <w:lang w:eastAsia="en-AU"/>
      </w:rPr>
      <mc:AlternateContent>
        <mc:Choice Requires="wps">
          <w:drawing>
            <wp:anchor distT="0" distB="0" distL="114300" distR="114300" simplePos="0" relativeHeight="251670528" behindDoc="1" locked="0" layoutInCell="1" allowOverlap="1" wp14:anchorId="5F18615F" wp14:editId="455C4F88">
              <wp:simplePos x="0" y="0"/>
              <wp:positionH relativeFrom="column">
                <wp:posOffset>5868670</wp:posOffset>
              </wp:positionH>
              <wp:positionV relativeFrom="paragraph">
                <wp:posOffset>-1368425</wp:posOffset>
              </wp:positionV>
              <wp:extent cx="3085200" cy="2127600"/>
              <wp:effectExtent l="0" t="0" r="1270" b="6350"/>
              <wp:wrapNone/>
              <wp:docPr id="7" name="Trapezoid 7"/>
              <wp:cNvGraphicFramePr/>
              <a:graphic xmlns:a="http://schemas.openxmlformats.org/drawingml/2006/main">
                <a:graphicData uri="http://schemas.microsoft.com/office/word/2010/wordprocessingShape">
                  <wps:wsp>
                    <wps:cNvSpPr/>
                    <wps:spPr>
                      <a:xfrm>
                        <a:off x="0" y="0"/>
                        <a:ext cx="3085200" cy="2127600"/>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7" o:spid="_x0000_s1026" style="position:absolute;margin-left:462.1pt;margin-top:-107.75pt;width:242.95pt;height:167.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200,21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" path="m,2127600l995547,,2089653,r995547,2127600l,2127600xe" fillcolor="#53565a [3215]" stroked="f" strokeweight="2pt">
              <v:path arrowok="t" o:connecttype="custom" o:connectlocs="0,2127600;995547,0;2089653,0;3085200,2127600;0,2127600" o:connectangles="0,0,0,0,0"/>
            </v:shape>
          </w:pict>
        </mc:Fallback>
      </mc:AlternateContent>
    </w:r>
    <w:r w:rsidR="00CF1073">
      <w:tab/>
    </w:r>
    <w:r>
      <w:tab/>
    </w:r>
    <w:r w:rsidRPr="00BC672F">
      <w:rPr>
        <w:rStyle w:val="PageNumber"/>
      </w:rPr>
      <w:fldChar w:fldCharType="begin"/>
    </w:r>
    <w:r w:rsidRPr="00BC672F">
      <w:rPr>
        <w:rStyle w:val="PageNumber"/>
      </w:rPr>
      <w:instrText xml:space="preserve"> PAGE  \* Arabic  \* MERGEFORMAT </w:instrText>
    </w:r>
    <w:r w:rsidRPr="00BC672F">
      <w:rPr>
        <w:rStyle w:val="PageNumber"/>
      </w:rPr>
      <w:fldChar w:fldCharType="separate"/>
    </w:r>
    <w:r w:rsidR="009D0F4D">
      <w:rPr>
        <w:rStyle w:val="PageNumber"/>
        <w:noProof/>
      </w:rPr>
      <w:t>1</w:t>
    </w:r>
    <w:r w:rsidRPr="00BC672F">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17" w:rsidRPr="00BC672F" w:rsidRDefault="00BE2117" w:rsidP="00474854">
    <w:pPr>
      <w:pStyle w:val="Footer"/>
      <w:rPr>
        <w:rStyle w:val="PageNumber"/>
      </w:rPr>
    </w:pPr>
    <w:r>
      <w:rPr>
        <w:noProof/>
        <w:lang w:eastAsia="en-AU"/>
      </w:rPr>
      <mc:AlternateContent>
        <mc:Choice Requires="wps">
          <w:drawing>
            <wp:anchor distT="0" distB="0" distL="114300" distR="114300" simplePos="0" relativeHeight="251695104" behindDoc="1" locked="0" layoutInCell="1" allowOverlap="1" wp14:anchorId="288A5C3B" wp14:editId="5F01096A">
              <wp:simplePos x="0" y="0"/>
              <wp:positionH relativeFrom="column">
                <wp:posOffset>5868670</wp:posOffset>
              </wp:positionH>
              <wp:positionV relativeFrom="paragraph">
                <wp:posOffset>-1368425</wp:posOffset>
              </wp:positionV>
              <wp:extent cx="3085200" cy="2127600"/>
              <wp:effectExtent l="0" t="0" r="1270" b="6350"/>
              <wp:wrapNone/>
              <wp:docPr id="3" name="Trapezoid 3"/>
              <wp:cNvGraphicFramePr/>
              <a:graphic xmlns:a="http://schemas.openxmlformats.org/drawingml/2006/main">
                <a:graphicData uri="http://schemas.microsoft.com/office/word/2010/wordprocessingShape">
                  <wps:wsp>
                    <wps:cNvSpPr/>
                    <wps:spPr>
                      <a:xfrm>
                        <a:off x="0" y="0"/>
                        <a:ext cx="3085200" cy="2127600"/>
                      </a:xfrm>
                      <a:prstGeom prst="trapezoid">
                        <a:avLst>
                          <a:gd name="adj" fmla="val 46792"/>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3" o:spid="_x0000_s1026" style="position:absolute;margin-left:462.1pt;margin-top:-107.75pt;width:242.95pt;height:167.5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85200,2127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" path="m,2127600l995547,,2089653,r995547,2127600l,2127600xe" fillcolor="#53565a [3215]" stroked="f" strokeweight="2pt">
              <v:path arrowok="t" o:connecttype="custom" o:connectlocs="0,2127600;995547,0;2089653,0;3085200,2127600;0,2127600" o:connectangles="0,0,0,0,0"/>
            </v:shape>
          </w:pict>
        </mc:Fallback>
      </mc:AlternateContent>
    </w:r>
    <w:r>
      <w:tab/>
    </w:r>
    <w:r>
      <w:tab/>
    </w:r>
    <w:r w:rsidRPr="00BC672F">
      <w:rPr>
        <w:rStyle w:val="PageNumber"/>
      </w:rPr>
      <w:fldChar w:fldCharType="begin"/>
    </w:r>
    <w:r w:rsidRPr="00BC672F">
      <w:rPr>
        <w:rStyle w:val="PageNumber"/>
      </w:rPr>
      <w:instrText xml:space="preserve"> PAGE  \* Arabic  \* MERGEFORMAT </w:instrText>
    </w:r>
    <w:r w:rsidRPr="00BC672F">
      <w:rPr>
        <w:rStyle w:val="PageNumber"/>
      </w:rPr>
      <w:fldChar w:fldCharType="separate"/>
    </w:r>
    <w:r w:rsidR="009D0F4D">
      <w:rPr>
        <w:rStyle w:val="PageNumber"/>
        <w:noProof/>
      </w:rPr>
      <w:t>3</w:t>
    </w:r>
    <w:r w:rsidRPr="00BC672F">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B8C" w:rsidRDefault="00BA6B8C"/>
  <w:p w:rsidR="00D02311" w:rsidRPr="00BA6B8C" w:rsidRDefault="00D02311" w:rsidP="00474854">
    <w:pPr>
      <w:pStyle w:val="Footer"/>
      <w:rPr>
        <w:rStyle w:val="PageNumber"/>
      </w:rPr>
    </w:pPr>
    <w:r w:rsidRPr="00BA6B8C">
      <w:rPr>
        <w:rStyle w:val="PageNumber"/>
      </w:rPr>
      <w:tab/>
    </w:r>
    <w:r w:rsidRPr="00BA6B8C">
      <w:rPr>
        <w:rStyle w:val="PageNumber"/>
      </w:rPr>
      <w:tab/>
    </w:r>
    <w:r w:rsidRPr="00BA6B8C">
      <w:rPr>
        <w:rStyle w:val="PageNumber"/>
      </w:rPr>
      <w:fldChar w:fldCharType="begin"/>
    </w:r>
    <w:r w:rsidRPr="00BA6B8C">
      <w:rPr>
        <w:rStyle w:val="PageNumber"/>
      </w:rPr>
      <w:instrText xml:space="preserve"> PAGE  \* Arabic  \* MERGEFORMAT </w:instrText>
    </w:r>
    <w:r w:rsidRPr="00BA6B8C">
      <w:rPr>
        <w:rStyle w:val="PageNumber"/>
      </w:rPr>
      <w:fldChar w:fldCharType="separate"/>
    </w:r>
    <w:r w:rsidR="00BE2117">
      <w:rPr>
        <w:rStyle w:val="PageNumber"/>
        <w:noProof/>
      </w:rPr>
      <w:t>4</w:t>
    </w:r>
    <w:r w:rsidRPr="00BA6B8C">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77B" w:rsidRDefault="0001677B" w:rsidP="001E7D0D">
      <w:pPr>
        <w:spacing w:after="0" w:line="240" w:lineRule="auto"/>
      </w:pPr>
      <w:r>
        <w:separator/>
      </w:r>
    </w:p>
  </w:footnote>
  <w:footnote w:type="continuationSeparator" w:id="0">
    <w:p w:rsidR="0001677B" w:rsidRDefault="0001677B" w:rsidP="001E7D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A2" w:rsidRPr="00575F8D" w:rsidRDefault="00381C44" w:rsidP="00440C3A">
    <w:pPr>
      <w:pStyle w:val="Header"/>
    </w:pPr>
    <w:r w:rsidRPr="00440C3A">
      <w:rPr>
        <w:smallCaps/>
        <w:noProof/>
        <w:lang w:eastAsia="en-AU"/>
      </w:rPr>
      <mc:AlternateContent>
        <mc:Choice Requires="wps">
          <w:drawing>
            <wp:anchor distT="0" distB="0" distL="114300" distR="114300" simplePos="0" relativeHeight="251681792" behindDoc="1" locked="0" layoutInCell="1" allowOverlap="1" wp14:anchorId="4D8964E4" wp14:editId="2AF05B24">
              <wp:simplePos x="0" y="0"/>
              <wp:positionH relativeFrom="column">
                <wp:posOffset>-921385</wp:posOffset>
              </wp:positionH>
              <wp:positionV relativeFrom="paragraph">
                <wp:posOffset>-473710</wp:posOffset>
              </wp:positionV>
              <wp:extent cx="6614160" cy="2933700"/>
              <wp:effectExtent l="0" t="0" r="0" b="0"/>
              <wp:wrapNone/>
              <wp:docPr id="2" name="Rectangle 2"/>
              <wp:cNvGraphicFramePr/>
              <a:graphic xmlns:a="http://schemas.openxmlformats.org/drawingml/2006/main">
                <a:graphicData uri="http://schemas.microsoft.com/office/word/2010/wordprocessingShape">
                  <wps:wsp>
                    <wps:cNvSpPr/>
                    <wps:spPr>
                      <a:xfrm>
                        <a:off x="0" y="0"/>
                        <a:ext cx="6614160" cy="29337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2.55pt;margin-top:-37.3pt;width:520.8pt;height:23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" fillcolor="#201547 [3204]" stroked="f" strokeweight="2pt"/>
          </w:pict>
        </mc:Fallback>
      </mc:AlternateContent>
    </w:r>
    <w:r w:rsidR="004B3EB7" w:rsidRPr="00440C3A">
      <w:rPr>
        <w:smallCaps/>
        <w:noProof/>
        <w:lang w:eastAsia="en-AU"/>
      </w:rPr>
      <mc:AlternateContent>
        <mc:Choice Requires="wps">
          <w:drawing>
            <wp:anchor distT="0" distB="0" distL="114300" distR="114300" simplePos="0" relativeHeight="251691008" behindDoc="0" locked="0" layoutInCell="1" allowOverlap="1" wp14:anchorId="61E54586" wp14:editId="33A91087">
              <wp:simplePos x="0" y="0"/>
              <wp:positionH relativeFrom="column">
                <wp:posOffset>4003040</wp:posOffset>
              </wp:positionH>
              <wp:positionV relativeFrom="paragraph">
                <wp:posOffset>-743585</wp:posOffset>
              </wp:positionV>
              <wp:extent cx="6523355" cy="3206115"/>
              <wp:effectExtent l="0" t="0" r="0" b="0"/>
              <wp:wrapNone/>
              <wp:docPr id="5" name="Trapezoid 5"/>
              <wp:cNvGraphicFramePr/>
              <a:graphic xmlns:a="http://schemas.openxmlformats.org/drawingml/2006/main">
                <a:graphicData uri="http://schemas.microsoft.com/office/word/2010/wordprocessingShape">
                  <wps:wsp>
                    <wps:cNvSpPr/>
                    <wps:spPr>
                      <a:xfrm>
                        <a:off x="0" y="0"/>
                        <a:ext cx="6523355" cy="3206115"/>
                      </a:xfrm>
                      <a:prstGeom prst="trapezoid">
                        <a:avLst>
                          <a:gd name="adj" fmla="val 46792"/>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5" o:spid="_x0000_s1026" style="position:absolute;margin-left:315.2pt;margin-top:-58.55pt;width:513.65pt;height:25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23355,3206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" path="m,3206115l1500205,,5023150,,6523355,3206115,,3206115xe" fillcolor="#0072ce [3206]" stroked="f" strokeweight="2pt">
              <v:path arrowok="t" o:connecttype="custom" o:connectlocs="0,3206115;1500205,0;5023150,0;6523355,3206115;0,3206115" o:connectangles="0,0,0,0,0"/>
            </v:shape>
          </w:pict>
        </mc:Fallback>
      </mc:AlternateContent>
    </w:r>
    <w:r w:rsidR="004B3EB7" w:rsidRPr="00440C3A">
      <w:rPr>
        <w:smallCaps/>
        <w:noProof/>
        <w:lang w:eastAsia="en-AU"/>
      </w:rPr>
      <w:drawing>
        <wp:anchor distT="0" distB="0" distL="114300" distR="114300" simplePos="0" relativeHeight="251693056" behindDoc="0" locked="0" layoutInCell="1" allowOverlap="1" wp14:anchorId="77EBE5A1" wp14:editId="2FD5427B">
          <wp:simplePos x="0" y="0"/>
          <wp:positionH relativeFrom="column">
            <wp:posOffset>4679789</wp:posOffset>
          </wp:positionH>
          <wp:positionV relativeFrom="paragraph">
            <wp:posOffset>69850</wp:posOffset>
          </wp:positionV>
          <wp:extent cx="1567180" cy="467995"/>
          <wp:effectExtent l="0" t="0" r="0" b="8255"/>
          <wp:wrapNone/>
          <wp:docPr id="4" name="Picture 4" descr="T:\Corpcom_CSS\COMMUNICATIONS\Logos and branding\Brand Victoria logos DTF\Victoria State Government DTF\Victoria State Gov DTF right aligned\png\Victoria State Gov DTF right reverse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rpcom_CSS\COMMUNICATIONS\Logos and branding\Brand Victoria logos DTF\Victoria State Government DTF\Victoria State Gov DTF right aligned\png\Victoria State Gov DTF right reverse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18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00440C3A" w:rsidRPr="00440C3A">
      <w:rPr>
        <w:smallCaps/>
      </w:rPr>
      <w:t>ECONOMIC</w:t>
    </w:r>
    <w:r w:rsidR="00440C3A">
      <w:br/>
    </w:r>
    <w:r w:rsidR="00440C3A" w:rsidRPr="00053F71">
      <w:rPr>
        <w:b w:val="0"/>
        <w:sz w:val="56"/>
      </w:rPr>
      <w:t>UPDATE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117" w:rsidRPr="003E507C" w:rsidRDefault="00BE2117" w:rsidP="002F5D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32250"/>
    <w:multiLevelType w:val="multilevel"/>
    <w:tmpl w:val="DA6E3D5C"/>
    <w:numStyleLink w:val="Highlightbulletstyle"/>
  </w:abstractNum>
  <w:abstractNum w:abstractNumId="1">
    <w:nsid w:val="63D10536"/>
    <w:multiLevelType w:val="multilevel"/>
    <w:tmpl w:val="DA6E3D5C"/>
    <w:styleLink w:val="Highlightbulletstyle"/>
    <w:lvl w:ilvl="0">
      <w:start w:val="1"/>
      <w:numFmt w:val="bullet"/>
      <w:pStyle w:val="Bullet-highlight"/>
      <w:lvlText w:val="►"/>
      <w:lvlJc w:val="left"/>
      <w:pPr>
        <w:ind w:left="284" w:hanging="284"/>
      </w:pPr>
      <w:rPr>
        <w:rFonts w:ascii="Arial" w:hAnsi="Arial" w:hint="default"/>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74065935"/>
    <w:multiLevelType w:val="multilevel"/>
    <w:tmpl w:val="DA6E3D5C"/>
    <w:numStyleLink w:val="Highlightbulletstyle"/>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CBD"/>
    <w:rsid w:val="000037BC"/>
    <w:rsid w:val="000160BC"/>
    <w:rsid w:val="0001677B"/>
    <w:rsid w:val="00027A5D"/>
    <w:rsid w:val="0003309C"/>
    <w:rsid w:val="00033485"/>
    <w:rsid w:val="00042C14"/>
    <w:rsid w:val="00044907"/>
    <w:rsid w:val="00046F57"/>
    <w:rsid w:val="00047DD7"/>
    <w:rsid w:val="00053341"/>
    <w:rsid w:val="00053F71"/>
    <w:rsid w:val="00054994"/>
    <w:rsid w:val="00061229"/>
    <w:rsid w:val="00062BCA"/>
    <w:rsid w:val="00063D5E"/>
    <w:rsid w:val="00065923"/>
    <w:rsid w:val="000660AA"/>
    <w:rsid w:val="0006662B"/>
    <w:rsid w:val="000720FA"/>
    <w:rsid w:val="0007353B"/>
    <w:rsid w:val="00092FE6"/>
    <w:rsid w:val="00095562"/>
    <w:rsid w:val="000A3879"/>
    <w:rsid w:val="000A3DE5"/>
    <w:rsid w:val="000A6218"/>
    <w:rsid w:val="000D517F"/>
    <w:rsid w:val="000D7E75"/>
    <w:rsid w:val="000E1FFA"/>
    <w:rsid w:val="000E5E7D"/>
    <w:rsid w:val="000F2FBA"/>
    <w:rsid w:val="00103711"/>
    <w:rsid w:val="001372E4"/>
    <w:rsid w:val="001428A1"/>
    <w:rsid w:val="001442F4"/>
    <w:rsid w:val="00155E50"/>
    <w:rsid w:val="00181D8E"/>
    <w:rsid w:val="00197EA5"/>
    <w:rsid w:val="001A179F"/>
    <w:rsid w:val="001B0E91"/>
    <w:rsid w:val="001B35BD"/>
    <w:rsid w:val="001B6034"/>
    <w:rsid w:val="001D0F0C"/>
    <w:rsid w:val="001D1AB4"/>
    <w:rsid w:val="001D2117"/>
    <w:rsid w:val="001D432C"/>
    <w:rsid w:val="001E141A"/>
    <w:rsid w:val="001E7D0D"/>
    <w:rsid w:val="001F03D2"/>
    <w:rsid w:val="0020012F"/>
    <w:rsid w:val="00200D1F"/>
    <w:rsid w:val="00202582"/>
    <w:rsid w:val="00202BAF"/>
    <w:rsid w:val="0022157A"/>
    <w:rsid w:val="00222DFE"/>
    <w:rsid w:val="0023586C"/>
    <w:rsid w:val="00245E95"/>
    <w:rsid w:val="00246C5C"/>
    <w:rsid w:val="00261D70"/>
    <w:rsid w:val="00262411"/>
    <w:rsid w:val="00270CF1"/>
    <w:rsid w:val="00274C7F"/>
    <w:rsid w:val="002868CD"/>
    <w:rsid w:val="002A0EE8"/>
    <w:rsid w:val="002B0039"/>
    <w:rsid w:val="002B6763"/>
    <w:rsid w:val="002C0ACC"/>
    <w:rsid w:val="002D2638"/>
    <w:rsid w:val="002E5AB4"/>
    <w:rsid w:val="002E61AC"/>
    <w:rsid w:val="002E73F4"/>
    <w:rsid w:val="002F5DE2"/>
    <w:rsid w:val="00306D76"/>
    <w:rsid w:val="00346694"/>
    <w:rsid w:val="003540A1"/>
    <w:rsid w:val="00354235"/>
    <w:rsid w:val="0037175A"/>
    <w:rsid w:val="00372159"/>
    <w:rsid w:val="00380DA2"/>
    <w:rsid w:val="00381C44"/>
    <w:rsid w:val="00381E61"/>
    <w:rsid w:val="00382510"/>
    <w:rsid w:val="003831AB"/>
    <w:rsid w:val="003844EC"/>
    <w:rsid w:val="003902A0"/>
    <w:rsid w:val="00394456"/>
    <w:rsid w:val="003A0F37"/>
    <w:rsid w:val="003A3175"/>
    <w:rsid w:val="003A3AD2"/>
    <w:rsid w:val="003A65EF"/>
    <w:rsid w:val="003E507C"/>
    <w:rsid w:val="003F77EE"/>
    <w:rsid w:val="0040561C"/>
    <w:rsid w:val="00405FBA"/>
    <w:rsid w:val="0041092A"/>
    <w:rsid w:val="00412B93"/>
    <w:rsid w:val="004248E2"/>
    <w:rsid w:val="00435687"/>
    <w:rsid w:val="00440C3A"/>
    <w:rsid w:val="00443FD2"/>
    <w:rsid w:val="00450F23"/>
    <w:rsid w:val="00453A5E"/>
    <w:rsid w:val="00453CBD"/>
    <w:rsid w:val="00455CCF"/>
    <w:rsid w:val="0046250A"/>
    <w:rsid w:val="00466052"/>
    <w:rsid w:val="00466B30"/>
    <w:rsid w:val="00466CDB"/>
    <w:rsid w:val="0047038E"/>
    <w:rsid w:val="00474854"/>
    <w:rsid w:val="00484190"/>
    <w:rsid w:val="00494A89"/>
    <w:rsid w:val="004A5EFF"/>
    <w:rsid w:val="004A60F4"/>
    <w:rsid w:val="004B3EB7"/>
    <w:rsid w:val="004B6E36"/>
    <w:rsid w:val="004C2B18"/>
    <w:rsid w:val="004C630F"/>
    <w:rsid w:val="004D34CD"/>
    <w:rsid w:val="004D582C"/>
    <w:rsid w:val="004E06F1"/>
    <w:rsid w:val="004F7193"/>
    <w:rsid w:val="00506EEE"/>
    <w:rsid w:val="00521BA8"/>
    <w:rsid w:val="00521F88"/>
    <w:rsid w:val="00523A27"/>
    <w:rsid w:val="005318CE"/>
    <w:rsid w:val="005325F0"/>
    <w:rsid w:val="00534B86"/>
    <w:rsid w:val="00537EC6"/>
    <w:rsid w:val="00561537"/>
    <w:rsid w:val="00575F8D"/>
    <w:rsid w:val="005859E0"/>
    <w:rsid w:val="005A312B"/>
    <w:rsid w:val="005B6236"/>
    <w:rsid w:val="005C5FE2"/>
    <w:rsid w:val="005E2185"/>
    <w:rsid w:val="005E4620"/>
    <w:rsid w:val="005E64C4"/>
    <w:rsid w:val="0060422F"/>
    <w:rsid w:val="006068E2"/>
    <w:rsid w:val="00606BF1"/>
    <w:rsid w:val="00607271"/>
    <w:rsid w:val="006135AB"/>
    <w:rsid w:val="006345C6"/>
    <w:rsid w:val="006375DD"/>
    <w:rsid w:val="0064291B"/>
    <w:rsid w:val="00643BE0"/>
    <w:rsid w:val="00652783"/>
    <w:rsid w:val="00655B24"/>
    <w:rsid w:val="006619C8"/>
    <w:rsid w:val="00664763"/>
    <w:rsid w:val="00666ED0"/>
    <w:rsid w:val="00670790"/>
    <w:rsid w:val="00670E78"/>
    <w:rsid w:val="00675585"/>
    <w:rsid w:val="0068446F"/>
    <w:rsid w:val="0069059D"/>
    <w:rsid w:val="006A0CDF"/>
    <w:rsid w:val="006A1032"/>
    <w:rsid w:val="006A7ABD"/>
    <w:rsid w:val="006C6503"/>
    <w:rsid w:val="006D2C01"/>
    <w:rsid w:val="006E06AD"/>
    <w:rsid w:val="006E0DF0"/>
    <w:rsid w:val="006E3ABA"/>
    <w:rsid w:val="006F3B8C"/>
    <w:rsid w:val="00700502"/>
    <w:rsid w:val="00700764"/>
    <w:rsid w:val="00705025"/>
    <w:rsid w:val="00721ED1"/>
    <w:rsid w:val="007347B8"/>
    <w:rsid w:val="0075117C"/>
    <w:rsid w:val="00751643"/>
    <w:rsid w:val="007A139F"/>
    <w:rsid w:val="007C7BE7"/>
    <w:rsid w:val="007D0358"/>
    <w:rsid w:val="007D618F"/>
    <w:rsid w:val="007D6F02"/>
    <w:rsid w:val="007E6072"/>
    <w:rsid w:val="007F677F"/>
    <w:rsid w:val="00802FB2"/>
    <w:rsid w:val="00803E2C"/>
    <w:rsid w:val="008115C7"/>
    <w:rsid w:val="00813058"/>
    <w:rsid w:val="00816160"/>
    <w:rsid w:val="00820021"/>
    <w:rsid w:val="00833B24"/>
    <w:rsid w:val="00833E9D"/>
    <w:rsid w:val="0083514C"/>
    <w:rsid w:val="008406AA"/>
    <w:rsid w:val="008660A0"/>
    <w:rsid w:val="00872BDF"/>
    <w:rsid w:val="00874CD5"/>
    <w:rsid w:val="00887B0E"/>
    <w:rsid w:val="008926D2"/>
    <w:rsid w:val="0089514C"/>
    <w:rsid w:val="008B2D78"/>
    <w:rsid w:val="008B5294"/>
    <w:rsid w:val="008D7232"/>
    <w:rsid w:val="008E215E"/>
    <w:rsid w:val="008F253E"/>
    <w:rsid w:val="00904A36"/>
    <w:rsid w:val="00917DA7"/>
    <w:rsid w:val="0092123B"/>
    <w:rsid w:val="009379B3"/>
    <w:rsid w:val="00942979"/>
    <w:rsid w:val="009506AF"/>
    <w:rsid w:val="00961DC4"/>
    <w:rsid w:val="00965986"/>
    <w:rsid w:val="0096692A"/>
    <w:rsid w:val="00967403"/>
    <w:rsid w:val="00980269"/>
    <w:rsid w:val="009A3026"/>
    <w:rsid w:val="009A39A9"/>
    <w:rsid w:val="009A5772"/>
    <w:rsid w:val="009A5CE0"/>
    <w:rsid w:val="009B0BE4"/>
    <w:rsid w:val="009C533E"/>
    <w:rsid w:val="009C66D2"/>
    <w:rsid w:val="009D0F4D"/>
    <w:rsid w:val="009D35B5"/>
    <w:rsid w:val="009E13DC"/>
    <w:rsid w:val="009E176B"/>
    <w:rsid w:val="009E3C8A"/>
    <w:rsid w:val="009E654E"/>
    <w:rsid w:val="009F0F64"/>
    <w:rsid w:val="00A05497"/>
    <w:rsid w:val="00A05F37"/>
    <w:rsid w:val="00A07DFA"/>
    <w:rsid w:val="00A2697F"/>
    <w:rsid w:val="00A27B08"/>
    <w:rsid w:val="00A4205F"/>
    <w:rsid w:val="00A441AF"/>
    <w:rsid w:val="00A54258"/>
    <w:rsid w:val="00A55ECA"/>
    <w:rsid w:val="00A67716"/>
    <w:rsid w:val="00A7050A"/>
    <w:rsid w:val="00A75E1E"/>
    <w:rsid w:val="00A91509"/>
    <w:rsid w:val="00A96140"/>
    <w:rsid w:val="00AA68F7"/>
    <w:rsid w:val="00AC3523"/>
    <w:rsid w:val="00AC4B92"/>
    <w:rsid w:val="00AD0968"/>
    <w:rsid w:val="00AD32EB"/>
    <w:rsid w:val="00AE310A"/>
    <w:rsid w:val="00B17DE6"/>
    <w:rsid w:val="00B23E2F"/>
    <w:rsid w:val="00B343CB"/>
    <w:rsid w:val="00B54575"/>
    <w:rsid w:val="00B56033"/>
    <w:rsid w:val="00B56DF5"/>
    <w:rsid w:val="00B60937"/>
    <w:rsid w:val="00B7051C"/>
    <w:rsid w:val="00B75088"/>
    <w:rsid w:val="00B7562B"/>
    <w:rsid w:val="00B81689"/>
    <w:rsid w:val="00B82663"/>
    <w:rsid w:val="00B94DA6"/>
    <w:rsid w:val="00B97E06"/>
    <w:rsid w:val="00BA1124"/>
    <w:rsid w:val="00BA2604"/>
    <w:rsid w:val="00BA6B8C"/>
    <w:rsid w:val="00BB032A"/>
    <w:rsid w:val="00BB0BF9"/>
    <w:rsid w:val="00BB5CEC"/>
    <w:rsid w:val="00BC0DCB"/>
    <w:rsid w:val="00BC672F"/>
    <w:rsid w:val="00BC6868"/>
    <w:rsid w:val="00BD24EB"/>
    <w:rsid w:val="00BE2117"/>
    <w:rsid w:val="00BE514B"/>
    <w:rsid w:val="00C3070A"/>
    <w:rsid w:val="00C33630"/>
    <w:rsid w:val="00C5427E"/>
    <w:rsid w:val="00C542A9"/>
    <w:rsid w:val="00C60AF1"/>
    <w:rsid w:val="00C71A2D"/>
    <w:rsid w:val="00C86481"/>
    <w:rsid w:val="00C86987"/>
    <w:rsid w:val="00C94806"/>
    <w:rsid w:val="00C94ED7"/>
    <w:rsid w:val="00CA3441"/>
    <w:rsid w:val="00CB2339"/>
    <w:rsid w:val="00CB724D"/>
    <w:rsid w:val="00CB791F"/>
    <w:rsid w:val="00CC2A70"/>
    <w:rsid w:val="00CE300C"/>
    <w:rsid w:val="00CE7BB0"/>
    <w:rsid w:val="00CE7C75"/>
    <w:rsid w:val="00CF1073"/>
    <w:rsid w:val="00CF74BB"/>
    <w:rsid w:val="00D00E91"/>
    <w:rsid w:val="00D019BB"/>
    <w:rsid w:val="00D02311"/>
    <w:rsid w:val="00D03447"/>
    <w:rsid w:val="00D10165"/>
    <w:rsid w:val="00D12950"/>
    <w:rsid w:val="00D17E6E"/>
    <w:rsid w:val="00D2094E"/>
    <w:rsid w:val="00D30EAC"/>
    <w:rsid w:val="00D33EEA"/>
    <w:rsid w:val="00D44DBB"/>
    <w:rsid w:val="00D50249"/>
    <w:rsid w:val="00D5133B"/>
    <w:rsid w:val="00D82C20"/>
    <w:rsid w:val="00D847A0"/>
    <w:rsid w:val="00D95B60"/>
    <w:rsid w:val="00DA526F"/>
    <w:rsid w:val="00DB6329"/>
    <w:rsid w:val="00DC7136"/>
    <w:rsid w:val="00DD5683"/>
    <w:rsid w:val="00DF3025"/>
    <w:rsid w:val="00DF6BCF"/>
    <w:rsid w:val="00E022B1"/>
    <w:rsid w:val="00E07D12"/>
    <w:rsid w:val="00E104B2"/>
    <w:rsid w:val="00E17CAD"/>
    <w:rsid w:val="00E36C16"/>
    <w:rsid w:val="00E40BC0"/>
    <w:rsid w:val="00E6390E"/>
    <w:rsid w:val="00E72367"/>
    <w:rsid w:val="00E85299"/>
    <w:rsid w:val="00E8551D"/>
    <w:rsid w:val="00E9724A"/>
    <w:rsid w:val="00EA41B8"/>
    <w:rsid w:val="00EC2B7E"/>
    <w:rsid w:val="00EC6B00"/>
    <w:rsid w:val="00ED7CCB"/>
    <w:rsid w:val="00EE31AA"/>
    <w:rsid w:val="00EE619A"/>
    <w:rsid w:val="00EF50A3"/>
    <w:rsid w:val="00EF6761"/>
    <w:rsid w:val="00F037AF"/>
    <w:rsid w:val="00F11348"/>
    <w:rsid w:val="00F12F87"/>
    <w:rsid w:val="00F15B4E"/>
    <w:rsid w:val="00F27342"/>
    <w:rsid w:val="00F31663"/>
    <w:rsid w:val="00F423C1"/>
    <w:rsid w:val="00F42CD0"/>
    <w:rsid w:val="00F42FC6"/>
    <w:rsid w:val="00F62672"/>
    <w:rsid w:val="00F63F06"/>
    <w:rsid w:val="00F6524B"/>
    <w:rsid w:val="00F6696B"/>
    <w:rsid w:val="00F73FDA"/>
    <w:rsid w:val="00F77CCC"/>
    <w:rsid w:val="00F800ED"/>
    <w:rsid w:val="00F86551"/>
    <w:rsid w:val="00FA221B"/>
    <w:rsid w:val="00FA27EE"/>
    <w:rsid w:val="00FA31B4"/>
    <w:rsid w:val="00FB3EC2"/>
    <w:rsid w:val="00FB78D5"/>
    <w:rsid w:val="00FC46BB"/>
    <w:rsid w:val="00FE2CF1"/>
    <w:rsid w:val="00FE4E7A"/>
    <w:rsid w:val="00FE78D5"/>
    <w:rsid w:val="00FF4E17"/>
    <w:rsid w:val="00FF4E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7DD7"/>
  </w:style>
  <w:style w:type="paragraph" w:styleId="Heading1">
    <w:name w:val="heading 1"/>
    <w:basedOn w:val="Normal"/>
    <w:next w:val="Normal"/>
    <w:link w:val="Heading1Char"/>
    <w:uiPriority w:val="9"/>
    <w:qFormat/>
    <w:rsid w:val="00103711"/>
    <w:pPr>
      <w:keepNext/>
      <w:keepLines/>
      <w:spacing w:after="240"/>
      <w:outlineLvl w:val="0"/>
    </w:pPr>
    <w:rPr>
      <w:rFonts w:asciiTheme="majorHAnsi" w:eastAsiaTheme="majorEastAsia" w:hAnsiTheme="majorHAnsi" w:cstheme="majorBidi"/>
      <w:b/>
      <w:bCs/>
      <w:color w:val="201547" w:themeColor="accent1"/>
      <w:sz w:val="32"/>
      <w:szCs w:val="28"/>
    </w:rPr>
  </w:style>
  <w:style w:type="paragraph" w:styleId="Heading2">
    <w:name w:val="heading 2"/>
    <w:basedOn w:val="Heading1"/>
    <w:next w:val="Normal"/>
    <w:link w:val="Heading2Char"/>
    <w:uiPriority w:val="9"/>
    <w:unhideWhenUsed/>
    <w:qFormat/>
    <w:rsid w:val="00BA2604"/>
    <w:pPr>
      <w:outlineLvl w:val="1"/>
    </w:pPr>
    <w:rPr>
      <w:bCs w:val="0"/>
      <w:caps/>
      <w:sz w:val="26"/>
      <w:szCs w:val="26"/>
    </w:rPr>
  </w:style>
  <w:style w:type="paragraph" w:styleId="Heading3">
    <w:name w:val="heading 3"/>
    <w:basedOn w:val="Normal"/>
    <w:next w:val="Normal"/>
    <w:link w:val="Heading3Char"/>
    <w:uiPriority w:val="9"/>
    <w:semiHidden/>
    <w:unhideWhenUsed/>
    <w:qFormat/>
    <w:rsid w:val="008406AA"/>
    <w:pPr>
      <w:keepNext/>
      <w:keepLines/>
      <w:spacing w:before="200" w:after="0"/>
      <w:outlineLvl w:val="2"/>
    </w:pPr>
    <w:rPr>
      <w:rFonts w:asciiTheme="majorHAnsi" w:eastAsiaTheme="majorEastAsia" w:hAnsiTheme="majorHAnsi" w:cstheme="majorBidi"/>
      <w:b/>
      <w:bCs/>
      <w:color w:val="20154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B7"/>
    <w:pPr>
      <w:tabs>
        <w:tab w:val="center" w:pos="4513"/>
        <w:tab w:val="right" w:pos="9026"/>
      </w:tabs>
      <w:spacing w:before="720" w:after="0" w:line="240" w:lineRule="auto"/>
    </w:pPr>
    <w:rPr>
      <w:b/>
      <w:caps/>
      <w:color w:val="FFFFFF" w:themeColor="background1"/>
      <w:sz w:val="96"/>
    </w:rPr>
  </w:style>
  <w:style w:type="character" w:customStyle="1" w:styleId="HeaderChar">
    <w:name w:val="Header Char"/>
    <w:basedOn w:val="DefaultParagraphFont"/>
    <w:link w:val="Header"/>
    <w:uiPriority w:val="99"/>
    <w:rsid w:val="004B3EB7"/>
    <w:rPr>
      <w:b/>
      <w:caps/>
      <w:color w:val="FFFFFF" w:themeColor="background1"/>
      <w:sz w:val="96"/>
    </w:rPr>
  </w:style>
  <w:style w:type="paragraph" w:styleId="Footer">
    <w:name w:val="footer"/>
    <w:basedOn w:val="Normal"/>
    <w:link w:val="FooterChar"/>
    <w:uiPriority w:val="99"/>
    <w:unhideWhenUsed/>
    <w:rsid w:val="00474854"/>
    <w:pPr>
      <w:tabs>
        <w:tab w:val="center" w:pos="4513"/>
        <w:tab w:val="center" w:pos="10036"/>
      </w:tabs>
      <w:spacing w:after="0" w:line="240" w:lineRule="auto"/>
    </w:pPr>
    <w:rPr>
      <w:sz w:val="20"/>
    </w:rPr>
  </w:style>
  <w:style w:type="character" w:customStyle="1" w:styleId="FooterChar">
    <w:name w:val="Footer Char"/>
    <w:basedOn w:val="DefaultParagraphFont"/>
    <w:link w:val="Footer"/>
    <w:uiPriority w:val="99"/>
    <w:rsid w:val="00474854"/>
    <w:rPr>
      <w:sz w:val="20"/>
    </w:rPr>
  </w:style>
  <w:style w:type="paragraph" w:styleId="BalloonText">
    <w:name w:val="Balloon Text"/>
    <w:basedOn w:val="Normal"/>
    <w:link w:val="BalloonTextChar"/>
    <w:uiPriority w:val="99"/>
    <w:semiHidden/>
    <w:unhideWhenUsed/>
    <w:rsid w:val="001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0D"/>
    <w:rPr>
      <w:rFonts w:ascii="Tahoma" w:hAnsi="Tahoma" w:cs="Tahoma"/>
      <w:sz w:val="16"/>
      <w:szCs w:val="16"/>
    </w:rPr>
  </w:style>
  <w:style w:type="paragraph" w:styleId="Title">
    <w:name w:val="Title"/>
    <w:basedOn w:val="Normal"/>
    <w:next w:val="Normal"/>
    <w:link w:val="TitleChar"/>
    <w:uiPriority w:val="89"/>
    <w:qFormat/>
    <w:rsid w:val="007D6F02"/>
    <w:pPr>
      <w:spacing w:after="240" w:line="240" w:lineRule="auto"/>
      <w:contextualSpacing/>
    </w:pPr>
    <w:rPr>
      <w:rFonts w:asciiTheme="majorHAnsi" w:eastAsiaTheme="majorEastAsia" w:hAnsiTheme="majorHAnsi" w:cstheme="majorBidi"/>
      <w:caps/>
      <w:color w:val="FFFFFF" w:themeColor="background1"/>
      <w:spacing w:val="5"/>
      <w:kern w:val="28"/>
      <w:sz w:val="52"/>
      <w:szCs w:val="52"/>
    </w:rPr>
  </w:style>
  <w:style w:type="character" w:customStyle="1" w:styleId="TitleChar">
    <w:name w:val="Title Char"/>
    <w:basedOn w:val="DefaultParagraphFont"/>
    <w:link w:val="Title"/>
    <w:uiPriority w:val="89"/>
    <w:rsid w:val="007D6F02"/>
    <w:rPr>
      <w:rFonts w:asciiTheme="majorHAnsi" w:eastAsiaTheme="majorEastAsia" w:hAnsiTheme="majorHAnsi" w:cstheme="majorBidi"/>
      <w:caps/>
      <w:color w:val="FFFFFF" w:themeColor="background1"/>
      <w:spacing w:val="5"/>
      <w:kern w:val="28"/>
      <w:sz w:val="52"/>
      <w:szCs w:val="52"/>
    </w:rPr>
  </w:style>
  <w:style w:type="paragraph" w:styleId="Subtitle">
    <w:name w:val="Subtitle"/>
    <w:aliases w:val="Month"/>
    <w:basedOn w:val="Title"/>
    <w:next w:val="Normal"/>
    <w:link w:val="SubtitleChar"/>
    <w:uiPriority w:val="90"/>
    <w:qFormat/>
    <w:rsid w:val="002868CD"/>
    <w:pPr>
      <w:numPr>
        <w:ilvl w:val="1"/>
      </w:numPr>
      <w:spacing w:before="240" w:after="600"/>
      <w:contextualSpacing w:val="0"/>
    </w:pPr>
    <w:rPr>
      <w:iCs/>
      <w:caps w:val="0"/>
      <w:spacing w:val="15"/>
      <w:sz w:val="32"/>
    </w:rPr>
  </w:style>
  <w:style w:type="character" w:customStyle="1" w:styleId="SubtitleChar">
    <w:name w:val="Subtitle Char"/>
    <w:aliases w:val="Month Char"/>
    <w:basedOn w:val="DefaultParagraphFont"/>
    <w:link w:val="Subtitle"/>
    <w:uiPriority w:val="90"/>
    <w:rsid w:val="002868CD"/>
    <w:rPr>
      <w:rFonts w:asciiTheme="majorHAnsi" w:eastAsiaTheme="majorEastAsia" w:hAnsiTheme="majorHAnsi" w:cstheme="majorBidi"/>
      <w:iCs/>
      <w:color w:val="FFFFFF" w:themeColor="background1"/>
      <w:spacing w:val="15"/>
      <w:kern w:val="28"/>
      <w:sz w:val="32"/>
      <w:szCs w:val="52"/>
    </w:rPr>
  </w:style>
  <w:style w:type="character" w:customStyle="1" w:styleId="Heading1Char">
    <w:name w:val="Heading 1 Char"/>
    <w:basedOn w:val="DefaultParagraphFont"/>
    <w:link w:val="Heading1"/>
    <w:uiPriority w:val="9"/>
    <w:rsid w:val="00103711"/>
    <w:rPr>
      <w:rFonts w:asciiTheme="majorHAnsi" w:eastAsiaTheme="majorEastAsia" w:hAnsiTheme="majorHAnsi" w:cstheme="majorBidi"/>
      <w:b/>
      <w:bCs/>
      <w:color w:val="201547" w:themeColor="accent1"/>
      <w:sz w:val="32"/>
      <w:szCs w:val="28"/>
    </w:rPr>
  </w:style>
  <w:style w:type="character" w:customStyle="1" w:styleId="Heading2Char">
    <w:name w:val="Heading 2 Char"/>
    <w:basedOn w:val="DefaultParagraphFont"/>
    <w:link w:val="Heading2"/>
    <w:uiPriority w:val="9"/>
    <w:rsid w:val="00BA2604"/>
    <w:rPr>
      <w:rFonts w:asciiTheme="majorHAnsi" w:eastAsiaTheme="majorEastAsia" w:hAnsiTheme="majorHAnsi" w:cstheme="majorBidi"/>
      <w:b/>
      <w:caps/>
      <w:color w:val="004EA8" w:themeColor="accent2"/>
      <w:sz w:val="26"/>
      <w:szCs w:val="26"/>
    </w:rPr>
  </w:style>
  <w:style w:type="character" w:customStyle="1" w:styleId="Heading3Char">
    <w:name w:val="Heading 3 Char"/>
    <w:basedOn w:val="DefaultParagraphFont"/>
    <w:link w:val="Heading3"/>
    <w:uiPriority w:val="9"/>
    <w:semiHidden/>
    <w:rsid w:val="008406AA"/>
    <w:rPr>
      <w:rFonts w:asciiTheme="majorHAnsi" w:eastAsiaTheme="majorEastAsia" w:hAnsiTheme="majorHAnsi" w:cstheme="majorBidi"/>
      <w:b/>
      <w:bCs/>
      <w:color w:val="201547" w:themeColor="accent1"/>
    </w:rPr>
  </w:style>
  <w:style w:type="character" w:styleId="PageNumber">
    <w:name w:val="page number"/>
    <w:basedOn w:val="DefaultParagraphFont"/>
    <w:uiPriority w:val="99"/>
    <w:unhideWhenUsed/>
    <w:rsid w:val="00BA6B8C"/>
    <w:rPr>
      <w:color w:val="FFFFFF" w:themeColor="background1"/>
      <w:sz w:val="20"/>
    </w:rPr>
  </w:style>
  <w:style w:type="paragraph" w:styleId="ListParagraph">
    <w:name w:val="List Paragraph"/>
    <w:basedOn w:val="Normal"/>
    <w:uiPriority w:val="34"/>
    <w:semiHidden/>
    <w:qFormat/>
    <w:rsid w:val="004B6E36"/>
    <w:pPr>
      <w:ind w:left="720"/>
      <w:contextualSpacing/>
    </w:pPr>
  </w:style>
  <w:style w:type="numbering" w:customStyle="1" w:styleId="Highlightbulletstyle">
    <w:name w:val="Highlight bullet style"/>
    <w:uiPriority w:val="99"/>
    <w:rsid w:val="004B6E36"/>
    <w:pPr>
      <w:numPr>
        <w:numId w:val="1"/>
      </w:numPr>
    </w:pPr>
  </w:style>
  <w:style w:type="table" w:styleId="TableGrid">
    <w:name w:val="Table Grid"/>
    <w:aliases w:val="DTF table"/>
    <w:basedOn w:val="TableNormal"/>
    <w:uiPriority w:val="59"/>
    <w:rsid w:val="002868CD"/>
    <w:pPr>
      <w:spacing w:before="120" w:after="120" w:line="240" w:lineRule="auto"/>
    </w:pPr>
    <w:rPr>
      <w:sz w:val="22"/>
    </w:rPr>
    <w:tblPr>
      <w:tblStyleRowBandSize w:val="1"/>
      <w:tblStyleColBandSize w:val="1"/>
      <w:tblBorders>
        <w:bottom w:val="single" w:sz="12" w:space="0" w:color="004EA8" w:themeColor="accent2"/>
      </w:tblBorders>
      <w:tblCellMar>
        <w:left w:w="57" w:type="dxa"/>
        <w:right w:w="57" w:type="dxa"/>
      </w:tblCellMar>
    </w:tblPr>
    <w:trPr>
      <w:cantSplit/>
    </w:trPr>
    <w:tblStylePr w:type="firstRow">
      <w:pPr>
        <w:wordWrap/>
        <w:spacing w:beforeLines="0" w:before="120" w:beforeAutospacing="0" w:afterLines="0" w:after="120" w:afterAutospacing="0"/>
      </w:pPr>
      <w:rPr>
        <w:i/>
        <w:color w:val="FFFFFF" w:themeColor="background1"/>
      </w:rPr>
      <w:tblPr/>
      <w:trPr>
        <w:cantSplit w:val="0"/>
        <w:tblHeader/>
      </w:trPr>
      <w:tcPr>
        <w:shd w:val="clear" w:color="auto" w:fill="004EA8" w:themeFill="accent2"/>
      </w:tcPr>
    </w:tblStylePr>
    <w:tblStylePr w:type="lastRow">
      <w:rPr>
        <w:b w:val="0"/>
        <w:color w:val="auto"/>
      </w:rPr>
      <w:tblPr/>
      <w:tcPr>
        <w:tcBorders>
          <w:top w:val="single" w:sz="6" w:space="0" w:color="004EA8" w:themeColor="accent2"/>
          <w:left w:val="nil"/>
          <w:bottom w:val="single" w:sz="12" w:space="0" w:color="004EA8" w:themeColor="accent2"/>
          <w:right w:val="nil"/>
          <w:insideH w:val="nil"/>
          <w:insideV w:val="nil"/>
          <w:tl2br w:val="nil"/>
          <w:tr2bl w:val="nil"/>
        </w:tcBorders>
      </w:tcPr>
    </w:tblStylePr>
    <w:tblStylePr w:type="firstCol">
      <w:tblPr/>
      <w:tcPr>
        <w:shd w:val="clear" w:color="auto" w:fill="CCE3F5" w:themeFill="accent6"/>
      </w:tcPr>
    </w:tblStylePr>
    <w:tblStylePr w:type="lastCol">
      <w:tblPr/>
      <w:tcPr>
        <w:shd w:val="clear" w:color="auto" w:fill="CCE3F5" w:themeFill="accent6"/>
      </w:tcPr>
    </w:tblStylePr>
    <w:tblStylePr w:type="band1Vert">
      <w:tblPr/>
      <w:tcPr>
        <w:shd w:val="clear" w:color="auto" w:fill="99B8DC" w:themeFill="accent5"/>
      </w:tcPr>
    </w:tblStylePr>
    <w:tblStylePr w:type="band2Vert">
      <w:tblPr/>
      <w:tcPr>
        <w:shd w:val="clear" w:color="auto" w:fill="CCE3F5" w:themeFill="accent6"/>
      </w:tcPr>
    </w:tblStylePr>
    <w:tblStylePr w:type="band1Horz">
      <w:tblPr/>
      <w:tcPr>
        <w:shd w:val="clear" w:color="auto" w:fill="CCE3F5" w:themeFill="accent6"/>
      </w:tcPr>
    </w:tblStylePr>
    <w:tblStylePr w:type="band2Horz">
      <w:tblPr/>
      <w:tcPr>
        <w:shd w:val="clear" w:color="auto" w:fill="99B8DC" w:themeFill="accent5"/>
      </w:tcPr>
    </w:tblStylePr>
  </w:style>
  <w:style w:type="paragraph" w:customStyle="1" w:styleId="Bullet-highlight">
    <w:name w:val="Bullet - highlight"/>
    <w:basedOn w:val="Normal"/>
    <w:uiPriority w:val="69"/>
    <w:rsid w:val="002F5DE2"/>
    <w:pPr>
      <w:numPr>
        <w:numId w:val="3"/>
      </w:numPr>
    </w:pPr>
    <w:rPr>
      <w:sz w:val="22"/>
    </w:rPr>
  </w:style>
  <w:style w:type="table" w:customStyle="1" w:styleId="Highlighttable">
    <w:name w:val="Highlight table"/>
    <w:basedOn w:val="TableNormal"/>
    <w:uiPriority w:val="99"/>
    <w:rsid w:val="003E507C"/>
    <w:pPr>
      <w:spacing w:before="120" w:after="120"/>
    </w:pPr>
    <w:rPr>
      <w:color w:val="FFFFFF" w:themeColor="background1"/>
      <w:sz w:val="22"/>
    </w:rPr>
    <w:tblPr>
      <w:tblCellMar>
        <w:left w:w="85" w:type="dxa"/>
        <w:right w:w="227" w:type="dxa"/>
      </w:tblCellMar>
    </w:tblPr>
    <w:trPr>
      <w:cantSplit/>
    </w:trPr>
    <w:tcPr>
      <w:shd w:val="clear" w:color="auto" w:fill="004EA8" w:themeFill="accent2"/>
    </w:tcPr>
    <w:tblStylePr w:type="firstRow">
      <w:rPr>
        <w:caps/>
        <w:smallCaps w:val="0"/>
      </w:rPr>
    </w:tblStylePr>
  </w:style>
  <w:style w:type="paragraph" w:customStyle="1" w:styleId="Note">
    <w:name w:val="Note"/>
    <w:basedOn w:val="Normal"/>
    <w:qFormat/>
    <w:rsid w:val="00D02311"/>
    <w:rPr>
      <w:sz w:val="18"/>
    </w:rPr>
  </w:style>
  <w:style w:type="table" w:styleId="LightShading">
    <w:name w:val="Light Shading"/>
    <w:basedOn w:val="TableNormal"/>
    <w:uiPriority w:val="60"/>
    <w:rsid w:val="0038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382510"/>
    <w:pPr>
      <w:spacing w:after="0" w:line="240" w:lineRule="auto"/>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paragraph" w:styleId="Caption">
    <w:name w:val="caption"/>
    <w:basedOn w:val="Heading2"/>
    <w:next w:val="Normal"/>
    <w:uiPriority w:val="35"/>
    <w:qFormat/>
    <w:rsid w:val="00BA6B8C"/>
    <w:pPr>
      <w:spacing w:after="120"/>
    </w:pPr>
    <w:rPr>
      <w:caps w:val="0"/>
      <w:sz w:val="22"/>
    </w:rPr>
  </w:style>
  <w:style w:type="character" w:styleId="Emphasis">
    <w:name w:val="Emphasis"/>
    <w:basedOn w:val="DefaultParagraphFont"/>
    <w:uiPriority w:val="20"/>
    <w:qFormat/>
    <w:rsid w:val="00EE31AA"/>
    <w:rPr>
      <w:b/>
      <w:i w:val="0"/>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047DD7"/>
  </w:style>
  <w:style w:type="paragraph" w:styleId="Heading1">
    <w:name w:val="heading 1"/>
    <w:basedOn w:val="Normal"/>
    <w:next w:val="Normal"/>
    <w:link w:val="Heading1Char"/>
    <w:uiPriority w:val="9"/>
    <w:qFormat/>
    <w:rsid w:val="00103711"/>
    <w:pPr>
      <w:keepNext/>
      <w:keepLines/>
      <w:spacing w:after="240"/>
      <w:outlineLvl w:val="0"/>
    </w:pPr>
    <w:rPr>
      <w:rFonts w:asciiTheme="majorHAnsi" w:eastAsiaTheme="majorEastAsia" w:hAnsiTheme="majorHAnsi" w:cstheme="majorBidi"/>
      <w:b/>
      <w:bCs/>
      <w:color w:val="201547" w:themeColor="accent1"/>
      <w:sz w:val="32"/>
      <w:szCs w:val="28"/>
    </w:rPr>
  </w:style>
  <w:style w:type="paragraph" w:styleId="Heading2">
    <w:name w:val="heading 2"/>
    <w:basedOn w:val="Heading1"/>
    <w:next w:val="Normal"/>
    <w:link w:val="Heading2Char"/>
    <w:uiPriority w:val="9"/>
    <w:unhideWhenUsed/>
    <w:qFormat/>
    <w:rsid w:val="00BA2604"/>
    <w:pPr>
      <w:outlineLvl w:val="1"/>
    </w:pPr>
    <w:rPr>
      <w:bCs w:val="0"/>
      <w:caps/>
      <w:sz w:val="26"/>
      <w:szCs w:val="26"/>
    </w:rPr>
  </w:style>
  <w:style w:type="paragraph" w:styleId="Heading3">
    <w:name w:val="heading 3"/>
    <w:basedOn w:val="Normal"/>
    <w:next w:val="Normal"/>
    <w:link w:val="Heading3Char"/>
    <w:uiPriority w:val="9"/>
    <w:semiHidden/>
    <w:unhideWhenUsed/>
    <w:qFormat/>
    <w:rsid w:val="008406AA"/>
    <w:pPr>
      <w:keepNext/>
      <w:keepLines/>
      <w:spacing w:before="200" w:after="0"/>
      <w:outlineLvl w:val="2"/>
    </w:pPr>
    <w:rPr>
      <w:rFonts w:asciiTheme="majorHAnsi" w:eastAsiaTheme="majorEastAsia" w:hAnsiTheme="majorHAnsi" w:cstheme="majorBidi"/>
      <w:b/>
      <w:bCs/>
      <w:color w:val="20154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EB7"/>
    <w:pPr>
      <w:tabs>
        <w:tab w:val="center" w:pos="4513"/>
        <w:tab w:val="right" w:pos="9026"/>
      </w:tabs>
      <w:spacing w:before="720" w:after="0" w:line="240" w:lineRule="auto"/>
    </w:pPr>
    <w:rPr>
      <w:b/>
      <w:caps/>
      <w:color w:val="FFFFFF" w:themeColor="background1"/>
      <w:sz w:val="96"/>
    </w:rPr>
  </w:style>
  <w:style w:type="character" w:customStyle="1" w:styleId="HeaderChar">
    <w:name w:val="Header Char"/>
    <w:basedOn w:val="DefaultParagraphFont"/>
    <w:link w:val="Header"/>
    <w:uiPriority w:val="99"/>
    <w:rsid w:val="004B3EB7"/>
    <w:rPr>
      <w:b/>
      <w:caps/>
      <w:color w:val="FFFFFF" w:themeColor="background1"/>
      <w:sz w:val="96"/>
    </w:rPr>
  </w:style>
  <w:style w:type="paragraph" w:styleId="Footer">
    <w:name w:val="footer"/>
    <w:basedOn w:val="Normal"/>
    <w:link w:val="FooterChar"/>
    <w:uiPriority w:val="99"/>
    <w:unhideWhenUsed/>
    <w:rsid w:val="00474854"/>
    <w:pPr>
      <w:tabs>
        <w:tab w:val="center" w:pos="4513"/>
        <w:tab w:val="center" w:pos="10036"/>
      </w:tabs>
      <w:spacing w:after="0" w:line="240" w:lineRule="auto"/>
    </w:pPr>
    <w:rPr>
      <w:sz w:val="20"/>
    </w:rPr>
  </w:style>
  <w:style w:type="character" w:customStyle="1" w:styleId="FooterChar">
    <w:name w:val="Footer Char"/>
    <w:basedOn w:val="DefaultParagraphFont"/>
    <w:link w:val="Footer"/>
    <w:uiPriority w:val="99"/>
    <w:rsid w:val="00474854"/>
    <w:rPr>
      <w:sz w:val="20"/>
    </w:rPr>
  </w:style>
  <w:style w:type="paragraph" w:styleId="BalloonText">
    <w:name w:val="Balloon Text"/>
    <w:basedOn w:val="Normal"/>
    <w:link w:val="BalloonTextChar"/>
    <w:uiPriority w:val="99"/>
    <w:semiHidden/>
    <w:unhideWhenUsed/>
    <w:rsid w:val="001E7D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D0D"/>
    <w:rPr>
      <w:rFonts w:ascii="Tahoma" w:hAnsi="Tahoma" w:cs="Tahoma"/>
      <w:sz w:val="16"/>
      <w:szCs w:val="16"/>
    </w:rPr>
  </w:style>
  <w:style w:type="paragraph" w:styleId="Title">
    <w:name w:val="Title"/>
    <w:basedOn w:val="Normal"/>
    <w:next w:val="Normal"/>
    <w:link w:val="TitleChar"/>
    <w:uiPriority w:val="89"/>
    <w:qFormat/>
    <w:rsid w:val="007D6F02"/>
    <w:pPr>
      <w:spacing w:after="240" w:line="240" w:lineRule="auto"/>
      <w:contextualSpacing/>
    </w:pPr>
    <w:rPr>
      <w:rFonts w:asciiTheme="majorHAnsi" w:eastAsiaTheme="majorEastAsia" w:hAnsiTheme="majorHAnsi" w:cstheme="majorBidi"/>
      <w:caps/>
      <w:color w:val="FFFFFF" w:themeColor="background1"/>
      <w:spacing w:val="5"/>
      <w:kern w:val="28"/>
      <w:sz w:val="52"/>
      <w:szCs w:val="52"/>
    </w:rPr>
  </w:style>
  <w:style w:type="character" w:customStyle="1" w:styleId="TitleChar">
    <w:name w:val="Title Char"/>
    <w:basedOn w:val="DefaultParagraphFont"/>
    <w:link w:val="Title"/>
    <w:uiPriority w:val="89"/>
    <w:rsid w:val="007D6F02"/>
    <w:rPr>
      <w:rFonts w:asciiTheme="majorHAnsi" w:eastAsiaTheme="majorEastAsia" w:hAnsiTheme="majorHAnsi" w:cstheme="majorBidi"/>
      <w:caps/>
      <w:color w:val="FFFFFF" w:themeColor="background1"/>
      <w:spacing w:val="5"/>
      <w:kern w:val="28"/>
      <w:sz w:val="52"/>
      <w:szCs w:val="52"/>
    </w:rPr>
  </w:style>
  <w:style w:type="paragraph" w:styleId="Subtitle">
    <w:name w:val="Subtitle"/>
    <w:aliases w:val="Month"/>
    <w:basedOn w:val="Title"/>
    <w:next w:val="Normal"/>
    <w:link w:val="SubtitleChar"/>
    <w:uiPriority w:val="90"/>
    <w:qFormat/>
    <w:rsid w:val="002868CD"/>
    <w:pPr>
      <w:numPr>
        <w:ilvl w:val="1"/>
      </w:numPr>
      <w:spacing w:before="240" w:after="600"/>
      <w:contextualSpacing w:val="0"/>
    </w:pPr>
    <w:rPr>
      <w:iCs/>
      <w:caps w:val="0"/>
      <w:spacing w:val="15"/>
      <w:sz w:val="32"/>
    </w:rPr>
  </w:style>
  <w:style w:type="character" w:customStyle="1" w:styleId="SubtitleChar">
    <w:name w:val="Subtitle Char"/>
    <w:aliases w:val="Month Char"/>
    <w:basedOn w:val="DefaultParagraphFont"/>
    <w:link w:val="Subtitle"/>
    <w:uiPriority w:val="90"/>
    <w:rsid w:val="002868CD"/>
    <w:rPr>
      <w:rFonts w:asciiTheme="majorHAnsi" w:eastAsiaTheme="majorEastAsia" w:hAnsiTheme="majorHAnsi" w:cstheme="majorBidi"/>
      <w:iCs/>
      <w:color w:val="FFFFFF" w:themeColor="background1"/>
      <w:spacing w:val="15"/>
      <w:kern w:val="28"/>
      <w:sz w:val="32"/>
      <w:szCs w:val="52"/>
    </w:rPr>
  </w:style>
  <w:style w:type="character" w:customStyle="1" w:styleId="Heading1Char">
    <w:name w:val="Heading 1 Char"/>
    <w:basedOn w:val="DefaultParagraphFont"/>
    <w:link w:val="Heading1"/>
    <w:uiPriority w:val="9"/>
    <w:rsid w:val="00103711"/>
    <w:rPr>
      <w:rFonts w:asciiTheme="majorHAnsi" w:eastAsiaTheme="majorEastAsia" w:hAnsiTheme="majorHAnsi" w:cstheme="majorBidi"/>
      <w:b/>
      <w:bCs/>
      <w:color w:val="201547" w:themeColor="accent1"/>
      <w:sz w:val="32"/>
      <w:szCs w:val="28"/>
    </w:rPr>
  </w:style>
  <w:style w:type="character" w:customStyle="1" w:styleId="Heading2Char">
    <w:name w:val="Heading 2 Char"/>
    <w:basedOn w:val="DefaultParagraphFont"/>
    <w:link w:val="Heading2"/>
    <w:uiPriority w:val="9"/>
    <w:rsid w:val="00BA2604"/>
    <w:rPr>
      <w:rFonts w:asciiTheme="majorHAnsi" w:eastAsiaTheme="majorEastAsia" w:hAnsiTheme="majorHAnsi" w:cstheme="majorBidi"/>
      <w:b/>
      <w:caps/>
      <w:color w:val="004EA8" w:themeColor="accent2"/>
      <w:sz w:val="26"/>
      <w:szCs w:val="26"/>
    </w:rPr>
  </w:style>
  <w:style w:type="character" w:customStyle="1" w:styleId="Heading3Char">
    <w:name w:val="Heading 3 Char"/>
    <w:basedOn w:val="DefaultParagraphFont"/>
    <w:link w:val="Heading3"/>
    <w:uiPriority w:val="9"/>
    <w:semiHidden/>
    <w:rsid w:val="008406AA"/>
    <w:rPr>
      <w:rFonts w:asciiTheme="majorHAnsi" w:eastAsiaTheme="majorEastAsia" w:hAnsiTheme="majorHAnsi" w:cstheme="majorBidi"/>
      <w:b/>
      <w:bCs/>
      <w:color w:val="201547" w:themeColor="accent1"/>
    </w:rPr>
  </w:style>
  <w:style w:type="character" w:styleId="PageNumber">
    <w:name w:val="page number"/>
    <w:basedOn w:val="DefaultParagraphFont"/>
    <w:uiPriority w:val="99"/>
    <w:unhideWhenUsed/>
    <w:rsid w:val="00BA6B8C"/>
    <w:rPr>
      <w:color w:val="FFFFFF" w:themeColor="background1"/>
      <w:sz w:val="20"/>
    </w:rPr>
  </w:style>
  <w:style w:type="paragraph" w:styleId="ListParagraph">
    <w:name w:val="List Paragraph"/>
    <w:basedOn w:val="Normal"/>
    <w:uiPriority w:val="34"/>
    <w:semiHidden/>
    <w:qFormat/>
    <w:rsid w:val="004B6E36"/>
    <w:pPr>
      <w:ind w:left="720"/>
      <w:contextualSpacing/>
    </w:pPr>
  </w:style>
  <w:style w:type="numbering" w:customStyle="1" w:styleId="Highlightbulletstyle">
    <w:name w:val="Highlight bullet style"/>
    <w:uiPriority w:val="99"/>
    <w:rsid w:val="004B6E36"/>
    <w:pPr>
      <w:numPr>
        <w:numId w:val="1"/>
      </w:numPr>
    </w:pPr>
  </w:style>
  <w:style w:type="table" w:styleId="TableGrid">
    <w:name w:val="Table Grid"/>
    <w:aliases w:val="DTF table"/>
    <w:basedOn w:val="TableNormal"/>
    <w:uiPriority w:val="59"/>
    <w:rsid w:val="002868CD"/>
    <w:pPr>
      <w:spacing w:before="120" w:after="120" w:line="240" w:lineRule="auto"/>
    </w:pPr>
    <w:rPr>
      <w:sz w:val="22"/>
    </w:rPr>
    <w:tblPr>
      <w:tblStyleRowBandSize w:val="1"/>
      <w:tblStyleColBandSize w:val="1"/>
      <w:tblBorders>
        <w:bottom w:val="single" w:sz="12" w:space="0" w:color="004EA8" w:themeColor="accent2"/>
      </w:tblBorders>
      <w:tblCellMar>
        <w:left w:w="57" w:type="dxa"/>
        <w:right w:w="57" w:type="dxa"/>
      </w:tblCellMar>
    </w:tblPr>
    <w:trPr>
      <w:cantSplit/>
    </w:trPr>
    <w:tblStylePr w:type="firstRow">
      <w:pPr>
        <w:wordWrap/>
        <w:spacing w:beforeLines="0" w:before="120" w:beforeAutospacing="0" w:afterLines="0" w:after="120" w:afterAutospacing="0"/>
      </w:pPr>
      <w:rPr>
        <w:i/>
        <w:color w:val="FFFFFF" w:themeColor="background1"/>
      </w:rPr>
      <w:tblPr/>
      <w:trPr>
        <w:cantSplit w:val="0"/>
        <w:tblHeader/>
      </w:trPr>
      <w:tcPr>
        <w:shd w:val="clear" w:color="auto" w:fill="004EA8" w:themeFill="accent2"/>
      </w:tcPr>
    </w:tblStylePr>
    <w:tblStylePr w:type="lastRow">
      <w:rPr>
        <w:b w:val="0"/>
        <w:color w:val="auto"/>
      </w:rPr>
      <w:tblPr/>
      <w:tcPr>
        <w:tcBorders>
          <w:top w:val="single" w:sz="6" w:space="0" w:color="004EA8" w:themeColor="accent2"/>
          <w:left w:val="nil"/>
          <w:bottom w:val="single" w:sz="12" w:space="0" w:color="004EA8" w:themeColor="accent2"/>
          <w:right w:val="nil"/>
          <w:insideH w:val="nil"/>
          <w:insideV w:val="nil"/>
          <w:tl2br w:val="nil"/>
          <w:tr2bl w:val="nil"/>
        </w:tcBorders>
      </w:tcPr>
    </w:tblStylePr>
    <w:tblStylePr w:type="firstCol">
      <w:tblPr/>
      <w:tcPr>
        <w:shd w:val="clear" w:color="auto" w:fill="CCE3F5" w:themeFill="accent6"/>
      </w:tcPr>
    </w:tblStylePr>
    <w:tblStylePr w:type="lastCol">
      <w:tblPr/>
      <w:tcPr>
        <w:shd w:val="clear" w:color="auto" w:fill="CCE3F5" w:themeFill="accent6"/>
      </w:tcPr>
    </w:tblStylePr>
    <w:tblStylePr w:type="band1Vert">
      <w:tblPr/>
      <w:tcPr>
        <w:shd w:val="clear" w:color="auto" w:fill="99B8DC" w:themeFill="accent5"/>
      </w:tcPr>
    </w:tblStylePr>
    <w:tblStylePr w:type="band2Vert">
      <w:tblPr/>
      <w:tcPr>
        <w:shd w:val="clear" w:color="auto" w:fill="CCE3F5" w:themeFill="accent6"/>
      </w:tcPr>
    </w:tblStylePr>
    <w:tblStylePr w:type="band1Horz">
      <w:tblPr/>
      <w:tcPr>
        <w:shd w:val="clear" w:color="auto" w:fill="CCE3F5" w:themeFill="accent6"/>
      </w:tcPr>
    </w:tblStylePr>
    <w:tblStylePr w:type="band2Horz">
      <w:tblPr/>
      <w:tcPr>
        <w:shd w:val="clear" w:color="auto" w:fill="99B8DC" w:themeFill="accent5"/>
      </w:tcPr>
    </w:tblStylePr>
  </w:style>
  <w:style w:type="paragraph" w:customStyle="1" w:styleId="Bullet-highlight">
    <w:name w:val="Bullet - highlight"/>
    <w:basedOn w:val="Normal"/>
    <w:uiPriority w:val="69"/>
    <w:rsid w:val="002F5DE2"/>
    <w:pPr>
      <w:numPr>
        <w:numId w:val="3"/>
      </w:numPr>
    </w:pPr>
    <w:rPr>
      <w:sz w:val="22"/>
    </w:rPr>
  </w:style>
  <w:style w:type="table" w:customStyle="1" w:styleId="Highlighttable">
    <w:name w:val="Highlight table"/>
    <w:basedOn w:val="TableNormal"/>
    <w:uiPriority w:val="99"/>
    <w:rsid w:val="003E507C"/>
    <w:pPr>
      <w:spacing w:before="120" w:after="120"/>
    </w:pPr>
    <w:rPr>
      <w:color w:val="FFFFFF" w:themeColor="background1"/>
      <w:sz w:val="22"/>
    </w:rPr>
    <w:tblPr>
      <w:tblCellMar>
        <w:left w:w="85" w:type="dxa"/>
        <w:right w:w="227" w:type="dxa"/>
      </w:tblCellMar>
    </w:tblPr>
    <w:trPr>
      <w:cantSplit/>
    </w:trPr>
    <w:tcPr>
      <w:shd w:val="clear" w:color="auto" w:fill="004EA8" w:themeFill="accent2"/>
    </w:tcPr>
    <w:tblStylePr w:type="firstRow">
      <w:rPr>
        <w:caps/>
        <w:smallCaps w:val="0"/>
      </w:rPr>
    </w:tblStylePr>
  </w:style>
  <w:style w:type="paragraph" w:customStyle="1" w:styleId="Note">
    <w:name w:val="Note"/>
    <w:basedOn w:val="Normal"/>
    <w:qFormat/>
    <w:rsid w:val="00D02311"/>
    <w:rPr>
      <w:sz w:val="18"/>
    </w:rPr>
  </w:style>
  <w:style w:type="table" w:styleId="LightShading">
    <w:name w:val="Light Shading"/>
    <w:basedOn w:val="TableNormal"/>
    <w:uiPriority w:val="60"/>
    <w:rsid w:val="003825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382510"/>
    <w:pPr>
      <w:spacing w:after="0" w:line="240" w:lineRule="auto"/>
    </w:pPr>
    <w:rPr>
      <w:color w:val="6DAFE2" w:themeColor="accent6" w:themeShade="BF"/>
    </w:rPr>
    <w:tblPr>
      <w:tblStyleRowBandSize w:val="1"/>
      <w:tblStyleColBandSize w:val="1"/>
      <w:tblBorders>
        <w:top w:val="single" w:sz="8" w:space="0" w:color="CCE3F5" w:themeColor="accent6"/>
        <w:bottom w:val="single" w:sz="8" w:space="0" w:color="CCE3F5" w:themeColor="accent6"/>
      </w:tblBorders>
    </w:tblPr>
    <w:tblStylePr w:type="fir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lastRow">
      <w:pPr>
        <w:spacing w:before="0" w:after="0" w:line="240" w:lineRule="auto"/>
      </w:pPr>
      <w:rPr>
        <w:b/>
        <w:bCs/>
      </w:rPr>
      <w:tblPr/>
      <w:tcPr>
        <w:tcBorders>
          <w:top w:val="single" w:sz="8" w:space="0" w:color="CCE3F5" w:themeColor="accent6"/>
          <w:left w:val="nil"/>
          <w:bottom w:val="single" w:sz="8" w:space="0" w:color="CCE3F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F7FC" w:themeFill="accent6" w:themeFillTint="3F"/>
      </w:tcPr>
    </w:tblStylePr>
    <w:tblStylePr w:type="band1Horz">
      <w:tblPr/>
      <w:tcPr>
        <w:tcBorders>
          <w:left w:val="nil"/>
          <w:right w:val="nil"/>
          <w:insideH w:val="nil"/>
          <w:insideV w:val="nil"/>
        </w:tcBorders>
        <w:shd w:val="clear" w:color="auto" w:fill="F2F7FC" w:themeFill="accent6" w:themeFillTint="3F"/>
      </w:tcPr>
    </w:tblStylePr>
  </w:style>
  <w:style w:type="paragraph" w:styleId="Caption">
    <w:name w:val="caption"/>
    <w:basedOn w:val="Heading2"/>
    <w:next w:val="Normal"/>
    <w:uiPriority w:val="35"/>
    <w:qFormat/>
    <w:rsid w:val="00BA6B8C"/>
    <w:pPr>
      <w:spacing w:after="120"/>
    </w:pPr>
    <w:rPr>
      <w:caps w:val="0"/>
      <w:sz w:val="22"/>
    </w:rPr>
  </w:style>
  <w:style w:type="character" w:styleId="Emphasis">
    <w:name w:val="Emphasis"/>
    <w:basedOn w:val="DefaultParagraphFont"/>
    <w:uiPriority w:val="20"/>
    <w:qFormat/>
    <w:rsid w:val="00EE31AA"/>
    <w:rPr>
      <w:b/>
      <w:i w:val="0"/>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http://creativecommons.org/licenses/by/3.0/a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and Victoria - Navy">
      <a:dk1>
        <a:sysClr val="windowText" lastClr="000000"/>
      </a:dk1>
      <a:lt1>
        <a:sysClr val="window" lastClr="FFFFFF"/>
      </a:lt1>
      <a:dk2>
        <a:srgbClr val="53565A"/>
      </a:dk2>
      <a:lt2>
        <a:srgbClr val="D9D9D6"/>
      </a:lt2>
      <a:accent1>
        <a:srgbClr val="201547"/>
      </a:accent1>
      <a:accent2>
        <a:srgbClr val="004EA8"/>
      </a:accent2>
      <a:accent3>
        <a:srgbClr val="0072CE"/>
      </a:accent3>
      <a:accent4>
        <a:srgbClr val="8F8AA3"/>
      </a:accent4>
      <a:accent5>
        <a:srgbClr val="99B8DC"/>
      </a:accent5>
      <a:accent6>
        <a:srgbClr val="CCE3F5"/>
      </a:accent6>
      <a:hlink>
        <a:srgbClr val="0000FF"/>
      </a:hlink>
      <a:folHlink>
        <a:srgbClr val="800080"/>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29DF-D2D8-43F7-9751-B6738BA33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Economic update</vt:lpstr>
    </vt:vector>
  </TitlesOfParts>
  <Company>Victorian Government</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update</dc:title>
  <dc:creator>Department of Treasury and Finance</dc:creator>
  <cp:lastModifiedBy>Louise Koschmann</cp:lastModifiedBy>
  <cp:revision>2</cp:revision>
  <cp:lastPrinted>2017-02-10T03:35:00Z</cp:lastPrinted>
  <dcterms:created xsi:type="dcterms:W3CDTF">2018-01-24T02:50:00Z</dcterms:created>
  <dcterms:modified xsi:type="dcterms:W3CDTF">2018-01-24T02:50:00Z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6fee81d4-570d-4d81-9ff6-5abca5bfd57d</vt:lpwstr>
  </property>
  <property fmtid="{D5CDD505-2E9C-101B-9397-08002B2CF9AE}" pid="3" name="PSPFClassification">
    <vt:lpwstr>Do Not Mark</vt:lpwstr>
  </property>
</Properties>
</file>